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8"/>
          <w:szCs w:val="28"/>
        </w:rPr>
      </w:pPr>
      <w:bookmarkStart w:id="0" w:name="_Toc14347"/>
      <w:r>
        <w:rPr>
          <w:rFonts w:hint="eastAsia"/>
          <w:b/>
          <w:color w:val="000000" w:themeColor="text1"/>
          <w:sz w:val="28"/>
          <w:szCs w:val="28"/>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序号</w:t>
            </w:r>
          </w:p>
        </w:tc>
        <w:tc>
          <w:tcPr>
            <w:tcW w:w="4140" w:type="dxa"/>
            <w:gridSpan w:val="2"/>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文件名称</w:t>
            </w:r>
          </w:p>
        </w:tc>
        <w:tc>
          <w:tcPr>
            <w:tcW w:w="5177"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一</w:t>
            </w:r>
          </w:p>
        </w:tc>
        <w:tc>
          <w:tcPr>
            <w:tcW w:w="4140" w:type="dxa"/>
            <w:gridSpan w:val="2"/>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封面</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二</w:t>
            </w:r>
          </w:p>
        </w:tc>
        <w:tc>
          <w:tcPr>
            <w:tcW w:w="1305" w:type="dxa"/>
            <w:vMerge w:val="restart"/>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资审文件</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企业基本情况一览表</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企业营业执照</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企业资质证书</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项目负责人资质证书</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法定代表人证明书及法人身份证</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授权委托书及投标负责人身份证</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三</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商务标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投标报价</w:t>
            </w:r>
            <w:r>
              <w:rPr>
                <w:rFonts w:hint="eastAsia" w:ascii="宋体" w:hAnsi="宋体" w:eastAsia="宋体" w:cs="宋体"/>
                <w:color w:val="000000" w:themeColor="text1"/>
                <w:sz w:val="28"/>
                <w:szCs w:val="28"/>
                <w:lang w:eastAsia="zh-CN"/>
              </w:rPr>
              <w:t>函</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原件盖公章，格式详见 “附件</w:t>
            </w: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13" w:type="dxa"/>
            <w:vMerge w:val="restart"/>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四</w:t>
            </w:r>
          </w:p>
        </w:tc>
        <w:tc>
          <w:tcPr>
            <w:tcW w:w="1305" w:type="dxa"/>
            <w:vMerge w:val="restart"/>
            <w:vAlign w:val="center"/>
          </w:tcPr>
          <w:p>
            <w:pPr>
              <w:adjustRightInd w:val="0"/>
              <w:snapToGrid w:val="0"/>
              <w:spacing w:line="440" w:lineRule="exact"/>
              <w:jc w:val="center"/>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资信标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同类工程业绩</w:t>
            </w:r>
          </w:p>
          <w:p>
            <w:pPr>
              <w:adjustRightInd w:val="0"/>
              <w:snapToGrid w:val="0"/>
              <w:spacing w:line="440" w:lineRule="exact"/>
              <w:jc w:val="both"/>
              <w:rPr>
                <w:rFonts w:hint="eastAsia" w:ascii="宋体" w:hAnsi="宋体" w:eastAsia="宋体" w:cs="宋体"/>
                <w:color w:val="000000" w:themeColor="text1"/>
                <w:sz w:val="28"/>
                <w:szCs w:val="28"/>
              </w:rPr>
            </w:pP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1、提供近五年（自招标公告发布之日起倒推）投标人承接过的最具代表性的同类工程（通信工程管线迁改工程）监理业绩（至多提供4项，超过4项则按列表前4项计取）。</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w:t>
            </w:r>
            <w:bookmarkStart w:id="2" w:name="_GoBack"/>
            <w:bookmarkEnd w:id="2"/>
            <w:r>
              <w:rPr>
                <w:rFonts w:hint="eastAsia" w:ascii="宋体" w:hAnsi="宋体" w:eastAsia="宋体" w:cs="宋体"/>
                <w:color w:val="000000" w:themeColor="text1"/>
                <w:sz w:val="28"/>
                <w:szCs w:val="28"/>
              </w:rPr>
              <w:t>为有效业绩。</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原件盖公章，格式详见 “附件</w:t>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项目管理团队配置</w:t>
            </w:r>
          </w:p>
          <w:p>
            <w:pPr>
              <w:adjustRightInd w:val="0"/>
              <w:snapToGrid w:val="0"/>
              <w:spacing w:line="440" w:lineRule="exact"/>
              <w:jc w:val="both"/>
              <w:rPr>
                <w:rFonts w:hint="eastAsia" w:ascii="宋体" w:hAnsi="宋体" w:eastAsia="宋体" w:cs="宋体"/>
                <w:color w:val="000000" w:themeColor="text1"/>
                <w:sz w:val="28"/>
                <w:szCs w:val="28"/>
              </w:rPr>
            </w:pP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 xml:space="preserve">项目管理团队由投标人自行配置,至少须包含总监、总监代表、安全监理工程师、专业监理工程师、监理员、资料员等。 </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证明材料：①项目管理团队人员的任职资格材料（相关执业资格证、职称证书、毕业证等）；②项目总监、总监代表、安全监理工程师、专业监理工程师需提供本单位至少3个月社保缴纳证明。</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原件盖公章，格式详见 “附件</w:t>
            </w:r>
            <w:r>
              <w:rPr>
                <w:rFonts w:hint="eastAsia" w:ascii="宋体" w:hAnsi="宋体" w:eastAsia="宋体" w:cs="宋体"/>
                <w:color w:val="000000" w:themeColor="text1"/>
                <w:sz w:val="28"/>
                <w:szCs w:val="28"/>
                <w:lang w:val="en-US" w:eastAsia="zh-CN"/>
              </w:rPr>
              <w:t>4</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五</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技术标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技术标</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监理服务方案：</w:t>
            </w:r>
          </w:p>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包括监理规划和监理实施方案的完整性、可操作性等。</w:t>
            </w:r>
          </w:p>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企业名称</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企业曾用名（如有）</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统一社会信用代码</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企业性质（民营/国有）</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注册资金（万元）</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注册地址</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企业法定代表人</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color w:val="000000" w:themeColor="text1"/>
                <w:sz w:val="24"/>
                <w:szCs w:val="24"/>
              </w:rPr>
              <w:t>建立日期</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企业现有资质类别及等级</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企业简介</w:t>
            </w:r>
          </w:p>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（内容包括企业规模、人员数量及具有技术职称人员所占的比率等）</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拟派项目负责人及资质</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投标联系人及联系方式</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其他</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bl>
    <w:p>
      <w:pPr>
        <w:adjustRightInd w:val="0"/>
        <w:snapToGrid w:val="0"/>
        <w:spacing w:line="360" w:lineRule="auto"/>
        <w:rPr>
          <w:b/>
          <w:bCs/>
          <w:color w:val="000000" w:themeColor="text1"/>
          <w:sz w:val="24"/>
          <w:szCs w:val="24"/>
          <w:u w:val="single"/>
        </w:rPr>
      </w:pPr>
      <w:r>
        <w:rPr>
          <w:rFonts w:hint="eastAsia"/>
          <w:b/>
          <w:bCs/>
          <w:color w:val="000000" w:themeColor="text1"/>
          <w:sz w:val="24"/>
          <w:szCs w:val="24"/>
          <w:u w:val="single"/>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keepNext w:val="0"/>
        <w:keepLines w:val="0"/>
        <w:pageBreakBefore w:val="0"/>
        <w:widowControl/>
        <w:kinsoku/>
        <w:wordWrap/>
        <w:overflowPunct/>
        <w:topLinePunct w:val="0"/>
        <w:autoSpaceDE/>
        <w:autoSpaceDN/>
        <w:bidi w:val="0"/>
        <w:adjustRightInd/>
        <w:snapToGrid/>
        <w:spacing w:after="160" w:line="360" w:lineRule="auto"/>
        <w:jc w:val="center"/>
        <w:textAlignment w:val="auto"/>
        <w:outlineLvl w:val="2"/>
        <w:rPr>
          <w:rFonts w:hint="eastAsia" w:ascii="宋体" w:hAnsi="宋体" w:eastAsia="宋体" w:cs="宋体"/>
          <w:b/>
          <w:bCs w:val="0"/>
          <w:color w:val="000000" w:themeColor="text1"/>
          <w:sz w:val="32"/>
          <w:szCs w:val="32"/>
          <w:lang w:eastAsia="zh-CN"/>
        </w:rPr>
      </w:pPr>
      <w:r>
        <w:rPr>
          <w:rFonts w:hint="eastAsia" w:ascii="宋体" w:hAnsi="宋体" w:eastAsia="宋体" w:cs="宋体"/>
          <w:b/>
          <w:bCs w:val="0"/>
          <w:color w:val="000000" w:themeColor="text1"/>
          <w:sz w:val="32"/>
          <w:szCs w:val="32"/>
        </w:rPr>
        <w:t>投标</w:t>
      </w:r>
      <w:r>
        <w:rPr>
          <w:rFonts w:hint="eastAsia" w:ascii="宋体" w:hAnsi="宋体" w:eastAsia="宋体" w:cs="宋体"/>
          <w:b/>
          <w:bCs w:val="0"/>
          <w:color w:val="000000" w:themeColor="text1"/>
          <w:sz w:val="32"/>
          <w:szCs w:val="32"/>
          <w:lang w:eastAsia="zh-CN"/>
        </w:rPr>
        <w:t>报价函</w:t>
      </w:r>
    </w:p>
    <w:p>
      <w:pPr>
        <w:pStyle w:val="20"/>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keepNext w:val="0"/>
        <w:keepLines w:val="0"/>
        <w:pageBreakBefore w:val="0"/>
        <w:widowControl/>
        <w:numPr>
          <w:ilvl w:val="0"/>
          <w:numId w:val="1"/>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eastAsiaTheme="minorEastAsia" w:cstheme="minorBidi"/>
          <w:bCs/>
          <w:color w:val="000000" w:themeColor="text1"/>
          <w:u w:val="single"/>
          <w:lang w:val="en-US" w:eastAsia="zh-CN"/>
        </w:rPr>
      </w:pPr>
      <w:r>
        <w:rPr>
          <w:rFonts w:hint="eastAsia" w:eastAsiaTheme="minorEastAsia" w:cstheme="minorBidi"/>
          <w:bCs/>
          <w:color w:val="000000" w:themeColor="text1"/>
        </w:rPr>
        <w:t xml:space="preserve">经分析研究招标人提供的本次公告内容，并经考察工程现场以后，本投标人就 </w:t>
      </w:r>
      <w:r>
        <w:rPr>
          <w:rFonts w:hint="eastAsia" w:eastAsiaTheme="minorEastAsia" w:cstheme="minorBidi"/>
          <w:bCs/>
          <w:color w:val="000000" w:themeColor="text1"/>
          <w:u w:val="single"/>
        </w:rPr>
        <w:t xml:space="preserve"> </w:t>
      </w:r>
      <w:r>
        <w:rPr>
          <w:rFonts w:hint="eastAsia" w:eastAsiaTheme="minorEastAsia" w:cstheme="minorBidi"/>
          <w:bCs/>
          <w:color w:val="000000" w:themeColor="text1"/>
          <w:u w:val="single"/>
          <w:lang w:eastAsia="zh-CN"/>
        </w:rPr>
        <w:t>观湖北</w:t>
      </w:r>
      <w:r>
        <w:rPr>
          <w:rFonts w:hint="eastAsia" w:eastAsiaTheme="minorEastAsia" w:cstheme="minorBidi"/>
          <w:bCs/>
          <w:color w:val="000000" w:themeColor="text1"/>
          <w:u w:val="single"/>
        </w:rPr>
        <w:t xml:space="preserve">产业片区土地整备利益统筹项目通信工程管线迁改（监理） </w:t>
      </w:r>
      <w:r>
        <w:rPr>
          <w:rFonts w:hint="eastAsia" w:eastAsiaTheme="minorEastAsia" w:cstheme="minorBidi"/>
          <w:bCs/>
          <w:color w:val="000000" w:themeColor="text1"/>
        </w:rPr>
        <w:t>报价</w:t>
      </w:r>
      <w:r>
        <w:rPr>
          <w:rFonts w:hint="eastAsia" w:eastAsiaTheme="minorEastAsia" w:cstheme="minorBidi"/>
          <w:bCs/>
          <w:color w:val="000000" w:themeColor="text1"/>
          <w:lang w:eastAsia="zh-CN"/>
        </w:rPr>
        <w:t>：</w:t>
      </w:r>
    </w:p>
    <w:p>
      <w:pPr>
        <w:pStyle w:val="20"/>
        <w:spacing w:line="336" w:lineRule="auto"/>
        <w:ind w:firstLine="482" w:firstLineChars="200"/>
        <w:rPr>
          <w:rFonts w:hint="eastAsia" w:ascii="Calibri" w:hAnsi="宋体" w:eastAsia="宋体"/>
          <w:b/>
          <w:sz w:val="24"/>
          <w:szCs w:val="24"/>
          <w:u w:val="single"/>
          <w:lang w:eastAsia="zh-CN"/>
        </w:rPr>
      </w:pPr>
      <w:r>
        <w:rPr>
          <w:rFonts w:hint="eastAsia" w:ascii="Calibri" w:hAnsi="宋体"/>
          <w:b/>
          <w:sz w:val="24"/>
          <w:szCs w:val="24"/>
        </w:rPr>
        <w:t>根据企业自身情况，理性报价，不会以低于成本的报价竞争，并愿以总价</w:t>
      </w:r>
      <w:r>
        <w:rPr>
          <w:rFonts w:hint="eastAsia" w:ascii="Calibri" w:hAnsi="宋体"/>
          <w:b/>
          <w:sz w:val="24"/>
          <w:szCs w:val="24"/>
          <w:u w:val="single"/>
        </w:rPr>
        <w:t xml:space="preserve">     </w:t>
      </w:r>
      <w:r>
        <w:rPr>
          <w:rFonts w:hint="eastAsia" w:ascii="Calibri" w:hAnsi="宋体"/>
          <w:b/>
          <w:sz w:val="24"/>
          <w:szCs w:val="24"/>
        </w:rPr>
        <w:t>元</w:t>
      </w:r>
      <w:r>
        <w:rPr>
          <w:rFonts w:hint="eastAsia" w:ascii="Calibri" w:hAnsi="宋体"/>
          <w:b/>
          <w:sz w:val="24"/>
          <w:szCs w:val="24"/>
          <w:u w:val="single"/>
          <w:lang w:eastAsia="zh-CN"/>
        </w:rPr>
        <w:t>（小写金额，保留两位小数）</w:t>
      </w:r>
      <w:r>
        <w:rPr>
          <w:rFonts w:hint="eastAsia" w:ascii="Calibri" w:hAnsi="宋体"/>
          <w:b/>
          <w:sz w:val="24"/>
          <w:szCs w:val="24"/>
          <w:u w:val="single"/>
        </w:rPr>
        <w:t>，</w:t>
      </w:r>
      <w:r>
        <w:rPr>
          <w:rFonts w:hint="eastAsia" w:ascii="Calibri" w:hAnsi="宋体"/>
          <w:b/>
          <w:sz w:val="24"/>
          <w:szCs w:val="24"/>
          <w:u w:val="single"/>
          <w:lang w:val="en-US" w:eastAsia="zh-CN"/>
        </w:rPr>
        <w:t xml:space="preserve">              （大写金额）</w:t>
      </w:r>
      <w:r>
        <w:rPr>
          <w:rFonts w:hint="eastAsia" w:ascii="Calibri" w:hAnsi="宋体"/>
          <w:b/>
          <w:sz w:val="24"/>
          <w:szCs w:val="24"/>
          <w:u w:val="single"/>
        </w:rPr>
        <w:t>按招标人要求承包本项目工作</w:t>
      </w:r>
      <w:r>
        <w:rPr>
          <w:rFonts w:hint="eastAsia" w:ascii="Calibri" w:hAnsi="宋体"/>
          <w:b/>
          <w:sz w:val="24"/>
          <w:szCs w:val="24"/>
          <w:u w:val="single"/>
          <w:lang w:eastAsia="zh-CN"/>
        </w:rPr>
        <w:t>，投标下浮率：</w:t>
      </w:r>
      <w:r>
        <w:rPr>
          <w:rFonts w:hint="eastAsia" w:ascii="Calibri" w:hAnsi="宋体"/>
          <w:b w:val="0"/>
          <w:bCs/>
          <w:sz w:val="24"/>
          <w:szCs w:val="24"/>
          <w:u w:val="single"/>
          <w:lang w:val="en-US" w:eastAsia="zh-CN"/>
        </w:rPr>
        <w:t xml:space="preserve">        。</w:t>
      </w:r>
      <w:r>
        <w:rPr>
          <w:rFonts w:hint="eastAsia" w:ascii="Calibri" w:hAnsi="宋体"/>
          <w:b/>
          <w:sz w:val="24"/>
          <w:szCs w:val="24"/>
          <w:u w:val="single"/>
        </w:rPr>
        <w:t>结算时按遴选公告原则办理结算。</w:t>
      </w:r>
    </w:p>
    <w:p>
      <w:pPr>
        <w:pStyle w:val="20"/>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Theme="minorEastAsia" w:cstheme="minorBidi"/>
          <w:bCs/>
          <w:color w:val="000000" w:themeColor="text1"/>
          <w:sz w:val="24"/>
          <w:szCs w:val="24"/>
          <w:lang w:val="en-US" w:eastAsia="zh-CN" w:bidi="ar-SA"/>
        </w:rPr>
      </w:pPr>
      <w:r>
        <w:rPr>
          <w:rFonts w:hint="eastAsia" w:ascii="宋体" w:hAnsi="宋体" w:eastAsiaTheme="minorEastAsia" w:cstheme="minorBidi"/>
          <w:bCs/>
          <w:color w:val="000000" w:themeColor="text1"/>
          <w:sz w:val="24"/>
          <w:szCs w:val="24"/>
          <w:lang w:val="en-US" w:eastAsia="zh-CN" w:bidi="ar-SA"/>
        </w:rPr>
        <w:t>2.一旦我方中选，将与</w:t>
      </w:r>
      <w:r>
        <w:rPr>
          <w:rFonts w:hint="eastAsia" w:hAnsi="宋体" w:eastAsiaTheme="minorEastAsia" w:cstheme="minorBidi"/>
          <w:bCs/>
          <w:color w:val="000000" w:themeColor="text1"/>
          <w:sz w:val="24"/>
          <w:szCs w:val="24"/>
          <w:lang w:val="en-US" w:eastAsia="zh-CN" w:bidi="ar-SA"/>
        </w:rPr>
        <w:t>甲方</w:t>
      </w:r>
      <w:r>
        <w:rPr>
          <w:rFonts w:hint="eastAsia" w:ascii="宋体" w:hAnsi="宋体" w:eastAsiaTheme="minorEastAsia" w:cstheme="minorBidi"/>
          <w:bCs/>
          <w:color w:val="000000" w:themeColor="text1"/>
          <w:sz w:val="24"/>
          <w:szCs w:val="24"/>
          <w:lang w:val="en-US" w:eastAsia="zh-CN" w:bidi="ar-SA"/>
        </w:rPr>
        <w:t>单位友好合作，依约履行合同，自觉接受</w:t>
      </w:r>
      <w:r>
        <w:rPr>
          <w:rFonts w:hint="eastAsia" w:hAnsi="宋体" w:eastAsiaTheme="minorEastAsia" w:cstheme="minorBidi"/>
          <w:bCs/>
          <w:color w:val="000000" w:themeColor="text1"/>
          <w:sz w:val="24"/>
          <w:szCs w:val="24"/>
          <w:lang w:val="en-US" w:eastAsia="zh-CN" w:bidi="ar-SA"/>
        </w:rPr>
        <w:t>甲方</w:t>
      </w:r>
      <w:r>
        <w:rPr>
          <w:rFonts w:hint="eastAsia" w:ascii="宋体" w:hAnsi="宋体" w:eastAsiaTheme="minorEastAsia" w:cstheme="minorBidi"/>
          <w:bCs/>
          <w:color w:val="000000" w:themeColor="text1"/>
          <w:sz w:val="24"/>
          <w:szCs w:val="24"/>
          <w:lang w:val="en-US" w:eastAsia="zh-CN" w:bidi="ar-SA"/>
        </w:rPr>
        <w:t>单位的日常监管和履约评价，提供优质、高效服务。</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3.</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2"/>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3720" w:firstLineChars="15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3720" w:firstLineChars="15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3720" w:firstLineChars="1550"/>
        <w:rPr>
          <w:rFonts w:eastAsiaTheme="minorEastAsia" w:cstheme="minorBidi"/>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p/>
    <w:p>
      <w:pPr>
        <w:bidi w:val="0"/>
        <w:rPr>
          <w:rFonts w:ascii="Times New Roman" w:hAnsi="Times New Roman" w:eastAsia="宋体" w:cs="Times New Roman"/>
          <w:kern w:val="2"/>
          <w:sz w:val="21"/>
          <w:szCs w:val="22"/>
          <w:lang w:val="en-US" w:eastAsia="zh-CN" w:bidi="ar-SA"/>
        </w:rPr>
      </w:pPr>
    </w:p>
    <w:tbl>
      <w:tblPr>
        <w:tblStyle w:val="39"/>
        <w:tblpPr w:leftFromText="180" w:rightFromText="180" w:vertAnchor="page" w:horzAnchor="page" w:tblpX="1383" w:tblpY="4064"/>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828"/>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eastAsia="宋体" w:cs="宋体"/>
                <w:b/>
                <w:bCs/>
                <w:snapToGrid w:val="0"/>
                <w:szCs w:val="21"/>
                <w:lang w:eastAsia="zh-CN"/>
              </w:rPr>
              <w:t>内容及规模</w:t>
            </w:r>
          </w:p>
        </w:tc>
        <w:tc>
          <w:tcPr>
            <w:tcW w:w="57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napToGrid w:val="0"/>
                <w:szCs w:val="21"/>
                <w:lang w:eastAsia="zh-CN"/>
              </w:rPr>
            </w:pPr>
            <w:r>
              <w:rPr>
                <w:rFonts w:hint="eastAsia" w:ascii="宋体" w:hAnsi="宋体" w:eastAsia="宋体" w:cs="宋体"/>
                <w:b/>
                <w:bCs/>
                <w:snapToGrid w:val="0"/>
                <w:szCs w:val="21"/>
                <w:lang w:eastAsia="zh-CN"/>
              </w:rPr>
              <w:t>竣工时间</w:t>
            </w:r>
          </w:p>
        </w:tc>
        <w:tc>
          <w:tcPr>
            <w:tcW w:w="39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bl>
    <w:p>
      <w:pPr>
        <w:bidi w:val="0"/>
        <w:ind w:firstLine="519" w:firstLineChars="0"/>
        <w:jc w:val="left"/>
        <w:rPr>
          <w:b/>
          <w:bCs/>
          <w:u w:val="single"/>
          <w:lang w:val="en-US" w:eastAsia="zh-CN"/>
        </w:rPr>
      </w:pPr>
      <w:r>
        <w:rPr>
          <w:rFonts w:hint="eastAsia"/>
          <w:b/>
          <w:bCs/>
          <w:u w:val="single"/>
          <w:lang w:val="en-US" w:eastAsia="zh-CN"/>
        </w:rPr>
        <w:t>注：如有其他信息，可扩展表格。</w:t>
      </w:r>
    </w:p>
    <w:p>
      <w:pPr>
        <w:spacing w:after="160" w:line="259" w:lineRule="auto"/>
        <w:rPr>
          <w:b/>
          <w:bCs/>
          <w:color w:val="000000" w:themeColor="text1"/>
        </w:rPr>
      </w:pPr>
    </w:p>
    <w:p>
      <w:pPr>
        <w:spacing w:after="160" w:line="360" w:lineRule="auto"/>
        <w:outlineLvl w:val="2"/>
        <w:rPr>
          <w:rFonts w:hint="eastAsia"/>
          <w:b/>
          <w:bCs w:val="0"/>
          <w:color w:val="000000" w:themeColor="text1"/>
        </w:rPr>
      </w:pPr>
      <w:bookmarkStart w:id="1" w:name="定性评审法"/>
    </w:p>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lang w:eastAsia="zh-CN"/>
              </w:rPr>
              <w:t>资格</w:t>
            </w: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 w:val="24"/>
          <w:szCs w:val="24"/>
        </w:rPr>
      </w:pPr>
      <w:r>
        <w:rPr>
          <w:rFonts w:hint="eastAsia"/>
          <w:b/>
          <w:bCs/>
          <w:color w:val="000000" w:themeColor="text1"/>
          <w:sz w:val="24"/>
          <w:szCs w:val="24"/>
          <w:u w:val="single"/>
          <w:lang w:eastAsia="zh-CN"/>
        </w:rPr>
        <w:t>注：以上职务不得兼任，如有其他相关信息，可扩展表格。</w:t>
      </w:r>
    </w:p>
    <w:bookmarkEnd w:id="1"/>
    <w:p>
      <w:pPr>
        <w:pStyle w:val="20"/>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5"/>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8A5F1"/>
    <w:multiLevelType w:val="singleLevel"/>
    <w:tmpl w:val="9338A5F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7A35568"/>
    <w:rsid w:val="21C80684"/>
    <w:rsid w:val="273F0FBB"/>
    <w:rsid w:val="27E233C2"/>
    <w:rsid w:val="33624D6F"/>
    <w:rsid w:val="34B552CE"/>
    <w:rsid w:val="36D94B9B"/>
    <w:rsid w:val="3D0419C3"/>
    <w:rsid w:val="3DB13E3B"/>
    <w:rsid w:val="41AD23FA"/>
    <w:rsid w:val="4F3C5F21"/>
    <w:rsid w:val="4F413665"/>
    <w:rsid w:val="4F7C5A5A"/>
    <w:rsid w:val="502D7210"/>
    <w:rsid w:val="54264F59"/>
    <w:rsid w:val="54CB47FE"/>
    <w:rsid w:val="550F51D5"/>
    <w:rsid w:val="57D57B6A"/>
    <w:rsid w:val="5CC0594C"/>
    <w:rsid w:val="6B3510E1"/>
    <w:rsid w:val="6BAB09F8"/>
    <w:rsid w:val="6EF62979"/>
    <w:rsid w:val="6FBA6155"/>
    <w:rsid w:val="70CD1BFC"/>
    <w:rsid w:val="74EA7F3B"/>
    <w:rsid w:val="755C498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5">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6">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10">
    <w:name w:val="heading 7"/>
    <w:basedOn w:val="1"/>
    <w:next w:val="1"/>
    <w:link w:val="53"/>
    <w:qFormat/>
    <w:uiPriority w:val="0"/>
    <w:pPr>
      <w:keepNext/>
      <w:keepLines/>
      <w:spacing w:before="240" w:after="64" w:line="320" w:lineRule="auto"/>
      <w:outlineLvl w:val="6"/>
    </w:pPr>
    <w:rPr>
      <w:b/>
      <w:bCs/>
      <w:lang w:val="zh-CN"/>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2">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2"/>
    <w:semiHidden/>
    <w:unhideWhenUsed/>
    <w:qFormat/>
    <w:uiPriority w:val="99"/>
    <w:pPr>
      <w:spacing w:after="120" w:line="240" w:lineRule="auto"/>
      <w:ind w:left="420" w:leftChars="200" w:firstLine="420" w:firstLineChars="200"/>
    </w:pPr>
    <w:rPr>
      <w:szCs w:val="24"/>
    </w:rPr>
  </w:style>
  <w:style w:type="paragraph" w:styleId="3">
    <w:name w:val="Body Text Indent"/>
    <w:basedOn w:val="1"/>
    <w:link w:val="70"/>
    <w:qFormat/>
    <w:uiPriority w:val="0"/>
    <w:pPr>
      <w:spacing w:line="360" w:lineRule="auto"/>
      <w:ind w:firstLine="630"/>
    </w:pPr>
    <w:rPr>
      <w:szCs w:val="20"/>
    </w:rPr>
  </w:style>
  <w:style w:type="paragraph" w:styleId="13">
    <w:name w:val="toc 7"/>
    <w:basedOn w:val="1"/>
    <w:next w:val="1"/>
    <w:qFormat/>
    <w:uiPriority w:val="39"/>
    <w:pPr>
      <w:ind w:left="1440"/>
    </w:pPr>
    <w:rPr>
      <w:sz w:val="18"/>
      <w:szCs w:val="18"/>
    </w:rPr>
  </w:style>
  <w:style w:type="paragraph" w:styleId="14">
    <w:name w:val="Normal Indent"/>
    <w:basedOn w:val="1"/>
    <w:qFormat/>
    <w:uiPriority w:val="0"/>
    <w:pPr>
      <w:ind w:firstLine="420"/>
    </w:pPr>
    <w:rPr>
      <w:szCs w:val="20"/>
    </w:rPr>
  </w:style>
  <w:style w:type="paragraph" w:styleId="15">
    <w:name w:val="Document Map"/>
    <w:basedOn w:val="1"/>
    <w:link w:val="59"/>
    <w:qFormat/>
    <w:uiPriority w:val="0"/>
    <w:pPr>
      <w:shd w:val="clear" w:color="auto" w:fill="000080"/>
    </w:pPr>
    <w:rPr>
      <w:rFonts w:eastAsiaTheme="minorEastAsia" w:cstheme="minorBidi"/>
    </w:rPr>
  </w:style>
  <w:style w:type="paragraph" w:styleId="16">
    <w:name w:val="annotation text"/>
    <w:basedOn w:val="1"/>
    <w:link w:val="56"/>
    <w:qFormat/>
    <w:uiPriority w:val="0"/>
    <w:rPr>
      <w:rFonts w:eastAsiaTheme="minorEastAsia" w:cstheme="minorBidi"/>
    </w:rPr>
  </w:style>
  <w:style w:type="paragraph" w:styleId="17">
    <w:name w:val="Body Text"/>
    <w:basedOn w:val="1"/>
    <w:link w:val="68"/>
    <w:qFormat/>
    <w:uiPriority w:val="0"/>
    <w:pPr>
      <w:spacing w:line="320" w:lineRule="exact"/>
    </w:pPr>
    <w:rPr>
      <w:b/>
      <w:bCs/>
    </w:rPr>
  </w:style>
  <w:style w:type="paragraph" w:styleId="18">
    <w:name w:val="toc 5"/>
    <w:basedOn w:val="1"/>
    <w:next w:val="1"/>
    <w:qFormat/>
    <w:uiPriority w:val="39"/>
    <w:pPr>
      <w:ind w:left="960"/>
    </w:pPr>
    <w:rPr>
      <w:sz w:val="18"/>
      <w:szCs w:val="18"/>
    </w:rPr>
  </w:style>
  <w:style w:type="paragraph" w:styleId="19">
    <w:name w:val="toc 3"/>
    <w:basedOn w:val="1"/>
    <w:next w:val="1"/>
    <w:qFormat/>
    <w:uiPriority w:val="39"/>
    <w:pPr>
      <w:ind w:left="480"/>
    </w:pPr>
    <w:rPr>
      <w:i/>
      <w:iCs/>
      <w:sz w:val="20"/>
      <w:szCs w:val="20"/>
    </w:rPr>
  </w:style>
  <w:style w:type="paragraph" w:styleId="20">
    <w:name w:val="Plain Text"/>
    <w:basedOn w:val="1"/>
    <w:link w:val="67"/>
    <w:qFormat/>
    <w:uiPriority w:val="0"/>
    <w:rPr>
      <w:rFonts w:hAnsi="Courier New" w:cs="Courier New"/>
      <w:szCs w:val="21"/>
    </w:rPr>
  </w:style>
  <w:style w:type="paragraph" w:styleId="21">
    <w:name w:val="toc 8"/>
    <w:basedOn w:val="1"/>
    <w:next w:val="1"/>
    <w:qFormat/>
    <w:uiPriority w:val="39"/>
    <w:pPr>
      <w:ind w:left="1680"/>
    </w:pPr>
    <w:rPr>
      <w:sz w:val="18"/>
      <w:szCs w:val="18"/>
    </w:rPr>
  </w:style>
  <w:style w:type="paragraph" w:styleId="22">
    <w:name w:val="Date"/>
    <w:basedOn w:val="1"/>
    <w:next w:val="1"/>
    <w:link w:val="73"/>
    <w:qFormat/>
    <w:uiPriority w:val="0"/>
    <w:pPr>
      <w:ind w:left="100" w:leftChars="2500"/>
    </w:pPr>
    <w:rPr>
      <w:rFonts w:asciiTheme="minorHAnsi" w:hAnsiTheme="minorHAnsi" w:eastAsiaTheme="minorEastAsia" w:cstheme="minorBidi"/>
    </w:rPr>
  </w:style>
  <w:style w:type="paragraph" w:styleId="23">
    <w:name w:val="Body Text Indent 2"/>
    <w:basedOn w:val="1"/>
    <w:link w:val="69"/>
    <w:qFormat/>
    <w:uiPriority w:val="0"/>
    <w:pPr>
      <w:ind w:firstLine="640" w:firstLineChars="200"/>
    </w:pPr>
    <w:rPr>
      <w:rFonts w:eastAsia="仿宋_GB2312"/>
      <w:sz w:val="32"/>
    </w:rPr>
  </w:style>
  <w:style w:type="paragraph" w:styleId="24">
    <w:name w:val="Balloon Text"/>
    <w:basedOn w:val="1"/>
    <w:link w:val="58"/>
    <w:qFormat/>
    <w:uiPriority w:val="0"/>
    <w:rPr>
      <w:sz w:val="18"/>
      <w:szCs w:val="18"/>
      <w:lang w:val="zh-CN"/>
    </w:rPr>
  </w:style>
  <w:style w:type="paragraph" w:styleId="25">
    <w:name w:val="footer"/>
    <w:basedOn w:val="1"/>
    <w:link w:val="65"/>
    <w:unhideWhenUsed/>
    <w:qFormat/>
    <w:uiPriority w:val="99"/>
    <w:pPr>
      <w:tabs>
        <w:tab w:val="center" w:pos="4153"/>
        <w:tab w:val="right" w:pos="8306"/>
      </w:tabs>
      <w:snapToGrid w:val="0"/>
    </w:pPr>
    <w:rPr>
      <w:sz w:val="18"/>
      <w:szCs w:val="18"/>
    </w:rPr>
  </w:style>
  <w:style w:type="paragraph" w:styleId="26">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pPr>
    <w:rPr>
      <w:b/>
      <w:bCs/>
      <w:caps/>
      <w:sz w:val="20"/>
      <w:szCs w:val="20"/>
    </w:rPr>
  </w:style>
  <w:style w:type="paragraph" w:styleId="28">
    <w:name w:val="toc 4"/>
    <w:basedOn w:val="1"/>
    <w:next w:val="1"/>
    <w:qFormat/>
    <w:uiPriority w:val="39"/>
    <w:pPr>
      <w:ind w:left="720"/>
    </w:pPr>
    <w:rPr>
      <w:sz w:val="18"/>
      <w:szCs w:val="18"/>
    </w:rPr>
  </w:style>
  <w:style w:type="paragraph" w:styleId="29">
    <w:name w:val="toc 6"/>
    <w:basedOn w:val="1"/>
    <w:next w:val="1"/>
    <w:qFormat/>
    <w:uiPriority w:val="39"/>
    <w:pPr>
      <w:ind w:left="1200"/>
    </w:pPr>
    <w:rPr>
      <w:sz w:val="18"/>
      <w:szCs w:val="18"/>
    </w:rPr>
  </w:style>
  <w:style w:type="paragraph" w:styleId="30">
    <w:name w:val="List 5"/>
    <w:basedOn w:val="1"/>
    <w:qFormat/>
    <w:uiPriority w:val="0"/>
    <w:pPr>
      <w:ind w:left="2100" w:hanging="420"/>
    </w:pPr>
    <w:rPr>
      <w:szCs w:val="20"/>
    </w:rPr>
  </w:style>
  <w:style w:type="paragraph" w:styleId="31">
    <w:name w:val="Body Text Indent 3"/>
    <w:basedOn w:val="1"/>
    <w:link w:val="71"/>
    <w:qFormat/>
    <w:uiPriority w:val="0"/>
    <w:pPr>
      <w:spacing w:line="400" w:lineRule="exact"/>
      <w:ind w:firstLine="630"/>
    </w:pPr>
  </w:style>
  <w:style w:type="paragraph" w:styleId="32">
    <w:name w:val="toc 2"/>
    <w:basedOn w:val="1"/>
    <w:next w:val="1"/>
    <w:qFormat/>
    <w:uiPriority w:val="39"/>
    <w:pPr>
      <w:ind w:left="240"/>
    </w:pPr>
    <w:rPr>
      <w:smallCaps/>
      <w:sz w:val="20"/>
      <w:szCs w:val="20"/>
    </w:rPr>
  </w:style>
  <w:style w:type="paragraph" w:styleId="33">
    <w:name w:val="toc 9"/>
    <w:basedOn w:val="1"/>
    <w:next w:val="1"/>
    <w:qFormat/>
    <w:uiPriority w:val="39"/>
    <w:pPr>
      <w:ind w:left="1920"/>
    </w:pPr>
    <w:rPr>
      <w:sz w:val="18"/>
      <w:szCs w:val="18"/>
    </w:rPr>
  </w:style>
  <w:style w:type="paragraph" w:styleId="34">
    <w:name w:val="Body Text 2"/>
    <w:basedOn w:val="1"/>
    <w:link w:val="72"/>
    <w:qFormat/>
    <w:uiPriority w:val="0"/>
    <w:rPr>
      <w:rFonts w:ascii="楷体_GB2312" w:eastAsia="楷体_GB2312"/>
      <w:color w:val="000000"/>
      <w:szCs w:val="21"/>
    </w:rPr>
  </w:style>
  <w:style w:type="paragraph" w:styleId="35">
    <w:name w:val="Normal (Web)"/>
    <w:basedOn w:val="1"/>
    <w:unhideWhenUsed/>
    <w:qFormat/>
    <w:uiPriority w:val="0"/>
    <w:pPr>
      <w:spacing w:before="100" w:beforeAutospacing="1" w:after="100" w:afterAutospacing="1"/>
    </w:pPr>
  </w:style>
  <w:style w:type="paragraph" w:styleId="36">
    <w:name w:val="index 1"/>
    <w:basedOn w:val="1"/>
    <w:next w:val="1"/>
    <w:qFormat/>
    <w:uiPriority w:val="0"/>
    <w:pPr>
      <w:spacing w:line="360" w:lineRule="auto"/>
    </w:pPr>
    <w:rPr>
      <w:b/>
      <w:color w:val="0000FF"/>
    </w:rPr>
  </w:style>
  <w:style w:type="paragraph" w:styleId="37">
    <w:name w:val="Title"/>
    <w:basedOn w:val="1"/>
    <w:next w:val="1"/>
    <w:link w:val="80"/>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63"/>
    <w:unhideWhenUsed/>
    <w:qFormat/>
    <w:uiPriority w:val="0"/>
    <w:rPr>
      <w:b/>
      <w:bCs/>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4"/>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5"/>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6"/>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7"/>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8"/>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9"/>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10"/>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1"/>
    <w:qFormat/>
    <w:uiPriority w:val="0"/>
    <w:rPr>
      <w:rFonts w:ascii="Arial" w:hAnsi="Arial" w:eastAsia="黑体" w:cs="Times New Roman"/>
      <w:kern w:val="0"/>
      <w:sz w:val="24"/>
      <w:szCs w:val="24"/>
      <w:lang w:val="zh-CN" w:eastAsia="zh-CN"/>
    </w:rPr>
  </w:style>
  <w:style w:type="character" w:customStyle="1" w:styleId="55">
    <w:name w:val="标题 9 Char"/>
    <w:basedOn w:val="41"/>
    <w:link w:val="12"/>
    <w:qFormat/>
    <w:uiPriority w:val="0"/>
    <w:rPr>
      <w:rFonts w:ascii="Arial" w:hAnsi="Arial" w:eastAsia="黑体" w:cs="Times New Roman"/>
      <w:kern w:val="0"/>
      <w:szCs w:val="21"/>
      <w:lang w:val="zh-CN" w:eastAsia="zh-CN"/>
    </w:rPr>
  </w:style>
  <w:style w:type="character" w:customStyle="1" w:styleId="56">
    <w:name w:val="批注文字 Char"/>
    <w:link w:val="16"/>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4"/>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5"/>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6"/>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8"/>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5"/>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20"/>
    <w:qFormat/>
    <w:uiPriority w:val="0"/>
    <w:rPr>
      <w:rFonts w:ascii="宋体" w:hAnsi="Courier New" w:eastAsia="宋体" w:cs="Courier New"/>
      <w:szCs w:val="21"/>
    </w:rPr>
  </w:style>
  <w:style w:type="character" w:customStyle="1" w:styleId="68">
    <w:name w:val="正文文本 Char"/>
    <w:basedOn w:val="41"/>
    <w:link w:val="17"/>
    <w:qFormat/>
    <w:uiPriority w:val="0"/>
    <w:rPr>
      <w:rFonts w:ascii="Times New Roman" w:hAnsi="Times New Roman" w:eastAsia="宋体" w:cs="Times New Roman"/>
      <w:b/>
      <w:bCs/>
      <w:szCs w:val="24"/>
    </w:rPr>
  </w:style>
  <w:style w:type="character" w:customStyle="1" w:styleId="69">
    <w:name w:val="正文文本缩进 2 Char"/>
    <w:basedOn w:val="41"/>
    <w:link w:val="23"/>
    <w:qFormat/>
    <w:uiPriority w:val="0"/>
    <w:rPr>
      <w:rFonts w:ascii="Times New Roman" w:hAnsi="Times New Roman" w:eastAsia="仿宋_GB2312" w:cs="Times New Roman"/>
      <w:sz w:val="32"/>
      <w:szCs w:val="24"/>
    </w:rPr>
  </w:style>
  <w:style w:type="character" w:customStyle="1" w:styleId="70">
    <w:name w:val="正文文本缩进 Char"/>
    <w:basedOn w:val="41"/>
    <w:link w:val="3"/>
    <w:qFormat/>
    <w:uiPriority w:val="0"/>
    <w:rPr>
      <w:rFonts w:ascii="宋体" w:hAnsi="宋体" w:eastAsia="宋体" w:cs="Times New Roman"/>
      <w:sz w:val="24"/>
      <w:szCs w:val="20"/>
    </w:rPr>
  </w:style>
  <w:style w:type="character" w:customStyle="1" w:styleId="71">
    <w:name w:val="正文文本缩进 3 Char"/>
    <w:basedOn w:val="41"/>
    <w:link w:val="31"/>
    <w:qFormat/>
    <w:uiPriority w:val="0"/>
    <w:rPr>
      <w:rFonts w:ascii="宋体" w:hAnsi="宋体" w:eastAsia="宋体" w:cs="Times New Roman"/>
      <w:szCs w:val="24"/>
    </w:rPr>
  </w:style>
  <w:style w:type="character" w:customStyle="1" w:styleId="72">
    <w:name w:val="正文文本 2 Char"/>
    <w:basedOn w:val="41"/>
    <w:link w:val="34"/>
    <w:qFormat/>
    <w:uiPriority w:val="0"/>
    <w:rPr>
      <w:rFonts w:ascii="楷体_GB2312" w:hAnsi="宋体" w:eastAsia="楷体_GB2312" w:cs="Times New Roman"/>
      <w:color w:val="000000"/>
      <w:kern w:val="0"/>
      <w:szCs w:val="21"/>
    </w:rPr>
  </w:style>
  <w:style w:type="character" w:customStyle="1" w:styleId="73">
    <w:name w:val="日期 Char"/>
    <w:link w:val="22"/>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7"/>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2"/>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1</TotalTime>
  <ScaleCrop>false</ScaleCrop>
  <LinksUpToDate>false</LinksUpToDate>
  <CharactersWithSpaces>6388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林亚芹</cp:lastModifiedBy>
  <cp:lastPrinted>2021-10-22T01:12:00Z</cp:lastPrinted>
  <dcterms:modified xsi:type="dcterms:W3CDTF">2022-02-23T07:46:40Z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33BAAACB1D7D47099C4B72A8251CD810</vt:lpwstr>
  </property>
</Properties>
</file>