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beforeLines="50" w:line="560" w:lineRule="exact"/>
        <w:rPr>
          <w:rFonts w:hint="default" w:ascii="仿宋" w:hAnsi="仿宋" w:eastAsia="仿宋"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tbl>
      <w:tblPr>
        <w:tblStyle w:val="7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87" w:type="dxa"/>
            <w:vMerge w:val="restart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1.营业执照复印件；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sz w:val="24"/>
              </w:rPr>
              <w:t>资质证书复印件；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拟派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总监</w:t>
            </w:r>
            <w:r>
              <w:rPr>
                <w:rFonts w:hint="eastAsia" w:ascii="宋体" w:hAnsi="宋体" w:cs="宋体"/>
                <w:sz w:val="24"/>
              </w:rPr>
              <w:t>相关执业资格证、职称证书等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.法定代表人证明书及身份证复印件；</w:t>
            </w:r>
          </w:p>
          <w:p>
            <w:pPr>
              <w:widowControl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</w:trPr>
        <w:tc>
          <w:tcPr>
            <w:tcW w:w="887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投标人同类工程业绩情况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cs="宋体"/>
                <w:sz w:val="24"/>
              </w:rPr>
              <w:t>提供近</w:t>
            </w:r>
            <w:r>
              <w:rPr>
                <w:rFonts w:hint="eastAsia" w:ascii="宋体" w:hAnsi="宋体" w:cs="宋体"/>
                <w:sz w:val="24"/>
              </w:rPr>
              <w:t>五</w:t>
            </w:r>
            <w:r>
              <w:rPr>
                <w:rFonts w:ascii="宋体" w:hAnsi="宋体" w:cs="宋体"/>
                <w:sz w:val="24"/>
              </w:rPr>
              <w:t>年（自招标公告发布之日起倒推）投标人承接过的最具代表性的同类工程（</w:t>
            </w:r>
            <w:r>
              <w:rPr>
                <w:rFonts w:hint="eastAsia" w:ascii="宋体" w:hAnsi="宋体" w:cs="宋体"/>
                <w:sz w:val="24"/>
              </w:rPr>
              <w:t>装饰装修</w:t>
            </w:r>
            <w:r>
              <w:rPr>
                <w:rFonts w:ascii="宋体" w:hAnsi="宋体" w:cs="宋体"/>
                <w:sz w:val="24"/>
              </w:rPr>
              <w:t>工程）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监理</w:t>
            </w:r>
            <w:r>
              <w:rPr>
                <w:rFonts w:ascii="宋体" w:hAnsi="宋体" w:cs="宋体"/>
                <w:sz w:val="24"/>
              </w:rPr>
              <w:t>业绩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①业绩有效时间以合同签订时间为准，业绩证明资料可提供中标通知书（若有）、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监理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合同等证明资料关键页原件扫描件（关键页应扫描清晰，体现工程名称、工程内容、合同签订时间、合同额、签字盖章等）。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投标人自行编制企业业绩情况一览表，对业绩信息进行罗列汇总，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格式见附件2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。工程业绩指标（同类工程对应的合同额）大于本招标项目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投标上限价二分之一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以上的为符合本工程择优业绩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至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提供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</w:rPr>
              <w:t>投标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 w:cs="仿宋"/>
                <w:sz w:val="24"/>
              </w:rPr>
              <w:t>函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格式见附件1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p>
      <w:pPr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pStyle w:val="4"/>
        <w:spacing w:line="360" w:lineRule="auto"/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投标报价函</w:t>
      </w:r>
    </w:p>
    <w:p>
      <w:pPr>
        <w:pStyle w:val="4"/>
        <w:spacing w:line="336" w:lineRule="auto"/>
        <w:rPr>
          <w:rFonts w:hint="eastAsia" w:hAnsi="宋体"/>
          <w:bCs/>
          <w:sz w:val="24"/>
          <w:szCs w:val="24"/>
        </w:rPr>
      </w:pP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eastAsia="zh-CN"/>
        </w:rPr>
        <w:t>招标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 w:cs="Times New Roman"/>
          <w:sz w:val="24"/>
          <w:szCs w:val="24"/>
          <w:u w:val="single"/>
        </w:rPr>
        <w:t>深圳市龙华保安服务有限公司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 w:cs="Times New Roman"/>
          <w:b/>
          <w:sz w:val="24"/>
          <w:u w:val="single"/>
          <w:lang w:eastAsia="zh-CN"/>
        </w:rPr>
        <w:t>龙保职业技术培训基地装修</w:t>
      </w:r>
      <w:r>
        <w:rPr>
          <w:rFonts w:hint="eastAsia" w:ascii="Times New Roman" w:hAnsi="宋体" w:cs="Times New Roman"/>
          <w:b/>
          <w:sz w:val="24"/>
          <w:u w:val="single"/>
        </w:rPr>
        <w:t>项目</w:t>
      </w:r>
      <w:r>
        <w:rPr>
          <w:rFonts w:hint="eastAsia" w:ascii="Times New Roman" w:hAnsi="宋体"/>
          <w:b/>
          <w:sz w:val="24"/>
          <w:u w:val="single"/>
          <w:lang w:eastAsia="zh-CN"/>
        </w:rPr>
        <w:t>（监理）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4"/>
        <w:spacing w:line="336" w:lineRule="auto"/>
        <w:ind w:firstLine="482" w:firstLineChars="200"/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根据企业自身情况，理性报价，不会以低于成本的报价竞争，并愿以总价</w:t>
      </w: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Calibri" w:hAnsi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Calibri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万元，按招标人要求承包本项目工作。结算时按遴选公告原则办理结算</w:t>
      </w:r>
      <w:r>
        <w:rPr>
          <w:rFonts w:hint="eastAsia" w:ascii="Calibri" w:hAnsi="宋体" w:cs="Times New Roman"/>
          <w:b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Calibri" w:hAnsi="宋体"/>
          <w:b/>
          <w:sz w:val="24"/>
          <w:szCs w:val="24"/>
        </w:rPr>
        <w:t>如果实际结算价超过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99</w:t>
      </w:r>
      <w:r>
        <w:rPr>
          <w:rFonts w:hint="eastAsia" w:ascii="Calibri" w:hAnsi="宋体"/>
          <w:b/>
          <w:sz w:val="24"/>
          <w:szCs w:val="24"/>
        </w:rPr>
        <w:t>万元，愿以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99</w:t>
      </w:r>
      <w:r>
        <w:rPr>
          <w:rFonts w:hint="eastAsia" w:ascii="Calibri" w:hAnsi="宋体"/>
          <w:b/>
          <w:sz w:val="24"/>
          <w:szCs w:val="24"/>
        </w:rPr>
        <w:t>万元办理结算，不要求招标人支付超出部分。</w:t>
      </w:r>
    </w:p>
    <w:p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宋体"/>
          <w:bCs/>
          <w:sz w:val="24"/>
          <w:szCs w:val="24"/>
          <w:lang w:val="en-US" w:eastAsia="zh-CN"/>
        </w:rPr>
      </w:pPr>
      <w:r>
        <w:rPr>
          <w:rFonts w:hint="eastAsia" w:ascii="Calibri" w:hAnsi="宋体"/>
          <w:bCs/>
          <w:sz w:val="24"/>
          <w:szCs w:val="24"/>
          <w:lang w:val="en-US" w:eastAsia="zh-CN"/>
        </w:rPr>
        <w:t>本项目建安工程费暂定为1765.9329 万元，根据发改价格[2007]670号《建设工程监理与相关服务收费管理规定》计算（以建安费为计算基数，本项目为建筑工程、复杂程度为I级、建设地点海拔高程低于2000米，故各调整系数设置为：专业调整系数1.0；复杂调整系数1.0；高程调整系数1.0）计取施工阶段监理费。</w:t>
      </w: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Calibri" w:hAnsi="宋体" w:eastAsia="宋体"/>
          <w:bCs/>
          <w:sz w:val="24"/>
          <w:szCs w:val="24"/>
          <w:u w:val="single"/>
          <w:lang w:val="en-US" w:eastAsia="zh-CN"/>
        </w:rPr>
      </w:pPr>
      <w:r>
        <w:rPr>
          <w:rFonts w:hint="eastAsia" w:ascii="Calibri" w:hAnsi="宋体"/>
          <w:bCs/>
          <w:sz w:val="24"/>
          <w:szCs w:val="24"/>
          <w:lang w:val="en-US" w:eastAsia="zh-CN"/>
        </w:rPr>
        <w:t>{[</w:t>
      </w:r>
      <w:r>
        <w:rPr>
          <w:rFonts w:hint="eastAsia" w:ascii="Calibri" w:hAnsi="宋体" w:cs="Times New Roman"/>
          <w:bCs/>
          <w:sz w:val="24"/>
          <w:szCs w:val="24"/>
          <w:lang w:val="en-US" w:eastAsia="zh-CN"/>
        </w:rPr>
        <w:t>30.1+</w:t>
      </w:r>
      <w:r>
        <w:rPr>
          <w:rFonts w:hint="eastAsia" w:ascii="Calibri" w:hAnsi="宋体"/>
          <w:bCs/>
          <w:sz w:val="24"/>
          <w:szCs w:val="24"/>
          <w:lang w:val="en-US" w:eastAsia="zh-CN"/>
        </w:rPr>
        <w:t>(</w:t>
      </w:r>
      <w:r>
        <w:rPr>
          <w:rFonts w:hint="eastAsia" w:ascii="Calibri" w:hAnsi="宋体" w:cs="Times New Roman"/>
          <w:bCs/>
          <w:sz w:val="24"/>
          <w:szCs w:val="24"/>
          <w:lang w:val="en-US" w:eastAsia="zh-CN"/>
        </w:rPr>
        <w:t>1765.9329-1000</w:t>
      </w:r>
      <w:r>
        <w:rPr>
          <w:rFonts w:hint="eastAsia" w:ascii="Calibri" w:hAnsi="宋体"/>
          <w:bCs/>
          <w:sz w:val="24"/>
          <w:szCs w:val="24"/>
          <w:lang w:val="en-US" w:eastAsia="zh-CN"/>
        </w:rPr>
        <w:t>)</w:t>
      </w:r>
      <w:r>
        <w:rPr>
          <w:rFonts w:hint="eastAsia" w:ascii="Calibri" w:hAnsi="宋体" w:cs="Times New Roman"/>
          <w:bCs/>
          <w:sz w:val="24"/>
          <w:szCs w:val="24"/>
          <w:lang w:val="en-US" w:eastAsia="zh-CN"/>
        </w:rPr>
        <w:t>/</w:t>
      </w:r>
      <w:r>
        <w:rPr>
          <w:rFonts w:hint="eastAsia" w:ascii="Calibri" w:hAnsi="宋体"/>
          <w:bCs/>
          <w:sz w:val="24"/>
          <w:szCs w:val="24"/>
          <w:lang w:val="en-US" w:eastAsia="zh-CN"/>
        </w:rPr>
        <w:t>(</w:t>
      </w:r>
      <w:r>
        <w:rPr>
          <w:rFonts w:hint="eastAsia" w:ascii="Calibri" w:hAnsi="宋体" w:cs="Times New Roman"/>
          <w:bCs/>
          <w:sz w:val="24"/>
          <w:szCs w:val="24"/>
          <w:lang w:val="en-US" w:eastAsia="zh-CN"/>
        </w:rPr>
        <w:t>3000-1000</w:t>
      </w:r>
      <w:r>
        <w:rPr>
          <w:rFonts w:hint="eastAsia" w:ascii="Calibri" w:hAnsi="宋体"/>
          <w:bCs/>
          <w:sz w:val="24"/>
          <w:szCs w:val="24"/>
          <w:lang w:val="en-US" w:eastAsia="zh-CN"/>
        </w:rPr>
        <w:t>)</w:t>
      </w:r>
      <w:r>
        <w:rPr>
          <w:rFonts w:hint="eastAsia" w:ascii="Calibri" w:hAnsi="宋体" w:cs="Times New Roman"/>
          <w:bCs/>
          <w:sz w:val="24"/>
          <w:szCs w:val="24"/>
          <w:lang w:val="en-US" w:eastAsia="zh-CN"/>
        </w:rPr>
        <w:t>*</w:t>
      </w:r>
      <w:r>
        <w:rPr>
          <w:rFonts w:hint="eastAsia" w:ascii="Calibri" w:hAnsi="宋体"/>
          <w:bCs/>
          <w:sz w:val="24"/>
          <w:szCs w:val="24"/>
          <w:lang w:val="en-US" w:eastAsia="zh-CN"/>
        </w:rPr>
        <w:t>(</w:t>
      </w:r>
      <w:r>
        <w:rPr>
          <w:rFonts w:hint="eastAsia" w:ascii="Calibri" w:hAnsi="宋体" w:cs="Times New Roman"/>
          <w:bCs/>
          <w:sz w:val="24"/>
          <w:szCs w:val="24"/>
          <w:lang w:val="en-US" w:eastAsia="zh-CN"/>
        </w:rPr>
        <w:t>78.1-30.1</w:t>
      </w:r>
      <w:r>
        <w:rPr>
          <w:rFonts w:hint="eastAsia" w:ascii="Calibri" w:hAnsi="宋体"/>
          <w:bCs/>
          <w:sz w:val="24"/>
          <w:szCs w:val="24"/>
          <w:lang w:val="en-US" w:eastAsia="zh-CN"/>
        </w:rPr>
        <w:t>)]*1*1*1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*(1-</w:t>
      </w:r>
      <w:r>
        <w:rPr>
          <w:rFonts w:hint="eastAsia" w:ascii="Calibri" w:hAnsi="宋体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%)</w:t>
      </w:r>
      <w:r>
        <w:rPr>
          <w:rFonts w:hint="eastAsia" w:ascii="Calibri" w:hAnsi="宋体"/>
          <w:bCs/>
          <w:sz w:val="24"/>
          <w:szCs w:val="24"/>
          <w:lang w:val="en-US" w:eastAsia="zh-CN"/>
        </w:rPr>
        <w:t>}</w:t>
      </w:r>
      <w:bookmarkStart w:id="0" w:name="_GoBack"/>
      <w:bookmarkEnd w:id="0"/>
      <w:r>
        <w:rPr>
          <w:rFonts w:hint="eastAsia" w:ascii="Calibri" w:hAnsi="宋体"/>
          <w:bCs/>
          <w:sz w:val="24"/>
          <w:szCs w:val="24"/>
          <w:lang w:val="en-US" w:eastAsia="zh-CN"/>
        </w:rPr>
        <w:t>*1.05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=</w:t>
      </w:r>
      <w:r>
        <w:rPr>
          <w:rFonts w:hint="eastAsia" w:ascii="Calibri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万元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:</w:t>
      </w:r>
    </w:p>
    <w:p>
      <w:pPr>
        <w:pStyle w:val="4"/>
        <w:spacing w:line="360" w:lineRule="auto"/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企业同类工程业绩一览表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63"/>
        <w:gridCol w:w="1846"/>
        <w:gridCol w:w="1520"/>
        <w:gridCol w:w="170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247" w:right="1417" w:bottom="113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234D9B"/>
    <w:rsid w:val="002B2226"/>
    <w:rsid w:val="00381C2C"/>
    <w:rsid w:val="005F608B"/>
    <w:rsid w:val="008334F0"/>
    <w:rsid w:val="033D40A2"/>
    <w:rsid w:val="04B43BDD"/>
    <w:rsid w:val="06713D11"/>
    <w:rsid w:val="085602CF"/>
    <w:rsid w:val="0C284F2A"/>
    <w:rsid w:val="0C3931D1"/>
    <w:rsid w:val="10523484"/>
    <w:rsid w:val="108247C5"/>
    <w:rsid w:val="112D0DA5"/>
    <w:rsid w:val="1371765B"/>
    <w:rsid w:val="15F6153C"/>
    <w:rsid w:val="1A691C34"/>
    <w:rsid w:val="1EA96AC1"/>
    <w:rsid w:val="26A5502D"/>
    <w:rsid w:val="27CB0ADF"/>
    <w:rsid w:val="2AE03FDF"/>
    <w:rsid w:val="2D1F092D"/>
    <w:rsid w:val="2E2438B2"/>
    <w:rsid w:val="2E3C660A"/>
    <w:rsid w:val="30C61F65"/>
    <w:rsid w:val="30DF4609"/>
    <w:rsid w:val="33B7709D"/>
    <w:rsid w:val="3E6B5124"/>
    <w:rsid w:val="45DE3E11"/>
    <w:rsid w:val="483F1C18"/>
    <w:rsid w:val="4F7B416C"/>
    <w:rsid w:val="50A33752"/>
    <w:rsid w:val="530D202C"/>
    <w:rsid w:val="56B27692"/>
    <w:rsid w:val="5959136B"/>
    <w:rsid w:val="5A7D436B"/>
    <w:rsid w:val="5CC25873"/>
    <w:rsid w:val="61211829"/>
    <w:rsid w:val="66F17FE9"/>
    <w:rsid w:val="68C916DA"/>
    <w:rsid w:val="73247E63"/>
    <w:rsid w:val="756245CC"/>
    <w:rsid w:val="75946BA1"/>
    <w:rsid w:val="764309FC"/>
    <w:rsid w:val="77750D95"/>
    <w:rsid w:val="79D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2021-06-09T08:59:00Z</dcterms:created>
  <dc:creator>廖蜀黍</dc:creator>
  <cp:lastModifiedBy>莎莎</cp:lastModifiedBy>
  <cp:lastPrinted>2021-07-05T07:24:00Z</cp:lastPrinted>
  <dcterms:modified xsi:type="dcterms:W3CDTF">2022-06-30T03:35:34Z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DB6C8523E28048C4A9A3604FE48005C2</vt:lpwstr>
  </property>
</Properties>
</file>