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adjustRightInd w:val="0"/>
        <w:snapToGrid w:val="0"/>
        <w:spacing w:line="560" w:lineRule="exact"/>
        <w:ind w:firstLine="2200" w:firstLineChars="500"/>
        <w:jc w:val="both"/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color w:val="auto"/>
          <w:sz w:val="44"/>
          <w:szCs w:val="44"/>
          <w:lang w:val="en-US" w:eastAsia="zh-CN"/>
        </w:rPr>
        <w:t>响应文件要求一览表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b w:val="0"/>
          <w:color w:val="auto"/>
          <w:sz w:val="44"/>
          <w:szCs w:val="44"/>
        </w:rPr>
      </w:pPr>
    </w:p>
    <w:tbl>
      <w:tblPr>
        <w:tblStyle w:val="8"/>
        <w:tblW w:w="9495" w:type="dxa"/>
        <w:tblInd w:w="-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00"/>
        <w:gridCol w:w="7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2"/>
                <w:sz w:val="24"/>
                <w:szCs w:val="24"/>
              </w:rPr>
              <w:t>项目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2"/>
                <w:sz w:val="24"/>
                <w:szCs w:val="24"/>
              </w:rPr>
              <w:t>内容摘要说明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项目名称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车辆设备涂装招标采购项目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项目概况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452"/>
                <w:tab w:val="left" w:pos="8820"/>
                <w:tab w:val="left" w:pos="9240"/>
              </w:tabs>
              <w:spacing w:line="579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深圳市龙华环境有限公司（以下简称环境公司）主要经营城市道路清扫、保洁、垃圾收集分类、运输、处理及固体废物的治理；绿地养护、污水处理、环境监测及治理等环卫业务。根据深圳市城市管理和综合执法局2022年11月1日下发《关于开展清洁能源生活垃圾转运车外观喷涂更新工作的通知》和2022年11月28日下发《关于清洁能源环卫作业车辆外观喷涂全面更新工作的通知》的文件精神，环境公司拟为符合文件要求的车辆进行喷涂，其中低压清洗车10辆、高压清洗车10辆、路面养护车12辆、洗扫车14辆、扫地车10辆、桶装运输车28辆、压缩车2辆，共计86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招标内容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1. 在深圳市龙华建设发展集团有限公司官网上挂网招标，根据车辆喷涂情况及车辆开展业务要求，确定1家满足条件的喷涂公司负责深圳市龙华环境有限公司86辆车辆进行喷涂更新项目。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2.招标完成后，与中标单位签订喷涂服务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/>
              </w:rPr>
              <w:t>合同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，2023年1月31号前完成50%，3月31号完成100%，中标人实际完成时间按合同要求履约。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4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计价方式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据实结算，但支付总价不高于合同价。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5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招标控制价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招标控制价为489100元。总价超出投标控制价将导致投标无效。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6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招标方式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idowControl/>
              <w:spacing w:line="15" w:lineRule="atLeas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公开招标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eastAsia="zh-CN"/>
              </w:rPr>
              <w:t>深圳市龙华建设发展集团有限公司采购平台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7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资格审查方式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 xml:space="preserve">投标报名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 xml:space="preserve">资格预审  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sym w:font="Wingdings 2" w:char="0052"/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资格后审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8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投标人资格要求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1.投标人必须为深圳市喷涂维修服务类合法注册公司，具有独立法人；需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《营业执照》复印件、《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维修资质证明文件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》复印件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等。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2.同一维修服务公司总公司只能有一家分支机构参与投标，且总公司不能与下属的分支机构同时参与投标。                                                                     3.本项目不接受联合体投标，不接受转包分包。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9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资格后审方式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pStyle w:val="6"/>
              <w:widowControl/>
              <w:spacing w:line="15" w:lineRule="atLeast"/>
              <w:rPr>
                <w:rFonts w:hint="eastAsia" w:ascii="仿宋_GB2312" w:hAnsi="仿宋_GB2312" w:eastAsia="仿宋_GB2312" w:cs="仿宋_GB2312"/>
                <w:b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 w:bidi="ar-SA"/>
              </w:rPr>
              <w:t>组建评审委员会对投标单位按照《资格审查表》和《符合性审查表》部分进行审查，评审委员会对投标单位打√为通过审查，打×为未通过审查。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10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评定标方式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评标方法为综合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120" w:firstLineChars="5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11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投标担保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12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履约担保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13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合同款支付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合同签订生效后，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按中国相关法律法规、公司车辆实际喷涂数量实际费用计费，按合同约定等进行支付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14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评标细则</w:t>
            </w:r>
          </w:p>
        </w:tc>
        <w:tc>
          <w:tcPr>
            <w:tcW w:w="7200" w:type="dxa"/>
            <w:tcBorders>
              <w:tl2br w:val="nil"/>
              <w:tr2bl w:val="nil"/>
            </w:tcBorders>
            <w:vAlign w:val="center"/>
          </w:tcPr>
          <w:p>
            <w:pPr>
              <w:spacing w:line="15" w:lineRule="atLeast"/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2"/>
                <w:sz w:val="24"/>
                <w:szCs w:val="24"/>
              </w:rPr>
              <w:t>详见下表（评分细则）</w:t>
            </w:r>
          </w:p>
        </w:tc>
      </w:tr>
    </w:tbl>
    <w:p>
      <w:pPr>
        <w:rPr>
          <w:color w:val="auto"/>
          <w:kern w:val="2"/>
        </w:rPr>
      </w:pPr>
    </w:p>
    <w:tbl>
      <w:tblPr>
        <w:tblStyle w:val="8"/>
        <w:tblpPr w:leftFromText="180" w:rightFromText="180" w:vertAnchor="text" w:horzAnchor="page" w:tblpX="1566" w:tblpY="301"/>
        <w:tblOverlap w:val="never"/>
        <w:tblW w:w="9519" w:type="dxa"/>
        <w:tblCellSpacing w:w="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404"/>
        <w:gridCol w:w="757"/>
        <w:gridCol w:w="5035"/>
        <w:gridCol w:w="1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CellSpacing w:w="0" w:type="dxa"/>
        </w:trPr>
        <w:tc>
          <w:tcPr>
            <w:tcW w:w="77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zh-CN"/>
              </w:rPr>
              <w:t>评分项及评分规则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tblCellSpacing w:w="0" w:type="dxa"/>
        </w:trPr>
        <w:tc>
          <w:tcPr>
            <w:tcW w:w="77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zh-CN"/>
              </w:rPr>
              <w:t>一、价格部分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tblCellSpacing w:w="0" w:type="dxa"/>
        </w:trPr>
        <w:tc>
          <w:tcPr>
            <w:tcW w:w="7783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采用低价优先法计算,即满足招标文件要求且投标价格最低的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投标报价为评标基准价,其价格分为满分。其他投标人的价格分统一按照下列公式计算：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价格分=[1-（投标报价-最低价）/最低价]×价格权重×100，当价格分＜0 时，取 0。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按公式计算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tblCellSpacing w:w="0" w:type="dxa"/>
        </w:trPr>
        <w:tc>
          <w:tcPr>
            <w:tcW w:w="77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</w:rPr>
              <w:t>商务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zh-CN"/>
              </w:rPr>
              <w:t>部分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65分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内容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权重</w:t>
            </w:r>
          </w:p>
        </w:tc>
        <w:tc>
          <w:tcPr>
            <w:tcW w:w="503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评分规则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综合评分法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经营规模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3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（一）评审内容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考察投标人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经营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规模情况，分档评分。</w:t>
            </w:r>
          </w:p>
          <w:p>
            <w:pPr>
              <w:spacing w:line="360" w:lineRule="auto"/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1.“202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-2022年度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营业额每年都在＞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500万元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”的，得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分；</w:t>
            </w:r>
          </w:p>
          <w:p>
            <w:pPr>
              <w:spacing w:line="360" w:lineRule="auto"/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2.“202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-2022年度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营业额每年都在：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200万元≤营业额≤500万元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分；</w:t>
            </w:r>
          </w:p>
          <w:p>
            <w:pPr>
              <w:spacing w:line="360" w:lineRule="auto"/>
              <w:ind w:left="240" w:hanging="240" w:hangingChars="1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3.“202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-2022年度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营业额每年都在：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200万以下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。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（二）评分依据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投标人须提供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公司流水及税收等带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公章的证明文件。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企业负责人资质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3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（一）评审内容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根据投标人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企业负责人安全资质证书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负责人个人征信、高级职业资格证书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。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1.企业安全生产主要负责人证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分；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2.高级职业资格证书，得3分；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3.负责人诚信企业家，得2分；</w:t>
            </w:r>
          </w:p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4.负责人有大专及以上学历，得2分。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（二）评分依据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投标人须提供上述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要求的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证明文件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（国家、省、市主管部门颁发的证书。行业组织等机构颁发的证书不作为有效证明材料），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加盖公章，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未提供或提供不清晰导致无法判断的不得分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累计共10分。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喷涂案例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35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（一）评审内容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考察投标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人公司20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年以来喷涂实际案例，分档评分。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1.有国有企业和政府相关单位维修喷涂案例：3例及以上，得15分；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2.有国有企业和政府相关单位维修喷涂案例：2例，得12分；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3.有国有企业和政府相关单位维修喷涂案例：1例，得6分；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4.其余不得分。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（二）评分依据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投标人须提供合同证明文件，加盖投标人公章。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经营场地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35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（一）评审内容</w:t>
            </w:r>
          </w:p>
          <w:p>
            <w:pPr>
              <w:spacing w:line="360" w:lineRule="auto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考察投标人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经营场地面积。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1.经营场地面积≥2000平方米，得15分；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2.500平方米≤经营面积＜2000平方米，得10分；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3.经营面积＜500平方米的，得5分。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（二）评分依据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投标人须提供公司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经营场地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证明文件扫描件（原件备查），加盖公章。未提供证明资料或专家无法凭所提供资料判断是否得分的情况，一律做不得分处理。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7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服务便利性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35" w:type="dxa"/>
            <w:vAlign w:val="top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（一）评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内容：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根据投标人在深圳市龙华区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大浪街道范围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以华富工业园为中心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除不可抗拒因素外，接到电话后能够在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分钟内到达招标人处协助人解决问题，得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分；除不可抗拒因素外，接到电话后能够在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11-20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分钟内到达招标人处协助人解决问题，得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分；除不可抗拒因素外，接到电话后能够在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21分钟内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到达招标人处协助人解决问题，得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分。其他情况或无响应，得0分。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（二）评分依据：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提供相关证明材料（须提供经营场所地址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定位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龙华环境有限公司华富项目部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的地图导航截图，截图需显示到达时间及公里数，如未按要求提供证明材料，或所提供的证明材未能体现上述评分内容的，视为该证明材料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效。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CellSpacing w:w="0" w:type="dxa"/>
        </w:trPr>
        <w:tc>
          <w:tcPr>
            <w:tcW w:w="77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</w:rPr>
              <w:t>技术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zh-CN"/>
              </w:rPr>
              <w:t>部分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总体服务方案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035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（一）评审内容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投标人对本项目提出的总体服务方案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包含如下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eastAsia="zh-CN"/>
              </w:rPr>
              <w:t>：</w:t>
            </w:r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1.时间节点及工作任务安排合理</w:t>
            </w:r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2.喷绘方案的完整性</w:t>
            </w:r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3.质量控制方案合理全面</w:t>
            </w:r>
          </w:p>
          <w:p>
            <w:pPr>
              <w:spacing w:line="360" w:lineRule="auto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4.应急预案和安全措施</w:t>
            </w:r>
          </w:p>
          <w:p>
            <w:p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（二）评分依据</w:t>
            </w:r>
          </w:p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投标人须提供以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上方案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资料，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满足一项得5分，累计共20分。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评委打分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CellSpacing w:w="0" w:type="dxa"/>
        </w:trPr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诚信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</w:rPr>
              <w:t>评价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035" w:type="dxa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en-US" w:eastAsia="zh-CN"/>
              </w:rPr>
              <w:t>投标人须提供企业征信有效证明材料，有得5分，无0分。</w:t>
            </w:r>
          </w:p>
        </w:tc>
        <w:tc>
          <w:tcPr>
            <w:tcW w:w="173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napToGrid w:val="0"/>
                <w:color w:val="auto"/>
                <w:kern w:val="2"/>
                <w:sz w:val="24"/>
                <w:szCs w:val="24"/>
                <w:lang w:val="zh-CN"/>
              </w:rPr>
              <w:t>评委打分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NmU4NmVjNDM1NzQ2NzcxNDQ1ZTY0YzEyZjE1ZjkifQ=="/>
    <w:docVar w:name="KSO_WPS_MARK_KEY" w:val="0db50913-4cc0-4f5c-a909-c59f76bff19c"/>
  </w:docVars>
  <w:rsids>
    <w:rsidRoot w:val="00000000"/>
    <w:rsid w:val="005F5904"/>
    <w:rsid w:val="019C37AB"/>
    <w:rsid w:val="01E96C2E"/>
    <w:rsid w:val="03376076"/>
    <w:rsid w:val="03E62402"/>
    <w:rsid w:val="04230CF2"/>
    <w:rsid w:val="05197D6A"/>
    <w:rsid w:val="054F7546"/>
    <w:rsid w:val="06B6300F"/>
    <w:rsid w:val="0A78795E"/>
    <w:rsid w:val="0ABD2EA9"/>
    <w:rsid w:val="0C4B6E38"/>
    <w:rsid w:val="0D525E6F"/>
    <w:rsid w:val="0D98735D"/>
    <w:rsid w:val="0E3521DC"/>
    <w:rsid w:val="0F4117CC"/>
    <w:rsid w:val="111772D2"/>
    <w:rsid w:val="12413F80"/>
    <w:rsid w:val="124C454F"/>
    <w:rsid w:val="1296148B"/>
    <w:rsid w:val="138A1E15"/>
    <w:rsid w:val="14197409"/>
    <w:rsid w:val="149E726C"/>
    <w:rsid w:val="14A4376A"/>
    <w:rsid w:val="14BD76C0"/>
    <w:rsid w:val="14E23878"/>
    <w:rsid w:val="15DA15E8"/>
    <w:rsid w:val="16C8346F"/>
    <w:rsid w:val="16F96496"/>
    <w:rsid w:val="181C512B"/>
    <w:rsid w:val="18E53FBC"/>
    <w:rsid w:val="195C49A7"/>
    <w:rsid w:val="1A30258E"/>
    <w:rsid w:val="1B4C7DFF"/>
    <w:rsid w:val="1B707E81"/>
    <w:rsid w:val="1BE449C5"/>
    <w:rsid w:val="1C9A5DF9"/>
    <w:rsid w:val="1D857414"/>
    <w:rsid w:val="1E0850D6"/>
    <w:rsid w:val="1E64416A"/>
    <w:rsid w:val="2049187B"/>
    <w:rsid w:val="20D0371B"/>
    <w:rsid w:val="269F14EC"/>
    <w:rsid w:val="2B3F6D00"/>
    <w:rsid w:val="2C1218DE"/>
    <w:rsid w:val="2CDB1327"/>
    <w:rsid w:val="2E2312BE"/>
    <w:rsid w:val="2E976A53"/>
    <w:rsid w:val="2FD652C1"/>
    <w:rsid w:val="308B35E4"/>
    <w:rsid w:val="309A3ADC"/>
    <w:rsid w:val="30FC77ED"/>
    <w:rsid w:val="31416065"/>
    <w:rsid w:val="33C76A50"/>
    <w:rsid w:val="33F42D4E"/>
    <w:rsid w:val="34DC75D1"/>
    <w:rsid w:val="35002E80"/>
    <w:rsid w:val="350F3F19"/>
    <w:rsid w:val="36525B04"/>
    <w:rsid w:val="36B443CF"/>
    <w:rsid w:val="38134100"/>
    <w:rsid w:val="384F6DEF"/>
    <w:rsid w:val="3B180FBF"/>
    <w:rsid w:val="3B89663D"/>
    <w:rsid w:val="3CD94326"/>
    <w:rsid w:val="3CF46EDE"/>
    <w:rsid w:val="3DE6611C"/>
    <w:rsid w:val="3E004AC7"/>
    <w:rsid w:val="3E430A34"/>
    <w:rsid w:val="3F4C6CE8"/>
    <w:rsid w:val="40253F3C"/>
    <w:rsid w:val="40D83EF0"/>
    <w:rsid w:val="41267FF3"/>
    <w:rsid w:val="4134460A"/>
    <w:rsid w:val="42A866EA"/>
    <w:rsid w:val="42BE5A9B"/>
    <w:rsid w:val="42EF5206"/>
    <w:rsid w:val="43671945"/>
    <w:rsid w:val="43DF5939"/>
    <w:rsid w:val="47DE6C76"/>
    <w:rsid w:val="48CC307C"/>
    <w:rsid w:val="49071275"/>
    <w:rsid w:val="493A685C"/>
    <w:rsid w:val="4B496C93"/>
    <w:rsid w:val="4CA6169E"/>
    <w:rsid w:val="4CD6771E"/>
    <w:rsid w:val="4E1649CE"/>
    <w:rsid w:val="4EC820CD"/>
    <w:rsid w:val="4F252466"/>
    <w:rsid w:val="4FA07BB2"/>
    <w:rsid w:val="50E817D4"/>
    <w:rsid w:val="518C3EDA"/>
    <w:rsid w:val="53083749"/>
    <w:rsid w:val="53383B95"/>
    <w:rsid w:val="54753EFC"/>
    <w:rsid w:val="5B747CD3"/>
    <w:rsid w:val="5CC07FB9"/>
    <w:rsid w:val="5E25629E"/>
    <w:rsid w:val="5F01496B"/>
    <w:rsid w:val="5FDF108A"/>
    <w:rsid w:val="60F5130F"/>
    <w:rsid w:val="60FB27B1"/>
    <w:rsid w:val="634E4F7A"/>
    <w:rsid w:val="640C0830"/>
    <w:rsid w:val="647E7622"/>
    <w:rsid w:val="663707F6"/>
    <w:rsid w:val="683B7691"/>
    <w:rsid w:val="694E0453"/>
    <w:rsid w:val="69DE332C"/>
    <w:rsid w:val="6A4454E8"/>
    <w:rsid w:val="6BC12577"/>
    <w:rsid w:val="6DEC1AE6"/>
    <w:rsid w:val="6ECF7B5A"/>
    <w:rsid w:val="6F734622"/>
    <w:rsid w:val="70EA114F"/>
    <w:rsid w:val="71DF7078"/>
    <w:rsid w:val="72E9674E"/>
    <w:rsid w:val="73FC77D8"/>
    <w:rsid w:val="75EC4704"/>
    <w:rsid w:val="75F72A95"/>
    <w:rsid w:val="76155FDD"/>
    <w:rsid w:val="787E073F"/>
    <w:rsid w:val="7B074386"/>
    <w:rsid w:val="7BD24E35"/>
    <w:rsid w:val="7C2C2059"/>
    <w:rsid w:val="7CE617A9"/>
    <w:rsid w:val="7DC6323C"/>
    <w:rsid w:val="7E7C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99"/>
    <w:rPr>
      <w:sz w:val="18"/>
      <w:szCs w:val="18"/>
    </w:rPr>
  </w:style>
  <w:style w:type="paragraph" w:styleId="3">
    <w:name w:val="index 8"/>
    <w:basedOn w:val="1"/>
    <w:next w:val="1"/>
    <w:semiHidden/>
    <w:unhideWhenUsed/>
    <w:qFormat/>
    <w:uiPriority w:val="0"/>
    <w:pPr>
      <w:ind w:left="1400" w:leftChars="1400"/>
    </w:pPr>
  </w:style>
  <w:style w:type="paragraph" w:styleId="4">
    <w:name w:val="Body Text Indent"/>
    <w:basedOn w:val="1"/>
    <w:qFormat/>
    <w:uiPriority w:val="0"/>
    <w:pPr>
      <w:tabs>
        <w:tab w:val="left" w:pos="0"/>
      </w:tabs>
      <w:spacing w:line="420" w:lineRule="exact"/>
      <w:ind w:firstLine="525"/>
    </w:pPr>
    <w:rPr>
      <w:rFonts w:ascii="仿宋_GB2312" w:hAnsi="Times New Roman" w:eastAsia="仿宋_GB2312"/>
      <w:sz w:val="28"/>
      <w:szCs w:val="20"/>
    </w:rPr>
  </w:style>
  <w:style w:type="paragraph" w:styleId="5">
    <w:name w:val="Plain Text"/>
    <w:basedOn w:val="1"/>
    <w:next w:val="3"/>
    <w:unhideWhenUsed/>
    <w:qFormat/>
    <w:uiPriority w:val="0"/>
    <w:rPr>
      <w:rFonts w:ascii="宋体" w:hAnsi="Courier New" w:eastAsiaTheme="minorEastAsia" w:cstheme="minorBidi"/>
      <w:szCs w:val="21"/>
    </w:rPr>
  </w:style>
  <w:style w:type="paragraph" w:styleId="6">
    <w:name w:val="Normal (Web)"/>
    <w:basedOn w:val="1"/>
    <w:qFormat/>
    <w:uiPriority w:val="0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7">
    <w:name w:val="Body Text First Indent 2"/>
    <w:basedOn w:val="4"/>
    <w:qFormat/>
    <w:uiPriority w:val="0"/>
    <w:pPr>
      <w:spacing w:line="240" w:lineRule="auto"/>
      <w:ind w:left="420" w:leftChars="200" w:firstLine="420" w:firstLineChars="200"/>
    </w:pPr>
    <w:rPr>
      <w:sz w:val="21"/>
      <w:szCs w:val="24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paragraph" w:customStyle="1" w:styleId="11">
    <w:name w:val="样式 左侧:  0 厘米 悬挂缩进: 2.5 字符"/>
    <w:basedOn w:val="1"/>
    <w:qFormat/>
    <w:uiPriority w:val="0"/>
    <w:pPr>
      <w:ind w:left="525" w:hanging="525" w:hangingChars="25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2296</Words>
  <Characters>2441</Characters>
  <Lines>0</Lines>
  <Paragraphs>0</Paragraphs>
  <TotalTime>2</TotalTime>
  <ScaleCrop>false</ScaleCrop>
  <LinksUpToDate>false</LinksUpToDate>
  <CharactersWithSpaces>2536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2022-12-14T02:12:00Z</dcterms:created>
  <dc:creator>Administrator</dc:creator>
  <cp:lastModifiedBy>123</cp:lastModifiedBy>
  <cp:lastPrinted>2022-12-20T09:37:00Z</cp:lastPrinted>
  <dcterms:modified xsi:type="dcterms:W3CDTF">2023-01-04T01:18:25Z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02F08016C1C5453DA149BCB27BBFCD0C</vt:lpwstr>
  </property>
</Properties>
</file>