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2200" w:firstLineChars="500"/>
        <w:jc w:val="both"/>
        <w:rPr>
          <w:rFonts w:hint="eastAsia" w:ascii="方正小标宋简体" w:hAnsi="仿宋_GB2312" w:eastAsia="方正小标宋简体" w:cs="仿宋_GB2312"/>
          <w:color w:val="auto"/>
          <w:sz w:val="44"/>
          <w:szCs w:val="44"/>
          <w:lang w:val="en-US" w:eastAsia="zh-CN"/>
        </w:rPr>
      </w:pPr>
      <w:r>
        <w:rPr>
          <w:rFonts w:hint="eastAsia" w:ascii="方正小标宋简体" w:hAnsi="仿宋_GB2312" w:eastAsia="方正小标宋简体" w:cs="仿宋_GB2312"/>
          <w:color w:val="auto"/>
          <w:sz w:val="44"/>
          <w:szCs w:val="44"/>
          <w:lang w:val="en-US" w:eastAsia="zh-CN"/>
        </w:rPr>
        <w:t>响应文件要求一览表</w:t>
      </w:r>
    </w:p>
    <w:p>
      <w:pPr>
        <w:adjustRightInd w:val="0"/>
        <w:snapToGrid w:val="0"/>
        <w:spacing w:line="560" w:lineRule="exact"/>
        <w:jc w:val="center"/>
        <w:rPr>
          <w:rFonts w:hint="eastAsia" w:ascii="方正小标宋简体" w:hAnsi="仿宋_GB2312" w:eastAsia="方正小标宋简体" w:cs="仿宋_GB2312"/>
          <w:b w:val="0"/>
          <w:color w:val="auto"/>
          <w:sz w:val="44"/>
          <w:szCs w:val="44"/>
        </w:rPr>
      </w:pPr>
    </w:p>
    <w:tbl>
      <w:tblPr>
        <w:tblStyle w:val="4"/>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序号</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项目</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内容摘要说明</w:t>
            </w:r>
          </w:p>
        </w:tc>
      </w:tr>
      <w:tr>
        <w:trPr>
          <w:trHeight w:val="731"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项目名称</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勾臂车、压缩箱喷绘服务采购项目</w:t>
            </w:r>
          </w:p>
        </w:tc>
      </w:tr>
      <w:tr>
        <w:trPr>
          <w:trHeight w:val="1932"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2</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项目概况</w:t>
            </w:r>
          </w:p>
        </w:tc>
        <w:tc>
          <w:tcPr>
            <w:tcW w:w="7200" w:type="dxa"/>
            <w:tcBorders>
              <w:tl2br w:val="nil"/>
              <w:tr2bl w:val="nil"/>
            </w:tcBorders>
            <w:vAlign w:val="center"/>
          </w:tcPr>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en-US" w:eastAsia="zh-CN"/>
              </w:rPr>
              <w:t>深圳市龙华环境有限公司（以下简称环境公司）主要经营城市道路清扫、保洁、垃圾收集分类、运输、处理及固体废物的治理；绿地养护、污水处理、环境监测及治理等环卫业务。根据2022年11月3日深圳市龙华区城市管理和综合执法局下发的《龙华区城市管理和综合执法局关于开展清洁能源生活垃圾转运车外观喷绘更新工作的通知》（详见附件1）及2022年12月2日下发的《龙华区城市管理和综合执法局关于开展清洁能源环卫作业车辆外观喷绘全面更新工作的通知》（详见附件2）文件要求，环境公司拟为18个勾臂车驾驶室及67个压缩箱进行外观更新喷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7"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3</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招标内容</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拟确定两家满足条件的喷绘公司负责深圳市龙华环境有限公司18个勾臂车驾驶室及67个压缩箱外观更新喷绘工作；招标完成后，与中标单位签订喷绘服务合同，喷绘工作需于</w:t>
            </w:r>
            <w:r>
              <w:rPr>
                <w:rFonts w:hint="eastAsia" w:ascii="仿宋_GB2312" w:hAnsi="仿宋_GB2312" w:eastAsia="仿宋_GB2312" w:cs="仿宋_GB2312"/>
                <w:color w:val="auto"/>
                <w:kern w:val="2"/>
                <w:sz w:val="24"/>
                <w:szCs w:val="24"/>
                <w:highlight w:val="none"/>
                <w:lang w:val="en-US" w:eastAsia="zh-CN"/>
              </w:rPr>
              <w:t>2023年5月10号前</w:t>
            </w:r>
            <w:r>
              <w:rPr>
                <w:rFonts w:hint="eastAsia" w:ascii="仿宋_GB2312" w:hAnsi="仿宋_GB2312" w:eastAsia="仿宋_GB2312" w:cs="仿宋_GB2312"/>
                <w:color w:val="auto"/>
                <w:kern w:val="2"/>
                <w:sz w:val="24"/>
                <w:szCs w:val="24"/>
                <w:lang w:val="en-US" w:eastAsia="zh-CN"/>
              </w:rPr>
              <w:t>完成，中标人按合同要求履约。</w:t>
            </w:r>
          </w:p>
        </w:tc>
      </w:tr>
      <w:tr>
        <w:trPr>
          <w:trHeight w:val="745"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4</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计价方式</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color w:val="auto"/>
                <w:kern w:val="2"/>
                <w:sz w:val="24"/>
                <w:szCs w:val="24"/>
                <w:lang w:val="en-US"/>
              </w:rPr>
            </w:pPr>
            <w:r>
              <w:rPr>
                <w:rFonts w:hint="eastAsia" w:ascii="仿宋_GB2312" w:hAnsi="仿宋_GB2312" w:eastAsia="仿宋_GB2312" w:cs="仿宋_GB2312"/>
                <w:color w:val="auto"/>
                <w:kern w:val="2"/>
                <w:sz w:val="24"/>
                <w:szCs w:val="24"/>
                <w:lang w:val="en-US" w:eastAsia="zh-CN" w:bidi="ar-SA"/>
              </w:rPr>
              <w:t>据实结算，但支付总价不高于合同价。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5</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招标控制价</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bidi="ar-SA"/>
              </w:rPr>
              <w:t>招标控制价为480000元。总价超出投标控制价将导致投标无效。</w:t>
            </w:r>
          </w:p>
        </w:tc>
      </w:tr>
      <w:tr>
        <w:trPr>
          <w:trHeight w:val="616"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6</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招标方式</w:t>
            </w:r>
          </w:p>
        </w:tc>
        <w:tc>
          <w:tcPr>
            <w:tcW w:w="7200" w:type="dxa"/>
            <w:tcBorders>
              <w:tl2br w:val="nil"/>
              <w:tr2bl w:val="nil"/>
            </w:tcBorders>
            <w:vAlign w:val="center"/>
          </w:tcPr>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公开招标</w:t>
            </w: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深圳市龙华建设发展集团有限公司采购平台</w:t>
            </w:r>
            <w:r>
              <w:rPr>
                <w:rFonts w:hint="eastAsia" w:ascii="仿宋_GB2312" w:hAnsi="仿宋_GB2312" w:eastAsia="仿宋_GB2312" w:cs="仿宋_GB2312"/>
                <w:color w:val="auto"/>
                <w:kern w:val="2"/>
                <w:sz w:val="24"/>
                <w:szCs w:val="24"/>
              </w:rPr>
              <w:t>）</w:t>
            </w:r>
          </w:p>
        </w:tc>
      </w:tr>
      <w:tr>
        <w:trPr>
          <w:trHeight w:val="580"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7</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资格审查方式</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sym w:font="Wingdings 2" w:char="00A3"/>
            </w:r>
            <w:r>
              <w:rPr>
                <w:rFonts w:hint="eastAsia" w:ascii="仿宋_GB2312" w:hAnsi="仿宋_GB2312" w:eastAsia="仿宋_GB2312" w:cs="仿宋_GB2312"/>
                <w:snapToGrid w:val="0"/>
                <w:color w:val="auto"/>
                <w:kern w:val="2"/>
                <w:sz w:val="24"/>
                <w:szCs w:val="24"/>
              </w:rPr>
              <w:t xml:space="preserve">投标报名    </w:t>
            </w:r>
            <w:r>
              <w:rPr>
                <w:rFonts w:hint="eastAsia" w:ascii="仿宋_GB2312" w:hAnsi="仿宋_GB2312" w:eastAsia="仿宋_GB2312" w:cs="仿宋_GB2312"/>
                <w:snapToGrid w:val="0"/>
                <w:color w:val="auto"/>
                <w:kern w:val="2"/>
                <w:sz w:val="24"/>
                <w:szCs w:val="24"/>
              </w:rPr>
              <w:sym w:font="Wingdings 2" w:char="00A3"/>
            </w:r>
            <w:r>
              <w:rPr>
                <w:rFonts w:hint="eastAsia" w:ascii="仿宋_GB2312" w:hAnsi="仿宋_GB2312" w:eastAsia="仿宋_GB2312" w:cs="仿宋_GB2312"/>
                <w:snapToGrid w:val="0"/>
                <w:color w:val="auto"/>
                <w:kern w:val="2"/>
                <w:sz w:val="24"/>
                <w:szCs w:val="24"/>
              </w:rPr>
              <w:t xml:space="preserve">资格预审     </w:t>
            </w:r>
            <w:r>
              <w:rPr>
                <w:rFonts w:hint="eastAsia" w:ascii="仿宋_GB2312" w:hAnsi="仿宋_GB2312" w:eastAsia="仿宋_GB2312" w:cs="仿宋_GB2312"/>
                <w:snapToGrid w:val="0"/>
                <w:color w:val="auto"/>
                <w:kern w:val="2"/>
                <w:sz w:val="24"/>
                <w:szCs w:val="24"/>
              </w:rPr>
              <w:sym w:font="Wingdings 2" w:char="0052"/>
            </w:r>
            <w:r>
              <w:rPr>
                <w:rFonts w:hint="eastAsia" w:ascii="仿宋_GB2312" w:hAnsi="仿宋_GB2312" w:eastAsia="仿宋_GB2312" w:cs="仿宋_GB2312"/>
                <w:snapToGrid w:val="0"/>
                <w:color w:val="auto"/>
                <w:kern w:val="2"/>
                <w:sz w:val="24"/>
                <w:szCs w:val="24"/>
              </w:rPr>
              <w:t>资格后审</w:t>
            </w:r>
          </w:p>
        </w:tc>
      </w:tr>
      <w:tr>
        <w:trPr>
          <w:trHeight w:val="517"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8</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投标人资格要求</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en-US" w:eastAsia="zh-CN"/>
              </w:rPr>
              <w:t>1.投标人必须为深圳市喷涂维修服务类合法注册公司，具有独立法人；需</w:t>
            </w:r>
            <w:r>
              <w:rPr>
                <w:rFonts w:hint="eastAsia" w:ascii="仿宋_GB2312" w:hAnsi="仿宋_GB2312" w:eastAsia="仿宋_GB2312" w:cs="仿宋_GB2312"/>
                <w:b w:val="0"/>
                <w:bCs/>
                <w:snapToGrid w:val="0"/>
                <w:color w:val="auto"/>
                <w:kern w:val="2"/>
                <w:sz w:val="24"/>
                <w:szCs w:val="24"/>
                <w:lang w:eastAsia="zh-CN"/>
              </w:rPr>
              <w:t>提供</w:t>
            </w:r>
            <w:r>
              <w:rPr>
                <w:rFonts w:hint="eastAsia" w:ascii="仿宋_GB2312" w:hAnsi="仿宋_GB2312" w:eastAsia="仿宋_GB2312" w:cs="仿宋_GB2312"/>
                <w:b w:val="0"/>
                <w:bCs/>
                <w:snapToGrid w:val="0"/>
                <w:color w:val="auto"/>
                <w:kern w:val="2"/>
                <w:sz w:val="24"/>
                <w:szCs w:val="24"/>
              </w:rPr>
              <w:t>《营业执照》复印件、《</w:t>
            </w:r>
            <w:r>
              <w:rPr>
                <w:rFonts w:hint="eastAsia" w:ascii="仿宋_GB2312" w:hAnsi="仿宋_GB2312" w:eastAsia="仿宋_GB2312" w:cs="仿宋_GB2312"/>
                <w:b w:val="0"/>
                <w:bCs/>
                <w:snapToGrid w:val="0"/>
                <w:color w:val="auto"/>
                <w:kern w:val="2"/>
                <w:sz w:val="24"/>
                <w:szCs w:val="24"/>
                <w:lang w:eastAsia="zh-CN"/>
              </w:rPr>
              <w:t>维修资质证明文件</w:t>
            </w:r>
            <w:r>
              <w:rPr>
                <w:rFonts w:hint="eastAsia" w:ascii="仿宋_GB2312" w:hAnsi="仿宋_GB2312" w:eastAsia="仿宋_GB2312" w:cs="仿宋_GB2312"/>
                <w:b w:val="0"/>
                <w:bCs/>
                <w:snapToGrid w:val="0"/>
                <w:color w:val="auto"/>
                <w:kern w:val="2"/>
                <w:sz w:val="24"/>
                <w:szCs w:val="24"/>
              </w:rPr>
              <w:t>》复印件</w:t>
            </w:r>
            <w:r>
              <w:rPr>
                <w:rFonts w:hint="eastAsia" w:ascii="仿宋_GB2312" w:hAnsi="仿宋_GB2312" w:eastAsia="仿宋_GB2312" w:cs="仿宋_GB2312"/>
                <w:b w:val="0"/>
                <w:bCs/>
                <w:snapToGrid w:val="0"/>
                <w:color w:val="auto"/>
                <w:kern w:val="2"/>
                <w:sz w:val="24"/>
                <w:szCs w:val="24"/>
                <w:lang w:val="en-US" w:eastAsia="zh-CN"/>
              </w:rPr>
              <w:t>等。</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val="0"/>
                <w:bCs/>
                <w:snapToGrid w:val="0"/>
                <w:color w:val="auto"/>
                <w:kern w:val="2"/>
                <w:sz w:val="24"/>
                <w:szCs w:val="24"/>
                <w:lang w:val="en-US" w:eastAsia="zh-CN"/>
              </w:rPr>
              <w:t>2.同一维修服务公司总公司只能有一家分支机构参与投标，且总公司不能与下属的分支机构同时参与投标。                                                                     3.本项目不接受联合体投标，不接受转包分包。</w:t>
            </w:r>
          </w:p>
        </w:tc>
      </w:tr>
      <w:tr>
        <w:trPr>
          <w:trHeight w:val="1263"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9</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资格后审方式</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p>
        </w:tc>
        <w:tc>
          <w:tcPr>
            <w:tcW w:w="7200" w:type="dxa"/>
            <w:tcBorders>
              <w:tl2br w:val="nil"/>
              <w:tr2bl w:val="nil"/>
            </w:tcBorders>
            <w:vAlign w:val="center"/>
          </w:tcPr>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en-US" w:eastAsia="zh-CN" w:bidi="ar-SA"/>
              </w:rPr>
              <w:t>组建评审委员会对投标单位按照《资格审查表》和《符合性审查表》部分进行审查，评审委员会对投标单位打√为通过审查，打×为未通过审查。</w:t>
            </w:r>
          </w:p>
        </w:tc>
      </w:tr>
      <w:tr>
        <w:trPr>
          <w:trHeight w:val="954"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10</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评定标方式</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评标方法为综合</w:t>
            </w:r>
            <w:r>
              <w:rPr>
                <w:rFonts w:hint="eastAsia" w:ascii="仿宋_GB2312" w:hAnsi="仿宋_GB2312" w:eastAsia="仿宋_GB2312" w:cs="仿宋_GB2312"/>
                <w:snapToGrid w:val="0"/>
                <w:color w:val="auto"/>
                <w:kern w:val="2"/>
                <w:sz w:val="24"/>
                <w:szCs w:val="24"/>
                <w:lang w:eastAsia="zh-CN"/>
              </w:rPr>
              <w:t>评分法</w:t>
            </w:r>
          </w:p>
        </w:tc>
      </w:tr>
      <w:tr>
        <w:trPr>
          <w:trHeight w:val="645"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firstLine="120" w:firstLineChars="50"/>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11</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投标担保</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不提供</w:t>
            </w:r>
          </w:p>
        </w:tc>
      </w:tr>
      <w:tr>
        <w:trPr>
          <w:trHeight w:val="740"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12</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履约担保</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napToGrid w:val="0"/>
                <w:color w:val="auto"/>
                <w:kern w:val="2"/>
                <w:sz w:val="24"/>
                <w:szCs w:val="24"/>
                <w:lang w:eastAsia="zh-CN"/>
              </w:rPr>
            </w:pPr>
            <w:r>
              <w:rPr>
                <w:rFonts w:hint="eastAsia" w:ascii="仿宋_GB2312" w:hAnsi="仿宋_GB2312" w:eastAsia="仿宋_GB2312" w:cs="仿宋_GB2312"/>
                <w:snapToGrid w:val="0"/>
                <w:color w:val="auto"/>
                <w:kern w:val="2"/>
                <w:sz w:val="24"/>
                <w:szCs w:val="24"/>
                <w:lang w:eastAsia="zh-CN"/>
              </w:rPr>
              <w:t>不提供</w:t>
            </w:r>
          </w:p>
        </w:tc>
      </w:tr>
      <w:tr>
        <w:trPr>
          <w:trHeight w:val="90"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13</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合同款支付</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合同签订生效后，</w:t>
            </w:r>
            <w:r>
              <w:rPr>
                <w:rFonts w:hint="eastAsia" w:ascii="仿宋_GB2312" w:hAnsi="仿宋_GB2312" w:eastAsia="仿宋_GB2312" w:cs="仿宋_GB2312"/>
                <w:b w:val="0"/>
                <w:bCs/>
                <w:snapToGrid w:val="0"/>
                <w:color w:val="auto"/>
                <w:kern w:val="2"/>
                <w:sz w:val="24"/>
                <w:szCs w:val="24"/>
                <w:lang w:eastAsia="zh-CN"/>
              </w:rPr>
              <w:t>按中国相关法律法规、公司车辆实际喷涂数量实际费用计费，按合同约定等进行支付</w:t>
            </w:r>
            <w:r>
              <w:rPr>
                <w:rFonts w:hint="eastAsia" w:ascii="仿宋_GB2312" w:hAnsi="仿宋_GB2312" w:eastAsia="仿宋_GB2312" w:cs="仿宋_GB2312"/>
                <w:b w:val="0"/>
                <w:bCs/>
                <w:snapToGrid w:val="0"/>
                <w:color w:val="auto"/>
                <w:kern w:val="2"/>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napToGrid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7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14</w:t>
            </w:r>
          </w:p>
        </w:tc>
        <w:tc>
          <w:tcPr>
            <w:tcW w:w="15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评标细则</w:t>
            </w:r>
          </w:p>
        </w:tc>
        <w:tc>
          <w:tcPr>
            <w:tcW w:w="7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详见下表（评分细则）</w:t>
            </w:r>
          </w:p>
        </w:tc>
      </w:tr>
    </w:tbl>
    <w:p>
      <w:pPr>
        <w:rPr>
          <w:color w:val="auto"/>
          <w:kern w:val="2"/>
        </w:rPr>
      </w:pPr>
    </w:p>
    <w:tbl>
      <w:tblPr>
        <w:tblStyle w:val="4"/>
        <w:tblpPr w:leftFromText="180" w:rightFromText="180" w:vertAnchor="text" w:horzAnchor="page" w:tblpXSpec="center" w:tblpY="301"/>
        <w:tblOverlap w:val="never"/>
        <w:tblW w:w="95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04"/>
        <w:gridCol w:w="757"/>
        <w:gridCol w:w="503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blHeader/>
          <w:tblCellSpacing w:w="0" w:type="dxa"/>
          <w:jc w:val="center"/>
        </w:trPr>
        <w:tc>
          <w:tcPr>
            <w:tcW w:w="778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评分项及评分规则</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blCellSpacing w:w="0" w:type="dxa"/>
          <w:jc w:val="center"/>
        </w:trPr>
        <w:tc>
          <w:tcPr>
            <w:tcW w:w="778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一、价格部分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1" w:hRule="atLeast"/>
          <w:tblCellSpacing w:w="0" w:type="dxa"/>
          <w:jc w:val="center"/>
        </w:trPr>
        <w:tc>
          <w:tcPr>
            <w:tcW w:w="778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采用低价优先法计算,即满足招标文件要求且投标价格最低的</w:t>
            </w:r>
            <w:r>
              <w:rPr>
                <w:rFonts w:hint="eastAsia" w:ascii="仿宋_GB2312" w:hAnsi="仿宋_GB2312" w:eastAsia="仿宋_GB2312" w:cs="仿宋_GB2312"/>
                <w:b w:val="0"/>
                <w:bCs/>
                <w:snapToGrid w:val="0"/>
                <w:color w:val="auto"/>
                <w:kern w:val="2"/>
                <w:sz w:val="24"/>
                <w:szCs w:val="24"/>
                <w:lang w:val="en-US" w:eastAsia="zh-CN"/>
              </w:rPr>
              <w:t>有效</w:t>
            </w:r>
            <w:r>
              <w:rPr>
                <w:rFonts w:hint="eastAsia" w:ascii="仿宋_GB2312" w:hAnsi="仿宋_GB2312" w:eastAsia="仿宋_GB2312" w:cs="仿宋_GB2312"/>
                <w:b w:val="0"/>
                <w:bCs/>
                <w:snapToGrid w:val="0"/>
                <w:color w:val="auto"/>
                <w:kern w:val="2"/>
                <w:sz w:val="24"/>
                <w:szCs w:val="24"/>
              </w:rPr>
              <w:t>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价格分=[1-（投标报价-最低价）/最低价]×价格权重×100，当价格分＜0 时，取 0。</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blCellSpacing w:w="0" w:type="dxa"/>
          <w:jc w:val="center"/>
        </w:trPr>
        <w:tc>
          <w:tcPr>
            <w:tcW w:w="778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bCs w:val="0"/>
                <w:snapToGrid w:val="0"/>
                <w:color w:val="auto"/>
                <w:kern w:val="2"/>
                <w:sz w:val="24"/>
                <w:szCs w:val="24"/>
                <w:lang w:val="zh-CN"/>
              </w:rPr>
              <w:t>二、</w:t>
            </w:r>
            <w:r>
              <w:rPr>
                <w:rFonts w:hint="eastAsia" w:ascii="仿宋_GB2312" w:hAnsi="仿宋_GB2312" w:eastAsia="仿宋_GB2312" w:cs="仿宋_GB2312"/>
                <w:b/>
                <w:bCs w:val="0"/>
                <w:snapToGrid w:val="0"/>
                <w:color w:val="auto"/>
                <w:kern w:val="2"/>
                <w:sz w:val="24"/>
                <w:szCs w:val="24"/>
              </w:rPr>
              <w:t>商务</w:t>
            </w:r>
            <w:r>
              <w:rPr>
                <w:rFonts w:hint="eastAsia" w:ascii="仿宋_GB2312" w:hAnsi="仿宋_GB2312" w:eastAsia="仿宋_GB2312" w:cs="仿宋_GB2312"/>
                <w:b/>
                <w:bCs w:val="0"/>
                <w:snapToGrid w:val="0"/>
                <w:color w:val="auto"/>
                <w:kern w:val="2"/>
                <w:sz w:val="24"/>
                <w:szCs w:val="24"/>
                <w:lang w:val="zh-CN"/>
              </w:rPr>
              <w:t>部分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序号</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内容</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权重</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评分规则</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1"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rPr>
              <w:t>1</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经营规模</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8</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（一）评审内容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考察投标人</w:t>
            </w:r>
            <w:r>
              <w:rPr>
                <w:rFonts w:hint="eastAsia" w:ascii="仿宋_GB2312" w:hAnsi="仿宋_GB2312" w:eastAsia="仿宋_GB2312" w:cs="仿宋_GB2312"/>
                <w:b w:val="0"/>
                <w:bCs/>
                <w:snapToGrid w:val="0"/>
                <w:color w:val="auto"/>
                <w:kern w:val="2"/>
                <w:sz w:val="24"/>
                <w:szCs w:val="24"/>
                <w:lang w:eastAsia="zh-CN"/>
              </w:rPr>
              <w:t>经营</w:t>
            </w:r>
            <w:r>
              <w:rPr>
                <w:rFonts w:hint="eastAsia" w:ascii="仿宋_GB2312" w:hAnsi="仿宋_GB2312" w:eastAsia="仿宋_GB2312" w:cs="仿宋_GB2312"/>
                <w:b w:val="0"/>
                <w:bCs/>
                <w:snapToGrid w:val="0"/>
                <w:color w:val="auto"/>
                <w:kern w:val="2"/>
                <w:sz w:val="24"/>
                <w:szCs w:val="24"/>
              </w:rPr>
              <w:t>规模情况，分档评分。</w:t>
            </w:r>
          </w:p>
          <w:p>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1.“202</w:t>
            </w:r>
            <w:r>
              <w:rPr>
                <w:rFonts w:hint="eastAsia" w:ascii="仿宋_GB2312" w:hAnsi="仿宋_GB2312" w:eastAsia="仿宋_GB2312" w:cs="仿宋_GB2312"/>
                <w:b w:val="0"/>
                <w:bCs/>
                <w:snapToGrid w:val="0"/>
                <w:color w:val="auto"/>
                <w:kern w:val="2"/>
                <w:sz w:val="24"/>
                <w:szCs w:val="24"/>
                <w:lang w:val="en-US" w:eastAsia="zh-CN"/>
              </w:rPr>
              <w:t>1</w:t>
            </w:r>
            <w:r>
              <w:rPr>
                <w:rFonts w:hint="eastAsia" w:ascii="仿宋_GB2312" w:hAnsi="仿宋_GB2312" w:eastAsia="仿宋_GB2312" w:cs="仿宋_GB2312"/>
                <w:b w:val="0"/>
                <w:bCs/>
                <w:snapToGrid w:val="0"/>
                <w:color w:val="auto"/>
                <w:kern w:val="2"/>
                <w:sz w:val="24"/>
                <w:szCs w:val="24"/>
              </w:rPr>
              <w:t>年度</w:t>
            </w:r>
            <w:r>
              <w:rPr>
                <w:rFonts w:hint="eastAsia" w:ascii="仿宋_GB2312" w:hAnsi="仿宋_GB2312" w:eastAsia="仿宋_GB2312" w:cs="仿宋_GB2312"/>
                <w:b w:val="0"/>
                <w:bCs/>
                <w:snapToGrid w:val="0"/>
                <w:color w:val="auto"/>
                <w:kern w:val="2"/>
                <w:sz w:val="24"/>
                <w:szCs w:val="24"/>
                <w:lang w:val="en-US" w:eastAsia="zh-CN"/>
              </w:rPr>
              <w:t>-2022年度</w:t>
            </w:r>
            <w:r>
              <w:rPr>
                <w:rFonts w:hint="eastAsia" w:ascii="仿宋_GB2312" w:hAnsi="仿宋_GB2312" w:eastAsia="仿宋_GB2312" w:cs="仿宋_GB2312"/>
                <w:b w:val="0"/>
                <w:bCs/>
                <w:snapToGrid w:val="0"/>
                <w:color w:val="auto"/>
                <w:kern w:val="2"/>
                <w:sz w:val="24"/>
                <w:szCs w:val="24"/>
                <w:lang w:eastAsia="zh-CN"/>
              </w:rPr>
              <w:t>营业额每年都在＞</w:t>
            </w:r>
            <w:r>
              <w:rPr>
                <w:rFonts w:hint="eastAsia" w:ascii="仿宋_GB2312" w:hAnsi="仿宋_GB2312" w:eastAsia="仿宋_GB2312" w:cs="仿宋_GB2312"/>
                <w:b w:val="0"/>
                <w:bCs/>
                <w:snapToGrid w:val="0"/>
                <w:color w:val="auto"/>
                <w:kern w:val="2"/>
                <w:sz w:val="24"/>
                <w:szCs w:val="24"/>
                <w:lang w:val="en-US" w:eastAsia="zh-CN"/>
              </w:rPr>
              <w:t>500万元</w:t>
            </w:r>
            <w:r>
              <w:rPr>
                <w:rFonts w:hint="eastAsia" w:ascii="仿宋_GB2312" w:hAnsi="仿宋_GB2312" w:eastAsia="仿宋_GB2312" w:cs="仿宋_GB2312"/>
                <w:b w:val="0"/>
                <w:bCs/>
                <w:snapToGrid w:val="0"/>
                <w:color w:val="auto"/>
                <w:kern w:val="2"/>
                <w:sz w:val="24"/>
                <w:szCs w:val="24"/>
              </w:rPr>
              <w:t>”的，得</w:t>
            </w:r>
            <w:r>
              <w:rPr>
                <w:rFonts w:hint="eastAsia" w:ascii="仿宋_GB2312" w:hAnsi="仿宋_GB2312" w:eastAsia="仿宋_GB2312" w:cs="仿宋_GB2312"/>
                <w:b w:val="0"/>
                <w:bCs/>
                <w:snapToGrid w:val="0"/>
                <w:color w:val="auto"/>
                <w:kern w:val="2"/>
                <w:sz w:val="24"/>
                <w:szCs w:val="24"/>
                <w:lang w:val="en-US" w:eastAsia="zh-CN"/>
              </w:rPr>
              <w:t>8</w:t>
            </w:r>
            <w:r>
              <w:rPr>
                <w:rFonts w:hint="eastAsia" w:ascii="仿宋_GB2312" w:hAnsi="仿宋_GB2312" w:eastAsia="仿宋_GB2312" w:cs="仿宋_GB2312"/>
                <w:b w:val="0"/>
                <w:bCs/>
                <w:snapToGrid w:val="0"/>
                <w:color w:val="auto"/>
                <w:kern w:val="2"/>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2.“202</w:t>
            </w:r>
            <w:r>
              <w:rPr>
                <w:rFonts w:hint="eastAsia" w:ascii="仿宋_GB2312" w:hAnsi="仿宋_GB2312" w:eastAsia="仿宋_GB2312" w:cs="仿宋_GB2312"/>
                <w:b w:val="0"/>
                <w:bCs/>
                <w:snapToGrid w:val="0"/>
                <w:color w:val="auto"/>
                <w:kern w:val="2"/>
                <w:sz w:val="24"/>
                <w:szCs w:val="24"/>
                <w:lang w:val="en-US" w:eastAsia="zh-CN"/>
              </w:rPr>
              <w:t>1</w:t>
            </w:r>
            <w:r>
              <w:rPr>
                <w:rFonts w:hint="eastAsia" w:ascii="仿宋_GB2312" w:hAnsi="仿宋_GB2312" w:eastAsia="仿宋_GB2312" w:cs="仿宋_GB2312"/>
                <w:b w:val="0"/>
                <w:bCs/>
                <w:snapToGrid w:val="0"/>
                <w:color w:val="auto"/>
                <w:kern w:val="2"/>
                <w:sz w:val="24"/>
                <w:szCs w:val="24"/>
              </w:rPr>
              <w:t>年度</w:t>
            </w:r>
            <w:r>
              <w:rPr>
                <w:rFonts w:hint="eastAsia" w:ascii="仿宋_GB2312" w:hAnsi="仿宋_GB2312" w:eastAsia="仿宋_GB2312" w:cs="仿宋_GB2312"/>
                <w:b w:val="0"/>
                <w:bCs/>
                <w:snapToGrid w:val="0"/>
                <w:color w:val="auto"/>
                <w:kern w:val="2"/>
                <w:sz w:val="24"/>
                <w:szCs w:val="24"/>
                <w:lang w:val="en-US" w:eastAsia="zh-CN"/>
              </w:rPr>
              <w:t>-2022年度</w:t>
            </w:r>
            <w:r>
              <w:rPr>
                <w:rFonts w:hint="eastAsia" w:ascii="仿宋_GB2312" w:hAnsi="仿宋_GB2312" w:eastAsia="仿宋_GB2312" w:cs="仿宋_GB2312"/>
                <w:b w:val="0"/>
                <w:bCs/>
                <w:snapToGrid w:val="0"/>
                <w:color w:val="auto"/>
                <w:kern w:val="2"/>
                <w:sz w:val="24"/>
                <w:szCs w:val="24"/>
                <w:lang w:eastAsia="zh-CN"/>
              </w:rPr>
              <w:t>营业额每年都在：</w:t>
            </w:r>
            <w:r>
              <w:rPr>
                <w:rFonts w:hint="eastAsia" w:ascii="仿宋_GB2312" w:hAnsi="仿宋_GB2312" w:eastAsia="仿宋_GB2312" w:cs="仿宋_GB2312"/>
                <w:b w:val="0"/>
                <w:bCs/>
                <w:snapToGrid w:val="0"/>
                <w:color w:val="auto"/>
                <w:kern w:val="2"/>
                <w:sz w:val="24"/>
                <w:szCs w:val="24"/>
                <w:lang w:val="en-US" w:eastAsia="zh-CN"/>
              </w:rPr>
              <w:t>200万元≤营业额≤500万元</w:t>
            </w:r>
            <w:r>
              <w:rPr>
                <w:rFonts w:hint="eastAsia" w:ascii="仿宋_GB2312" w:hAnsi="仿宋_GB2312" w:eastAsia="仿宋_GB2312" w:cs="仿宋_GB2312"/>
                <w:b w:val="0"/>
                <w:bCs/>
                <w:snapToGrid w:val="0"/>
                <w:color w:val="auto"/>
                <w:kern w:val="2"/>
                <w:sz w:val="24"/>
                <w:szCs w:val="24"/>
              </w:rPr>
              <w:t>，得</w:t>
            </w:r>
            <w:r>
              <w:rPr>
                <w:rFonts w:hint="eastAsia" w:ascii="仿宋_GB2312" w:hAnsi="仿宋_GB2312" w:eastAsia="仿宋_GB2312" w:cs="仿宋_GB2312"/>
                <w:b w:val="0"/>
                <w:bCs/>
                <w:snapToGrid w:val="0"/>
                <w:color w:val="auto"/>
                <w:kern w:val="2"/>
                <w:sz w:val="24"/>
                <w:szCs w:val="24"/>
                <w:lang w:val="en-US" w:eastAsia="zh-CN"/>
              </w:rPr>
              <w:t>6</w:t>
            </w:r>
            <w:r>
              <w:rPr>
                <w:rFonts w:hint="eastAsia" w:ascii="仿宋_GB2312" w:hAnsi="仿宋_GB2312" w:eastAsia="仿宋_GB2312" w:cs="仿宋_GB2312"/>
                <w:b w:val="0"/>
                <w:bCs/>
                <w:snapToGrid w:val="0"/>
                <w:color w:val="auto"/>
                <w:kern w:val="2"/>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left"/>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rPr>
              <w:t>3.“202</w:t>
            </w:r>
            <w:r>
              <w:rPr>
                <w:rFonts w:hint="eastAsia" w:ascii="仿宋_GB2312" w:hAnsi="仿宋_GB2312" w:eastAsia="仿宋_GB2312" w:cs="仿宋_GB2312"/>
                <w:b w:val="0"/>
                <w:bCs/>
                <w:snapToGrid w:val="0"/>
                <w:color w:val="auto"/>
                <w:kern w:val="2"/>
                <w:sz w:val="24"/>
                <w:szCs w:val="24"/>
                <w:lang w:val="en-US" w:eastAsia="zh-CN"/>
              </w:rPr>
              <w:t>1</w:t>
            </w:r>
            <w:r>
              <w:rPr>
                <w:rFonts w:hint="eastAsia" w:ascii="仿宋_GB2312" w:hAnsi="仿宋_GB2312" w:eastAsia="仿宋_GB2312" w:cs="仿宋_GB2312"/>
                <w:b w:val="0"/>
                <w:bCs/>
                <w:snapToGrid w:val="0"/>
                <w:color w:val="auto"/>
                <w:kern w:val="2"/>
                <w:sz w:val="24"/>
                <w:szCs w:val="24"/>
              </w:rPr>
              <w:t>年度</w:t>
            </w:r>
            <w:r>
              <w:rPr>
                <w:rFonts w:hint="eastAsia" w:ascii="仿宋_GB2312" w:hAnsi="仿宋_GB2312" w:eastAsia="仿宋_GB2312" w:cs="仿宋_GB2312"/>
                <w:b w:val="0"/>
                <w:bCs/>
                <w:snapToGrid w:val="0"/>
                <w:color w:val="auto"/>
                <w:kern w:val="2"/>
                <w:sz w:val="24"/>
                <w:szCs w:val="24"/>
                <w:lang w:val="en-US" w:eastAsia="zh-CN"/>
              </w:rPr>
              <w:t>-2022年度</w:t>
            </w:r>
            <w:r>
              <w:rPr>
                <w:rFonts w:hint="eastAsia" w:ascii="仿宋_GB2312" w:hAnsi="仿宋_GB2312" w:eastAsia="仿宋_GB2312" w:cs="仿宋_GB2312"/>
                <w:b w:val="0"/>
                <w:bCs/>
                <w:snapToGrid w:val="0"/>
                <w:color w:val="auto"/>
                <w:kern w:val="2"/>
                <w:sz w:val="24"/>
                <w:szCs w:val="24"/>
                <w:lang w:eastAsia="zh-CN"/>
              </w:rPr>
              <w:t>营业额每年都在：</w:t>
            </w:r>
            <w:r>
              <w:rPr>
                <w:rFonts w:hint="eastAsia" w:ascii="仿宋_GB2312" w:hAnsi="仿宋_GB2312" w:eastAsia="仿宋_GB2312" w:cs="仿宋_GB2312"/>
                <w:b w:val="0"/>
                <w:bCs/>
                <w:snapToGrid w:val="0"/>
                <w:color w:val="auto"/>
                <w:kern w:val="2"/>
                <w:sz w:val="24"/>
                <w:szCs w:val="24"/>
                <w:lang w:val="en-US" w:eastAsia="zh-CN"/>
              </w:rPr>
              <w:t>200万以下</w:t>
            </w:r>
            <w:r>
              <w:rPr>
                <w:rFonts w:hint="eastAsia" w:ascii="仿宋_GB2312" w:hAnsi="仿宋_GB2312" w:eastAsia="仿宋_GB2312" w:cs="仿宋_GB2312"/>
                <w:b w:val="0"/>
                <w:bCs/>
                <w:snapToGrid w:val="0"/>
                <w:color w:val="auto"/>
                <w:kern w:val="2"/>
                <w:sz w:val="24"/>
                <w:szCs w:val="24"/>
              </w:rPr>
              <w:t>，得</w:t>
            </w:r>
            <w:r>
              <w:rPr>
                <w:rFonts w:hint="eastAsia" w:ascii="仿宋_GB2312" w:hAnsi="仿宋_GB2312" w:eastAsia="仿宋_GB2312" w:cs="仿宋_GB2312"/>
                <w:b w:val="0"/>
                <w:bCs/>
                <w:snapToGrid w:val="0"/>
                <w:color w:val="auto"/>
                <w:kern w:val="2"/>
                <w:sz w:val="24"/>
                <w:szCs w:val="24"/>
                <w:lang w:val="en-US" w:eastAsia="zh-CN"/>
              </w:rPr>
              <w:t>5</w:t>
            </w:r>
            <w:r>
              <w:rPr>
                <w:rFonts w:hint="eastAsia" w:ascii="仿宋_GB2312" w:hAnsi="仿宋_GB2312" w:eastAsia="仿宋_GB2312" w:cs="仿宋_GB2312"/>
                <w:b w:val="0"/>
                <w:bCs/>
                <w:snapToGrid w:val="0"/>
                <w:color w:val="auto"/>
                <w:kern w:val="2"/>
                <w:sz w:val="24"/>
                <w:szCs w:val="24"/>
              </w:rPr>
              <w:t>分</w:t>
            </w:r>
            <w:r>
              <w:rPr>
                <w:rFonts w:hint="eastAsia" w:ascii="仿宋_GB2312" w:hAnsi="仿宋_GB2312" w:eastAsia="仿宋_GB2312" w:cs="仿宋_GB2312"/>
                <w:b w:val="0"/>
                <w:bCs/>
                <w:snapToGrid w:val="0"/>
                <w:color w:val="auto"/>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投标人须提供</w:t>
            </w:r>
            <w:r>
              <w:rPr>
                <w:rFonts w:hint="eastAsia" w:ascii="仿宋_GB2312" w:hAnsi="仿宋_GB2312" w:eastAsia="仿宋_GB2312" w:cs="仿宋_GB2312"/>
                <w:b w:val="0"/>
                <w:bCs/>
                <w:snapToGrid w:val="0"/>
                <w:color w:val="auto"/>
                <w:kern w:val="2"/>
                <w:sz w:val="24"/>
                <w:szCs w:val="24"/>
                <w:lang w:eastAsia="zh-CN"/>
              </w:rPr>
              <w:t>公司流水及税收等带</w:t>
            </w:r>
            <w:r>
              <w:rPr>
                <w:rFonts w:hint="eastAsia" w:ascii="仿宋_GB2312" w:hAnsi="仿宋_GB2312" w:eastAsia="仿宋_GB2312" w:cs="仿宋_GB2312"/>
                <w:b w:val="0"/>
                <w:bCs/>
                <w:snapToGrid w:val="0"/>
                <w:color w:val="auto"/>
                <w:kern w:val="2"/>
                <w:sz w:val="24"/>
                <w:szCs w:val="24"/>
              </w:rPr>
              <w:t>公章的证明文件。</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eastAsia="zh-CN"/>
              </w:rPr>
              <w:t>企业负责人资质</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12</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（一）评审内容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根据投标人</w:t>
            </w:r>
            <w:r>
              <w:rPr>
                <w:rFonts w:hint="eastAsia" w:ascii="仿宋_GB2312" w:hAnsi="仿宋_GB2312" w:eastAsia="仿宋_GB2312" w:cs="仿宋_GB2312"/>
                <w:b w:val="0"/>
                <w:bCs/>
                <w:snapToGrid w:val="0"/>
                <w:color w:val="auto"/>
                <w:kern w:val="2"/>
                <w:sz w:val="24"/>
                <w:szCs w:val="24"/>
                <w:lang w:val="en-US" w:eastAsia="zh-CN"/>
              </w:rPr>
              <w:t>企业负责人安全资质证书</w:t>
            </w:r>
            <w:r>
              <w:rPr>
                <w:rFonts w:hint="eastAsia" w:ascii="仿宋_GB2312" w:hAnsi="仿宋_GB2312" w:eastAsia="仿宋_GB2312" w:cs="仿宋_GB2312"/>
                <w:b w:val="0"/>
                <w:bCs/>
                <w:snapToGrid w:val="0"/>
                <w:color w:val="auto"/>
                <w:kern w:val="2"/>
                <w:sz w:val="24"/>
                <w:szCs w:val="24"/>
                <w:lang w:eastAsia="zh-CN"/>
              </w:rPr>
              <w:t>、</w:t>
            </w:r>
            <w:r>
              <w:rPr>
                <w:rFonts w:hint="eastAsia" w:ascii="仿宋_GB2312" w:hAnsi="仿宋_GB2312" w:eastAsia="仿宋_GB2312" w:cs="仿宋_GB2312"/>
                <w:b w:val="0"/>
                <w:bCs/>
                <w:snapToGrid w:val="0"/>
                <w:color w:val="auto"/>
                <w:kern w:val="2"/>
                <w:sz w:val="24"/>
                <w:szCs w:val="24"/>
                <w:lang w:val="en-US" w:eastAsia="zh-CN"/>
              </w:rPr>
              <w:t>负责人个人征信、高级职业资格证书</w:t>
            </w:r>
            <w:r>
              <w:rPr>
                <w:rFonts w:hint="eastAsia" w:ascii="仿宋_GB2312" w:hAnsi="仿宋_GB2312" w:eastAsia="仿宋_GB2312" w:cs="仿宋_GB2312"/>
                <w:b w:val="0"/>
                <w:bCs/>
                <w:snapToGrid w:val="0"/>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en-US" w:eastAsia="zh-CN"/>
              </w:rPr>
              <w:t>1.企业安全生产主要负责人证</w:t>
            </w:r>
            <w:r>
              <w:rPr>
                <w:rFonts w:hint="eastAsia" w:ascii="仿宋_GB2312" w:hAnsi="仿宋_GB2312" w:eastAsia="仿宋_GB2312" w:cs="仿宋_GB2312"/>
                <w:b w:val="0"/>
                <w:bCs/>
                <w:snapToGrid w:val="0"/>
                <w:color w:val="auto"/>
                <w:kern w:val="2"/>
                <w:sz w:val="24"/>
                <w:szCs w:val="24"/>
              </w:rPr>
              <w:t>，得</w:t>
            </w:r>
            <w:r>
              <w:rPr>
                <w:rFonts w:hint="eastAsia" w:ascii="仿宋_GB2312" w:hAnsi="仿宋_GB2312" w:eastAsia="仿宋_GB2312" w:cs="仿宋_GB2312"/>
                <w:b w:val="0"/>
                <w:bCs/>
                <w:snapToGrid w:val="0"/>
                <w:color w:val="auto"/>
                <w:kern w:val="2"/>
                <w:sz w:val="24"/>
                <w:szCs w:val="24"/>
                <w:lang w:val="en-US" w:eastAsia="zh-CN"/>
              </w:rPr>
              <w:t>5</w:t>
            </w:r>
            <w:r>
              <w:rPr>
                <w:rFonts w:hint="eastAsia" w:ascii="仿宋_GB2312" w:hAnsi="仿宋_GB2312" w:eastAsia="仿宋_GB2312" w:cs="仿宋_GB2312"/>
                <w:b w:val="0"/>
                <w:bCs/>
                <w:snapToGrid w:val="0"/>
                <w:color w:val="auto"/>
                <w:kern w:val="2"/>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2.高级职业资格证书，得3分；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3.负责人诚信企业家，得2分；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4.负责人有大专及以上学历，得2分。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rPr>
              <w:t>投标人须提供上述</w:t>
            </w:r>
            <w:r>
              <w:rPr>
                <w:rFonts w:hint="eastAsia" w:ascii="仿宋_GB2312" w:hAnsi="仿宋_GB2312" w:eastAsia="仿宋_GB2312" w:cs="仿宋_GB2312"/>
                <w:b w:val="0"/>
                <w:bCs/>
                <w:snapToGrid w:val="0"/>
                <w:color w:val="auto"/>
                <w:kern w:val="2"/>
                <w:sz w:val="24"/>
                <w:szCs w:val="24"/>
                <w:lang w:val="en-US" w:eastAsia="zh-CN"/>
              </w:rPr>
              <w:t>要求的</w:t>
            </w:r>
            <w:r>
              <w:rPr>
                <w:rFonts w:hint="eastAsia" w:ascii="仿宋_GB2312" w:hAnsi="仿宋_GB2312" w:eastAsia="仿宋_GB2312" w:cs="仿宋_GB2312"/>
                <w:b w:val="0"/>
                <w:bCs/>
                <w:snapToGrid w:val="0"/>
                <w:color w:val="auto"/>
                <w:kern w:val="2"/>
                <w:sz w:val="24"/>
                <w:szCs w:val="24"/>
              </w:rPr>
              <w:t>证明文件</w:t>
            </w:r>
            <w:r>
              <w:rPr>
                <w:rFonts w:hint="eastAsia" w:ascii="仿宋_GB2312" w:hAnsi="仿宋_GB2312" w:eastAsia="仿宋_GB2312" w:cs="仿宋_GB2312"/>
                <w:b w:val="0"/>
                <w:bCs/>
                <w:snapToGrid w:val="0"/>
                <w:color w:val="auto"/>
                <w:kern w:val="2"/>
                <w:sz w:val="24"/>
                <w:szCs w:val="24"/>
                <w:lang w:eastAsia="zh-CN"/>
              </w:rPr>
              <w:t>（国家、省、市主管部门颁发的证书。行业组织等机构颁发的证书不作为有效证明材料），</w:t>
            </w:r>
            <w:r>
              <w:rPr>
                <w:rFonts w:hint="eastAsia" w:ascii="仿宋_GB2312" w:hAnsi="仿宋_GB2312" w:eastAsia="仿宋_GB2312" w:cs="仿宋_GB2312"/>
                <w:b w:val="0"/>
                <w:bCs/>
                <w:snapToGrid w:val="0"/>
                <w:color w:val="auto"/>
                <w:kern w:val="2"/>
                <w:sz w:val="24"/>
                <w:szCs w:val="24"/>
                <w:lang w:val="en-US" w:eastAsia="zh-CN"/>
              </w:rPr>
              <w:t>加盖公章，</w:t>
            </w:r>
            <w:r>
              <w:rPr>
                <w:rFonts w:hint="eastAsia" w:ascii="仿宋_GB2312" w:hAnsi="仿宋_GB2312" w:eastAsia="仿宋_GB2312" w:cs="仿宋_GB2312"/>
                <w:b w:val="0"/>
                <w:bCs/>
                <w:snapToGrid w:val="0"/>
                <w:color w:val="auto"/>
                <w:kern w:val="2"/>
                <w:sz w:val="24"/>
                <w:szCs w:val="24"/>
              </w:rPr>
              <w:t>未提供或提供不清晰导致无法判断的不得分</w:t>
            </w:r>
            <w:r>
              <w:rPr>
                <w:rFonts w:hint="eastAsia" w:ascii="仿宋_GB2312" w:hAnsi="仿宋_GB2312" w:eastAsia="仿宋_GB2312" w:cs="仿宋_GB2312"/>
                <w:b w:val="0"/>
                <w:bCs/>
                <w:snapToGrid w:val="0"/>
                <w:color w:val="auto"/>
                <w:kern w:val="2"/>
                <w:sz w:val="24"/>
                <w:szCs w:val="24"/>
                <w:lang w:eastAsia="zh-CN"/>
              </w:rPr>
              <w:t>，</w:t>
            </w:r>
            <w:r>
              <w:rPr>
                <w:rFonts w:hint="eastAsia" w:ascii="仿宋_GB2312" w:hAnsi="仿宋_GB2312" w:eastAsia="仿宋_GB2312" w:cs="仿宋_GB2312"/>
                <w:b w:val="0"/>
                <w:bCs/>
                <w:snapToGrid w:val="0"/>
                <w:color w:val="auto"/>
                <w:kern w:val="2"/>
                <w:sz w:val="24"/>
                <w:szCs w:val="24"/>
                <w:lang w:val="en-US" w:eastAsia="zh-CN"/>
              </w:rPr>
              <w:t>累计共10分。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6"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eastAsia="zh-CN"/>
              </w:rPr>
              <w:t>喷涂案例</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15</w:t>
            </w:r>
          </w:p>
        </w:tc>
        <w:tc>
          <w:tcPr>
            <w:tcW w:w="5035"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（一）评审内容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rPr>
              <w:t>考察投标</w:t>
            </w:r>
            <w:r>
              <w:rPr>
                <w:rFonts w:hint="eastAsia" w:ascii="仿宋_GB2312" w:hAnsi="仿宋_GB2312" w:eastAsia="仿宋_GB2312" w:cs="仿宋_GB2312"/>
                <w:b w:val="0"/>
                <w:bCs/>
                <w:snapToGrid w:val="0"/>
                <w:color w:val="auto"/>
                <w:kern w:val="2"/>
                <w:sz w:val="24"/>
                <w:szCs w:val="24"/>
                <w:lang w:eastAsia="zh-CN"/>
              </w:rPr>
              <w:t>人公司20</w:t>
            </w:r>
            <w:r>
              <w:rPr>
                <w:rFonts w:hint="eastAsia" w:ascii="仿宋_GB2312" w:hAnsi="仿宋_GB2312" w:eastAsia="仿宋_GB2312" w:cs="仿宋_GB2312"/>
                <w:b w:val="0"/>
                <w:bCs/>
                <w:snapToGrid w:val="0"/>
                <w:color w:val="auto"/>
                <w:kern w:val="2"/>
                <w:sz w:val="24"/>
                <w:szCs w:val="24"/>
                <w:lang w:val="en-US" w:eastAsia="zh-CN"/>
              </w:rPr>
              <w:t>19</w:t>
            </w:r>
            <w:r>
              <w:rPr>
                <w:rFonts w:hint="eastAsia" w:ascii="仿宋_GB2312" w:hAnsi="仿宋_GB2312" w:eastAsia="仿宋_GB2312" w:cs="仿宋_GB2312"/>
                <w:b w:val="0"/>
                <w:bCs/>
                <w:snapToGrid w:val="0"/>
                <w:color w:val="auto"/>
                <w:kern w:val="2"/>
                <w:sz w:val="24"/>
                <w:szCs w:val="24"/>
                <w:lang w:eastAsia="zh-CN"/>
              </w:rPr>
              <w:t>年以来喷涂实际案例，分档评分。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1.有国有企业和政府相关单位维修喷涂案例：3例及以上，得15分；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2.有国有企业和政府相关单位维修喷涂案例：2例，得12分；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3.有国有企业和政府相关单位维修喷涂案例：1例，得6分；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en-US" w:eastAsia="zh-CN"/>
              </w:rPr>
              <w:t>4.其余不得分。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eastAsia="zh-CN"/>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eastAsia="zh-CN"/>
              </w:rPr>
              <w:t>投标人须提供合同证明文件，加盖投标人公章。</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eastAsia="zh-CN"/>
              </w:rPr>
              <w:t>经营场地</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15</w:t>
            </w:r>
          </w:p>
        </w:tc>
        <w:tc>
          <w:tcPr>
            <w:tcW w:w="5035"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（一）评审内容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rPr>
              <w:t>考察投标人</w:t>
            </w:r>
            <w:r>
              <w:rPr>
                <w:rFonts w:hint="eastAsia" w:ascii="仿宋_GB2312" w:hAnsi="仿宋_GB2312" w:eastAsia="仿宋_GB2312" w:cs="仿宋_GB2312"/>
                <w:b w:val="0"/>
                <w:bCs/>
                <w:snapToGrid w:val="0"/>
                <w:color w:val="auto"/>
                <w:kern w:val="2"/>
                <w:sz w:val="24"/>
                <w:szCs w:val="24"/>
                <w:lang w:eastAsia="zh-CN"/>
              </w:rPr>
              <w:t>公司</w:t>
            </w:r>
            <w:r>
              <w:rPr>
                <w:rFonts w:hint="eastAsia" w:ascii="仿宋_GB2312" w:hAnsi="仿宋_GB2312" w:eastAsia="仿宋_GB2312" w:cs="仿宋_GB2312"/>
                <w:b w:val="0"/>
                <w:bCs/>
                <w:snapToGrid w:val="0"/>
                <w:color w:val="auto"/>
                <w:kern w:val="2"/>
                <w:sz w:val="24"/>
                <w:szCs w:val="24"/>
                <w:lang w:val="en-US" w:eastAsia="zh-CN"/>
              </w:rPr>
              <w:t>经营场地面积。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1.经营场地面积≥2000平方米，得15分；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2.500平方米≤经营面积＜2000平方米，得10分；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3.经营面积＜500平方米的，得5分。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rPr>
              <w:t>投标人须提供公司</w:t>
            </w:r>
            <w:r>
              <w:rPr>
                <w:rFonts w:hint="eastAsia" w:ascii="仿宋_GB2312" w:hAnsi="仿宋_GB2312" w:eastAsia="仿宋_GB2312" w:cs="仿宋_GB2312"/>
                <w:b w:val="0"/>
                <w:bCs/>
                <w:snapToGrid w:val="0"/>
                <w:color w:val="auto"/>
                <w:kern w:val="2"/>
                <w:sz w:val="24"/>
                <w:szCs w:val="24"/>
                <w:lang w:eastAsia="zh-CN"/>
              </w:rPr>
              <w:t>经营场地</w:t>
            </w:r>
            <w:r>
              <w:rPr>
                <w:rFonts w:hint="eastAsia" w:ascii="仿宋_GB2312" w:hAnsi="仿宋_GB2312" w:eastAsia="仿宋_GB2312" w:cs="仿宋_GB2312"/>
                <w:b w:val="0"/>
                <w:bCs/>
                <w:snapToGrid w:val="0"/>
                <w:color w:val="auto"/>
                <w:kern w:val="2"/>
                <w:sz w:val="24"/>
                <w:szCs w:val="24"/>
              </w:rPr>
              <w:t>证明文件扫描件（原件备查），加盖公章。未提供证明资料或专家无法凭所提供资料判断是否得分的情况，一律做不得分处理。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5</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rPr>
              <w:t>服务便利性</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15</w:t>
            </w:r>
          </w:p>
        </w:tc>
        <w:tc>
          <w:tcPr>
            <w:tcW w:w="5035" w:type="dxa"/>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w:t>
            </w:r>
            <w:r>
              <w:rPr>
                <w:rFonts w:hint="eastAsia" w:ascii="仿宋_GB2312" w:hAnsi="仿宋_GB2312" w:eastAsia="仿宋_GB2312" w:cs="仿宋_GB2312"/>
                <w:b w:val="0"/>
                <w:bCs/>
                <w:snapToGrid w:val="0"/>
                <w:color w:val="auto"/>
                <w:kern w:val="2"/>
                <w:sz w:val="24"/>
                <w:szCs w:val="24"/>
                <w:lang w:eastAsia="zh-CN"/>
              </w:rPr>
              <w:t>审</w:t>
            </w:r>
            <w:r>
              <w:rPr>
                <w:rFonts w:hint="eastAsia" w:ascii="仿宋_GB2312" w:hAnsi="仿宋_GB2312" w:eastAsia="仿宋_GB2312" w:cs="仿宋_GB2312"/>
                <w:b w:val="0"/>
                <w:bCs/>
                <w:snapToGrid w:val="0"/>
                <w:color w:val="auto"/>
                <w:kern w:val="2"/>
                <w:sz w:val="24"/>
                <w:szCs w:val="24"/>
              </w:rPr>
              <w:t>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根据投标人在深圳市龙华区</w:t>
            </w:r>
            <w:r>
              <w:rPr>
                <w:rFonts w:hint="eastAsia" w:ascii="仿宋_GB2312" w:hAnsi="仿宋_GB2312" w:eastAsia="仿宋_GB2312" w:cs="仿宋_GB2312"/>
                <w:b w:val="0"/>
                <w:bCs/>
                <w:snapToGrid w:val="0"/>
                <w:color w:val="auto"/>
                <w:kern w:val="2"/>
                <w:sz w:val="24"/>
                <w:szCs w:val="24"/>
                <w:lang w:eastAsia="zh-CN"/>
              </w:rPr>
              <w:t>大浪街道范围</w:t>
            </w:r>
            <w:r>
              <w:rPr>
                <w:rFonts w:hint="eastAsia" w:ascii="仿宋_GB2312" w:hAnsi="仿宋_GB2312" w:eastAsia="仿宋_GB2312" w:cs="仿宋_GB2312"/>
                <w:b w:val="0"/>
                <w:bCs/>
                <w:snapToGrid w:val="0"/>
                <w:color w:val="auto"/>
                <w:kern w:val="2"/>
                <w:sz w:val="24"/>
                <w:szCs w:val="24"/>
              </w:rPr>
              <w:t>内</w:t>
            </w:r>
            <w:r>
              <w:rPr>
                <w:rFonts w:hint="eastAsia" w:ascii="仿宋_GB2312" w:hAnsi="仿宋_GB2312" w:eastAsia="仿宋_GB2312" w:cs="仿宋_GB2312"/>
                <w:b w:val="0"/>
                <w:bCs/>
                <w:snapToGrid w:val="0"/>
                <w:color w:val="auto"/>
                <w:kern w:val="2"/>
                <w:sz w:val="24"/>
                <w:szCs w:val="24"/>
                <w:lang w:eastAsia="zh-CN"/>
              </w:rPr>
              <w:t>（</w:t>
            </w:r>
            <w:r>
              <w:rPr>
                <w:rFonts w:hint="eastAsia" w:ascii="仿宋_GB2312" w:hAnsi="仿宋_GB2312" w:eastAsia="仿宋_GB2312" w:cs="仿宋_GB2312"/>
                <w:b w:val="0"/>
                <w:bCs/>
                <w:snapToGrid w:val="0"/>
                <w:color w:val="auto"/>
                <w:kern w:val="2"/>
                <w:sz w:val="24"/>
                <w:szCs w:val="24"/>
                <w:lang w:val="en-US" w:eastAsia="zh-CN"/>
              </w:rPr>
              <w:t>以华富工业园为中心</w:t>
            </w:r>
            <w:r>
              <w:rPr>
                <w:rFonts w:hint="eastAsia" w:ascii="仿宋_GB2312" w:hAnsi="仿宋_GB2312" w:eastAsia="仿宋_GB2312" w:cs="仿宋_GB2312"/>
                <w:b w:val="0"/>
                <w:bCs/>
                <w:snapToGrid w:val="0"/>
                <w:color w:val="auto"/>
                <w:kern w:val="2"/>
                <w:sz w:val="24"/>
                <w:szCs w:val="24"/>
                <w:lang w:eastAsia="zh-CN"/>
              </w:rPr>
              <w:t>）</w:t>
            </w:r>
            <w:r>
              <w:rPr>
                <w:rFonts w:hint="eastAsia" w:ascii="仿宋_GB2312" w:hAnsi="仿宋_GB2312" w:eastAsia="仿宋_GB2312" w:cs="仿宋_GB2312"/>
                <w:b w:val="0"/>
                <w:bCs/>
                <w:snapToGrid w:val="0"/>
                <w:color w:val="auto"/>
                <w:kern w:val="2"/>
                <w:sz w:val="24"/>
                <w:szCs w:val="24"/>
              </w:rPr>
              <w:t>除不可抗拒因素外，接到电话后能够在</w:t>
            </w:r>
            <w:r>
              <w:rPr>
                <w:rFonts w:hint="eastAsia" w:ascii="仿宋_GB2312" w:hAnsi="仿宋_GB2312" w:eastAsia="仿宋_GB2312" w:cs="仿宋_GB2312"/>
                <w:b w:val="0"/>
                <w:bCs/>
                <w:snapToGrid w:val="0"/>
                <w:color w:val="auto"/>
                <w:kern w:val="2"/>
                <w:sz w:val="24"/>
                <w:szCs w:val="24"/>
                <w:lang w:val="en-US" w:eastAsia="zh-CN"/>
              </w:rPr>
              <w:t>10</w:t>
            </w:r>
            <w:r>
              <w:rPr>
                <w:rFonts w:hint="eastAsia" w:ascii="仿宋_GB2312" w:hAnsi="仿宋_GB2312" w:eastAsia="仿宋_GB2312" w:cs="仿宋_GB2312"/>
                <w:b w:val="0"/>
                <w:bCs/>
                <w:snapToGrid w:val="0"/>
                <w:color w:val="auto"/>
                <w:kern w:val="2"/>
                <w:sz w:val="24"/>
                <w:szCs w:val="24"/>
              </w:rPr>
              <w:t>分钟内到达招标人处协助人解决问题，得</w:t>
            </w:r>
            <w:r>
              <w:rPr>
                <w:rFonts w:hint="eastAsia" w:ascii="仿宋_GB2312" w:hAnsi="仿宋_GB2312" w:eastAsia="仿宋_GB2312" w:cs="仿宋_GB2312"/>
                <w:b w:val="0"/>
                <w:bCs/>
                <w:snapToGrid w:val="0"/>
                <w:color w:val="auto"/>
                <w:kern w:val="2"/>
                <w:sz w:val="24"/>
                <w:szCs w:val="24"/>
                <w:lang w:val="en-US" w:eastAsia="zh-CN"/>
              </w:rPr>
              <w:t>15</w:t>
            </w:r>
            <w:r>
              <w:rPr>
                <w:rFonts w:hint="eastAsia" w:ascii="仿宋_GB2312" w:hAnsi="仿宋_GB2312" w:eastAsia="仿宋_GB2312" w:cs="仿宋_GB2312"/>
                <w:b w:val="0"/>
                <w:bCs/>
                <w:snapToGrid w:val="0"/>
                <w:color w:val="auto"/>
                <w:kern w:val="2"/>
                <w:sz w:val="24"/>
                <w:szCs w:val="24"/>
              </w:rPr>
              <w:t>分；除不可抗拒因素外，接到电话后能够在</w:t>
            </w:r>
            <w:r>
              <w:rPr>
                <w:rFonts w:hint="eastAsia" w:ascii="仿宋_GB2312" w:hAnsi="仿宋_GB2312" w:eastAsia="仿宋_GB2312" w:cs="仿宋_GB2312"/>
                <w:b w:val="0"/>
                <w:bCs/>
                <w:snapToGrid w:val="0"/>
                <w:color w:val="auto"/>
                <w:kern w:val="2"/>
                <w:sz w:val="24"/>
                <w:szCs w:val="24"/>
                <w:lang w:val="en-US" w:eastAsia="zh-CN"/>
              </w:rPr>
              <w:t>11-20</w:t>
            </w:r>
            <w:r>
              <w:rPr>
                <w:rFonts w:hint="eastAsia" w:ascii="仿宋_GB2312" w:hAnsi="仿宋_GB2312" w:eastAsia="仿宋_GB2312" w:cs="仿宋_GB2312"/>
                <w:b w:val="0"/>
                <w:bCs/>
                <w:snapToGrid w:val="0"/>
                <w:color w:val="auto"/>
                <w:kern w:val="2"/>
                <w:sz w:val="24"/>
                <w:szCs w:val="24"/>
              </w:rPr>
              <w:t>分钟内到达招标人处协助人解决问题，得</w:t>
            </w:r>
            <w:r>
              <w:rPr>
                <w:rFonts w:hint="eastAsia" w:ascii="仿宋_GB2312" w:hAnsi="仿宋_GB2312" w:eastAsia="仿宋_GB2312" w:cs="仿宋_GB2312"/>
                <w:b w:val="0"/>
                <w:bCs/>
                <w:snapToGrid w:val="0"/>
                <w:color w:val="auto"/>
                <w:kern w:val="2"/>
                <w:sz w:val="24"/>
                <w:szCs w:val="24"/>
                <w:lang w:val="en-US" w:eastAsia="zh-CN"/>
              </w:rPr>
              <w:t>8</w:t>
            </w:r>
            <w:r>
              <w:rPr>
                <w:rFonts w:hint="eastAsia" w:ascii="仿宋_GB2312" w:hAnsi="仿宋_GB2312" w:eastAsia="仿宋_GB2312" w:cs="仿宋_GB2312"/>
                <w:b w:val="0"/>
                <w:bCs/>
                <w:snapToGrid w:val="0"/>
                <w:color w:val="auto"/>
                <w:kern w:val="2"/>
                <w:sz w:val="24"/>
                <w:szCs w:val="24"/>
              </w:rPr>
              <w:t>分；除不可抗拒因素外，接到电话后能够在</w:t>
            </w:r>
            <w:r>
              <w:rPr>
                <w:rFonts w:hint="eastAsia" w:ascii="仿宋_GB2312" w:hAnsi="仿宋_GB2312" w:eastAsia="仿宋_GB2312" w:cs="仿宋_GB2312"/>
                <w:b w:val="0"/>
                <w:bCs/>
                <w:snapToGrid w:val="0"/>
                <w:color w:val="auto"/>
                <w:kern w:val="2"/>
                <w:sz w:val="24"/>
                <w:szCs w:val="24"/>
                <w:lang w:val="en-US" w:eastAsia="zh-CN"/>
              </w:rPr>
              <w:t>21分钟内</w:t>
            </w:r>
            <w:r>
              <w:rPr>
                <w:rFonts w:hint="eastAsia" w:ascii="仿宋_GB2312" w:hAnsi="仿宋_GB2312" w:eastAsia="仿宋_GB2312" w:cs="仿宋_GB2312"/>
                <w:b w:val="0"/>
                <w:bCs/>
                <w:snapToGrid w:val="0"/>
                <w:color w:val="auto"/>
                <w:kern w:val="2"/>
                <w:sz w:val="24"/>
                <w:szCs w:val="24"/>
              </w:rPr>
              <w:t>到达招标人处协助人解决问题，得</w:t>
            </w:r>
            <w:r>
              <w:rPr>
                <w:rFonts w:hint="eastAsia" w:ascii="仿宋_GB2312" w:hAnsi="仿宋_GB2312" w:eastAsia="仿宋_GB2312" w:cs="仿宋_GB2312"/>
                <w:b w:val="0"/>
                <w:bCs/>
                <w:snapToGrid w:val="0"/>
                <w:color w:val="auto"/>
                <w:kern w:val="2"/>
                <w:sz w:val="24"/>
                <w:szCs w:val="24"/>
                <w:lang w:val="en-US" w:eastAsia="zh-CN"/>
              </w:rPr>
              <w:t>5</w:t>
            </w:r>
            <w:r>
              <w:rPr>
                <w:rFonts w:hint="eastAsia" w:ascii="仿宋_GB2312" w:hAnsi="仿宋_GB2312" w:eastAsia="仿宋_GB2312" w:cs="仿宋_GB2312"/>
                <w:b w:val="0"/>
                <w:bCs/>
                <w:snapToGrid w:val="0"/>
                <w:color w:val="auto"/>
                <w:kern w:val="2"/>
                <w:sz w:val="24"/>
                <w:szCs w:val="24"/>
              </w:rPr>
              <w:t>分。其他情况或无响应，得0分。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提供相关证明材料（须提供经营场所地址</w:t>
            </w:r>
            <w:r>
              <w:rPr>
                <w:rFonts w:hint="eastAsia" w:ascii="仿宋_GB2312" w:hAnsi="仿宋_GB2312" w:eastAsia="仿宋_GB2312" w:cs="仿宋_GB2312"/>
                <w:b w:val="0"/>
                <w:bCs/>
                <w:snapToGrid w:val="0"/>
                <w:color w:val="auto"/>
                <w:kern w:val="2"/>
                <w:sz w:val="24"/>
                <w:szCs w:val="24"/>
                <w:lang w:eastAsia="zh-CN"/>
              </w:rPr>
              <w:t>定位</w:t>
            </w:r>
            <w:r>
              <w:rPr>
                <w:rFonts w:hint="eastAsia" w:ascii="仿宋_GB2312" w:hAnsi="仿宋_GB2312" w:eastAsia="仿宋_GB2312" w:cs="仿宋_GB2312"/>
                <w:b w:val="0"/>
                <w:bCs/>
                <w:snapToGrid w:val="0"/>
                <w:color w:val="auto"/>
                <w:kern w:val="2"/>
                <w:sz w:val="24"/>
                <w:szCs w:val="24"/>
              </w:rPr>
              <w:t>到</w:t>
            </w:r>
            <w:r>
              <w:rPr>
                <w:rFonts w:hint="eastAsia" w:ascii="仿宋_GB2312" w:hAnsi="仿宋_GB2312" w:eastAsia="仿宋_GB2312" w:cs="仿宋_GB2312"/>
                <w:b w:val="0"/>
                <w:bCs/>
                <w:snapToGrid w:val="0"/>
                <w:color w:val="auto"/>
                <w:kern w:val="2"/>
                <w:sz w:val="24"/>
                <w:szCs w:val="24"/>
                <w:lang w:eastAsia="zh-CN"/>
              </w:rPr>
              <w:t>龙华环境有限公司华富项目部</w:t>
            </w:r>
            <w:r>
              <w:rPr>
                <w:rFonts w:hint="eastAsia" w:ascii="仿宋_GB2312" w:hAnsi="仿宋_GB2312" w:eastAsia="仿宋_GB2312" w:cs="仿宋_GB2312"/>
                <w:b w:val="0"/>
                <w:bCs/>
                <w:snapToGrid w:val="0"/>
                <w:color w:val="auto"/>
                <w:kern w:val="2"/>
                <w:sz w:val="24"/>
                <w:szCs w:val="24"/>
              </w:rPr>
              <w:t>的地图导航截图，截图需显示到达时间及公里数，如未按要求提供证明材料，或所提供的证明材未能体现上述评分内容的，视为该证明材料</w:t>
            </w:r>
            <w:r>
              <w:rPr>
                <w:rFonts w:hint="eastAsia" w:ascii="仿宋_GB2312" w:hAnsi="仿宋_GB2312" w:eastAsia="仿宋_GB2312" w:cs="仿宋_GB2312"/>
                <w:b w:val="0"/>
                <w:bCs/>
                <w:snapToGrid w:val="0"/>
                <w:color w:val="auto"/>
                <w:kern w:val="2"/>
                <w:sz w:val="24"/>
                <w:szCs w:val="24"/>
                <w:lang w:eastAsia="zh-CN"/>
              </w:rPr>
              <w:t>无</w:t>
            </w:r>
            <w:r>
              <w:rPr>
                <w:rFonts w:hint="eastAsia" w:ascii="仿宋_GB2312" w:hAnsi="仿宋_GB2312" w:eastAsia="仿宋_GB2312" w:cs="仿宋_GB2312"/>
                <w:b w:val="0"/>
                <w:bCs/>
                <w:snapToGrid w:val="0"/>
                <w:color w:val="auto"/>
                <w:kern w:val="2"/>
                <w:sz w:val="24"/>
                <w:szCs w:val="24"/>
              </w:rPr>
              <w:t>效。</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CellSpacing w:w="0" w:type="dxa"/>
          <w:jc w:val="center"/>
        </w:trPr>
        <w:tc>
          <w:tcPr>
            <w:tcW w:w="778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bCs w:val="0"/>
                <w:snapToGrid w:val="0"/>
                <w:color w:val="auto"/>
                <w:kern w:val="2"/>
                <w:sz w:val="24"/>
                <w:szCs w:val="24"/>
                <w:lang w:val="zh-CN"/>
              </w:rPr>
              <w:t>三、</w:t>
            </w:r>
            <w:r>
              <w:rPr>
                <w:rFonts w:hint="eastAsia" w:ascii="仿宋_GB2312" w:hAnsi="仿宋_GB2312" w:eastAsia="仿宋_GB2312" w:cs="仿宋_GB2312"/>
                <w:b/>
                <w:bCs w:val="0"/>
                <w:snapToGrid w:val="0"/>
                <w:color w:val="auto"/>
                <w:kern w:val="2"/>
                <w:sz w:val="24"/>
                <w:szCs w:val="24"/>
              </w:rPr>
              <w:t>技术</w:t>
            </w:r>
            <w:r>
              <w:rPr>
                <w:rFonts w:hint="eastAsia" w:ascii="仿宋_GB2312" w:hAnsi="仿宋_GB2312" w:eastAsia="仿宋_GB2312" w:cs="仿宋_GB2312"/>
                <w:b/>
                <w:bCs w:val="0"/>
                <w:snapToGrid w:val="0"/>
                <w:color w:val="auto"/>
                <w:kern w:val="2"/>
                <w:sz w:val="24"/>
                <w:szCs w:val="24"/>
                <w:lang w:val="zh-CN"/>
              </w:rPr>
              <w:t>部分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6"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rPr>
              <w:t>总体服务方案</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20</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（一）评审内容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rPr>
              <w:t>投标人对本项目提出的总体服务方案</w:t>
            </w:r>
            <w:r>
              <w:rPr>
                <w:rFonts w:hint="eastAsia" w:ascii="仿宋_GB2312" w:hAnsi="仿宋_GB2312" w:eastAsia="仿宋_GB2312" w:cs="仿宋_GB2312"/>
                <w:b w:val="0"/>
                <w:bCs/>
                <w:snapToGrid w:val="0"/>
                <w:color w:val="auto"/>
                <w:kern w:val="2"/>
                <w:sz w:val="24"/>
                <w:szCs w:val="24"/>
                <w:lang w:val="en-US" w:eastAsia="zh-CN"/>
              </w:rPr>
              <w:t>包含如下</w:t>
            </w:r>
            <w:r>
              <w:rPr>
                <w:rFonts w:hint="eastAsia" w:ascii="仿宋_GB2312" w:hAnsi="仿宋_GB2312" w:eastAsia="仿宋_GB2312" w:cs="仿宋_GB2312"/>
                <w:b w:val="0"/>
                <w:bCs/>
                <w:snapToGrid w:val="0"/>
                <w:color w:val="auto"/>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1.时间节点及工作任务安排合理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2.喷绘方案的完整性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3.质量控制方案合理全面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4.应急预案和安全措施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（二）评分依据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rPr>
              <w:t>投标人须提供以</w:t>
            </w:r>
            <w:r>
              <w:rPr>
                <w:rFonts w:hint="eastAsia" w:ascii="仿宋_GB2312" w:hAnsi="仿宋_GB2312" w:eastAsia="仿宋_GB2312" w:cs="仿宋_GB2312"/>
                <w:b w:val="0"/>
                <w:bCs/>
                <w:snapToGrid w:val="0"/>
                <w:color w:val="auto"/>
                <w:kern w:val="2"/>
                <w:sz w:val="24"/>
                <w:szCs w:val="24"/>
                <w:lang w:val="en-US" w:eastAsia="zh-CN"/>
              </w:rPr>
              <w:t>上方案</w:t>
            </w:r>
            <w:r>
              <w:rPr>
                <w:rFonts w:hint="eastAsia" w:ascii="仿宋_GB2312" w:hAnsi="仿宋_GB2312" w:eastAsia="仿宋_GB2312" w:cs="仿宋_GB2312"/>
                <w:b w:val="0"/>
                <w:bCs/>
                <w:snapToGrid w:val="0"/>
                <w:color w:val="auto"/>
                <w:kern w:val="2"/>
                <w:sz w:val="24"/>
                <w:szCs w:val="24"/>
              </w:rPr>
              <w:t>资料，</w:t>
            </w:r>
            <w:r>
              <w:rPr>
                <w:rFonts w:hint="eastAsia" w:ascii="仿宋_GB2312" w:hAnsi="仿宋_GB2312" w:eastAsia="仿宋_GB2312" w:cs="仿宋_GB2312"/>
                <w:b w:val="0"/>
                <w:bCs/>
                <w:snapToGrid w:val="0"/>
                <w:color w:val="auto"/>
                <w:kern w:val="2"/>
                <w:sz w:val="24"/>
                <w:szCs w:val="24"/>
                <w:lang w:val="en-US" w:eastAsia="zh-CN"/>
              </w:rPr>
              <w:t>满足一项得5分，累计共20分。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blCellSpacing w:w="0" w:type="dxa"/>
          <w:jc w:val="center"/>
        </w:trPr>
        <w:tc>
          <w:tcPr>
            <w:tcW w:w="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诚信</w:t>
            </w:r>
            <w:r>
              <w:rPr>
                <w:rFonts w:hint="eastAsia" w:ascii="仿宋_GB2312" w:hAnsi="仿宋_GB2312" w:eastAsia="仿宋_GB2312" w:cs="仿宋_GB2312"/>
                <w:b w:val="0"/>
                <w:bCs/>
                <w:snapToGrid w:val="0"/>
                <w:color w:val="auto"/>
                <w:kern w:val="2"/>
                <w:sz w:val="24"/>
                <w:szCs w:val="24"/>
              </w:rPr>
              <w:t>评价</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5</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投标人须提供企业征信有效证明材料，有得5分，无0分。</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bl>
    <w:p>
      <w:pPr>
        <w:pStyle w:val="2"/>
      </w:pPr>
    </w:p>
    <w:p>
      <w:r>
        <w:rPr>
          <w:rFonts w:hint="eastAsia" w:ascii="仿宋_GB2312" w:hAnsi="仿宋_GB2312" w:eastAsia="仿宋_GB2312" w:cs="仿宋_GB2312"/>
          <w:color w:val="auto"/>
          <w:kern w:val="0"/>
          <w:sz w:val="32"/>
          <w:szCs w:val="32"/>
          <w:lang w:val="en-US" w:eastAsia="zh-CN" w:bidi="ar-S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60000"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1733"/>
    <w:rsid w:val="7BF9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3">
    <w:name w:val="Normal (Web)"/>
    <w:basedOn w:val="1"/>
    <w:qFormat/>
    <w:uiPriority w:val="0"/>
    <w:pPr>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2023-04-17T17:07:00Z</dcterms:created>
  <dc:creator>珊珊</dc:creator>
  <cp:lastModifiedBy>珊珊</cp:lastModifiedBy>
  <dcterms:modified xsi:type="dcterms:W3CDTF">2023-04-17T17:07:54Z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73EF82587BACE0515B0C3D647CA04CFC_41</vt:lpwstr>
  </property>
</Properties>
</file>