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rPr>
          <w:rFonts w:hint="eastAsia" w:ascii="黑体" w:hAnsi="黑体" w:eastAsia="黑体" w:cs="黑体"/>
          <w:sz w:val="52"/>
          <w:szCs w:val="52"/>
        </w:rPr>
      </w:pPr>
    </w:p>
    <w:p>
      <w:pPr>
        <w:adjustRightInd w:val="0"/>
        <w:jc w:val="center"/>
        <w:rPr>
          <w:rFonts w:hint="eastAsia" w:ascii="黑体" w:hAnsi="黑体" w:eastAsia="黑体" w:cs="黑体"/>
          <w:sz w:val="52"/>
          <w:szCs w:val="52"/>
        </w:rPr>
      </w:pPr>
    </w:p>
    <w:p>
      <w:pPr>
        <w:adjustRightInd w:val="0"/>
        <w:jc w:val="center"/>
        <w:rPr>
          <w:rFonts w:hint="eastAsia" w:ascii="黑体" w:hAnsi="黑体" w:eastAsia="黑体" w:cs="黑体"/>
          <w:sz w:val="52"/>
          <w:szCs w:val="52"/>
        </w:rPr>
      </w:pPr>
    </w:p>
    <w:p>
      <w:pPr>
        <w:adjustRightInd w:val="0"/>
        <w:jc w:val="center"/>
        <w:rPr>
          <w:rFonts w:ascii="黑体" w:hAnsi="黑体" w:eastAsia="黑体" w:cs="黑体"/>
          <w:sz w:val="52"/>
          <w:szCs w:val="52"/>
        </w:rPr>
      </w:pPr>
      <w:r>
        <w:rPr>
          <w:rFonts w:hint="eastAsia" w:ascii="黑体" w:hAnsi="黑体" w:eastAsia="黑体" w:cs="黑体"/>
          <w:sz w:val="52"/>
          <w:szCs w:val="52"/>
        </w:rPr>
        <w:t>深圳市龙华区</w:t>
      </w:r>
    </w:p>
    <w:p>
      <w:pPr>
        <w:adjustRightInd w:val="0"/>
        <w:jc w:val="center"/>
        <w:rPr>
          <w:rFonts w:ascii="宋体" w:hAnsi="宋体" w:cs="Times New Roman"/>
          <w:b/>
          <w:bCs/>
          <w:sz w:val="52"/>
          <w:szCs w:val="52"/>
        </w:rPr>
      </w:pPr>
      <w:r>
        <w:rPr>
          <w:rFonts w:hint="eastAsia" w:ascii="黑体" w:hAnsi="黑体" w:eastAsia="黑体" w:cs="黑体"/>
          <w:sz w:val="52"/>
          <w:szCs w:val="52"/>
        </w:rPr>
        <w:t>建设工程检测合同</w:t>
      </w:r>
    </w:p>
    <w:p>
      <w:pPr>
        <w:adjustRightInd w:val="0"/>
        <w:rPr>
          <w:color w:val="000000"/>
        </w:rPr>
      </w:pPr>
    </w:p>
    <w:p>
      <w:pPr>
        <w:snapToGrid w:val="0"/>
        <w:spacing w:before="10" w:after="10" w:line="500" w:lineRule="atLeast"/>
        <w:ind w:firstLine="560" w:firstLineChars="200"/>
        <w:rPr>
          <w:sz w:val="28"/>
          <w:szCs w:val="20"/>
        </w:rPr>
      </w:pPr>
    </w:p>
    <w:p>
      <w:pPr>
        <w:adjustRightInd w:val="0"/>
      </w:pPr>
    </w:p>
    <w:p>
      <w:pPr>
        <w:rPr>
          <w:color w:val="000000"/>
        </w:rPr>
      </w:pPr>
    </w:p>
    <w:p>
      <w:pPr>
        <w:adjustRightInd w:val="0"/>
        <w:rPr>
          <w:color w:val="000000"/>
        </w:rPr>
      </w:pPr>
    </w:p>
    <w:p>
      <w:pPr>
        <w:adjustRightInd w:val="0"/>
        <w:spacing w:line="360" w:lineRule="auto"/>
        <w:ind w:firstLine="1200" w:firstLineChars="400"/>
        <w:rPr>
          <w:rFonts w:ascii="黑体" w:hAnsi="黑体" w:eastAsia="黑体" w:cs="黑体"/>
          <w:sz w:val="30"/>
          <w:szCs w:val="30"/>
          <w:u w:val="single"/>
        </w:rPr>
      </w:pPr>
      <w:r>
        <w:rPr>
          <w:rFonts w:hint="eastAsia" w:ascii="黑体" w:hAnsi="黑体" w:eastAsia="黑体" w:cs="黑体"/>
          <w:sz w:val="30"/>
          <w:szCs w:val="30"/>
        </w:rPr>
        <w:t>项目名称：</w:t>
      </w:r>
      <w:r>
        <w:rPr>
          <w:rFonts w:hint="eastAsia" w:ascii="黑体" w:hAnsi="黑体" w:eastAsia="黑体" w:cs="黑体"/>
          <w:sz w:val="30"/>
          <w:szCs w:val="30"/>
          <w:u w:val="single"/>
        </w:rPr>
        <w:t xml:space="preserve">                      </w:t>
      </w:r>
    </w:p>
    <w:p>
      <w:pPr>
        <w:spacing w:after="120" w:line="360" w:lineRule="auto"/>
        <w:ind w:firstLine="1200" w:firstLineChars="400"/>
        <w:rPr>
          <w:rFonts w:ascii="黑体" w:hAnsi="黑体" w:eastAsia="黑体" w:cs="黑体"/>
          <w:sz w:val="30"/>
          <w:szCs w:val="30"/>
          <w:u w:val="single"/>
        </w:rPr>
      </w:pPr>
      <w:r>
        <w:rPr>
          <w:rFonts w:hint="eastAsia" w:ascii="黑体" w:hAnsi="黑体" w:eastAsia="黑体" w:cs="黑体"/>
          <w:sz w:val="30"/>
          <w:szCs w:val="30"/>
        </w:rPr>
        <w:t>工程地点：</w:t>
      </w:r>
      <w:r>
        <w:rPr>
          <w:rFonts w:hint="eastAsia" w:ascii="黑体" w:hAnsi="黑体" w:eastAsia="黑体" w:cs="黑体"/>
          <w:sz w:val="30"/>
          <w:szCs w:val="30"/>
          <w:u w:val="single"/>
        </w:rPr>
        <w:t xml:space="preserve">                      </w:t>
      </w:r>
    </w:p>
    <w:p>
      <w:pPr>
        <w:spacing w:after="120" w:line="360" w:lineRule="auto"/>
        <w:ind w:firstLine="1200" w:firstLineChars="400"/>
        <w:rPr>
          <w:rFonts w:ascii="黑体" w:hAnsi="黑体" w:eastAsia="黑体" w:cs="黑体"/>
          <w:sz w:val="30"/>
          <w:szCs w:val="30"/>
        </w:rPr>
      </w:pPr>
      <w:r>
        <w:rPr>
          <w:rFonts w:hint="eastAsia" w:ascii="黑体" w:hAnsi="黑体" w:eastAsia="黑体" w:cs="黑体"/>
          <w:sz w:val="30"/>
          <w:szCs w:val="30"/>
        </w:rPr>
        <w:t>甲    方：</w:t>
      </w:r>
      <w:r>
        <w:rPr>
          <w:rFonts w:hint="eastAsia" w:ascii="黑体" w:hAnsi="黑体" w:eastAsia="黑体" w:cs="黑体"/>
          <w:sz w:val="30"/>
          <w:szCs w:val="30"/>
          <w:u w:val="single"/>
        </w:rPr>
        <w:t>深圳市</w:t>
      </w:r>
      <w:r>
        <w:rPr>
          <w:rFonts w:hint="eastAsia" w:ascii="黑体" w:hAnsi="黑体" w:eastAsia="黑体" w:cs="黑体"/>
          <w:sz w:val="30"/>
          <w:szCs w:val="30"/>
          <w:u w:val="single"/>
          <w:lang w:val="en-US" w:eastAsia="zh-CN"/>
        </w:rPr>
        <w:t>新龙观投资发展</w:t>
      </w:r>
      <w:r>
        <w:rPr>
          <w:rFonts w:hint="eastAsia" w:ascii="黑体" w:hAnsi="黑体" w:eastAsia="黑体" w:cs="黑体"/>
          <w:sz w:val="30"/>
          <w:szCs w:val="30"/>
          <w:u w:val="single"/>
        </w:rPr>
        <w:t>有限公司</w:t>
      </w:r>
    </w:p>
    <w:p>
      <w:pPr>
        <w:adjustRightInd w:val="0"/>
        <w:spacing w:line="360" w:lineRule="auto"/>
        <w:ind w:firstLine="1200" w:firstLineChars="400"/>
        <w:rPr>
          <w:rFonts w:ascii="宋体" w:hAnsi="宋体" w:cs="宋体"/>
          <w:kern w:val="0"/>
          <w:sz w:val="28"/>
          <w:szCs w:val="28"/>
        </w:rPr>
      </w:pPr>
      <w:r>
        <w:rPr>
          <w:rFonts w:hint="eastAsia" w:ascii="黑体" w:hAnsi="黑体" w:eastAsia="黑体" w:cs="黑体"/>
          <w:sz w:val="30"/>
          <w:szCs w:val="30"/>
        </w:rPr>
        <w:t>乙    方：</w:t>
      </w:r>
      <w:r>
        <w:rPr>
          <w:rFonts w:hint="eastAsia" w:ascii="黑体" w:hAnsi="黑体" w:eastAsia="黑体" w:cs="黑体"/>
          <w:sz w:val="30"/>
          <w:szCs w:val="30"/>
          <w:u w:val="single"/>
        </w:rPr>
        <w:t xml:space="preserve">                      </w:t>
      </w:r>
    </w:p>
    <w:p>
      <w:pPr>
        <w:adjustRightInd w:val="0"/>
        <w:spacing w:line="490" w:lineRule="exact"/>
        <w:ind w:firstLine="1120" w:firstLineChars="400"/>
        <w:rPr>
          <w:rFonts w:ascii="宋体" w:hAnsi="宋体" w:cs="宋体"/>
          <w:b/>
          <w:bCs/>
          <w:sz w:val="28"/>
          <w:szCs w:val="28"/>
        </w:rPr>
      </w:pPr>
    </w:p>
    <w:p>
      <w:pPr>
        <w:adjustRightInd w:val="0"/>
        <w:spacing w:line="490" w:lineRule="exact"/>
        <w:ind w:firstLine="1120" w:firstLineChars="400"/>
        <w:rPr>
          <w:rFonts w:ascii="宋体" w:hAnsi="宋体" w:cs="宋体"/>
          <w:b/>
          <w:bCs/>
          <w:sz w:val="28"/>
          <w:szCs w:val="28"/>
        </w:rPr>
      </w:pPr>
    </w:p>
    <w:p>
      <w:pPr>
        <w:spacing w:line="360" w:lineRule="auto"/>
        <w:jc w:val="center"/>
        <w:rPr>
          <w:rFonts w:ascii="宋体" w:hAnsi="宋体" w:cs="宋体"/>
          <w:b/>
          <w:bCs/>
          <w:sz w:val="28"/>
          <w:szCs w:val="28"/>
        </w:rPr>
      </w:pPr>
      <w:r>
        <w:rPr>
          <w:rFonts w:hint="eastAsia" w:ascii="黑体" w:hAnsi="黑体" w:eastAsia="黑体" w:cs="黑体"/>
          <w:sz w:val="28"/>
          <w:szCs w:val="28"/>
        </w:rPr>
        <w:t>20  年  月</w:t>
      </w:r>
    </w:p>
    <w:p>
      <w:pPr>
        <w:adjustRightInd w:val="0"/>
        <w:spacing w:line="490" w:lineRule="exact"/>
        <w:ind w:firstLine="1120" w:firstLineChars="400"/>
        <w:rPr>
          <w:rFonts w:ascii="宋体" w:hAnsi="宋体" w:cs="宋体"/>
          <w:b/>
          <w:bCs/>
          <w:sz w:val="28"/>
          <w:szCs w:val="28"/>
        </w:rPr>
        <w:sectPr>
          <w:headerReference r:id="rId3" w:type="default"/>
          <w:footerReference r:id="rId4" w:type="default"/>
          <w:pgSz w:w="11907" w:h="16840"/>
          <w:pgMar w:top="1440" w:right="1080" w:bottom="1440" w:left="1080" w:header="851" w:footer="992" w:gutter="0"/>
          <w:pgBorders>
            <w:top w:val="none" w:sz="0" w:space="0"/>
            <w:left w:val="none" w:sz="0" w:space="0"/>
            <w:bottom w:val="none" w:sz="0" w:space="0"/>
            <w:right w:val="none" w:sz="0" w:space="0"/>
          </w:pgBorders>
          <w:pgNumType w:start="1"/>
          <w:cols w:space="720" w:num="1"/>
          <w:docGrid w:type="linesAndChars" w:linePitch="326" w:charSpace="0"/>
        </w:sectPr>
      </w:pPr>
    </w:p>
    <w:p>
      <w:pPr>
        <w:spacing w:line="360" w:lineRule="auto"/>
        <w:jc w:val="center"/>
        <w:outlineLvl w:val="0"/>
        <w:rPr>
          <w:rFonts w:ascii="黑体" w:hAnsi="黑体" w:eastAsia="黑体" w:cs="黑体"/>
          <w:bCs/>
          <w:kern w:val="0"/>
          <w:sz w:val="44"/>
          <w:szCs w:val="44"/>
        </w:rPr>
      </w:pPr>
      <w:bookmarkStart w:id="0" w:name="_Toc53808819"/>
      <w:r>
        <w:rPr>
          <w:rFonts w:hint="eastAsia" w:ascii="黑体" w:hAnsi="黑体" w:eastAsia="黑体" w:cs="黑体"/>
          <w:bCs/>
          <w:kern w:val="0"/>
          <w:sz w:val="44"/>
          <w:szCs w:val="44"/>
        </w:rPr>
        <w:t>合同协议书</w:t>
      </w:r>
      <w:bookmarkEnd w:id="0"/>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甲方（委托单位）：</w:t>
      </w:r>
      <w:r>
        <w:rPr>
          <w:rFonts w:hint="eastAsia" w:ascii="宋体" w:hAnsi="宋体" w:cs="宋体"/>
          <w:sz w:val="24"/>
          <w:szCs w:val="24"/>
          <w:u w:val="single"/>
        </w:rPr>
        <w:t xml:space="preserve"> </w:t>
      </w:r>
      <w:r>
        <w:rPr>
          <w:rFonts w:hint="eastAsia" w:ascii="宋体" w:hAnsi="宋体" w:cs="宋体"/>
          <w:b/>
          <w:bCs/>
          <w:sz w:val="24"/>
          <w:szCs w:val="24"/>
          <w:u w:val="single"/>
          <w:lang w:eastAsia="zh-CN"/>
        </w:rPr>
        <w:t>深圳市新龙观投资发展有限公司</w:t>
      </w:r>
      <w:r>
        <w:rPr>
          <w:rFonts w:hint="eastAsia" w:ascii="宋体" w:hAnsi="宋体" w:cs="宋体"/>
          <w:sz w:val="24"/>
          <w:szCs w:val="24"/>
          <w:u w:val="single"/>
        </w:rPr>
        <w:t xml:space="preserve"> </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乙方（检测机构）：</w:t>
      </w:r>
      <w:r>
        <w:rPr>
          <w:rFonts w:hint="eastAsia" w:ascii="宋体" w:hAnsi="宋体" w:cs="宋体"/>
          <w:sz w:val="24"/>
          <w:szCs w:val="24"/>
          <w:u w:val="single"/>
        </w:rPr>
        <w:t xml:space="preserve">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甲方委托乙方承接</w:t>
      </w:r>
      <w:r>
        <w:rPr>
          <w:rFonts w:hint="eastAsia" w:ascii="宋体" w:hAnsi="宋体" w:cs="宋体"/>
          <w:sz w:val="24"/>
          <w:szCs w:val="24"/>
          <w:u w:val="single"/>
        </w:rPr>
        <w:t xml:space="preserve"> </w:t>
      </w:r>
      <w:r>
        <w:rPr>
          <w:rFonts w:hint="eastAsia" w:ascii="宋体" w:hAnsi="宋体" w:cs="宋体"/>
          <w:bCs/>
          <w:kern w:val="0"/>
          <w:sz w:val="24"/>
          <w:szCs w:val="24"/>
          <w:u w:val="single"/>
          <w:lang w:eastAsia="zh-CN"/>
        </w:rPr>
        <w:t>观湖北产业片区03-07等宗地项目一标段（第三方检测）</w:t>
      </w:r>
      <w:r>
        <w:rPr>
          <w:rFonts w:hint="eastAsia" w:ascii="宋体" w:hAnsi="宋体" w:cs="宋体"/>
          <w:sz w:val="24"/>
          <w:szCs w:val="24"/>
        </w:rPr>
        <w:t>及报告编制服务工作。根据《中华人民共和国民法典》、《建设工程质量管理条例》、《建设工程质量检测管理办法》、《深圳市建设工程质量管理条例》及其他有关法律法规的规定，遵循平等、自愿、公平和诚实信用的原则，甲乙双方就本建设工程检测事项协商一致，签订本合同。</w:t>
      </w:r>
    </w:p>
    <w:p>
      <w:pPr>
        <w:adjustRightInd w:val="0"/>
        <w:snapToGrid w:val="0"/>
        <w:spacing w:line="360" w:lineRule="auto"/>
        <w:ind w:firstLine="480" w:firstLineChars="200"/>
        <w:jc w:val="left"/>
        <w:rPr>
          <w:rFonts w:ascii="宋体" w:hAnsi="宋体" w:cs="宋体"/>
          <w:b/>
          <w:bCs/>
          <w:sz w:val="24"/>
          <w:szCs w:val="24"/>
        </w:rPr>
      </w:pPr>
      <w:r>
        <w:rPr>
          <w:rFonts w:hint="eastAsia" w:ascii="宋体" w:hAnsi="宋体" w:cs="宋体"/>
          <w:b/>
          <w:bCs/>
          <w:sz w:val="24"/>
          <w:szCs w:val="24"/>
        </w:rPr>
        <w:t>一、工程概况</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b/>
          <w:bCs/>
          <w:sz w:val="24"/>
          <w:szCs w:val="24"/>
        </w:rPr>
        <w:t>1.工程名称：</w:t>
      </w:r>
      <w:r>
        <w:rPr>
          <w:rFonts w:hint="eastAsia" w:ascii="宋体" w:hAnsi="宋体" w:cs="宋体"/>
          <w:sz w:val="24"/>
          <w:szCs w:val="24"/>
          <w:u w:val="single"/>
          <w:lang w:eastAsia="zh-CN"/>
        </w:rPr>
        <w:t>观湖北产业片区03-07等宗地项目一标段</w:t>
      </w:r>
      <w:r>
        <w:rPr>
          <w:rFonts w:hint="eastAsia" w:ascii="宋体" w:hAnsi="宋体" w:cs="宋体"/>
          <w:sz w:val="24"/>
          <w:szCs w:val="24"/>
          <w:u w:val="single"/>
        </w:rPr>
        <w:t>（第三方检测）</w:t>
      </w:r>
      <w:r>
        <w:rPr>
          <w:rFonts w:hint="eastAsia" w:ascii="宋体" w:hAnsi="宋体" w:cs="宋体"/>
          <w:sz w:val="24"/>
          <w:szCs w:val="24"/>
        </w:rPr>
        <w:t xml:space="preserve">     </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b/>
          <w:bCs/>
          <w:sz w:val="24"/>
          <w:szCs w:val="24"/>
        </w:rPr>
        <w:t>2.工程地址：</w:t>
      </w:r>
      <w:r>
        <w:rPr>
          <w:rFonts w:hint="eastAsia" w:ascii="宋体" w:hAnsi="宋体" w:cs="宋体"/>
          <w:sz w:val="24"/>
          <w:szCs w:val="24"/>
          <w:u w:val="single"/>
        </w:rPr>
        <w:t>深圳市龙华区</w:t>
      </w:r>
      <w:r>
        <w:rPr>
          <w:rFonts w:hint="eastAsia" w:ascii="宋体" w:hAnsi="宋体" w:cs="宋体"/>
          <w:sz w:val="24"/>
          <w:szCs w:val="24"/>
        </w:rPr>
        <w:t xml:space="preserve">        </w:t>
      </w:r>
    </w:p>
    <w:p>
      <w:pPr>
        <w:adjustRightInd w:val="0"/>
        <w:snapToGrid w:val="0"/>
        <w:spacing w:line="360" w:lineRule="auto"/>
        <w:ind w:firstLine="480" w:firstLineChars="200"/>
        <w:jc w:val="left"/>
        <w:rPr>
          <w:rFonts w:hint="eastAsia" w:ascii="宋体" w:hAnsi="宋体" w:cs="宋体"/>
          <w:color w:val="000000"/>
          <w:kern w:val="0"/>
          <w:sz w:val="24"/>
          <w:szCs w:val="24"/>
          <w:u w:val="single"/>
        </w:rPr>
      </w:pPr>
      <w:r>
        <w:rPr>
          <w:rFonts w:hint="eastAsia" w:ascii="宋体" w:hAnsi="宋体" w:cs="宋体"/>
          <w:b/>
          <w:bCs/>
          <w:sz w:val="24"/>
          <w:szCs w:val="24"/>
        </w:rPr>
        <w:t>3.项目用地与工程特征：</w:t>
      </w:r>
      <w:r>
        <w:rPr>
          <w:rFonts w:hint="eastAsia" w:ascii="宋体" w:hAnsi="宋体" w:cs="宋体"/>
          <w:color w:val="000000"/>
          <w:kern w:val="0"/>
          <w:sz w:val="24"/>
          <w:szCs w:val="24"/>
          <w:u w:val="single"/>
        </w:rPr>
        <w:t>观湖北产业片区土地整备利益统筹项目位于龙华区观湖街道，与龙华北门户--梅观创新走廊相邻，南靠鹭湖中心城，北接观澜商业中心。项目共包含7个地块，分别为03-07地块、11-02地块、10-03-2地块、02-15地块、02-18地块、16-13-1地块、18-23地块。本次招标为16-13-1地块、18-23地块。</w:t>
      </w:r>
    </w:p>
    <w:p>
      <w:pPr>
        <w:adjustRightInd w:val="0"/>
        <w:snapToGrid w:val="0"/>
        <w:spacing w:line="360" w:lineRule="auto"/>
        <w:ind w:firstLine="480" w:firstLineChars="200"/>
        <w:jc w:val="left"/>
        <w:rPr>
          <w:rFonts w:hint="eastAsia" w:ascii="宋体" w:hAnsi="宋体" w:cs="宋体"/>
          <w:color w:val="000000"/>
          <w:kern w:val="0"/>
          <w:sz w:val="24"/>
          <w:szCs w:val="24"/>
          <w:u w:val="single"/>
        </w:rPr>
      </w:pPr>
      <w:r>
        <w:rPr>
          <w:rFonts w:hint="eastAsia" w:ascii="宋体" w:hAnsi="宋体" w:cs="宋体"/>
          <w:color w:val="000000"/>
          <w:kern w:val="0"/>
          <w:sz w:val="24"/>
          <w:szCs w:val="24"/>
          <w:u w:val="single"/>
        </w:rPr>
        <w:t>（1）16-13-1地块：总用地面积6702.8㎡。基坑深度约10.6米，采用旋挖桩+桩锚支护，局部涉及到放坡支护。工程桩为旋挖成孔灌注桩，局部采用抗浮锚杆。</w:t>
      </w:r>
    </w:p>
    <w:p>
      <w:pPr>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u w:val="single"/>
        </w:rPr>
        <w:t>（2）18-23地块：总用地面积7816.1㎡。基坑深度6至8米，分段采用混凝土灌注桩悬臂支护、土钉墙支护。工程桩为预制管桩。</w:t>
      </w:r>
    </w:p>
    <w:p>
      <w:pPr>
        <w:adjustRightInd w:val="0"/>
        <w:snapToGrid w:val="0"/>
        <w:spacing w:line="360" w:lineRule="auto"/>
        <w:ind w:firstLine="480" w:firstLineChars="200"/>
        <w:jc w:val="left"/>
        <w:rPr>
          <w:rFonts w:ascii="宋体" w:hAnsi="宋体" w:cs="宋体"/>
          <w:b/>
          <w:bCs/>
          <w:sz w:val="24"/>
          <w:szCs w:val="24"/>
        </w:rPr>
      </w:pPr>
      <w:r>
        <w:rPr>
          <w:rFonts w:hint="eastAsia" w:ascii="宋体" w:hAnsi="宋体" w:cs="宋体"/>
          <w:b/>
          <w:bCs/>
          <w:sz w:val="24"/>
          <w:szCs w:val="24"/>
        </w:rPr>
        <w:t>二、检测工作内容及服务周期</w:t>
      </w:r>
    </w:p>
    <w:p>
      <w:pPr>
        <w:adjustRightInd w:val="0"/>
        <w:snapToGrid w:val="0"/>
        <w:spacing w:line="360" w:lineRule="auto"/>
        <w:ind w:firstLine="464" w:firstLineChars="200"/>
        <w:jc w:val="left"/>
        <w:rPr>
          <w:rFonts w:ascii="宋体" w:hAnsi="宋体" w:cs="宋体"/>
          <w:sz w:val="24"/>
          <w:szCs w:val="24"/>
        </w:rPr>
      </w:pPr>
      <w:r>
        <w:rPr>
          <w:rFonts w:hint="eastAsia" w:ascii="宋体" w:hAnsi="宋体" w:cs="宋体"/>
          <w:spacing w:val="-4"/>
          <w:sz w:val="24"/>
          <w:szCs w:val="24"/>
        </w:rPr>
        <w:t>1.检测类别：</w:t>
      </w:r>
      <w:r>
        <w:rPr>
          <w:rFonts w:ascii="Wingdings 2" w:hAnsi="Wingdings 2" w:cs="宋体"/>
          <w:sz w:val="24"/>
          <w:szCs w:val="24"/>
        </w:rPr>
        <w:sym w:font="Wingdings 2" w:char="F052"/>
      </w:r>
      <w:r>
        <w:rPr>
          <w:rFonts w:hint="eastAsia" w:ascii="宋体" w:hAnsi="宋体" w:cs="宋体"/>
          <w:sz w:val="24"/>
          <w:szCs w:val="24"/>
        </w:rPr>
        <w:t xml:space="preserve"> 验收检测  □ 平行检测      □ 其他</w:t>
      </w:r>
      <w:r>
        <w:rPr>
          <w:rFonts w:hint="eastAsia" w:ascii="宋体" w:hAnsi="宋体" w:cs="宋体"/>
          <w:sz w:val="24"/>
          <w:szCs w:val="24"/>
          <w:u w:val="single"/>
        </w:rPr>
        <w:t xml:space="preserve">         </w:t>
      </w:r>
    </w:p>
    <w:p>
      <w:pPr>
        <w:adjustRightInd w:val="0"/>
        <w:snapToGrid w:val="0"/>
        <w:spacing w:line="360" w:lineRule="auto"/>
        <w:ind w:firstLine="464" w:firstLineChars="200"/>
        <w:jc w:val="left"/>
        <w:rPr>
          <w:rFonts w:ascii="宋体" w:hAnsi="宋体" w:cs="宋体"/>
          <w:sz w:val="24"/>
          <w:szCs w:val="24"/>
        </w:rPr>
      </w:pPr>
      <w:r>
        <w:rPr>
          <w:rFonts w:hint="eastAsia" w:ascii="宋体" w:hAnsi="宋体" w:cs="宋体"/>
          <w:spacing w:val="-4"/>
          <w:sz w:val="24"/>
          <w:szCs w:val="24"/>
        </w:rPr>
        <w:t>2.工程类别：</w:t>
      </w:r>
      <w:r>
        <w:rPr>
          <w:rFonts w:ascii="Wingdings 2" w:hAnsi="Wingdings 2" w:cs="宋体"/>
          <w:sz w:val="24"/>
          <w:szCs w:val="24"/>
        </w:rPr>
        <w:sym w:font="Wingdings 2" w:char="F052"/>
      </w:r>
      <w:r>
        <w:rPr>
          <w:rFonts w:hint="eastAsia" w:ascii="宋体" w:hAnsi="宋体" w:cs="宋体"/>
          <w:sz w:val="24"/>
          <w:szCs w:val="24"/>
        </w:rPr>
        <w:t xml:space="preserve"> 房建      □ 市政基础设施  □ 公路  </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          □ 水运      □ 水利          □ 绿化 </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          □ 民防      □ 房屋修缮      □ 轨道交通  </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 xml:space="preserve">          □ 其他</w:t>
      </w:r>
      <w:r>
        <w:rPr>
          <w:rFonts w:hint="eastAsia" w:ascii="宋体" w:hAnsi="宋体" w:cs="宋体"/>
          <w:sz w:val="24"/>
          <w:szCs w:val="24"/>
          <w:u w:val="single"/>
        </w:rPr>
        <w:t xml:space="preserve">                </w:t>
      </w:r>
    </w:p>
    <w:p>
      <w:pPr>
        <w:adjustRightInd w:val="0"/>
        <w:snapToGri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3.甲方委托乙方检测的检测项目包括：</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负责完成各地块建筑工程基坑支护、桩基础工程检测，包括不仅限于：桩身完整性检测、单桩承载力检测、锚索抗拔力检测、喷射混凝土强度检测、混凝土强度检测等，具体内容详见施工图纸及工程量清单。承包人不得拒绝执行为完成全部工程而须执行的不可或缺的附带工作。具体的检测项目、数量等见附件一。</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4.服务期限：中标通知书发出之日起至本工程通过验收时止</w:t>
      </w:r>
    </w:p>
    <w:p>
      <w:pPr>
        <w:adjustRightInd w:val="0"/>
        <w:snapToGrid w:val="0"/>
        <w:spacing w:line="360" w:lineRule="auto"/>
        <w:ind w:firstLine="480" w:firstLineChars="200"/>
        <w:outlineLvl w:val="1"/>
        <w:rPr>
          <w:rFonts w:ascii="宋体" w:hAnsi="宋体" w:eastAsia="仿宋_GB2312" w:cs="宋体"/>
          <w:b/>
          <w:bCs/>
          <w:sz w:val="24"/>
          <w:szCs w:val="24"/>
        </w:rPr>
      </w:pPr>
      <w:bookmarkStart w:id="1" w:name="_Toc29871"/>
      <w:bookmarkStart w:id="2" w:name="_Toc19072"/>
      <w:bookmarkStart w:id="3" w:name="_Toc381191651"/>
      <w:r>
        <w:rPr>
          <w:rFonts w:hint="eastAsia" w:ascii="宋体" w:hAnsi="宋体" w:cs="宋体"/>
          <w:b/>
          <w:bCs/>
          <w:sz w:val="24"/>
          <w:szCs w:val="24"/>
        </w:rPr>
        <w:t>三、检测标准</w:t>
      </w:r>
      <w:bookmarkEnd w:id="1"/>
      <w:bookmarkEnd w:id="2"/>
      <w:r>
        <w:rPr>
          <w:rFonts w:hint="eastAsia" w:ascii="宋体" w:hAnsi="宋体" w:cs="宋体"/>
          <w:sz w:val="24"/>
          <w:szCs w:val="24"/>
        </w:rPr>
        <w:t>（根据项目的实际情况填写）</w:t>
      </w:r>
      <w:bookmarkEnd w:id="3"/>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双方约定的检测标准：</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256"/>
        <w:gridCol w:w="2016"/>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仿宋_GB2312" w:eastAsia="仿宋_GB2312"/>
                <w:sz w:val="24"/>
              </w:rPr>
            </w:pPr>
            <w:r>
              <w:rPr>
                <w:rFonts w:hint="eastAsia" w:ascii="仿宋_GB2312" w:eastAsia="仿宋_GB2312"/>
                <w:sz w:val="24"/>
              </w:rPr>
              <w:t>序号</w:t>
            </w:r>
          </w:p>
        </w:tc>
        <w:tc>
          <w:tcPr>
            <w:tcW w:w="0" w:type="auto"/>
            <w:tcBorders>
              <w:top w:val="single" w:color="auto" w:sz="4" w:space="0"/>
              <w:left w:val="single" w:color="auto" w:sz="4" w:space="0"/>
              <w:bottom w:val="single" w:color="auto" w:sz="4" w:space="0"/>
              <w:right w:val="single" w:color="auto" w:sz="4" w:space="0"/>
            </w:tcBorders>
            <w:vAlign w:val="center"/>
          </w:tcPr>
          <w:p>
            <w:pPr>
              <w:spacing w:line="400" w:lineRule="atLeast"/>
              <w:ind w:left="-2" w:leftChars="-1" w:firstLine="460" w:firstLineChars="192"/>
              <w:jc w:val="center"/>
              <w:rPr>
                <w:rFonts w:ascii="仿宋_GB2312" w:eastAsia="仿宋_GB2312"/>
                <w:sz w:val="24"/>
              </w:rPr>
            </w:pPr>
            <w:r>
              <w:rPr>
                <w:rFonts w:hint="eastAsia" w:ascii="仿宋_GB2312" w:eastAsia="仿宋_GB2312"/>
                <w:sz w:val="24"/>
              </w:rPr>
              <w:t>标准名称</w:t>
            </w:r>
          </w:p>
        </w:tc>
        <w:tc>
          <w:tcPr>
            <w:tcW w:w="2016"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仿宋_GB2312" w:eastAsia="仿宋_GB2312"/>
                <w:sz w:val="24"/>
              </w:rPr>
            </w:pPr>
            <w:r>
              <w:rPr>
                <w:rFonts w:hint="eastAsia" w:ascii="仿宋_GB2312" w:eastAsia="仿宋_GB2312"/>
                <w:sz w:val="24"/>
              </w:rPr>
              <w:t>标准代号</w:t>
            </w:r>
          </w:p>
        </w:tc>
        <w:tc>
          <w:tcPr>
            <w:tcW w:w="1442" w:type="dxa"/>
            <w:tcBorders>
              <w:top w:val="single" w:color="auto" w:sz="4" w:space="0"/>
              <w:left w:val="single" w:color="auto" w:sz="4" w:space="0"/>
              <w:bottom w:val="single" w:color="auto" w:sz="4" w:space="0"/>
              <w:right w:val="single" w:color="auto" w:sz="4" w:space="0"/>
            </w:tcBorders>
            <w:vAlign w:val="center"/>
          </w:tcPr>
          <w:p>
            <w:pPr>
              <w:spacing w:line="400" w:lineRule="atLeast"/>
              <w:ind w:firstLine="115" w:firstLineChars="48"/>
              <w:jc w:val="center"/>
              <w:rPr>
                <w:rFonts w:ascii="仿宋_GB2312" w:eastAsia="仿宋_GB2312"/>
                <w:sz w:val="24"/>
              </w:rPr>
            </w:pPr>
            <w:r>
              <w:rPr>
                <w:rFonts w:hint="eastAsia" w:ascii="仿宋_GB2312" w:eastAsia="仿宋_GB2312"/>
                <w:sz w:val="24"/>
              </w:rPr>
              <w:t>标准等级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1</w:t>
            </w:r>
          </w:p>
        </w:tc>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《混凝土结构工程施工质量验收规范》</w:t>
            </w:r>
          </w:p>
        </w:tc>
        <w:tc>
          <w:tcPr>
            <w:tcW w:w="20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GB 50204-2015</w:t>
            </w:r>
          </w:p>
        </w:tc>
        <w:tc>
          <w:tcPr>
            <w:tcW w:w="144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仿宋_GB2312" w:eastAsia="仿宋_GB2312"/>
                <w:sz w:val="24"/>
              </w:rPr>
            </w:pPr>
            <w:r>
              <w:rPr>
                <w:rFonts w:hint="eastAsia" w:ascii="仿宋_GB2312" w:eastAsia="仿宋_GB2312"/>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2</w:t>
            </w:r>
          </w:p>
        </w:tc>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《回弹法检测混凝土抗压强度技术规程》</w:t>
            </w:r>
          </w:p>
        </w:tc>
        <w:tc>
          <w:tcPr>
            <w:tcW w:w="20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ascii="仿宋_GB2312" w:hAnsi="宋体" w:eastAsia="仿宋_GB2312"/>
                <w:sz w:val="24"/>
              </w:rPr>
              <w:t>JGJ/T23-2011</w:t>
            </w:r>
          </w:p>
        </w:tc>
        <w:tc>
          <w:tcPr>
            <w:tcW w:w="144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仿宋_GB2312" w:eastAsia="仿宋_GB2312"/>
                <w:sz w:val="24"/>
              </w:rPr>
            </w:pPr>
            <w:r>
              <w:rPr>
                <w:rFonts w:hint="eastAsia" w:ascii="仿宋_GB2312" w:eastAsia="仿宋_GB2312"/>
                <w:sz w:val="24"/>
              </w:rPr>
              <w:t>行标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3</w:t>
            </w:r>
          </w:p>
        </w:tc>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《深圳市回弹法检测混凝土抗压强度技术规程》</w:t>
            </w:r>
          </w:p>
        </w:tc>
        <w:tc>
          <w:tcPr>
            <w:tcW w:w="20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ascii="仿宋_GB2312" w:hAnsi="宋体" w:eastAsia="仿宋_GB2312"/>
                <w:sz w:val="24"/>
              </w:rPr>
              <w:t>SGJ 28-2016</w:t>
            </w:r>
          </w:p>
        </w:tc>
        <w:tc>
          <w:tcPr>
            <w:tcW w:w="144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仿宋_GB2312" w:eastAsia="仿宋_GB2312"/>
                <w:sz w:val="24"/>
              </w:rPr>
            </w:pPr>
            <w:r>
              <w:rPr>
                <w:rFonts w:hint="eastAsia" w:ascii="仿宋_GB2312" w:eastAsia="仿宋_GB2312"/>
                <w:sz w:val="24"/>
              </w:rPr>
              <w:t>地标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4</w:t>
            </w:r>
          </w:p>
        </w:tc>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《钻芯法检测混凝土强度技术规程》</w:t>
            </w:r>
          </w:p>
        </w:tc>
        <w:tc>
          <w:tcPr>
            <w:tcW w:w="20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ascii="仿宋_GB2312" w:hAnsi="宋体" w:eastAsia="仿宋_GB2312"/>
                <w:sz w:val="24"/>
              </w:rPr>
              <w:t>JGJ/T 384-2016</w:t>
            </w:r>
          </w:p>
        </w:tc>
        <w:tc>
          <w:tcPr>
            <w:tcW w:w="144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仿宋_GB2312" w:eastAsia="仿宋_GB2312"/>
                <w:sz w:val="24"/>
              </w:rPr>
            </w:pPr>
            <w:r>
              <w:rPr>
                <w:rFonts w:hint="eastAsia" w:ascii="仿宋_GB2312" w:eastAsia="仿宋_GB2312"/>
                <w:sz w:val="24"/>
              </w:rPr>
              <w:t>行标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5</w:t>
            </w:r>
          </w:p>
        </w:tc>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《钻芯法检测混凝土强度技术规程》</w:t>
            </w:r>
          </w:p>
        </w:tc>
        <w:tc>
          <w:tcPr>
            <w:tcW w:w="20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ascii="仿宋_GB2312" w:hAnsi="宋体" w:eastAsia="仿宋_GB2312"/>
                <w:sz w:val="24"/>
              </w:rPr>
              <w:t>CECS03:2007</w:t>
            </w:r>
          </w:p>
        </w:tc>
        <w:tc>
          <w:tcPr>
            <w:tcW w:w="144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仿宋_GB2312" w:eastAsia="仿宋_GB2312"/>
                <w:sz w:val="24"/>
              </w:rPr>
            </w:pPr>
            <w:r>
              <w:rPr>
                <w:rFonts w:hint="eastAsia" w:ascii="仿宋_GB2312" w:eastAsia="仿宋_GB2312"/>
                <w:sz w:val="24"/>
              </w:rPr>
              <w:t>行标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6</w:t>
            </w:r>
          </w:p>
        </w:tc>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《混凝土中钢筋检测技术规程》</w:t>
            </w:r>
          </w:p>
        </w:tc>
        <w:tc>
          <w:tcPr>
            <w:tcW w:w="20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ascii="仿宋_GB2312" w:hAnsi="宋体" w:eastAsia="仿宋_GB2312"/>
                <w:sz w:val="24"/>
              </w:rPr>
              <w:t>JGJ/T 152-20</w:t>
            </w:r>
            <w:r>
              <w:rPr>
                <w:rFonts w:hint="eastAsia" w:ascii="仿宋_GB2312" w:hAnsi="宋体" w:eastAsia="仿宋_GB2312"/>
                <w:sz w:val="24"/>
              </w:rPr>
              <w:t>19</w:t>
            </w:r>
          </w:p>
        </w:tc>
        <w:tc>
          <w:tcPr>
            <w:tcW w:w="144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仿宋_GB2312" w:eastAsia="仿宋_GB2312"/>
                <w:sz w:val="24"/>
              </w:rPr>
            </w:pPr>
            <w:r>
              <w:rPr>
                <w:rFonts w:hint="eastAsia" w:ascii="仿宋_GB2312" w:eastAsia="仿宋_GB2312"/>
                <w:sz w:val="24"/>
              </w:rPr>
              <w:t>行标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7</w:t>
            </w:r>
          </w:p>
        </w:tc>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《普通混凝土力学性能》</w:t>
            </w:r>
          </w:p>
        </w:tc>
        <w:tc>
          <w:tcPr>
            <w:tcW w:w="20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GB/T 50081-2002</w:t>
            </w:r>
          </w:p>
        </w:tc>
        <w:tc>
          <w:tcPr>
            <w:tcW w:w="144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仿宋_GB2312" w:hAnsi="宋体" w:eastAsia="仿宋_GB2312"/>
                <w:sz w:val="24"/>
              </w:rPr>
            </w:pPr>
            <w:r>
              <w:rPr>
                <w:rFonts w:hint="eastAsia" w:ascii="仿宋_GB2312" w:hAnsi="宋体" w:eastAsia="仿宋_GB2312"/>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8</w:t>
            </w:r>
          </w:p>
        </w:tc>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《砌体工程施工质量验收规范》</w:t>
            </w:r>
          </w:p>
        </w:tc>
        <w:tc>
          <w:tcPr>
            <w:tcW w:w="20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ascii="仿宋_GB2312" w:hAnsi="宋体" w:eastAsia="仿宋_GB2312"/>
                <w:sz w:val="24"/>
              </w:rPr>
              <w:t>GB50203-2011</w:t>
            </w:r>
          </w:p>
        </w:tc>
        <w:tc>
          <w:tcPr>
            <w:tcW w:w="144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仿宋_GB2312" w:eastAsia="仿宋_GB2312"/>
                <w:sz w:val="24"/>
              </w:rPr>
            </w:pPr>
            <w:r>
              <w:rPr>
                <w:rFonts w:hint="eastAsia" w:ascii="仿宋_GB2312" w:eastAsia="仿宋_GB2312"/>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9</w:t>
            </w:r>
          </w:p>
        </w:tc>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《建筑结构检测技术标准》</w:t>
            </w:r>
          </w:p>
        </w:tc>
        <w:tc>
          <w:tcPr>
            <w:tcW w:w="20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24"/>
              </w:rPr>
            </w:pPr>
            <w:r>
              <w:rPr>
                <w:rFonts w:hint="eastAsia" w:ascii="仿宋_GB2312" w:hAnsi="宋体" w:eastAsia="仿宋_GB2312"/>
                <w:sz w:val="24"/>
              </w:rPr>
              <w:t>GB/T 50344-2004</w:t>
            </w:r>
          </w:p>
        </w:tc>
        <w:tc>
          <w:tcPr>
            <w:tcW w:w="144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仿宋_GB2312" w:eastAsia="仿宋_GB2312"/>
                <w:sz w:val="24"/>
              </w:rPr>
            </w:pPr>
            <w:r>
              <w:rPr>
                <w:rFonts w:hint="eastAsia" w:ascii="仿宋_GB2312" w:eastAsia="仿宋_GB2312"/>
                <w:sz w:val="24"/>
              </w:rPr>
              <w:t>国标</w:t>
            </w:r>
          </w:p>
        </w:tc>
      </w:tr>
    </w:tbl>
    <w:p>
      <w:pPr>
        <w:adjustRightInd w:val="0"/>
        <w:snapToGrid w:val="0"/>
        <w:spacing w:line="360" w:lineRule="auto"/>
        <w:ind w:firstLine="480" w:firstLineChars="200"/>
        <w:jc w:val="left"/>
        <w:outlineLvl w:val="2"/>
        <w:rPr>
          <w:rFonts w:ascii="宋体" w:hAnsi="宋体" w:cs="宋体"/>
          <w:b/>
          <w:bCs/>
          <w:sz w:val="24"/>
          <w:szCs w:val="24"/>
        </w:rPr>
      </w:pPr>
      <w:r>
        <w:rPr>
          <w:rFonts w:ascii="宋体" w:hAnsi="宋体" w:cs="宋体"/>
          <w:b/>
          <w:bCs/>
          <w:sz w:val="24"/>
          <w:szCs w:val="24"/>
        </w:rPr>
        <w:t>备注：具体规范标准以当地政府要求为准。</w:t>
      </w:r>
    </w:p>
    <w:p>
      <w:pPr>
        <w:adjustRightInd w:val="0"/>
        <w:snapToGrid w:val="0"/>
        <w:spacing w:line="360" w:lineRule="auto"/>
        <w:ind w:firstLine="480" w:firstLineChars="200"/>
        <w:jc w:val="left"/>
        <w:outlineLvl w:val="2"/>
        <w:rPr>
          <w:rFonts w:ascii="宋体" w:hAnsi="宋体" w:cs="宋体"/>
          <w:b/>
          <w:bCs/>
          <w:sz w:val="24"/>
          <w:szCs w:val="24"/>
        </w:rPr>
      </w:pPr>
      <w:r>
        <w:rPr>
          <w:rFonts w:hint="eastAsia" w:ascii="宋体" w:hAnsi="宋体" w:cs="宋体"/>
          <w:b/>
          <w:bCs/>
          <w:sz w:val="24"/>
          <w:szCs w:val="24"/>
        </w:rPr>
        <w:t>四、合同价款与支付</w:t>
      </w:r>
    </w:p>
    <w:p>
      <w:pPr>
        <w:adjustRightInd w:val="0"/>
        <w:snapToGrid w:val="0"/>
        <w:spacing w:line="360" w:lineRule="auto"/>
        <w:ind w:firstLine="480" w:firstLineChars="200"/>
        <w:jc w:val="left"/>
        <w:rPr>
          <w:rFonts w:ascii="宋体" w:hAnsi="宋体" w:cs="宋体"/>
          <w:b/>
          <w:bCs/>
          <w:sz w:val="24"/>
          <w:szCs w:val="24"/>
        </w:rPr>
      </w:pPr>
      <w:r>
        <w:rPr>
          <w:rFonts w:hint="eastAsia" w:ascii="宋体" w:hAnsi="宋体" w:cs="宋体"/>
          <w:b/>
          <w:bCs/>
          <w:sz w:val="24"/>
          <w:szCs w:val="24"/>
        </w:rPr>
        <w:t>1.收费标准</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本合同采用：本合同收费标准</w:t>
      </w:r>
      <w:r>
        <w:rPr>
          <w:rFonts w:hint="eastAsia" w:ascii="宋体" w:hAnsi="宋体" w:cs="宋体"/>
          <w:sz w:val="24"/>
          <w:szCs w:val="24"/>
          <w:u w:val="single"/>
        </w:rPr>
        <w:t xml:space="preserve">执行广东省建设工程质量安全检测和鉴定协会编制的的《广东省房屋建筑和市政工程质量安全检测收费指导价（第一批）》粤建检协【2015】8号文。      </w:t>
      </w:r>
    </w:p>
    <w:p>
      <w:pPr>
        <w:adjustRightInd w:val="0"/>
        <w:snapToGrid w:val="0"/>
        <w:spacing w:line="360" w:lineRule="auto"/>
        <w:ind w:firstLine="480" w:firstLineChars="200"/>
        <w:rPr>
          <w:rFonts w:ascii="宋体" w:hAnsi="宋体" w:cs="宋体"/>
          <w:b/>
          <w:bCs/>
          <w:sz w:val="24"/>
          <w:szCs w:val="24"/>
        </w:rPr>
      </w:pPr>
      <w:r>
        <w:rPr>
          <w:rFonts w:hint="eastAsia" w:ascii="宋体" w:hAnsi="宋体" w:cs="宋体"/>
          <w:b/>
          <w:bCs/>
          <w:sz w:val="24"/>
          <w:szCs w:val="24"/>
        </w:rPr>
        <w:t>2.合同价款</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本合同含税暂定金额为：      万元（大写金额：），中标下浮率为     ，检测费用构成（含项目及单价）详见附件一。</w:t>
      </w:r>
    </w:p>
    <w:p>
      <w:pPr>
        <w:adjustRightInd w:val="0"/>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乙方已详细了解了本工程的有关图纸、技术说明、工程质量检验要求、合同文件、工程所在地周围环境情况、以及检测内容、检测要求、检测质量验收标准和工期等要求，并充分考虑了人工费、材料费、机械费、管理费、利润、政府相关部门收取的一切费用和所有税费以及取得相关部门认可的手续费等相关因素，合同价中已综合考虑合同范围内的全部费用及风险，已充分考虑多次进出场费用，费用包括但不限于吊装费用、运输费等一切费用综合在单价中，结算时合同综合单价将不做任何调整。</w:t>
      </w:r>
    </w:p>
    <w:p>
      <w:pPr>
        <w:adjustRightInd w:val="0"/>
        <w:snapToGrid w:val="0"/>
        <w:spacing w:line="360" w:lineRule="auto"/>
        <w:ind w:firstLine="480" w:firstLineChars="200"/>
        <w:rPr>
          <w:rFonts w:ascii="宋体" w:hAnsi="宋体" w:cs="宋体"/>
          <w:b/>
          <w:bCs/>
          <w:sz w:val="24"/>
          <w:szCs w:val="24"/>
        </w:rPr>
      </w:pPr>
      <w:r>
        <w:rPr>
          <w:rFonts w:hint="eastAsia" w:ascii="宋体" w:hAnsi="宋体" w:cs="宋体"/>
          <w:b/>
          <w:bCs/>
          <w:sz w:val="24"/>
          <w:szCs w:val="24"/>
        </w:rPr>
        <w:t>3.合同结算原则</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u w:val="single"/>
        </w:rPr>
        <w:t>本合同采用固定综合单价计价方式。</w:t>
      </w:r>
      <w:r>
        <w:rPr>
          <w:rFonts w:hint="eastAsia" w:ascii="宋体" w:hAnsi="宋体" w:cs="Times New Roman"/>
          <w:b/>
          <w:bCs/>
          <w:szCs w:val="21"/>
        </w:rPr>
        <w:t>结算时按实结算，但不得超过招标投标时设定的投标上限价，如果实际结算价超过投标上限价，按投标上限价（</w:t>
      </w:r>
      <w:r>
        <w:rPr>
          <w:rFonts w:hint="eastAsia" w:ascii="宋体" w:hAnsi="宋体" w:cs="Times New Roman"/>
          <w:b/>
          <w:bCs/>
          <w:szCs w:val="21"/>
          <w:lang w:val="en-US" w:eastAsia="zh-CN"/>
        </w:rPr>
        <w:t>￥705,491.00元</w:t>
      </w:r>
      <w:r>
        <w:rPr>
          <w:rFonts w:hint="eastAsia" w:ascii="宋体" w:hAnsi="宋体" w:cs="Times New Roman"/>
          <w:b/>
          <w:bCs/>
          <w:szCs w:val="21"/>
        </w:rPr>
        <w:t>）结算。</w:t>
      </w:r>
    </w:p>
    <w:p>
      <w:pPr>
        <w:adjustRightInd w:val="0"/>
        <w:snapToGrid w:val="0"/>
        <w:spacing w:line="360" w:lineRule="auto"/>
        <w:ind w:firstLine="480" w:firstLineChars="200"/>
        <w:rPr>
          <w:rFonts w:hint="eastAsia" w:ascii="宋体" w:hAnsi="宋体" w:cs="宋体"/>
          <w:b/>
          <w:bCs/>
          <w:sz w:val="24"/>
          <w:szCs w:val="24"/>
        </w:rPr>
      </w:pPr>
      <w:r>
        <w:rPr>
          <w:rFonts w:hint="eastAsia" w:ascii="宋体" w:hAnsi="宋体" w:cs="宋体"/>
          <w:sz w:val="24"/>
          <w:szCs w:val="24"/>
        </w:rPr>
        <w:t>最终结算价格以甲方委托第三方机构审定并经甲方确认的结果为准，项目按规定须提交龙华区财政投资评审中心评审的，则最终结算价以龙华区财政投资评审中心评审结论为准（若项目按规定须提交政府审计部门审计的，则最终结算价以政府审计部门审计结果为准）。</w:t>
      </w:r>
    </w:p>
    <w:p>
      <w:pPr>
        <w:adjustRightInd w:val="0"/>
        <w:snapToGrid w:val="0"/>
        <w:spacing w:line="360" w:lineRule="auto"/>
        <w:ind w:firstLine="480" w:firstLineChars="200"/>
        <w:rPr>
          <w:rFonts w:ascii="宋体" w:hAnsi="宋体" w:cs="宋体"/>
          <w:b/>
          <w:bCs/>
          <w:sz w:val="24"/>
          <w:szCs w:val="24"/>
        </w:rPr>
      </w:pPr>
      <w:r>
        <w:rPr>
          <w:rFonts w:hint="eastAsia" w:ascii="宋体" w:hAnsi="宋体" w:cs="宋体"/>
          <w:b/>
          <w:bCs/>
          <w:sz w:val="24"/>
          <w:szCs w:val="24"/>
        </w:rPr>
        <w:t>4.合同款支付</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（1）乙方完成桩基础检测且出具检测报告，经甲方确认后，支付已完工程量价款的80%；</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（2)乙方完成主体结构实体检测且出具检测报告，经甲方确认后，支付已完工程量价款的80%；</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（3）乙方完成钢结构检测（如有）且出具检测报告，经甲方确认后，支付已完工程量价款80%；</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（4）经第三方第三方检测审核确定合同最终结算价后，支付至审核结算价的100%。</w:t>
      </w:r>
    </w:p>
    <w:p>
      <w:pPr>
        <w:adjustRightInd w:val="0"/>
        <w:snapToGrid w:val="0"/>
        <w:spacing w:line="360" w:lineRule="auto"/>
        <w:ind w:firstLine="480" w:firstLineChars="200"/>
        <w:outlineLvl w:val="1"/>
        <w:rPr>
          <w:rFonts w:hint="eastAsia" w:ascii="宋体" w:hAnsi="宋体" w:cs="宋体"/>
          <w:sz w:val="24"/>
          <w:szCs w:val="24"/>
        </w:rPr>
      </w:pPr>
      <w:bookmarkStart w:id="4" w:name="_Toc19537"/>
      <w:bookmarkStart w:id="5" w:name="_Toc3714"/>
      <w:bookmarkStart w:id="6" w:name="_Toc1552014756"/>
      <w:r>
        <w:rPr>
          <w:rFonts w:hint="eastAsia" w:ascii="宋体" w:hAnsi="宋体" w:cs="宋体"/>
          <w:sz w:val="24"/>
          <w:szCs w:val="24"/>
          <w:lang w:val="en-US" w:eastAsia="zh-CN"/>
        </w:rPr>
        <w:t>注：</w:t>
      </w:r>
      <w:r>
        <w:rPr>
          <w:rFonts w:hint="eastAsia" w:ascii="宋体" w:hAnsi="宋体" w:cs="宋体"/>
          <w:sz w:val="24"/>
          <w:szCs w:val="24"/>
        </w:rPr>
        <w:t>①甲方支付每期款项前，乙方须按照合同约定履行完相应义务并经甲方验收合格。甲方支付费用前，乙方需向甲方提供等额的增值税专用发票，否则甲方有权拒绝付款，且不承担任何法律责任。</w:t>
      </w:r>
    </w:p>
    <w:p>
      <w:pPr>
        <w:adjustRightInd w:val="0"/>
        <w:snapToGrid w:val="0"/>
        <w:spacing w:line="360" w:lineRule="auto"/>
        <w:ind w:firstLine="480" w:firstLineChars="200"/>
        <w:outlineLvl w:val="1"/>
        <w:rPr>
          <w:rFonts w:hint="eastAsia" w:ascii="宋体" w:hAnsi="宋体" w:cs="宋体"/>
          <w:sz w:val="24"/>
          <w:szCs w:val="24"/>
        </w:rPr>
      </w:pPr>
      <w:r>
        <w:rPr>
          <w:rFonts w:hint="eastAsia" w:ascii="宋体" w:hAnsi="宋体" w:cs="宋体"/>
          <w:sz w:val="24"/>
          <w:szCs w:val="24"/>
        </w:rPr>
        <w:t>②承包人保证其提供的银行账号真实、合法、有效，发包人向承包人指定的银行账号转入款项后即视为发包人履行完毕付款义务，合同支付方式包括但不限于银行转账、银行承兑汇票、商业承兑汇票等形式。若发包人以银行承兑汇票、商业承兑汇票等票据形式（票据期限不超过三个月，支付比例不超过合同额的30%）向承包人支付工程款时，因票据贴现产生的利息，由承包人承担。承包人开户银行、账号等如有变更，应在当期工程款申请时同步以书面方式通知发包人。如承包人未按合同约定及时通知发包人，由此导致的不利后果及损失均由承包人承担，给发包人造成经济损失的需予以赔偿。</w:t>
      </w:r>
    </w:p>
    <w:p>
      <w:pPr>
        <w:adjustRightInd w:val="0"/>
        <w:snapToGrid w:val="0"/>
        <w:spacing w:line="360" w:lineRule="auto"/>
        <w:ind w:firstLine="480" w:firstLineChars="200"/>
        <w:outlineLvl w:val="1"/>
        <w:rPr>
          <w:rFonts w:hint="eastAsia" w:ascii="宋体" w:hAnsi="宋体" w:cs="宋体"/>
          <w:sz w:val="24"/>
          <w:szCs w:val="24"/>
        </w:rPr>
      </w:pPr>
      <w:r>
        <w:rPr>
          <w:rFonts w:hint="eastAsia" w:ascii="宋体" w:hAnsi="宋体" w:cs="宋体"/>
          <w:sz w:val="24"/>
          <w:szCs w:val="24"/>
        </w:rPr>
        <w:t>③因包括政策法规、疫情等在内的所有不可抗力或本项目最终没有启动等原因致使合同无法履行，本合同由双方协商解约，双方各自承担己方损失，不得索赔。</w:t>
      </w:r>
    </w:p>
    <w:p>
      <w:pPr>
        <w:adjustRightInd w:val="0"/>
        <w:snapToGrid w:val="0"/>
        <w:spacing w:line="360" w:lineRule="auto"/>
        <w:ind w:firstLine="480" w:firstLineChars="200"/>
        <w:outlineLvl w:val="1"/>
        <w:rPr>
          <w:rFonts w:hint="eastAsia" w:ascii="宋体" w:hAnsi="宋体" w:cs="宋体"/>
          <w:sz w:val="24"/>
          <w:szCs w:val="24"/>
        </w:rPr>
      </w:pPr>
      <w:r>
        <w:rPr>
          <w:rFonts w:hint="eastAsia" w:ascii="宋体" w:hAnsi="宋体" w:cs="宋体"/>
          <w:sz w:val="24"/>
          <w:szCs w:val="24"/>
        </w:rPr>
        <w:t>④发包人建立履约评价考核制度，承包人须无条件接受发包人考评。</w:t>
      </w:r>
    </w:p>
    <w:p>
      <w:pPr>
        <w:adjustRightInd w:val="0"/>
        <w:snapToGrid w:val="0"/>
        <w:spacing w:line="360" w:lineRule="auto"/>
        <w:ind w:firstLine="480" w:firstLineChars="200"/>
        <w:outlineLvl w:val="1"/>
        <w:rPr>
          <w:rFonts w:ascii="宋体" w:hAnsi="宋体" w:cs="宋体"/>
          <w:b/>
          <w:bCs/>
          <w:sz w:val="24"/>
          <w:szCs w:val="24"/>
        </w:rPr>
      </w:pPr>
      <w:r>
        <w:rPr>
          <w:rFonts w:hint="eastAsia" w:ascii="宋体" w:hAnsi="宋体" w:cs="宋体"/>
          <w:b/>
          <w:bCs/>
          <w:sz w:val="24"/>
          <w:szCs w:val="24"/>
        </w:rPr>
        <w:t>五、检测报告的交付</w:t>
      </w:r>
      <w:bookmarkEnd w:id="4"/>
      <w:bookmarkEnd w:id="5"/>
      <w:bookmarkEnd w:id="6"/>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5.1</w:t>
      </w:r>
      <w:r>
        <w:rPr>
          <w:rFonts w:hint="eastAsia" w:ascii="宋体" w:hAnsi="宋体" w:cs="宋体"/>
          <w:sz w:val="24"/>
          <w:szCs w:val="24"/>
        </w:rPr>
        <w:t>乙方交付检测报告的时间详见附件二。乙方交付检测报告一式</w:t>
      </w:r>
      <w:r>
        <w:rPr>
          <w:rFonts w:hint="eastAsia" w:ascii="宋体" w:hAnsi="宋体" w:cs="宋体"/>
          <w:sz w:val="24"/>
          <w:szCs w:val="24"/>
          <w:u w:val="single"/>
        </w:rPr>
        <w:t xml:space="preserve"> 陆 </w:t>
      </w:r>
      <w:r>
        <w:rPr>
          <w:rFonts w:hint="eastAsia" w:ascii="宋体" w:hAnsi="宋体" w:cs="宋体"/>
          <w:sz w:val="24"/>
          <w:szCs w:val="24"/>
        </w:rPr>
        <w:t>份，当甲方对部分检测项目的检测报告份数有特殊需要时，可另行约定。</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5.2</w:t>
      </w:r>
      <w:r>
        <w:rPr>
          <w:rFonts w:hint="eastAsia" w:ascii="宋体" w:hAnsi="宋体" w:cs="宋体"/>
          <w:sz w:val="24"/>
          <w:szCs w:val="24"/>
        </w:rPr>
        <w:t>双方约定按照下列第</w:t>
      </w:r>
      <w:r>
        <w:rPr>
          <w:rFonts w:hint="eastAsia" w:ascii="宋体" w:hAnsi="宋体" w:cs="宋体"/>
          <w:sz w:val="24"/>
          <w:szCs w:val="24"/>
          <w:u w:val="single"/>
        </w:rPr>
        <w:t xml:space="preserve"> 2 </w:t>
      </w:r>
      <w:r>
        <w:rPr>
          <w:rFonts w:hint="eastAsia" w:ascii="宋体" w:hAnsi="宋体" w:cs="宋体"/>
          <w:sz w:val="24"/>
          <w:szCs w:val="24"/>
        </w:rPr>
        <w:t>种方式交付检测报告：</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5.2.1甲方上门提取检测报告。</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5.2.2乙方送检测报告给甲方。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5.2.3其他：</w:t>
      </w:r>
      <w:r>
        <w:rPr>
          <w:rFonts w:hint="eastAsia" w:ascii="宋体" w:hAnsi="宋体" w:cs="宋体"/>
          <w:bCs/>
          <w:sz w:val="24"/>
          <w:szCs w:val="24"/>
          <w:u w:val="single"/>
        </w:rPr>
        <w:t xml:space="preserve">                                 </w:t>
      </w:r>
    </w:p>
    <w:p>
      <w:pPr>
        <w:adjustRightInd w:val="0"/>
        <w:snapToGrid w:val="0"/>
        <w:spacing w:line="360" w:lineRule="auto"/>
        <w:ind w:firstLine="480" w:firstLineChars="200"/>
        <w:outlineLvl w:val="1"/>
        <w:rPr>
          <w:rFonts w:ascii="宋体" w:hAnsi="宋体" w:cs="宋体"/>
          <w:b/>
          <w:bCs/>
          <w:sz w:val="24"/>
          <w:szCs w:val="24"/>
        </w:rPr>
      </w:pPr>
      <w:bookmarkStart w:id="7" w:name="_Toc30099"/>
      <w:bookmarkStart w:id="8" w:name="_Toc706107903"/>
      <w:bookmarkStart w:id="9" w:name="_Toc2519"/>
      <w:r>
        <w:rPr>
          <w:rFonts w:hint="eastAsia" w:ascii="宋体" w:hAnsi="宋体" w:cs="宋体"/>
          <w:b/>
          <w:bCs/>
          <w:sz w:val="24"/>
          <w:szCs w:val="24"/>
        </w:rPr>
        <w:t>六、检测样品的运输</w:t>
      </w:r>
      <w:bookmarkEnd w:id="7"/>
      <w:bookmarkEnd w:id="8"/>
      <w:bookmarkEnd w:id="9"/>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双方约定按以下</w:t>
      </w:r>
      <w:r>
        <w:rPr>
          <w:rFonts w:hint="eastAsia" w:ascii="宋体" w:hAnsi="宋体" w:cs="宋体"/>
          <w:sz w:val="24"/>
          <w:szCs w:val="24"/>
          <w:u w:val="single"/>
        </w:rPr>
        <w:t xml:space="preserve"> 6.2 </w:t>
      </w:r>
      <w:r>
        <w:rPr>
          <w:rFonts w:hint="eastAsia" w:ascii="宋体" w:hAnsi="宋体" w:cs="宋体"/>
          <w:sz w:val="24"/>
          <w:szCs w:val="24"/>
        </w:rPr>
        <w:t>方式运输检测样品。乙方按有关规定对检测后的样品进行留样。</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6.1甲方负责将检测样品送至乙方检测场所，并承担相应运输费用。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6.2乙方到工程现场抽取检测样品，并承担相应抽样及运输费用。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6.3其他：</w:t>
      </w:r>
      <w:r>
        <w:rPr>
          <w:rFonts w:hint="eastAsia" w:ascii="宋体" w:hAnsi="宋体" w:cs="宋体"/>
          <w:sz w:val="24"/>
          <w:szCs w:val="24"/>
          <w:u w:val="single"/>
        </w:rPr>
        <w:t xml:space="preserve">                                    </w:t>
      </w:r>
    </w:p>
    <w:p>
      <w:pPr>
        <w:adjustRightInd w:val="0"/>
        <w:snapToGrid w:val="0"/>
        <w:spacing w:line="360" w:lineRule="auto"/>
        <w:ind w:firstLine="480" w:firstLineChars="200"/>
        <w:jc w:val="left"/>
        <w:outlineLvl w:val="2"/>
        <w:rPr>
          <w:rFonts w:ascii="宋体" w:hAnsi="宋体" w:cs="宋体"/>
          <w:b/>
          <w:bCs/>
          <w:sz w:val="24"/>
          <w:szCs w:val="24"/>
        </w:rPr>
      </w:pPr>
      <w:r>
        <w:rPr>
          <w:rFonts w:hint="eastAsia" w:ascii="宋体" w:hAnsi="宋体" w:cs="宋体"/>
          <w:b/>
          <w:bCs/>
          <w:sz w:val="24"/>
          <w:szCs w:val="24"/>
        </w:rPr>
        <w:t>七、甲方的义务、权利和责任</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7.1</w:t>
      </w:r>
      <w:r>
        <w:rPr>
          <w:rFonts w:hint="eastAsia" w:ascii="宋体" w:hAnsi="宋体" w:cs="宋体"/>
          <w:sz w:val="24"/>
          <w:szCs w:val="24"/>
        </w:rPr>
        <w:t>甲方不得将同一单位工程中的同一类型检测项目委托其他检测机构进行检测。</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7.2</w:t>
      </w:r>
      <w:r>
        <w:rPr>
          <w:rFonts w:hint="eastAsia" w:ascii="宋体" w:hAnsi="宋体" w:cs="宋体"/>
          <w:sz w:val="24"/>
          <w:szCs w:val="24"/>
        </w:rPr>
        <w:t>甲方授权</w:t>
      </w:r>
      <w:r>
        <w:rPr>
          <w:rFonts w:hint="eastAsia" w:ascii="宋体" w:hAnsi="宋体" w:cs="宋体"/>
          <w:sz w:val="24"/>
          <w:szCs w:val="24"/>
          <w:u w:val="single"/>
        </w:rPr>
        <w:t xml:space="preserve">     </w:t>
      </w:r>
      <w:r>
        <w:rPr>
          <w:rFonts w:hint="eastAsia" w:ascii="宋体" w:hAnsi="宋体" w:cs="宋体"/>
          <w:sz w:val="24"/>
          <w:szCs w:val="24"/>
        </w:rPr>
        <w:t>为代表，负责与乙方联系。如甲方代表发生变更，甲方应书面告知乙方。</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7.3</w:t>
      </w:r>
      <w:r>
        <w:rPr>
          <w:rFonts w:hint="eastAsia" w:ascii="宋体" w:hAnsi="宋体" w:cs="宋体"/>
          <w:sz w:val="24"/>
          <w:szCs w:val="24"/>
        </w:rPr>
        <w:t>甲方应于检测活动开始前</w:t>
      </w:r>
      <w:r>
        <w:rPr>
          <w:rFonts w:hint="eastAsia" w:ascii="宋体" w:hAnsi="宋体" w:cs="宋体"/>
          <w:sz w:val="24"/>
          <w:szCs w:val="24"/>
          <w:u w:val="single"/>
        </w:rPr>
        <w:t xml:space="preserve"> 3 </w:t>
      </w:r>
      <w:r>
        <w:rPr>
          <w:rFonts w:hint="eastAsia" w:ascii="宋体" w:hAnsi="宋体" w:cs="宋体"/>
          <w:sz w:val="24"/>
          <w:szCs w:val="24"/>
        </w:rPr>
        <w:t>日内向乙方提供附件三所列的与本检测业务有关的资料及文件，并对资料的可靠性负责。</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7.4</w:t>
      </w:r>
      <w:r>
        <w:rPr>
          <w:rFonts w:hint="eastAsia" w:ascii="宋体" w:hAnsi="宋体" w:cs="宋体"/>
          <w:sz w:val="24"/>
          <w:szCs w:val="24"/>
        </w:rPr>
        <w:t>委托检测前，甲方应将见证单位和见证人员以书面形式通知乙方。见证人员发生变更的，甲方应及时书面告知乙方。</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7.5</w:t>
      </w:r>
      <w:r>
        <w:rPr>
          <w:rFonts w:hint="eastAsia" w:ascii="宋体" w:hAnsi="宋体" w:cs="宋体"/>
          <w:sz w:val="24"/>
          <w:szCs w:val="24"/>
        </w:rPr>
        <w:t>甲方应提前通知乙方进场时间及检测范围，并派专人负责现场情况介绍及现场协调。</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7.6</w:t>
      </w:r>
      <w:r>
        <w:rPr>
          <w:rFonts w:hint="eastAsia" w:ascii="宋体" w:hAnsi="宋体" w:cs="宋体"/>
          <w:sz w:val="24"/>
          <w:szCs w:val="24"/>
        </w:rPr>
        <w:t>甲方负责与检测业务有关的第三人的协调工作，为乙方提供必要的外部工作条件。具体包括</w:t>
      </w:r>
      <w:r>
        <w:rPr>
          <w:rFonts w:hint="eastAsia" w:ascii="宋体" w:hAnsi="宋体" w:cs="宋体"/>
          <w:sz w:val="24"/>
          <w:szCs w:val="24"/>
          <w:u w:val="single"/>
        </w:rPr>
        <w:t xml:space="preserve">                                             </w:t>
      </w:r>
      <w:r>
        <w:rPr>
          <w:rFonts w:hint="eastAsia" w:ascii="宋体" w:hAnsi="宋体" w:cs="宋体"/>
          <w:sz w:val="24"/>
          <w:szCs w:val="24"/>
        </w:rPr>
        <w:t>。</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7.7</w:t>
      </w:r>
      <w:r>
        <w:rPr>
          <w:rFonts w:hint="eastAsia" w:ascii="宋体" w:hAnsi="宋体" w:cs="宋体"/>
          <w:sz w:val="24"/>
          <w:szCs w:val="24"/>
        </w:rPr>
        <w:t>如遇特殊情况需暂停检测，甲方应提前通知乙方。</w:t>
      </w:r>
    </w:p>
    <w:p>
      <w:pPr>
        <w:adjustRightInd w:val="0"/>
        <w:snapToGrid w:val="0"/>
        <w:spacing w:line="360" w:lineRule="auto"/>
        <w:ind w:firstLine="480" w:firstLineChars="200"/>
      </w:pPr>
      <w:r>
        <w:rPr>
          <w:rFonts w:hint="eastAsia" w:ascii="宋体" w:hAnsi="宋体" w:cs="宋体"/>
          <w:b/>
          <w:bCs/>
          <w:sz w:val="24"/>
          <w:szCs w:val="24"/>
        </w:rPr>
        <w:t>7.8</w:t>
      </w:r>
      <w:r>
        <w:rPr>
          <w:rFonts w:hint="eastAsia" w:ascii="宋体" w:hAnsi="宋体" w:cs="宋体"/>
          <w:sz w:val="24"/>
          <w:szCs w:val="24"/>
        </w:rPr>
        <w:t>甲方不得以任何方式要求乙方出具虚假检测报告。</w:t>
      </w:r>
    </w:p>
    <w:p>
      <w:pPr>
        <w:adjustRightInd w:val="0"/>
        <w:snapToGrid w:val="0"/>
        <w:spacing w:line="360" w:lineRule="auto"/>
        <w:ind w:firstLine="480" w:firstLineChars="200"/>
        <w:rPr>
          <w:rFonts w:ascii="宋体" w:hAnsi="宋体" w:cs="宋体"/>
          <w:b/>
          <w:bCs/>
          <w:sz w:val="24"/>
          <w:szCs w:val="24"/>
        </w:rPr>
      </w:pPr>
      <w:r>
        <w:rPr>
          <w:rFonts w:hint="eastAsia" w:ascii="宋体" w:hAnsi="宋体" w:cs="宋体"/>
          <w:b/>
          <w:bCs/>
          <w:sz w:val="24"/>
          <w:szCs w:val="24"/>
        </w:rPr>
        <w:t>八、乙方的义务、权利和责任</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8.1</w:t>
      </w:r>
      <w:r>
        <w:rPr>
          <w:rFonts w:hint="eastAsia" w:ascii="宋体" w:hAnsi="宋体" w:cs="宋体"/>
          <w:sz w:val="24"/>
          <w:szCs w:val="24"/>
        </w:rPr>
        <w:t>乙方应向甲方提供与本工程检测业务有关的资料，包括建设工程检测资质证书、检测机构评估证书及其附表等复印件。</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8.2</w:t>
      </w:r>
      <w:r>
        <w:rPr>
          <w:rFonts w:hint="eastAsia" w:ascii="宋体" w:hAnsi="宋体" w:cs="宋体"/>
          <w:sz w:val="24"/>
          <w:szCs w:val="24"/>
        </w:rPr>
        <w:t>乙方收到甲方提供的有关资料及文件后，应仔细阅读，如发现任何不明晰或错误，应5日内向甲方提出书面意见。乙方对甲方提供资料的理解的准确性自行负责。</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8.3</w:t>
      </w:r>
      <w:r>
        <w:rPr>
          <w:rFonts w:hint="eastAsia" w:ascii="宋体" w:hAnsi="宋体" w:cs="宋体"/>
          <w:sz w:val="24"/>
          <w:szCs w:val="24"/>
        </w:rPr>
        <w:t>乙方确保与行政机关、法律法规授权的具有管理公共事务职能的组织以及本工程相关的建设单位、设计单位、施工单位、监理单位无隶属关系或者其他利害关系。</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8.4</w:t>
      </w:r>
      <w:r>
        <w:rPr>
          <w:rFonts w:hint="eastAsia" w:ascii="宋体" w:hAnsi="宋体" w:cs="宋体"/>
          <w:sz w:val="24"/>
          <w:szCs w:val="24"/>
        </w:rPr>
        <w:t>乙方在同一建设工程项目或标段中，不得同时接受建设、施工或者监理单位等两方以上的检测委托。</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8.5</w:t>
      </w:r>
      <w:r>
        <w:rPr>
          <w:rFonts w:hint="eastAsia" w:ascii="宋体" w:hAnsi="宋体" w:cs="宋体"/>
          <w:sz w:val="24"/>
          <w:szCs w:val="24"/>
        </w:rPr>
        <w:t>乙方应当按照合同约定的标准进行检测，并对检测数据和检测报告的真实性和准确性负责。</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8.6</w:t>
      </w:r>
      <w:r>
        <w:rPr>
          <w:rFonts w:hint="eastAsia" w:ascii="宋体" w:hAnsi="宋体" w:cs="宋体"/>
          <w:sz w:val="24"/>
          <w:szCs w:val="24"/>
        </w:rPr>
        <w:t>检测项目属于工程实体检测的，乙方应事先编制检测方案报送甲方。</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8.7</w:t>
      </w:r>
      <w:r>
        <w:rPr>
          <w:rFonts w:hint="eastAsia" w:ascii="宋体" w:hAnsi="宋体" w:cs="宋体"/>
          <w:sz w:val="24"/>
          <w:szCs w:val="24"/>
        </w:rPr>
        <w:t>乙方现场检测时应遵守工程安全管理及其他工程现场管理制度。</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8.8</w:t>
      </w:r>
      <w:r>
        <w:rPr>
          <w:rFonts w:hint="eastAsia" w:ascii="宋体" w:hAnsi="宋体" w:cs="宋体"/>
          <w:spacing w:val="-4"/>
          <w:sz w:val="24"/>
          <w:szCs w:val="24"/>
        </w:rPr>
        <w:t>对依据相关法律、法规、规章和技术标准实施的建设工程法定检测项目，乙</w:t>
      </w:r>
      <w:r>
        <w:rPr>
          <w:rFonts w:hint="eastAsia" w:ascii="宋体" w:hAnsi="宋体" w:cs="宋体"/>
          <w:sz w:val="24"/>
          <w:szCs w:val="24"/>
        </w:rPr>
        <w:t>方应使用检测信息系统实施检测，并出具带有防伪标记和校验码的检测报告。</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8.9</w:t>
      </w:r>
      <w:r>
        <w:rPr>
          <w:rFonts w:hint="eastAsia" w:ascii="宋体" w:hAnsi="宋体" w:cs="宋体"/>
          <w:sz w:val="24"/>
          <w:szCs w:val="24"/>
        </w:rPr>
        <w:t>检测结果不合格的，乙方应在获得检测结果后</w:t>
      </w:r>
      <w:r>
        <w:rPr>
          <w:rFonts w:hint="eastAsia" w:ascii="宋体" w:hAnsi="宋体" w:cs="宋体"/>
          <w:sz w:val="24"/>
          <w:szCs w:val="24"/>
          <w:u w:val="single"/>
        </w:rPr>
        <w:t>2小时</w:t>
      </w:r>
      <w:r>
        <w:rPr>
          <w:rFonts w:hint="eastAsia" w:ascii="宋体" w:hAnsi="宋体" w:cs="宋体"/>
          <w:sz w:val="24"/>
          <w:szCs w:val="24"/>
        </w:rPr>
        <w:t>内通知甲方及监理单位。</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8.10</w:t>
      </w:r>
      <w:r>
        <w:rPr>
          <w:rFonts w:hint="eastAsia" w:ascii="宋体" w:hAnsi="宋体" w:cs="宋体"/>
          <w:sz w:val="24"/>
          <w:szCs w:val="24"/>
        </w:rPr>
        <w:t>乙方对检测工作中涉及到的国家机密、商业秘密、个人隐私应当承担保密义务。</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b/>
          <w:bCs/>
          <w:sz w:val="24"/>
          <w:szCs w:val="24"/>
        </w:rPr>
        <w:t>8.11</w:t>
      </w:r>
      <w:r>
        <w:rPr>
          <w:rFonts w:hint="eastAsia" w:ascii="宋体" w:hAnsi="宋体" w:cs="宋体"/>
          <w:sz w:val="24"/>
          <w:szCs w:val="24"/>
        </w:rPr>
        <w:t>乙方委派的本项目负责人为：</w:t>
      </w:r>
      <w:r>
        <w:rPr>
          <w:rFonts w:hint="eastAsia" w:ascii="宋体" w:hAnsi="宋体" w:cs="宋体"/>
          <w:sz w:val="24"/>
          <w:szCs w:val="24"/>
          <w:u w:val="single"/>
        </w:rPr>
        <w:t xml:space="preserve">              </w:t>
      </w:r>
      <w:r>
        <w:rPr>
          <w:rFonts w:hint="eastAsia" w:ascii="宋体" w:hAnsi="宋体" w:cs="宋体"/>
          <w:sz w:val="24"/>
          <w:szCs w:val="24"/>
        </w:rPr>
        <w:t>，联系电话：</w:t>
      </w:r>
      <w:r>
        <w:rPr>
          <w:rFonts w:hint="eastAsia" w:ascii="宋体" w:hAnsi="宋体" w:cs="宋体"/>
          <w:sz w:val="24"/>
          <w:szCs w:val="24"/>
          <w:u w:val="single"/>
        </w:rPr>
        <w:t xml:space="preserve">             </w:t>
      </w:r>
      <w:r>
        <w:rPr>
          <w:rFonts w:hint="eastAsia" w:ascii="宋体" w:hAnsi="宋体" w:cs="宋体"/>
          <w:sz w:val="24"/>
          <w:szCs w:val="24"/>
        </w:rPr>
        <w:t>，电子邮箱：</w:t>
      </w:r>
      <w:r>
        <w:rPr>
          <w:rFonts w:hint="eastAsia" w:ascii="宋体" w:hAnsi="宋体" w:cs="宋体"/>
          <w:sz w:val="24"/>
          <w:szCs w:val="24"/>
          <w:u w:val="single"/>
        </w:rPr>
        <w:t xml:space="preserve">               </w:t>
      </w:r>
      <w:r>
        <w:rPr>
          <w:rFonts w:hint="eastAsia" w:ascii="宋体" w:hAnsi="宋体" w:cs="宋体"/>
          <w:sz w:val="24"/>
          <w:szCs w:val="24"/>
        </w:rPr>
        <w:t>，通讯地址：</w:t>
      </w:r>
      <w:r>
        <w:rPr>
          <w:rFonts w:hint="eastAsia" w:ascii="宋体" w:hAnsi="宋体" w:cs="宋体"/>
          <w:sz w:val="24"/>
          <w:szCs w:val="24"/>
          <w:u w:val="single"/>
        </w:rPr>
        <w:t xml:space="preserve">                              </w:t>
      </w:r>
      <w:r>
        <w:rPr>
          <w:rFonts w:hint="eastAsia" w:ascii="宋体" w:hAnsi="宋体" w:cs="宋体"/>
          <w:sz w:val="24"/>
          <w:szCs w:val="24"/>
        </w:rPr>
        <w:t>。项目负责人负责组织推进项目具体工作以及后续服务配合，未经甲方事前书面同意，不得更换，否则甲方有权要求乙方按合同暂定价的20%支付违约金。</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8.12乙方检测人员须具有相关专业的检测资格证。</w:t>
      </w:r>
    </w:p>
    <w:p>
      <w:pPr>
        <w:adjustRightInd w:val="0"/>
        <w:snapToGrid w:val="0"/>
        <w:spacing w:line="360" w:lineRule="auto"/>
        <w:ind w:firstLine="480" w:firstLineChars="200"/>
        <w:outlineLvl w:val="1"/>
        <w:rPr>
          <w:rFonts w:ascii="宋体" w:hAnsi="宋体" w:cs="宋体"/>
          <w:b/>
          <w:bCs/>
          <w:sz w:val="24"/>
          <w:szCs w:val="24"/>
        </w:rPr>
      </w:pPr>
      <w:bookmarkStart w:id="10" w:name="_Toc5302"/>
      <w:bookmarkStart w:id="11" w:name="_Toc29997084"/>
      <w:bookmarkStart w:id="12" w:name="_Toc14858"/>
      <w:r>
        <w:rPr>
          <w:rFonts w:hint="eastAsia" w:ascii="宋体" w:hAnsi="宋体" w:cs="宋体"/>
          <w:b/>
          <w:bCs/>
          <w:sz w:val="24"/>
          <w:szCs w:val="24"/>
        </w:rPr>
        <w:t>九、对检测结论异议的处理</w:t>
      </w:r>
      <w:bookmarkEnd w:id="10"/>
      <w:bookmarkEnd w:id="11"/>
      <w:bookmarkEnd w:id="12"/>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甲方对检测结论有异议的，可由双方共同认可的检测机构复检。复检结论与原检测结论相同，由甲方支付复检费用；反之，则由乙方承担复检费用。复检结果由提出复检方报建设行政管理部门或者其他有关部门备案。</w:t>
      </w:r>
    </w:p>
    <w:p>
      <w:pPr>
        <w:adjustRightInd w:val="0"/>
        <w:snapToGrid w:val="0"/>
        <w:spacing w:line="360" w:lineRule="auto"/>
        <w:ind w:firstLine="480" w:firstLineChars="200"/>
        <w:outlineLvl w:val="1"/>
        <w:rPr>
          <w:rFonts w:ascii="宋体" w:hAnsi="宋体" w:cs="宋体"/>
          <w:b/>
          <w:bCs/>
          <w:sz w:val="24"/>
          <w:szCs w:val="24"/>
        </w:rPr>
      </w:pPr>
      <w:bookmarkStart w:id="13" w:name="_Toc8760"/>
      <w:bookmarkStart w:id="14" w:name="_Toc107801981"/>
      <w:bookmarkStart w:id="15" w:name="_Toc14382"/>
      <w:r>
        <w:rPr>
          <w:rFonts w:hint="eastAsia" w:ascii="宋体" w:hAnsi="宋体" w:cs="宋体"/>
          <w:b/>
          <w:bCs/>
          <w:sz w:val="24"/>
          <w:szCs w:val="24"/>
        </w:rPr>
        <w:t>十、违约责任</w:t>
      </w:r>
      <w:bookmarkEnd w:id="13"/>
      <w:bookmarkEnd w:id="14"/>
      <w:bookmarkEnd w:id="15"/>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10.1</w:t>
      </w:r>
      <w:r>
        <w:rPr>
          <w:rFonts w:hint="eastAsia" w:ascii="宋体" w:hAnsi="宋体" w:cs="宋体"/>
          <w:sz w:val="24"/>
          <w:szCs w:val="24"/>
        </w:rPr>
        <w:t>因甲方未履行合同义务而造成乙方无法按时保质完成检测业务的，甲方应当承担自身相应经济损失，并赔偿由此给乙方造成的损失。完成检测业务的时限由双方另行约定。</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10.2</w:t>
      </w:r>
      <w:r>
        <w:rPr>
          <w:rFonts w:hint="eastAsia" w:ascii="宋体" w:hAnsi="宋体" w:cs="宋体"/>
          <w:sz w:val="24"/>
          <w:szCs w:val="24"/>
        </w:rPr>
        <w:t>乙方未按甲方要求的时间进场开展检测工作的，每延迟一天，扣减本合同暂定价的</w:t>
      </w:r>
      <w:r>
        <w:rPr>
          <w:rFonts w:hint="eastAsia" w:ascii="宋体" w:hAnsi="宋体" w:cs="宋体"/>
          <w:sz w:val="24"/>
          <w:szCs w:val="24"/>
          <w:u w:val="single"/>
        </w:rPr>
        <w:t xml:space="preserve"> 0.1 </w:t>
      </w:r>
      <w:r>
        <w:rPr>
          <w:rFonts w:hint="eastAsia" w:ascii="宋体" w:hAnsi="宋体" w:cs="宋体"/>
          <w:sz w:val="24"/>
          <w:szCs w:val="24"/>
        </w:rPr>
        <w:t>%作为违约金。</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10.3</w:t>
      </w:r>
      <w:r>
        <w:rPr>
          <w:rFonts w:hint="eastAsia" w:ascii="宋体" w:hAnsi="宋体" w:cs="宋体"/>
          <w:sz w:val="24"/>
          <w:szCs w:val="24"/>
        </w:rPr>
        <w:t>乙方未按照合同约定时间提交检测报告，每逾期一天，扣减本合同暂定价的</w:t>
      </w:r>
      <w:r>
        <w:rPr>
          <w:rFonts w:hint="eastAsia" w:ascii="宋体" w:hAnsi="宋体" w:cs="宋体"/>
          <w:sz w:val="24"/>
          <w:szCs w:val="24"/>
          <w:u w:val="single"/>
        </w:rPr>
        <w:t xml:space="preserve"> 0.1 </w:t>
      </w:r>
      <w:r>
        <w:rPr>
          <w:rFonts w:hint="eastAsia" w:ascii="宋体" w:hAnsi="宋体" w:cs="宋体"/>
          <w:sz w:val="24"/>
          <w:szCs w:val="24"/>
        </w:rPr>
        <w:t>%作为违约金；乙方逾期超过5日的，甲方有权单方解除合同。</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10.4</w:t>
      </w:r>
      <w:r>
        <w:rPr>
          <w:rFonts w:hint="eastAsia" w:ascii="宋体" w:hAnsi="宋体" w:cs="宋体"/>
          <w:sz w:val="24"/>
          <w:szCs w:val="24"/>
        </w:rPr>
        <w:t>检测报告信息错误、未按照约定检测依据进行检测或者检测结论判断错误的，乙方应进行更正或免费重新进行检测，给甲方造成损失的应予以赔偿，由甲方原因造成上述错误的除外。</w:t>
      </w:r>
    </w:p>
    <w:p>
      <w:pPr>
        <w:adjustRightInd w:val="0"/>
        <w:snapToGrid w:val="0"/>
        <w:spacing w:line="360" w:lineRule="auto"/>
        <w:ind w:firstLine="480" w:firstLineChars="200"/>
      </w:pPr>
      <w:r>
        <w:rPr>
          <w:rFonts w:hint="eastAsia" w:ascii="宋体" w:hAnsi="宋体" w:cs="宋体"/>
          <w:b/>
          <w:bCs/>
          <w:sz w:val="24"/>
          <w:szCs w:val="24"/>
        </w:rPr>
        <w:t>10.5</w:t>
      </w:r>
      <w:r>
        <w:rPr>
          <w:rFonts w:hint="eastAsia" w:ascii="宋体" w:hAnsi="宋体" w:cs="宋体"/>
          <w:sz w:val="24"/>
          <w:szCs w:val="24"/>
        </w:rPr>
        <w:t>乙方不得将本合同的服务内容予以分包或转让，否则将视为严重违约，甲方有权单方解除合同，乙方除应付甲方合同总价30%的违约金外，还应就甲方因此所产生的经济损失承担赔偿责任。</w:t>
      </w:r>
    </w:p>
    <w:p>
      <w:pPr>
        <w:adjustRightInd w:val="0"/>
        <w:snapToGrid w:val="0"/>
        <w:spacing w:line="360" w:lineRule="auto"/>
        <w:ind w:firstLine="480" w:firstLineChars="200"/>
        <w:rPr>
          <w:rFonts w:hint="eastAsia" w:ascii="宋体" w:hAnsi="宋体" w:cs="宋体"/>
          <w:b/>
          <w:bCs/>
          <w:sz w:val="24"/>
          <w:szCs w:val="24"/>
        </w:rPr>
      </w:pPr>
      <w:r>
        <w:rPr>
          <w:rFonts w:hint="eastAsia" w:ascii="宋体" w:hAnsi="宋体" w:cs="宋体"/>
          <w:b/>
          <w:bCs/>
          <w:sz w:val="24"/>
          <w:szCs w:val="24"/>
        </w:rPr>
        <w:t>10.6</w:t>
      </w:r>
      <w:r>
        <w:rPr>
          <w:rFonts w:hint="eastAsia"/>
          <w:b/>
          <w:bCs/>
        </w:rPr>
        <w:t>所</w:t>
      </w:r>
      <w:r>
        <w:rPr>
          <w:rFonts w:hint="eastAsia" w:ascii="宋体" w:hAnsi="宋体" w:cs="宋体"/>
          <w:b/>
          <w:bCs/>
          <w:sz w:val="24"/>
          <w:szCs w:val="24"/>
        </w:rPr>
        <w:t>有检测报告须满足政府要求。</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b/>
          <w:bCs/>
          <w:sz w:val="24"/>
          <w:szCs w:val="24"/>
        </w:rPr>
        <w:t>10.7</w:t>
      </w:r>
      <w:r>
        <w:rPr>
          <w:rFonts w:hint="eastAsia" w:ascii="宋体" w:hAnsi="宋体" w:cs="宋体"/>
          <w:sz w:val="24"/>
          <w:szCs w:val="24"/>
        </w:rPr>
        <w:t>其他违约责任：</w:t>
      </w:r>
      <w:r>
        <w:rPr>
          <w:rFonts w:hint="eastAsia" w:ascii="宋体" w:hAnsi="宋体" w:cs="宋体"/>
          <w:sz w:val="24"/>
          <w:szCs w:val="24"/>
          <w:u w:val="single"/>
        </w:rPr>
        <w:t xml:space="preserve"> 因非乙方原因造成乙方无法按时完成检测业务的，甲方应将工期予以顺延，但乙方不得要求经济补偿。</w:t>
      </w:r>
    </w:p>
    <w:p>
      <w:pPr>
        <w:adjustRightInd w:val="0"/>
        <w:snapToGrid w:val="0"/>
        <w:spacing w:line="360" w:lineRule="auto"/>
        <w:ind w:firstLine="480" w:firstLineChars="200"/>
        <w:outlineLvl w:val="1"/>
        <w:rPr>
          <w:rFonts w:ascii="宋体" w:hAnsi="宋体" w:cs="宋体"/>
          <w:b/>
          <w:bCs/>
          <w:sz w:val="24"/>
          <w:szCs w:val="24"/>
        </w:rPr>
      </w:pPr>
      <w:bookmarkStart w:id="16" w:name="_Toc1190926218"/>
      <w:bookmarkStart w:id="17" w:name="_Toc20625"/>
      <w:bookmarkStart w:id="18" w:name="_Toc20608"/>
      <w:r>
        <w:rPr>
          <w:rFonts w:hint="eastAsia" w:ascii="宋体" w:hAnsi="宋体" w:cs="宋体"/>
          <w:b/>
          <w:bCs/>
          <w:sz w:val="24"/>
          <w:szCs w:val="24"/>
        </w:rPr>
        <w:t>十一、其他约定事项</w:t>
      </w:r>
      <w:bookmarkEnd w:id="16"/>
      <w:bookmarkEnd w:id="17"/>
      <w:bookmarkEnd w:id="18"/>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合同实行履约评价制度。在合同履行过程中，甲方在本工程实施阶段制定的相关管理规定为本合同的组成部分，乙方应无条件执行。甲方建立履约评价考核制度，乙方须无条件接受甲方考评，最终以甲方下发的履约评价制度执行。</w:t>
      </w:r>
    </w:p>
    <w:p>
      <w:pPr>
        <w:adjustRightInd w:val="0"/>
        <w:snapToGrid w:val="0"/>
        <w:spacing w:line="360" w:lineRule="auto"/>
        <w:ind w:firstLine="480" w:firstLineChars="200"/>
        <w:outlineLvl w:val="1"/>
        <w:rPr>
          <w:rFonts w:ascii="宋体" w:hAnsi="宋体" w:cs="宋体"/>
          <w:b/>
          <w:bCs/>
          <w:sz w:val="24"/>
          <w:szCs w:val="24"/>
        </w:rPr>
      </w:pPr>
      <w:bookmarkStart w:id="19" w:name="_Toc13770"/>
      <w:bookmarkStart w:id="20" w:name="_Toc1047006719"/>
      <w:bookmarkStart w:id="21" w:name="_Toc5709"/>
      <w:r>
        <w:rPr>
          <w:rFonts w:hint="eastAsia" w:ascii="宋体" w:hAnsi="宋体" w:cs="宋体"/>
          <w:b/>
          <w:bCs/>
          <w:sz w:val="24"/>
          <w:szCs w:val="24"/>
        </w:rPr>
        <w:t>十二、争议的解决方式</w:t>
      </w:r>
      <w:bookmarkEnd w:id="19"/>
      <w:bookmarkEnd w:id="20"/>
      <w:bookmarkEnd w:id="21"/>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凡因本合同引起的或与本合同有关的任何争议，甲乙双方应友好协商解决；如协商不成，双方均应向工程项目所在地人民法院起诉。</w:t>
      </w:r>
    </w:p>
    <w:p>
      <w:pPr>
        <w:adjustRightInd w:val="0"/>
        <w:snapToGrid w:val="0"/>
        <w:spacing w:line="360" w:lineRule="auto"/>
        <w:ind w:firstLine="480" w:firstLineChars="200"/>
        <w:outlineLvl w:val="1"/>
        <w:rPr>
          <w:rFonts w:ascii="宋体" w:hAnsi="宋体" w:cs="宋体"/>
          <w:b/>
          <w:bCs/>
          <w:sz w:val="24"/>
          <w:szCs w:val="24"/>
        </w:rPr>
      </w:pPr>
      <w:bookmarkStart w:id="22" w:name="_Toc624"/>
      <w:bookmarkStart w:id="23" w:name="_Toc6110"/>
      <w:bookmarkStart w:id="24" w:name="_Toc1006189023"/>
      <w:r>
        <w:rPr>
          <w:rFonts w:hint="eastAsia" w:ascii="宋体" w:hAnsi="宋体" w:cs="宋体"/>
          <w:b/>
          <w:bCs/>
          <w:sz w:val="24"/>
          <w:szCs w:val="24"/>
        </w:rPr>
        <w:t>十三、附则</w:t>
      </w:r>
      <w:bookmarkEnd w:id="22"/>
      <w:bookmarkEnd w:id="23"/>
      <w:bookmarkEnd w:id="24"/>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13.1</w:t>
      </w:r>
      <w:r>
        <w:rPr>
          <w:rFonts w:hint="eastAsia" w:ascii="宋体" w:hAnsi="宋体" w:cs="宋体"/>
          <w:sz w:val="24"/>
          <w:szCs w:val="24"/>
        </w:rPr>
        <w:t>在合同签订前，乙方须向甲方提供本单位法定代表人联系方式的书面文件，并加盖公章。</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13.2</w:t>
      </w:r>
      <w:r>
        <w:rPr>
          <w:rFonts w:hint="eastAsia" w:ascii="宋体" w:hAnsi="宋体" w:cs="宋体"/>
          <w:sz w:val="24"/>
          <w:szCs w:val="24"/>
        </w:rPr>
        <w:t>乙方应当在检测合同签订后的20日内，将合同报建设行政管理部门或者其他有关部门备案。检测合同主要内容发生变更的，应当在合同变更后的20日内，向原合同备案部门办理变更备案。</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13.3</w:t>
      </w:r>
      <w:r>
        <w:rPr>
          <w:rFonts w:hint="eastAsia" w:ascii="宋体" w:hAnsi="宋体" w:cs="宋体"/>
          <w:sz w:val="24"/>
          <w:szCs w:val="24"/>
        </w:rPr>
        <w:t>与本合同有关的通知可用邮寄方式送达，邮寄地址以本合同中约定的地址为准，寄出三日后即视为送达，任何一方变更地址的，应书面方式通知对方。</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13.4</w:t>
      </w:r>
      <w:r>
        <w:rPr>
          <w:rFonts w:hint="eastAsia" w:ascii="宋体" w:hAnsi="宋体" w:cs="宋体"/>
          <w:sz w:val="24"/>
          <w:szCs w:val="24"/>
        </w:rPr>
        <w:t>本合同所采用的法律、法规、规章、标准、规范、规定及制度均已相关单位发布的最新版本为准。</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13.5</w:t>
      </w:r>
      <w:r>
        <w:rPr>
          <w:rFonts w:hint="eastAsia" w:ascii="宋体" w:hAnsi="宋体" w:cs="宋体"/>
          <w:sz w:val="24"/>
          <w:szCs w:val="24"/>
        </w:rPr>
        <w:t>在以下情况下，甲方可启动强制结算机制，将其单方编制的结算文件送审计或审核并提请建设行政主管部门对其作不良行为记录：</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13.5.1乙方在工程竣工验收合格后30天不提交竣工结算书及结算资料的，且经甲方书面催告仍然不报送的；</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13.5.2</w:t>
      </w:r>
      <w:r>
        <w:rPr>
          <w:rFonts w:hint="eastAsia" w:ascii="宋体" w:hAnsi="宋体" w:cs="宋体"/>
          <w:sz w:val="24"/>
          <w:szCs w:val="24"/>
        </w:rPr>
        <w:t>在收到甲方提出的核对意见后</w:t>
      </w:r>
      <w:r>
        <w:rPr>
          <w:rFonts w:ascii="宋体" w:hAnsi="宋体" w:cs="宋体"/>
          <w:sz w:val="24"/>
          <w:szCs w:val="24"/>
        </w:rPr>
        <w:t>14天内仍不提交经修改的竣工结算书或补充结算资料的，且经甲方书面催告仍然不重新报送的。</w:t>
      </w:r>
    </w:p>
    <w:p>
      <w:pPr>
        <w:adjustRightInd w:val="0"/>
        <w:snapToGrid w:val="0"/>
        <w:spacing w:line="360" w:lineRule="auto"/>
        <w:ind w:firstLine="480" w:firstLineChars="200"/>
        <w:rPr>
          <w:rFonts w:ascii="宋体" w:hAnsi="宋体" w:cs="宋体"/>
          <w:sz w:val="24"/>
          <w:szCs w:val="24"/>
        </w:rPr>
      </w:pPr>
      <w:r>
        <w:rPr>
          <w:rFonts w:hint="eastAsia" w:ascii="宋体" w:hAnsi="宋体" w:cs="宋体"/>
          <w:b/>
          <w:bCs/>
          <w:sz w:val="24"/>
          <w:szCs w:val="24"/>
        </w:rPr>
        <w:t>13.6</w:t>
      </w:r>
      <w:r>
        <w:rPr>
          <w:rFonts w:hint="eastAsia" w:ascii="宋体" w:hAnsi="宋体" w:cs="宋体"/>
          <w:sz w:val="24"/>
          <w:szCs w:val="24"/>
        </w:rPr>
        <w:t>本合同一式</w:t>
      </w:r>
      <w:r>
        <w:rPr>
          <w:rFonts w:hint="eastAsia" w:ascii="宋体" w:hAnsi="宋体" w:cs="宋体"/>
          <w:sz w:val="24"/>
          <w:szCs w:val="24"/>
          <w:u w:val="single"/>
        </w:rPr>
        <w:t>拾</w:t>
      </w:r>
      <w:r>
        <w:rPr>
          <w:rFonts w:hint="eastAsia" w:ascii="宋体" w:hAnsi="宋体" w:cs="宋体"/>
          <w:sz w:val="24"/>
          <w:szCs w:val="24"/>
        </w:rPr>
        <w:t>份，均具有同等法律效力。甲方执</w:t>
      </w:r>
      <w:r>
        <w:rPr>
          <w:rFonts w:hint="eastAsia" w:ascii="宋体" w:hAnsi="宋体" w:cs="宋体"/>
          <w:sz w:val="24"/>
          <w:szCs w:val="24"/>
          <w:lang w:val="en-US" w:eastAsia="zh-CN"/>
        </w:rPr>
        <w:t>陆</w:t>
      </w:r>
      <w:r>
        <w:rPr>
          <w:rFonts w:hint="eastAsia" w:ascii="宋体" w:hAnsi="宋体" w:cs="宋体"/>
          <w:sz w:val="24"/>
          <w:szCs w:val="24"/>
        </w:rPr>
        <w:t>份，乙方执</w:t>
      </w:r>
      <w:r>
        <w:rPr>
          <w:rFonts w:hint="eastAsia" w:ascii="宋体" w:hAnsi="宋体" w:cs="宋体"/>
          <w:sz w:val="24"/>
          <w:szCs w:val="24"/>
          <w:lang w:val="en-US" w:eastAsia="zh-CN"/>
        </w:rPr>
        <w:t>肆</w:t>
      </w:r>
      <w:r>
        <w:rPr>
          <w:rFonts w:hint="eastAsia" w:ascii="宋体" w:hAnsi="宋体" w:cs="宋体"/>
          <w:sz w:val="24"/>
          <w:szCs w:val="24"/>
        </w:rPr>
        <w:t>份。本合同自双方签字、盖章之日起生效。</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b/>
          <w:bCs/>
          <w:sz w:val="24"/>
          <w:szCs w:val="24"/>
        </w:rPr>
        <w:t>13.7</w:t>
      </w:r>
      <w:r>
        <w:rPr>
          <w:rFonts w:hint="eastAsia" w:ascii="宋体" w:hAnsi="宋体" w:cs="宋体"/>
          <w:sz w:val="24"/>
          <w:szCs w:val="24"/>
        </w:rPr>
        <w:t xml:space="preserve">签订地点： </w:t>
      </w:r>
      <w:r>
        <w:rPr>
          <w:rFonts w:hint="eastAsia" w:ascii="宋体" w:hAnsi="宋体" w:cs="宋体"/>
          <w:sz w:val="24"/>
          <w:szCs w:val="24"/>
          <w:u w:val="single"/>
        </w:rPr>
        <w:t xml:space="preserve">深圳市龙华区  </w:t>
      </w:r>
      <w:bookmarkStart w:id="32" w:name="_GoBack"/>
      <w:bookmarkEnd w:id="32"/>
    </w:p>
    <w:p>
      <w:pPr>
        <w:adjustRightInd w:val="0"/>
        <w:snapToGrid w:val="0"/>
        <w:spacing w:line="360" w:lineRule="auto"/>
        <w:ind w:firstLine="480" w:firstLineChars="200"/>
        <w:jc w:val="left"/>
        <w:outlineLvl w:val="2"/>
        <w:rPr>
          <w:rFonts w:ascii="宋体" w:hAnsi="宋体" w:cs="宋体"/>
          <w:b/>
          <w:sz w:val="24"/>
          <w:szCs w:val="24"/>
        </w:rPr>
      </w:pPr>
      <w:r>
        <w:rPr>
          <w:rFonts w:hint="eastAsia" w:ascii="宋体" w:hAnsi="宋体" w:cs="宋体"/>
          <w:b/>
          <w:sz w:val="24"/>
          <w:szCs w:val="24"/>
        </w:rPr>
        <w:t>十四、合同附件</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附件一：检测项目名称</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附件二：甲方提供的资料及文件</w:t>
      </w:r>
    </w:p>
    <w:p>
      <w:pPr>
        <w:adjustRightInd w:val="0"/>
        <w:snapToGrid w:val="0"/>
        <w:spacing w:line="360" w:lineRule="auto"/>
        <w:ind w:firstLine="480" w:firstLineChars="200"/>
      </w:pPr>
      <w:r>
        <w:rPr>
          <w:rFonts w:hint="eastAsia" w:ascii="宋体" w:hAnsi="宋体" w:cs="宋体"/>
          <w:sz w:val="24"/>
          <w:szCs w:val="24"/>
        </w:rPr>
        <w:t xml:space="preserve">附件三：廉政责任书  </w:t>
      </w:r>
    </w:p>
    <w:p>
      <w:r>
        <w:br w:type="page"/>
      </w:r>
    </w:p>
    <w:p>
      <w:pPr>
        <w:spacing w:after="120"/>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3" w:hRule="atLeast"/>
        </w:trPr>
        <w:tc>
          <w:tcPr>
            <w:tcW w:w="4261" w:type="dxa"/>
            <w:tcBorders>
              <w:tl2br w:val="nil"/>
              <w:tr2bl w:val="nil"/>
            </w:tcBorders>
          </w:tcPr>
          <w:p>
            <w:pPr>
              <w:spacing w:line="400" w:lineRule="exact"/>
              <w:rPr>
                <w:rFonts w:hint="eastAsia" w:ascii="宋体" w:hAnsi="宋体" w:eastAsia="宋体" w:cs="宋体"/>
                <w:sz w:val="24"/>
                <w:szCs w:val="24"/>
                <w:u w:val="single"/>
                <w:lang w:eastAsia="zh-CN"/>
              </w:rPr>
            </w:pPr>
            <w:r>
              <w:rPr>
                <w:rFonts w:hint="eastAsia" w:ascii="宋体" w:hAnsi="宋体" w:cs="宋体"/>
                <w:sz w:val="24"/>
                <w:szCs w:val="24"/>
              </w:rPr>
              <w:t>甲</w:t>
            </w:r>
            <w:r>
              <w:rPr>
                <w:rFonts w:hint="eastAsia" w:ascii="宋体" w:hAnsi="宋体" w:cs="宋体"/>
                <w:sz w:val="24"/>
                <w:szCs w:val="24"/>
                <w:lang w:eastAsia="en-US"/>
              </w:rPr>
              <w:t>方：</w:t>
            </w:r>
            <w:r>
              <w:rPr>
                <w:rFonts w:hint="eastAsia" w:ascii="宋体" w:hAnsi="宋体" w:cs="宋体"/>
                <w:sz w:val="24"/>
                <w:szCs w:val="24"/>
                <w:u w:val="single"/>
                <w:lang w:eastAsia="zh-CN"/>
              </w:rPr>
              <w:t>深圳市新龙观投资发展有限公司</w:t>
            </w:r>
          </w:p>
          <w:p>
            <w:pPr>
              <w:spacing w:line="400" w:lineRule="exact"/>
              <w:rPr>
                <w:rFonts w:ascii="宋体" w:hAnsi="Courier New" w:cs="Courier New"/>
                <w:sz w:val="24"/>
                <w:szCs w:val="24"/>
                <w:lang w:eastAsia="en-US"/>
              </w:rPr>
            </w:pPr>
            <w:r>
              <w:rPr>
                <w:rFonts w:hint="eastAsia" w:ascii="宋体" w:hAnsi="宋体" w:cs="宋体"/>
                <w:sz w:val="24"/>
                <w:szCs w:val="24"/>
              </w:rPr>
              <w:t>（</w:t>
            </w:r>
            <w:r>
              <w:rPr>
                <w:rFonts w:hint="eastAsia" w:ascii="宋体" w:hAnsi="宋体" w:cs="宋体"/>
                <w:sz w:val="24"/>
                <w:szCs w:val="24"/>
                <w:lang w:eastAsia="en-US"/>
              </w:rPr>
              <w:t>盖章）</w:t>
            </w:r>
          </w:p>
        </w:tc>
        <w:tc>
          <w:tcPr>
            <w:tcW w:w="4261" w:type="dxa"/>
            <w:tcBorders>
              <w:tl2br w:val="nil"/>
              <w:tr2bl w:val="nil"/>
            </w:tcBorders>
          </w:tcPr>
          <w:p>
            <w:pPr>
              <w:spacing w:line="400" w:lineRule="exact"/>
              <w:rPr>
                <w:rFonts w:ascii="宋体" w:hAnsi="宋体" w:cs="宋体"/>
                <w:sz w:val="24"/>
                <w:szCs w:val="24"/>
                <w:lang w:eastAsia="en-US"/>
              </w:rPr>
            </w:pPr>
            <w:r>
              <w:rPr>
                <w:rFonts w:hint="eastAsia" w:ascii="宋体" w:hAnsi="宋体" w:cs="宋体"/>
                <w:sz w:val="24"/>
                <w:szCs w:val="24"/>
                <w:lang w:eastAsia="en-US"/>
              </w:rPr>
              <w:t>乙方：</w:t>
            </w:r>
          </w:p>
          <w:p>
            <w:pPr>
              <w:spacing w:line="400" w:lineRule="exact"/>
              <w:rPr>
                <w:rFonts w:ascii="宋体" w:hAnsi="Courier New" w:cs="Courier New"/>
                <w:sz w:val="24"/>
                <w:szCs w:val="24"/>
                <w:lang w:eastAsia="en-US"/>
              </w:rPr>
            </w:pPr>
            <w:r>
              <w:rPr>
                <w:rFonts w:hint="eastAsia" w:ascii="宋体" w:hAnsi="宋体" w:cs="宋体"/>
                <w:sz w:val="24"/>
                <w:szCs w:val="24"/>
                <w:lang w:eastAsia="en-US"/>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4261" w:type="dxa"/>
            <w:tcBorders>
              <w:tl2br w:val="nil"/>
              <w:tr2bl w:val="nil"/>
            </w:tcBorders>
          </w:tcPr>
          <w:p>
            <w:pPr>
              <w:spacing w:line="400" w:lineRule="exact"/>
              <w:rPr>
                <w:rFonts w:ascii="宋体" w:hAnsi="Courier New" w:cs="Courier New"/>
                <w:sz w:val="24"/>
                <w:szCs w:val="24"/>
                <w:lang w:eastAsia="en-US"/>
              </w:rPr>
            </w:pPr>
            <w:r>
              <w:rPr>
                <w:rFonts w:hint="eastAsia" w:ascii="宋体" w:hAnsi="宋体" w:cs="宋体"/>
                <w:sz w:val="24"/>
                <w:szCs w:val="24"/>
                <w:lang w:eastAsia="en-US"/>
              </w:rPr>
              <w:t>法定代表人或其委托代理人：（签字）</w:t>
            </w:r>
          </w:p>
        </w:tc>
        <w:tc>
          <w:tcPr>
            <w:tcW w:w="4261" w:type="dxa"/>
            <w:tcBorders>
              <w:tl2br w:val="nil"/>
              <w:tr2bl w:val="nil"/>
            </w:tcBorders>
          </w:tcPr>
          <w:p>
            <w:pPr>
              <w:spacing w:line="400" w:lineRule="exact"/>
              <w:jc w:val="left"/>
              <w:rPr>
                <w:rFonts w:ascii="Times New Roman" w:hAnsi="Times New Roman"/>
                <w:sz w:val="24"/>
                <w:szCs w:val="24"/>
                <w:lang w:eastAsia="en-US"/>
              </w:rPr>
            </w:pPr>
            <w:r>
              <w:rPr>
                <w:rFonts w:hint="eastAsia" w:ascii="宋体" w:hAnsi="宋体" w:cs="宋体"/>
                <w:sz w:val="24"/>
                <w:szCs w:val="24"/>
                <w:lang w:eastAsia="en-US"/>
              </w:rPr>
              <w:t xml:space="preserve">法定代表人或其委托代理人：（签字）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4261" w:type="dxa"/>
            <w:tcBorders>
              <w:tl2br w:val="nil"/>
              <w:tr2bl w:val="nil"/>
            </w:tcBorders>
          </w:tcPr>
          <w:p>
            <w:pPr>
              <w:spacing w:line="400" w:lineRule="exact"/>
              <w:rPr>
                <w:rFonts w:ascii="宋体" w:hAnsi="Courier New" w:cs="Courier New"/>
                <w:sz w:val="24"/>
                <w:szCs w:val="24"/>
                <w:lang w:eastAsia="en-US"/>
              </w:rPr>
            </w:pPr>
            <w:r>
              <w:rPr>
                <w:rFonts w:hint="eastAsia" w:ascii="宋体" w:hAnsi="宋体" w:cs="宋体"/>
                <w:sz w:val="24"/>
                <w:szCs w:val="24"/>
                <w:lang w:eastAsia="en-US"/>
              </w:rPr>
              <w:t>统一社会信用代码：</w:t>
            </w:r>
          </w:p>
        </w:tc>
        <w:tc>
          <w:tcPr>
            <w:tcW w:w="4261" w:type="dxa"/>
            <w:tcBorders>
              <w:tl2br w:val="nil"/>
              <w:tr2bl w:val="nil"/>
            </w:tcBorders>
          </w:tcPr>
          <w:p>
            <w:pPr>
              <w:spacing w:line="400" w:lineRule="exact"/>
              <w:rPr>
                <w:rFonts w:ascii="宋体" w:hAnsi="Courier New" w:cs="Courier New"/>
                <w:sz w:val="24"/>
                <w:szCs w:val="24"/>
              </w:rPr>
            </w:pPr>
            <w:r>
              <w:rPr>
                <w:rFonts w:hint="eastAsia" w:ascii="宋体" w:hAnsi="宋体" w:cs="宋体"/>
                <w:sz w:val="24"/>
                <w:szCs w:val="24"/>
                <w:lang w:eastAsia="en-US"/>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4261" w:type="dxa"/>
            <w:tcBorders>
              <w:tl2br w:val="nil"/>
              <w:tr2bl w:val="nil"/>
            </w:tcBorders>
          </w:tcPr>
          <w:p>
            <w:pPr>
              <w:spacing w:line="400" w:lineRule="exact"/>
              <w:rPr>
                <w:rFonts w:ascii="宋体" w:hAnsi="Courier New" w:cs="Courier New"/>
                <w:sz w:val="24"/>
                <w:szCs w:val="24"/>
                <w:lang w:eastAsia="en-US"/>
              </w:rPr>
            </w:pPr>
            <w:r>
              <w:rPr>
                <w:rFonts w:hint="eastAsia" w:ascii="宋体" w:hAnsi="宋体" w:cs="宋体"/>
                <w:sz w:val="24"/>
                <w:szCs w:val="24"/>
                <w:lang w:eastAsia="en-US"/>
              </w:rPr>
              <w:t>地  址：</w:t>
            </w:r>
          </w:p>
        </w:tc>
        <w:tc>
          <w:tcPr>
            <w:tcW w:w="4261" w:type="dxa"/>
            <w:tcBorders>
              <w:tl2br w:val="nil"/>
              <w:tr2bl w:val="nil"/>
            </w:tcBorders>
          </w:tcPr>
          <w:p>
            <w:pPr>
              <w:spacing w:line="400" w:lineRule="exact"/>
              <w:rPr>
                <w:rFonts w:ascii="宋体" w:hAnsi="Courier New" w:cs="Courier New"/>
                <w:sz w:val="24"/>
                <w:szCs w:val="24"/>
              </w:rPr>
            </w:pPr>
            <w:r>
              <w:rPr>
                <w:rFonts w:hint="eastAsia" w:ascii="宋体" w:hAnsi="宋体" w:cs="宋体"/>
                <w:sz w:val="24"/>
                <w:szCs w:val="24"/>
                <w:lang w:eastAsia="en-US"/>
              </w:rPr>
              <w:t>地  址：</w:t>
            </w:r>
            <w:r>
              <w:rPr>
                <w:rFonts w:hint="eastAsia" w:ascii="宋体" w:hAnsi="宋体" w:cs="宋体"/>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261" w:type="dxa"/>
            <w:tcBorders>
              <w:tl2br w:val="nil"/>
              <w:tr2bl w:val="nil"/>
            </w:tcBorders>
          </w:tcPr>
          <w:p>
            <w:pPr>
              <w:spacing w:line="400" w:lineRule="exact"/>
              <w:rPr>
                <w:rFonts w:ascii="宋体" w:hAnsi="Courier New" w:cs="Courier New"/>
                <w:sz w:val="24"/>
                <w:szCs w:val="24"/>
                <w:lang w:eastAsia="en-US"/>
              </w:rPr>
            </w:pPr>
            <w:r>
              <w:rPr>
                <w:rFonts w:hint="eastAsia" w:ascii="宋体" w:hAnsi="宋体" w:cs="宋体"/>
                <w:sz w:val="24"/>
                <w:szCs w:val="24"/>
                <w:lang w:eastAsia="en-US"/>
              </w:rPr>
              <w:t>邮政编码：</w:t>
            </w:r>
          </w:p>
        </w:tc>
        <w:tc>
          <w:tcPr>
            <w:tcW w:w="4261" w:type="dxa"/>
            <w:tcBorders>
              <w:tl2br w:val="nil"/>
              <w:tr2bl w:val="nil"/>
            </w:tcBorders>
          </w:tcPr>
          <w:p>
            <w:pPr>
              <w:spacing w:line="400" w:lineRule="exact"/>
              <w:rPr>
                <w:rFonts w:ascii="宋体" w:hAnsi="Courier New" w:cs="Courier New"/>
                <w:sz w:val="24"/>
                <w:szCs w:val="24"/>
              </w:rPr>
            </w:pPr>
            <w:r>
              <w:rPr>
                <w:rFonts w:hint="eastAsia" w:ascii="宋体" w:hAnsi="宋体" w:cs="宋体"/>
                <w:sz w:val="24"/>
                <w:szCs w:val="24"/>
                <w:lang w:eastAsia="en-US"/>
              </w:rPr>
              <w:t>邮政编码：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4261" w:type="dxa"/>
            <w:tcBorders>
              <w:tl2br w:val="nil"/>
              <w:tr2bl w:val="nil"/>
            </w:tcBorders>
          </w:tcPr>
          <w:p>
            <w:pPr>
              <w:spacing w:line="400" w:lineRule="exact"/>
              <w:rPr>
                <w:rFonts w:ascii="宋体" w:hAnsi="Courier New" w:cs="Courier New"/>
                <w:sz w:val="24"/>
                <w:szCs w:val="24"/>
              </w:rPr>
            </w:pPr>
            <w:r>
              <w:rPr>
                <w:rFonts w:hint="eastAsia" w:ascii="宋体" w:hAnsi="宋体" w:cs="宋体"/>
                <w:sz w:val="24"/>
                <w:szCs w:val="24"/>
                <w:lang w:eastAsia="en-US"/>
              </w:rPr>
              <w:t>法定代表人：</w:t>
            </w:r>
          </w:p>
        </w:tc>
        <w:tc>
          <w:tcPr>
            <w:tcW w:w="4261" w:type="dxa"/>
            <w:tcBorders>
              <w:tl2br w:val="nil"/>
              <w:tr2bl w:val="nil"/>
            </w:tcBorders>
          </w:tcPr>
          <w:p>
            <w:pPr>
              <w:spacing w:line="400" w:lineRule="exact"/>
              <w:rPr>
                <w:rFonts w:ascii="宋体" w:hAnsi="Courier New" w:cs="Courier New"/>
                <w:sz w:val="24"/>
                <w:szCs w:val="24"/>
              </w:rPr>
            </w:pPr>
            <w:r>
              <w:rPr>
                <w:rFonts w:hint="eastAsia" w:ascii="宋体" w:hAnsi="宋体" w:cs="宋体"/>
                <w:sz w:val="24"/>
                <w:szCs w:val="24"/>
                <w:lang w:eastAsia="en-US"/>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261" w:type="dxa"/>
            <w:tcBorders>
              <w:tl2br w:val="nil"/>
              <w:tr2bl w:val="nil"/>
            </w:tcBorders>
          </w:tcPr>
          <w:p>
            <w:pPr>
              <w:spacing w:line="400" w:lineRule="exact"/>
              <w:rPr>
                <w:rFonts w:ascii="宋体" w:hAnsi="Courier New" w:cs="Courier New"/>
                <w:sz w:val="24"/>
                <w:szCs w:val="24"/>
                <w:lang w:eastAsia="en-US"/>
              </w:rPr>
            </w:pPr>
            <w:r>
              <w:rPr>
                <w:rFonts w:hint="eastAsia" w:ascii="宋体" w:hAnsi="宋体" w:cs="宋体"/>
                <w:sz w:val="24"/>
                <w:szCs w:val="24"/>
                <w:lang w:eastAsia="en-US"/>
              </w:rPr>
              <w:t>委托代理人：</w:t>
            </w:r>
          </w:p>
        </w:tc>
        <w:tc>
          <w:tcPr>
            <w:tcW w:w="4261" w:type="dxa"/>
            <w:tcBorders>
              <w:tl2br w:val="nil"/>
              <w:tr2bl w:val="nil"/>
            </w:tcBorders>
          </w:tcPr>
          <w:p>
            <w:pPr>
              <w:spacing w:line="400" w:lineRule="exact"/>
              <w:rPr>
                <w:rFonts w:ascii="宋体" w:hAnsi="Courier New" w:cs="Courier New"/>
                <w:sz w:val="24"/>
                <w:szCs w:val="24"/>
                <w:lang w:eastAsia="en-US"/>
              </w:rPr>
            </w:pPr>
            <w:r>
              <w:rPr>
                <w:rFonts w:hint="eastAsia" w:ascii="宋体" w:hAnsi="宋体" w:cs="宋体"/>
                <w:sz w:val="24"/>
                <w:szCs w:val="24"/>
                <w:lang w:eastAsia="en-US"/>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261" w:type="dxa"/>
            <w:tcBorders>
              <w:tl2br w:val="nil"/>
              <w:tr2bl w:val="nil"/>
            </w:tcBorders>
          </w:tcPr>
          <w:p>
            <w:pPr>
              <w:spacing w:line="400" w:lineRule="exact"/>
              <w:rPr>
                <w:rFonts w:ascii="宋体" w:hAnsi="Courier New" w:cs="Courier New"/>
                <w:sz w:val="24"/>
                <w:szCs w:val="24"/>
                <w:lang w:eastAsia="en-US"/>
              </w:rPr>
            </w:pPr>
            <w:r>
              <w:rPr>
                <w:rFonts w:hint="eastAsia" w:ascii="宋体" w:hAnsi="宋体" w:cs="宋体"/>
                <w:sz w:val="24"/>
                <w:szCs w:val="24"/>
                <w:lang w:eastAsia="en-US"/>
              </w:rPr>
              <w:t xml:space="preserve">电  话： </w:t>
            </w:r>
          </w:p>
        </w:tc>
        <w:tc>
          <w:tcPr>
            <w:tcW w:w="4261" w:type="dxa"/>
            <w:tcBorders>
              <w:tl2br w:val="nil"/>
              <w:tr2bl w:val="nil"/>
            </w:tcBorders>
          </w:tcPr>
          <w:p>
            <w:pPr>
              <w:spacing w:line="400" w:lineRule="exact"/>
              <w:rPr>
                <w:rFonts w:ascii="宋体" w:hAnsi="Courier New" w:cs="Courier New"/>
                <w:sz w:val="24"/>
                <w:szCs w:val="24"/>
              </w:rPr>
            </w:pPr>
            <w:r>
              <w:rPr>
                <w:rFonts w:hint="eastAsia" w:ascii="宋体" w:hAnsi="宋体" w:cs="宋体"/>
                <w:sz w:val="24"/>
                <w:szCs w:val="24"/>
                <w:lang w:eastAsia="en-US"/>
              </w:rPr>
              <w:t>电  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261" w:type="dxa"/>
            <w:tcBorders>
              <w:tl2br w:val="nil"/>
              <w:tr2bl w:val="nil"/>
            </w:tcBorders>
          </w:tcPr>
          <w:p>
            <w:pPr>
              <w:spacing w:line="400" w:lineRule="exact"/>
              <w:rPr>
                <w:rFonts w:ascii="宋体" w:hAnsi="Courier New" w:cs="Courier New"/>
                <w:sz w:val="24"/>
                <w:szCs w:val="24"/>
                <w:lang w:eastAsia="en-US"/>
              </w:rPr>
            </w:pPr>
            <w:r>
              <w:rPr>
                <w:rFonts w:hint="eastAsia" w:ascii="宋体" w:hAnsi="宋体" w:cs="宋体"/>
                <w:sz w:val="24"/>
                <w:szCs w:val="24"/>
                <w:lang w:eastAsia="en-US"/>
              </w:rPr>
              <w:t>传  真：</w:t>
            </w:r>
          </w:p>
        </w:tc>
        <w:tc>
          <w:tcPr>
            <w:tcW w:w="4261" w:type="dxa"/>
            <w:tcBorders>
              <w:tl2br w:val="nil"/>
              <w:tr2bl w:val="nil"/>
            </w:tcBorders>
          </w:tcPr>
          <w:p>
            <w:pPr>
              <w:spacing w:line="400" w:lineRule="exact"/>
              <w:rPr>
                <w:rFonts w:ascii="宋体" w:hAnsi="Courier New" w:cs="Courier New"/>
                <w:sz w:val="24"/>
                <w:szCs w:val="24"/>
              </w:rPr>
            </w:pPr>
            <w:r>
              <w:rPr>
                <w:rFonts w:hint="eastAsia" w:ascii="宋体" w:hAnsi="宋体" w:cs="宋体"/>
                <w:sz w:val="24"/>
                <w:szCs w:val="24"/>
                <w:lang w:eastAsia="en-US"/>
              </w:rPr>
              <w:t>传  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4261" w:type="dxa"/>
            <w:tcBorders>
              <w:tl2br w:val="nil"/>
              <w:tr2bl w:val="nil"/>
            </w:tcBorders>
          </w:tcPr>
          <w:p>
            <w:pPr>
              <w:spacing w:line="400" w:lineRule="exact"/>
              <w:rPr>
                <w:rFonts w:ascii="宋体" w:hAnsi="Courier New" w:cs="Courier New"/>
                <w:sz w:val="24"/>
                <w:szCs w:val="24"/>
                <w:lang w:eastAsia="en-US"/>
              </w:rPr>
            </w:pPr>
            <w:r>
              <w:rPr>
                <w:rFonts w:hint="eastAsia" w:ascii="宋体" w:hAnsi="宋体" w:cs="宋体"/>
                <w:sz w:val="24"/>
                <w:szCs w:val="24"/>
                <w:lang w:eastAsia="en-US"/>
              </w:rPr>
              <w:t xml:space="preserve">电子信箱： </w:t>
            </w:r>
          </w:p>
        </w:tc>
        <w:tc>
          <w:tcPr>
            <w:tcW w:w="4261" w:type="dxa"/>
            <w:tcBorders>
              <w:tl2br w:val="nil"/>
              <w:tr2bl w:val="nil"/>
            </w:tcBorders>
          </w:tcPr>
          <w:p>
            <w:pPr>
              <w:spacing w:line="400" w:lineRule="exact"/>
              <w:rPr>
                <w:rFonts w:ascii="宋体" w:hAnsi="宋体" w:cs="宋体"/>
                <w:sz w:val="24"/>
                <w:szCs w:val="24"/>
                <w:lang w:eastAsia="en-US"/>
              </w:rPr>
            </w:pPr>
            <w:r>
              <w:rPr>
                <w:rFonts w:hint="eastAsia" w:ascii="宋体" w:hAnsi="宋体" w:cs="宋体"/>
                <w:sz w:val="24"/>
                <w:szCs w:val="24"/>
                <w:lang w:eastAsia="en-US"/>
              </w:rPr>
              <w:t xml:space="preserve">电子信箱：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61" w:type="dxa"/>
            <w:tcBorders>
              <w:tl2br w:val="nil"/>
              <w:tr2bl w:val="nil"/>
            </w:tcBorders>
          </w:tcPr>
          <w:p>
            <w:pPr>
              <w:spacing w:line="400" w:lineRule="exact"/>
              <w:rPr>
                <w:rFonts w:ascii="宋体" w:hAnsi="宋体" w:cs="宋体"/>
                <w:sz w:val="24"/>
                <w:szCs w:val="24"/>
                <w:lang w:eastAsia="en-US"/>
              </w:rPr>
            </w:pPr>
            <w:r>
              <w:rPr>
                <w:rFonts w:hint="eastAsia" w:ascii="宋体" w:hAnsi="宋体" w:cs="宋体"/>
                <w:sz w:val="24"/>
                <w:szCs w:val="24"/>
                <w:lang w:eastAsia="en-US"/>
              </w:rPr>
              <w:t>开户银行：</w:t>
            </w:r>
          </w:p>
        </w:tc>
        <w:tc>
          <w:tcPr>
            <w:tcW w:w="4261" w:type="dxa"/>
            <w:tcBorders>
              <w:tl2br w:val="nil"/>
              <w:tr2bl w:val="nil"/>
            </w:tcBorders>
          </w:tcPr>
          <w:p>
            <w:pPr>
              <w:spacing w:line="400" w:lineRule="exact"/>
              <w:rPr>
                <w:rFonts w:ascii="宋体" w:hAnsi="宋体" w:cs="宋体"/>
                <w:sz w:val="24"/>
                <w:szCs w:val="24"/>
                <w:lang w:eastAsia="en-US"/>
              </w:rPr>
            </w:pPr>
            <w:r>
              <w:rPr>
                <w:rFonts w:hint="eastAsia" w:ascii="宋体" w:hAnsi="宋体" w:cs="宋体"/>
                <w:sz w:val="24"/>
                <w:szCs w:val="24"/>
                <w:lang w:eastAsia="en-US"/>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261" w:type="dxa"/>
            <w:tcBorders>
              <w:tl2br w:val="nil"/>
              <w:tr2bl w:val="nil"/>
            </w:tcBorders>
          </w:tcPr>
          <w:p>
            <w:pPr>
              <w:spacing w:line="400" w:lineRule="exact"/>
              <w:rPr>
                <w:rFonts w:ascii="宋体" w:hAnsi="宋体" w:cs="宋体"/>
                <w:sz w:val="24"/>
                <w:szCs w:val="24"/>
                <w:lang w:eastAsia="en-US"/>
              </w:rPr>
            </w:pPr>
            <w:r>
              <w:rPr>
                <w:rFonts w:hint="eastAsia" w:ascii="宋体" w:hAnsi="宋体" w:cs="宋体"/>
                <w:sz w:val="24"/>
                <w:szCs w:val="24"/>
                <w:lang w:eastAsia="en-US"/>
              </w:rPr>
              <w:t>账  号：</w:t>
            </w:r>
          </w:p>
        </w:tc>
        <w:tc>
          <w:tcPr>
            <w:tcW w:w="4261" w:type="dxa"/>
            <w:tcBorders>
              <w:tl2br w:val="nil"/>
              <w:tr2bl w:val="nil"/>
            </w:tcBorders>
          </w:tcPr>
          <w:p>
            <w:pPr>
              <w:spacing w:line="400" w:lineRule="exact"/>
              <w:rPr>
                <w:rFonts w:ascii="宋体" w:hAnsi="宋体" w:cs="宋体"/>
                <w:sz w:val="24"/>
                <w:szCs w:val="24"/>
                <w:lang w:eastAsia="en-US"/>
              </w:rPr>
            </w:pPr>
            <w:r>
              <w:rPr>
                <w:rFonts w:hint="eastAsia" w:ascii="宋体" w:hAnsi="宋体" w:cs="宋体"/>
                <w:sz w:val="24"/>
                <w:szCs w:val="24"/>
                <w:lang w:eastAsia="en-US"/>
              </w:rPr>
              <w:t>账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261" w:type="dxa"/>
            <w:tcBorders>
              <w:tl2br w:val="nil"/>
              <w:tr2bl w:val="nil"/>
            </w:tcBorders>
          </w:tcPr>
          <w:p>
            <w:pPr>
              <w:spacing w:line="400" w:lineRule="exact"/>
              <w:rPr>
                <w:rFonts w:ascii="宋体" w:hAnsi="宋体" w:cs="宋体"/>
                <w:sz w:val="24"/>
                <w:szCs w:val="24"/>
                <w:lang w:eastAsia="en-US"/>
              </w:rPr>
            </w:pPr>
          </w:p>
        </w:tc>
        <w:tc>
          <w:tcPr>
            <w:tcW w:w="4261" w:type="dxa"/>
            <w:tcBorders>
              <w:tl2br w:val="nil"/>
              <w:tr2bl w:val="nil"/>
            </w:tcBorders>
          </w:tcPr>
          <w:p>
            <w:pPr>
              <w:spacing w:line="400" w:lineRule="exact"/>
              <w:rPr>
                <w:rFonts w:ascii="宋体" w:hAnsi="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261" w:type="dxa"/>
            <w:tcBorders>
              <w:tl2br w:val="nil"/>
              <w:tr2bl w:val="nil"/>
            </w:tcBorders>
          </w:tcPr>
          <w:p>
            <w:pPr>
              <w:spacing w:line="400" w:lineRule="exact"/>
              <w:rPr>
                <w:rFonts w:ascii="宋体" w:hAnsi="宋体" w:cs="宋体"/>
                <w:sz w:val="24"/>
                <w:szCs w:val="24"/>
                <w:lang w:eastAsia="en-US"/>
              </w:rPr>
            </w:pPr>
            <w:r>
              <w:rPr>
                <w:rFonts w:hint="eastAsia" w:ascii="宋体" w:hAnsi="宋体" w:cs="宋体"/>
                <w:sz w:val="24"/>
                <w:szCs w:val="24"/>
                <w:lang w:eastAsia="en-US"/>
              </w:rPr>
              <w:t>合同签订时间：</w:t>
            </w:r>
            <w:r>
              <w:rPr>
                <w:rFonts w:hint="eastAsia" w:ascii="宋体" w:hAnsi="宋体" w:cs="宋体"/>
                <w:sz w:val="24"/>
                <w:szCs w:val="24"/>
                <w:u w:val="single"/>
              </w:rPr>
              <w:t xml:space="preserve">      </w:t>
            </w:r>
            <w:r>
              <w:rPr>
                <w:rFonts w:hint="eastAsia" w:ascii="宋体" w:hAnsi="宋体" w:cs="宋体"/>
                <w:sz w:val="24"/>
                <w:szCs w:val="24"/>
                <w:lang w:eastAsia="en-US"/>
              </w:rPr>
              <w:t>年</w:t>
            </w:r>
            <w:r>
              <w:rPr>
                <w:rFonts w:hint="eastAsia" w:ascii="宋体" w:hAnsi="宋体" w:cs="宋体"/>
                <w:sz w:val="24"/>
                <w:szCs w:val="24"/>
                <w:u w:val="single"/>
                <w:lang w:eastAsia="en-US"/>
              </w:rPr>
              <w:t xml:space="preserve"> </w:t>
            </w:r>
            <w:r>
              <w:rPr>
                <w:rFonts w:hint="eastAsia" w:ascii="宋体" w:hAnsi="宋体" w:cs="宋体"/>
                <w:sz w:val="24"/>
                <w:szCs w:val="24"/>
                <w:u w:val="single"/>
              </w:rPr>
              <w:t xml:space="preserve">  </w:t>
            </w:r>
            <w:r>
              <w:rPr>
                <w:rFonts w:hint="eastAsia" w:ascii="宋体" w:hAnsi="宋体" w:cs="宋体"/>
                <w:sz w:val="24"/>
                <w:szCs w:val="24"/>
                <w:u w:val="single"/>
                <w:lang w:eastAsia="en-US"/>
              </w:rPr>
              <w:t xml:space="preserve"> </w:t>
            </w:r>
            <w:r>
              <w:rPr>
                <w:rFonts w:hint="eastAsia" w:ascii="宋体" w:hAnsi="宋体" w:cs="宋体"/>
                <w:sz w:val="24"/>
                <w:szCs w:val="24"/>
                <w:lang w:eastAsia="en-US"/>
              </w:rPr>
              <w:t>月</w:t>
            </w:r>
            <w:r>
              <w:rPr>
                <w:rFonts w:hint="eastAsia" w:ascii="宋体" w:hAnsi="宋体" w:cs="宋体"/>
                <w:sz w:val="24"/>
                <w:szCs w:val="24"/>
                <w:u w:val="single"/>
                <w:lang w:eastAsia="en-US"/>
              </w:rPr>
              <w:t xml:space="preserve">    </w:t>
            </w:r>
            <w:r>
              <w:rPr>
                <w:rFonts w:hint="eastAsia" w:ascii="宋体" w:hAnsi="宋体" w:cs="宋体"/>
                <w:sz w:val="24"/>
                <w:szCs w:val="24"/>
                <w:lang w:eastAsia="en-US"/>
              </w:rPr>
              <w:t>日</w:t>
            </w:r>
          </w:p>
        </w:tc>
        <w:tc>
          <w:tcPr>
            <w:tcW w:w="4261" w:type="dxa"/>
            <w:tcBorders>
              <w:tl2br w:val="nil"/>
              <w:tr2bl w:val="nil"/>
            </w:tcBorders>
          </w:tcPr>
          <w:p>
            <w:pPr>
              <w:spacing w:line="400" w:lineRule="exact"/>
              <w:rPr>
                <w:rFonts w:ascii="宋体" w:hAnsi="宋体" w:cs="宋体"/>
                <w:sz w:val="24"/>
                <w:szCs w:val="24"/>
                <w:lang w:eastAsia="en-US"/>
              </w:rPr>
            </w:pPr>
          </w:p>
        </w:tc>
      </w:tr>
    </w:tbl>
    <w:p>
      <w:pPr>
        <w:spacing w:line="560" w:lineRule="exact"/>
        <w:ind w:firstLine="0"/>
        <w:rPr>
          <w:rFonts w:cs="Times New Roman"/>
          <w:szCs w:val="24"/>
        </w:rPr>
        <w:sectPr>
          <w:footerReference r:id="rId5" w:type="default"/>
          <w:pgSz w:w="11905" w:h="16838"/>
          <w:pgMar w:top="1440" w:right="1080" w:bottom="1440" w:left="1080" w:header="851" w:footer="992" w:gutter="0"/>
          <w:pgBorders>
            <w:top w:val="none" w:sz="0" w:space="0"/>
            <w:left w:val="none" w:sz="0" w:space="0"/>
            <w:bottom w:val="none" w:sz="0" w:space="0"/>
            <w:right w:val="none" w:sz="0" w:space="0"/>
          </w:pgBorders>
          <w:cols w:space="720" w:num="1"/>
          <w:docGrid w:type="linesAndChars" w:linePitch="442" w:charSpace="0"/>
        </w:sectPr>
      </w:pPr>
    </w:p>
    <w:p>
      <w:pPr>
        <w:adjustRightInd w:val="0"/>
        <w:snapToGrid w:val="0"/>
        <w:spacing w:line="336" w:lineRule="auto"/>
        <w:rPr>
          <w:rFonts w:ascii="宋体" w:hAnsi="宋体" w:cs="宋体"/>
          <w:b/>
          <w:sz w:val="28"/>
          <w:szCs w:val="28"/>
        </w:rPr>
      </w:pPr>
      <w:r>
        <w:rPr>
          <w:rFonts w:hint="eastAsia" w:ascii="黑体" w:hAnsi="黑体" w:eastAsia="黑体" w:cs="黑体"/>
          <w:sz w:val="30"/>
          <w:szCs w:val="30"/>
        </w:rPr>
        <w:t>附件一：检测项目名称</w:t>
      </w:r>
      <w:r>
        <w:rPr>
          <w:rFonts w:hint="eastAsia" w:ascii="宋体" w:hAnsi="宋体" w:cs="宋体"/>
        </w:rPr>
        <w:br w:type="page"/>
      </w:r>
    </w:p>
    <w:p>
      <w:pPr>
        <w:outlineLvl w:val="0"/>
        <w:rPr>
          <w:rFonts w:ascii="黑体" w:hAnsi="黑体" w:eastAsia="黑体" w:cs="黑体"/>
          <w:sz w:val="30"/>
          <w:szCs w:val="30"/>
        </w:rPr>
      </w:pPr>
      <w:bookmarkStart w:id="25" w:name="_Toc24095"/>
      <w:bookmarkStart w:id="26" w:name="_Toc575362577"/>
      <w:bookmarkStart w:id="27" w:name="_Toc14370"/>
      <w:bookmarkStart w:id="28" w:name="_Toc6876"/>
      <w:r>
        <w:rPr>
          <w:rFonts w:hint="eastAsia" w:ascii="黑体" w:hAnsi="黑体" w:eastAsia="黑体" w:cs="黑体"/>
          <w:sz w:val="30"/>
          <w:szCs w:val="30"/>
        </w:rPr>
        <w:t>附件二：甲方提供的资料及文件</w:t>
      </w:r>
      <w:bookmarkEnd w:id="25"/>
      <w:bookmarkEnd w:id="26"/>
    </w:p>
    <w:p>
      <w:bookmarkStart w:id="29" w:name="_Toc898432875"/>
      <w:r>
        <w:rPr>
          <w:rFonts w:hint="eastAsia"/>
        </w:rPr>
        <w:t>以甲方提供的文件为准。</w:t>
      </w:r>
    </w:p>
    <w:p/>
    <w:p/>
    <w:p/>
    <w:p/>
    <w:p/>
    <w:p/>
    <w:p/>
    <w:p/>
    <w:p/>
    <w:p/>
    <w:p/>
    <w:p/>
    <w:p/>
    <w:p/>
    <w:p/>
    <w:p/>
    <w:p/>
    <w:p/>
    <w:p/>
    <w:p/>
    <w:p/>
    <w:p/>
    <w:p/>
    <w:bookmarkEnd w:id="27"/>
    <w:bookmarkEnd w:id="28"/>
    <w:bookmarkEnd w:id="29"/>
    <w:p>
      <w:r>
        <w:rPr>
          <w:rFonts w:hint="eastAsia"/>
        </w:rPr>
        <w:br w:type="page"/>
      </w:r>
    </w:p>
    <w:p>
      <w:pPr>
        <w:keepNext/>
        <w:keepLines/>
        <w:spacing w:line="360" w:lineRule="auto"/>
        <w:outlineLvl w:val="0"/>
        <w:rPr>
          <w:rFonts w:ascii="宋体" w:hAnsi="宋体" w:cs="宋体"/>
          <w:b/>
          <w:bCs/>
          <w:spacing w:val="-10"/>
          <w:kern w:val="24"/>
          <w:sz w:val="24"/>
          <w:szCs w:val="24"/>
          <w:lang w:val="zh-TW" w:eastAsia="zh-TW"/>
        </w:rPr>
      </w:pPr>
      <w:bookmarkStart w:id="30" w:name="_Toc20076"/>
      <w:bookmarkStart w:id="31" w:name="_Toc22351"/>
      <w:r>
        <w:rPr>
          <w:rFonts w:hint="eastAsia" w:ascii="宋体" w:hAnsi="宋体" w:cs="宋体"/>
          <w:b/>
          <w:sz w:val="28"/>
          <w:szCs w:val="28"/>
        </w:rPr>
        <w:t>附件三</w:t>
      </w:r>
      <w:r>
        <w:rPr>
          <w:b/>
          <w:bCs/>
          <w:spacing w:val="-10"/>
          <w:kern w:val="24"/>
          <w:sz w:val="24"/>
          <w:szCs w:val="24"/>
          <w:lang w:val="zh-TW" w:eastAsia="zh-TW"/>
        </w:rPr>
        <w:t>：</w:t>
      </w:r>
      <w:r>
        <w:rPr>
          <w:rFonts w:hint="eastAsia" w:ascii="宋体" w:hAnsi="宋体" w:cs="宋体"/>
          <w:b/>
          <w:sz w:val="28"/>
          <w:szCs w:val="28"/>
          <w:lang w:val="zh-TW" w:eastAsia="zh-TW"/>
        </w:rPr>
        <w:t>廉政责任书</w:t>
      </w:r>
      <w:bookmarkEnd w:id="30"/>
      <w:bookmarkEnd w:id="31"/>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廉政责任书</w:t>
      </w:r>
    </w:p>
    <w:p>
      <w:pPr>
        <w:spacing w:line="360" w:lineRule="auto"/>
        <w:ind w:firstLine="480"/>
        <w:jc w:val="left"/>
        <w:rPr>
          <w:rFonts w:ascii="宋体" w:hAnsi="宋体" w:cs="等线"/>
          <w:sz w:val="24"/>
          <w:szCs w:val="24"/>
        </w:rPr>
      </w:pPr>
      <w:r>
        <w:rPr>
          <w:rFonts w:ascii="宋体" w:hAnsi="宋体" w:cs="宋体"/>
          <w:sz w:val="24"/>
          <w:szCs w:val="24"/>
          <w:u w:color="000000"/>
          <w:lang w:val="zh-TW" w:eastAsia="zh-TW"/>
        </w:rPr>
        <w:t>委托人：</w:t>
      </w:r>
      <w:r>
        <w:rPr>
          <w:rFonts w:ascii="宋体" w:hAnsi="宋体"/>
          <w:sz w:val="24"/>
          <w:szCs w:val="24"/>
        </w:rPr>
        <w:t xml:space="preserve">                               </w:t>
      </w:r>
    </w:p>
    <w:p>
      <w:pPr>
        <w:spacing w:line="360" w:lineRule="auto"/>
        <w:ind w:firstLine="480"/>
        <w:jc w:val="left"/>
        <w:rPr>
          <w:rFonts w:ascii="宋体" w:hAnsi="宋体" w:cs="等线"/>
          <w:sz w:val="24"/>
          <w:szCs w:val="24"/>
        </w:rPr>
      </w:pPr>
      <w:r>
        <w:rPr>
          <w:rFonts w:ascii="宋体" w:hAnsi="宋体" w:cs="宋体"/>
          <w:sz w:val="24"/>
          <w:szCs w:val="24"/>
          <w:u w:color="000000"/>
          <w:lang w:val="zh-TW" w:eastAsia="zh-TW"/>
        </w:rPr>
        <w:t>检测人：</w:t>
      </w:r>
      <w:r>
        <w:rPr>
          <w:rFonts w:ascii="宋体" w:hAnsi="宋体"/>
          <w:sz w:val="24"/>
          <w:szCs w:val="24"/>
        </w:rPr>
        <w:t xml:space="preserve">                               </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为加强工程建设中的廉洁诚信从业，规范工程委托与被委托双方的各项活动，防止发生各种谋取不正当利益的违法违纪行为，保护国家、集体和当事人的合法权益，根据国家有关工程建设的法律法规和廉政建设责任制规定，特订立本廉政责任书。</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第一条</w:t>
      </w:r>
      <w:r>
        <w:rPr>
          <w:rFonts w:hint="eastAsia" w:ascii="宋体" w:hAnsi="宋体" w:cs="宋体"/>
          <w:sz w:val="24"/>
          <w:szCs w:val="24"/>
          <w:u w:color="000000"/>
          <w:lang w:val="zh-TW" w:eastAsia="zh-TW"/>
        </w:rPr>
        <w:t>委托人与检测人</w:t>
      </w:r>
      <w:r>
        <w:rPr>
          <w:rFonts w:ascii="宋体" w:hAnsi="宋体" w:cs="宋体"/>
          <w:sz w:val="24"/>
          <w:szCs w:val="24"/>
          <w:u w:color="000000"/>
          <w:lang w:val="zh-TW" w:eastAsia="zh-TW"/>
        </w:rPr>
        <w:t>双方的责任</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（一）应严格遵守国家关于市场准入、项目招标投标、工程建设、设计和市场活动的有关法律、法规，相关政策，以及廉洁建设的各项规定。</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（二）严格执行合同文件，自觉按合同办事。</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（三）业务活动必须坚持公开、公平、公正、诚信、透明的原则（法律、法规另有规定者除外），不得为获取不正当的利益，损害国家、集体和对方利益，不得违反工程建设相关管理的法律法规及规章制度。</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（四）相互配合开展廉政教育、学习及宣传活动。一方不履行或不完全履行廉政宣传教育义务，另一方有义务督促其履行。</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（五）共同建立联防联控工作机制，联合查处违规违纪行为，防控廉政风险。发现对方在业务活动中有违规、违纪、违法行为的，应及时提醒对方；情节严重的，应向其上级主管部门等有关机关举报。</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第二条委托人的责任</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委托人的领导和从事该建设工程项目的工作人员，在工程建设的事前、事中、事后应遵守以下规定：</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（一）不准向和相关单位索要或接受回扣、礼金、有价证券、贵重物品和好处费、感谢费等。</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（二）不准在检测人和相关单位报销任何应由委托人或个人支付的费用。</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（三）不准要求、暗示或接受检测人和相关单位为个人装修住房、婚丧嫁娶、配偶子女的工作安排以及出国（境）、旅游等提供方便。</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（四）不准参加有可能影响公正执行公务的检测人和相关单位的宴请、健身、娱乐等活动。</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（五）不准向检测人和相关单位介绍或为配偶、子女、亲属参与同委托人项目工程设计合同有关的设计业务等活动。</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第三条检测人的责任</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应与委托人保持正常的业务交往，按照有关法律法规和程序开展业务工作，严格执行国家有关法律、法规、方针及政策，并遵守以下规定：</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（一）不准以任何理由向委托人及其工作人员索要、接受或赠送礼金、有价证券、贵重物品及回扣、好处费、感谢费等。</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（二）不准以任何理由为委托人和相关单位报销应由对方或个人支付的费用。</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（三）不准接受或暗示为委托人、相关单位或个人装修住房、婚丧嫁娶、配偶子女的工作安排以及出国（境）、旅游等提供方便。</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（四）不准以任何理由为委托人、相关单位或个人组织有可能影响公正执行公务的宴请、健身、娱乐等活动。</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第四条违约责任</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一）委托人工作人员有违反本协议第一、二条责任行为的，按照管理权限，依据有关法律法规和规定给予党纪、政纪处分或组织处理；涉嫌犯罪的，移交司法机关追究刑事责任；给检测人造成经济损失的，应予以赔偿。</w:t>
      </w:r>
    </w:p>
    <w:p>
      <w:pPr>
        <w:spacing w:line="360" w:lineRule="auto"/>
        <w:ind w:firstLine="480"/>
        <w:jc w:val="left"/>
        <w:rPr>
          <w:rFonts w:ascii="宋体" w:hAnsi="宋体" w:cs="等线"/>
          <w:sz w:val="24"/>
          <w:szCs w:val="24"/>
          <w:lang w:val="zh-TW" w:eastAsia="zh-TW"/>
        </w:rPr>
      </w:pPr>
      <w:r>
        <w:rPr>
          <w:rFonts w:ascii="宋体" w:hAnsi="宋体" w:cs="宋体"/>
          <w:sz w:val="24"/>
          <w:szCs w:val="24"/>
          <w:u w:color="000000"/>
          <w:lang w:val="zh-TW" w:eastAsia="zh-TW"/>
        </w:rPr>
        <w:t>（二）检测人工作人员有违反本协议第一、三条责任行为的，按照管理权限，依据有关法律法规和规定给予处分或组织处理；涉嫌犯罪的，移交司法机关追究刑事责任；给委托人造成经济损失的，应予以赔偿。情节严重的，委托人依据相关规定可以在未来一至三年内拒绝检测人继续承接其项目。</w:t>
      </w:r>
    </w:p>
    <w:p>
      <w:pPr>
        <w:spacing w:line="360" w:lineRule="auto"/>
        <w:ind w:firstLine="480"/>
        <w:jc w:val="left"/>
        <w:rPr>
          <w:rFonts w:ascii="宋体" w:hAnsi="宋体" w:cs="等线"/>
          <w:sz w:val="24"/>
          <w:szCs w:val="24"/>
          <w:lang w:val="zh-TW"/>
        </w:rPr>
      </w:pPr>
      <w:r>
        <w:rPr>
          <w:rFonts w:ascii="宋体" w:hAnsi="宋体" w:cs="宋体"/>
          <w:sz w:val="24"/>
          <w:szCs w:val="24"/>
          <w:u w:color="000000"/>
          <w:lang w:val="zh-TW" w:eastAsia="zh-TW"/>
        </w:rPr>
        <w:t>第五条本协议自双方签字盖章之日起生效，至双方履行完合同约定的全部工作内容终止。</w:t>
      </w:r>
    </w:p>
    <w:p>
      <w:pPr>
        <w:spacing w:line="360" w:lineRule="auto"/>
        <w:ind w:firstLine="480"/>
        <w:jc w:val="left"/>
        <w:rPr>
          <w:rFonts w:ascii="等线" w:hAnsi="等线" w:eastAsia="等线" w:cs="等线"/>
          <w:szCs w:val="21"/>
        </w:rPr>
      </w:pPr>
      <w:r>
        <w:rPr>
          <w:rFonts w:ascii="宋体" w:hAnsi="宋体" w:cs="宋体"/>
          <w:sz w:val="24"/>
          <w:szCs w:val="24"/>
          <w:u w:color="000000"/>
          <w:lang w:val="zh-TW" w:eastAsia="zh-TW"/>
        </w:rPr>
        <w:t>第六条本协议作为合同的附件，与合同具有同等法律效力。</w:t>
      </w:r>
    </w:p>
    <w:p>
      <w:pPr>
        <w:rPr>
          <w:rFonts w:cs="Times New Roman"/>
          <w:szCs w:val="24"/>
        </w:rPr>
      </w:pPr>
    </w:p>
    <w:p>
      <w:pPr>
        <w:pStyle w:val="5"/>
        <w:widowControl w:val="0"/>
        <w:spacing w:before="0" w:beforeAutospacing="0" w:after="0" w:afterAutospacing="0" w:line="360" w:lineRule="auto"/>
        <w:rPr>
          <w:snapToGrid w:val="0"/>
          <w:szCs w:val="21"/>
        </w:rPr>
      </w:pPr>
      <w:r>
        <w:rPr>
          <w:snapToGrid w:val="0"/>
          <w:szCs w:val="21"/>
        </w:rPr>
        <w:fldChar w:fldCharType="begin"/>
      </w:r>
      <w:r>
        <w:rPr>
          <w:snapToGrid w:val="0"/>
          <w:szCs w:val="21"/>
        </w:rPr>
        <w:instrText xml:space="preserve"> </w:instrText>
      </w:r>
      <w:r>
        <w:rPr>
          <w:rFonts w:hint="eastAsia"/>
          <w:snapToGrid w:val="0"/>
          <w:szCs w:val="21"/>
        </w:rPr>
        <w:instrText xml:space="preserve">AUTOTEXT  合同条款 \* MERGEFORMAT</w:instrText>
      </w:r>
      <w:r>
        <w:rPr>
          <w:snapToGrid w:val="0"/>
          <w:szCs w:val="21"/>
        </w:rPr>
        <w:instrText xml:space="preserve"> </w:instrText>
      </w:r>
      <w:r>
        <w:rPr>
          <w:snapToGrid w:val="0"/>
          <w:szCs w:val="21"/>
        </w:rPr>
        <w:fldChar w:fldCharType="separate"/>
      </w:r>
      <w:r>
        <w:rPr>
          <w:snapToGrid w:val="0"/>
          <w:szCs w:val="21"/>
        </w:rPr>
        <w:fldChar w:fldCharType="end"/>
      </w:r>
      <w:r>
        <w:rPr>
          <w:snapToGrid w:val="0"/>
          <w:szCs w:val="21"/>
        </w:rPr>
        <w:br w:type="page"/>
      </w:r>
    </w:p>
    <w:p>
      <w:pPr>
        <w:spacing w:line="360" w:lineRule="auto"/>
        <w:jc w:val="center"/>
        <w:outlineLvl w:val="0"/>
        <w:rPr>
          <w:rFonts w:ascii="黑体" w:hAnsi="黑体" w:eastAsia="黑体"/>
          <w:b/>
          <w:sz w:val="44"/>
          <w:szCs w:val="44"/>
        </w:rPr>
      </w:pPr>
      <w:r>
        <w:rPr>
          <w:rFonts w:hint="eastAsia" w:ascii="黑体" w:hAnsi="黑体" w:eastAsia="黑体"/>
          <w:b/>
          <w:sz w:val="44"/>
          <w:szCs w:val="44"/>
        </w:rPr>
        <w:t>第六章  任务书</w:t>
      </w:r>
    </w:p>
    <w:p>
      <w:pPr>
        <w:rPr>
          <w:rFonts w:cs="Times New Roman"/>
          <w:szCs w:val="24"/>
        </w:rPr>
      </w:pPr>
      <w:r>
        <w:rPr>
          <w:rFonts w:hint="eastAsia" w:cs="Times New Roman"/>
          <w:szCs w:val="24"/>
        </w:rPr>
        <w:t>无。</w:t>
      </w:r>
    </w:p>
    <w:p>
      <w:pPr>
        <w:pStyle w:val="5"/>
        <w:widowControl w:val="0"/>
        <w:spacing w:before="0" w:beforeAutospacing="0" w:after="0" w:afterAutospacing="0" w:line="360" w:lineRule="auto"/>
        <w:rPr>
          <w:snapToGrid w:val="0"/>
          <w:szCs w:val="21"/>
        </w:rPr>
      </w:pPr>
      <w:r>
        <w:rPr>
          <w:snapToGrid w:val="0"/>
          <w:szCs w:val="20"/>
        </w:rPr>
        <w:fldChar w:fldCharType="begin"/>
      </w:r>
      <w:r>
        <w:rPr>
          <w:snapToGrid w:val="0"/>
          <w:szCs w:val="20"/>
        </w:rPr>
        <w:instrText xml:space="preserve"> </w:instrText>
      </w:r>
      <w:r>
        <w:rPr>
          <w:rFonts w:hint="eastAsia"/>
          <w:snapToGrid w:val="0"/>
          <w:szCs w:val="20"/>
        </w:rPr>
        <w:instrText xml:space="preserve">AUTOTEXT  任务书 \* MERGEFORMAT</w:instrText>
      </w:r>
      <w:r>
        <w:rPr>
          <w:snapToGrid w:val="0"/>
          <w:szCs w:val="20"/>
        </w:rPr>
        <w:instrText xml:space="preserve"> </w:instrText>
      </w:r>
      <w:r>
        <w:rPr>
          <w:snapToGrid w:val="0"/>
          <w:szCs w:val="20"/>
        </w:rPr>
        <w:fldChar w:fldCharType="separate"/>
      </w:r>
      <w:r>
        <w:rPr>
          <w:snapToGrid w:val="0"/>
          <w:szCs w:val="20"/>
        </w:rPr>
        <w:fldChar w:fldCharType="end"/>
      </w:r>
    </w:p>
    <w:p/>
    <w:sectPr>
      <w:footerReference r:id="rId6" w:type="default"/>
      <w:pgSz w:w="11907" w:h="16839"/>
      <w:pgMar w:top="1361" w:right="1304" w:bottom="1304" w:left="1304" w:header="1247" w:footer="737" w:gutter="0"/>
      <w:cols w:space="720"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Calibri"/>
        <w:kern w:val="0"/>
        <w:sz w:val="18"/>
        <w:szCs w:val="18"/>
        <w:lang w:val="en-US" w:eastAsia="zh-CN" w:bidi="ar-SA"/>
      </w:rPr>
    </w:pPr>
    <w:r>
      <w:rPr>
        <w:rFonts w:ascii="Times New Roman" w:hAnsi="Times New Roman" w:eastAsia="宋体" w:cs="Calibri"/>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Times New Roman" w:hAnsi="Times New Roman" w:eastAsia="宋体" w:cs="Calibri"/>
                              <w:kern w:val="0"/>
                              <w:sz w:val="18"/>
                              <w:szCs w:val="18"/>
                              <w:lang w:val="en-US" w:eastAsia="zh-CN" w:bidi="ar-SA"/>
                            </w:rPr>
                          </w:pPr>
                          <w:r>
                            <w:rPr>
                              <w:rFonts w:ascii="Times New Roman" w:hAnsi="Times New Roman" w:eastAsia="宋体" w:cs="Calibri"/>
                              <w:kern w:val="0"/>
                              <w:sz w:val="18"/>
                              <w:szCs w:val="18"/>
                              <w:lang w:val="en-US" w:eastAsia="zh-CN" w:bidi="ar-SA"/>
                            </w:rPr>
                            <w:fldChar w:fldCharType="begin"/>
                          </w:r>
                          <w:r>
                            <w:rPr>
                              <w:rFonts w:ascii="Times New Roman" w:hAnsi="Times New Roman" w:eastAsia="宋体" w:cs="Calibri"/>
                              <w:kern w:val="0"/>
                              <w:sz w:val="18"/>
                              <w:szCs w:val="18"/>
                              <w:lang w:val="en-US" w:eastAsia="zh-CN" w:bidi="ar-SA"/>
                            </w:rPr>
                            <w:instrText xml:space="preserve"> PAGE  \* MERGEFORMAT </w:instrText>
                          </w:r>
                          <w:r>
                            <w:rPr>
                              <w:rFonts w:ascii="Times New Roman" w:hAnsi="Times New Roman" w:eastAsia="宋体" w:cs="Calibri"/>
                              <w:kern w:val="0"/>
                              <w:sz w:val="18"/>
                              <w:szCs w:val="18"/>
                              <w:lang w:val="en-US" w:eastAsia="zh-CN" w:bidi="ar-SA"/>
                            </w:rPr>
                            <w:fldChar w:fldCharType="separate"/>
                          </w:r>
                          <w:r>
                            <w:rPr>
                              <w:rFonts w:ascii="Times New Roman" w:hAnsi="Times New Roman" w:eastAsia="宋体" w:cs="Calibri"/>
                              <w:kern w:val="0"/>
                              <w:sz w:val="18"/>
                              <w:szCs w:val="18"/>
                              <w:lang w:val="en-US" w:eastAsia="zh-CN" w:bidi="ar-SA"/>
                            </w:rPr>
                            <w:t>83</w:t>
                          </w:r>
                          <w:r>
                            <w:rPr>
                              <w:rFonts w:ascii="Times New Roman" w:hAnsi="Times New Roman" w:eastAsia="宋体" w:cs="Calibri"/>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宋体" w:cs="Calibri"/>
                        <w:kern w:val="0"/>
                        <w:sz w:val="18"/>
                        <w:szCs w:val="18"/>
                        <w:lang w:val="en-US" w:eastAsia="zh-CN" w:bidi="ar-SA"/>
                      </w:rPr>
                    </w:pPr>
                    <w:r>
                      <w:rPr>
                        <w:rFonts w:ascii="Times New Roman" w:hAnsi="Times New Roman" w:eastAsia="宋体" w:cs="Calibri"/>
                        <w:kern w:val="0"/>
                        <w:sz w:val="18"/>
                        <w:szCs w:val="18"/>
                        <w:lang w:val="en-US" w:eastAsia="zh-CN" w:bidi="ar-SA"/>
                      </w:rPr>
                      <w:fldChar w:fldCharType="begin"/>
                    </w:r>
                    <w:r>
                      <w:rPr>
                        <w:rFonts w:ascii="Times New Roman" w:hAnsi="Times New Roman" w:eastAsia="宋体" w:cs="Calibri"/>
                        <w:kern w:val="0"/>
                        <w:sz w:val="18"/>
                        <w:szCs w:val="18"/>
                        <w:lang w:val="en-US" w:eastAsia="zh-CN" w:bidi="ar-SA"/>
                      </w:rPr>
                      <w:instrText xml:space="preserve"> PAGE  \* MERGEFORMAT </w:instrText>
                    </w:r>
                    <w:r>
                      <w:rPr>
                        <w:rFonts w:ascii="Times New Roman" w:hAnsi="Times New Roman" w:eastAsia="宋体" w:cs="Calibri"/>
                        <w:kern w:val="0"/>
                        <w:sz w:val="18"/>
                        <w:szCs w:val="18"/>
                        <w:lang w:val="en-US" w:eastAsia="zh-CN" w:bidi="ar-SA"/>
                      </w:rPr>
                      <w:fldChar w:fldCharType="separate"/>
                    </w:r>
                    <w:r>
                      <w:rPr>
                        <w:rFonts w:ascii="Times New Roman" w:hAnsi="Times New Roman" w:eastAsia="宋体" w:cs="Calibri"/>
                        <w:kern w:val="0"/>
                        <w:sz w:val="18"/>
                        <w:szCs w:val="18"/>
                        <w:lang w:val="en-US" w:eastAsia="zh-CN" w:bidi="ar-SA"/>
                      </w:rPr>
                      <w:t>83</w:t>
                    </w:r>
                    <w:r>
                      <w:rPr>
                        <w:rFonts w:ascii="Times New Roman" w:hAnsi="Times New Roman" w:eastAsia="宋体" w:cs="Calibri"/>
                        <w:kern w:val="0"/>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eastAsia="宋体" w:cs="Calibri"/>
        <w:kern w:val="0"/>
        <w:sz w:val="18"/>
        <w:szCs w:val="18"/>
      </w:rPr>
    </w:pPr>
    <w:r>
      <w:rPr>
        <w:rFonts w:ascii="Times New Roman" w:hAnsi="Times New Roman" w:eastAsia="宋体" w:cs="Calibri"/>
        <w:kern w:val="0"/>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jc w:val="left"/>
                            <w:rPr>
                              <w:rFonts w:ascii="Times New Roman" w:hAnsi="Times New Roman" w:eastAsia="宋体" w:cs="Calibri"/>
                              <w:kern w:val="0"/>
                              <w:sz w:val="18"/>
                              <w:szCs w:val="18"/>
                            </w:rPr>
                          </w:pPr>
                          <w:r>
                            <w:rPr>
                              <w:rFonts w:ascii="Times New Roman" w:hAnsi="Times New Roman" w:eastAsia="宋体" w:cs="Calibri"/>
                              <w:kern w:val="0"/>
                              <w:sz w:val="18"/>
                              <w:szCs w:val="18"/>
                            </w:rPr>
                            <w:fldChar w:fldCharType="begin"/>
                          </w:r>
                          <w:r>
                            <w:rPr>
                              <w:rFonts w:ascii="Times New Roman" w:hAnsi="Times New Roman" w:eastAsia="宋体" w:cs="Calibri"/>
                              <w:kern w:val="0"/>
                              <w:sz w:val="18"/>
                              <w:szCs w:val="18"/>
                            </w:rPr>
                            <w:instrText xml:space="preserve"> PAGE  \* MERGEFORMAT </w:instrText>
                          </w:r>
                          <w:r>
                            <w:rPr>
                              <w:rFonts w:ascii="Times New Roman" w:hAnsi="Times New Roman" w:eastAsia="宋体" w:cs="Calibri"/>
                              <w:kern w:val="0"/>
                              <w:sz w:val="18"/>
                              <w:szCs w:val="18"/>
                            </w:rPr>
                            <w:fldChar w:fldCharType="separate"/>
                          </w:r>
                          <w:r>
                            <w:rPr>
                              <w:rFonts w:ascii="Times New Roman" w:hAnsi="Times New Roman" w:eastAsia="宋体" w:cs="Calibri"/>
                              <w:kern w:val="0"/>
                              <w:sz w:val="18"/>
                              <w:szCs w:val="18"/>
                            </w:rPr>
                            <w:t>85</w:t>
                          </w:r>
                          <w:r>
                            <w:rPr>
                              <w:rFonts w:ascii="Times New Roman" w:hAnsi="Times New Roman" w:eastAsia="宋体" w:cs="Calibri"/>
                              <w:kern w:val="0"/>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snapToGrid w:val="0"/>
                      <w:jc w:val="left"/>
                      <w:rPr>
                        <w:rFonts w:ascii="Times New Roman" w:hAnsi="Times New Roman" w:eastAsia="宋体" w:cs="Calibri"/>
                        <w:kern w:val="0"/>
                        <w:sz w:val="18"/>
                        <w:szCs w:val="18"/>
                      </w:rPr>
                    </w:pPr>
                    <w:r>
                      <w:rPr>
                        <w:rFonts w:ascii="Times New Roman" w:hAnsi="Times New Roman" w:eastAsia="宋体" w:cs="Calibri"/>
                        <w:kern w:val="0"/>
                        <w:sz w:val="18"/>
                        <w:szCs w:val="18"/>
                      </w:rPr>
                      <w:fldChar w:fldCharType="begin"/>
                    </w:r>
                    <w:r>
                      <w:rPr>
                        <w:rFonts w:ascii="Times New Roman" w:hAnsi="Times New Roman" w:eastAsia="宋体" w:cs="Calibri"/>
                        <w:kern w:val="0"/>
                        <w:sz w:val="18"/>
                        <w:szCs w:val="18"/>
                      </w:rPr>
                      <w:instrText xml:space="preserve"> PAGE  \* MERGEFORMAT </w:instrText>
                    </w:r>
                    <w:r>
                      <w:rPr>
                        <w:rFonts w:ascii="Times New Roman" w:hAnsi="Times New Roman" w:eastAsia="宋体" w:cs="Calibri"/>
                        <w:kern w:val="0"/>
                        <w:sz w:val="18"/>
                        <w:szCs w:val="18"/>
                      </w:rPr>
                      <w:fldChar w:fldCharType="separate"/>
                    </w:r>
                    <w:r>
                      <w:rPr>
                        <w:rFonts w:ascii="Times New Roman" w:hAnsi="Times New Roman" w:eastAsia="宋体" w:cs="Calibri"/>
                        <w:kern w:val="0"/>
                        <w:sz w:val="18"/>
                        <w:szCs w:val="18"/>
                      </w:rPr>
                      <w:t>85</w:t>
                    </w:r>
                    <w:r>
                      <w:rPr>
                        <w:rFonts w:ascii="Times New Roman" w:hAnsi="Times New Roman" w:eastAsia="宋体" w:cs="Calibri"/>
                        <w:kern w:val="0"/>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rPr>
        <w:lang w:val="zh-CN"/>
      </w:rP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Calibri"/>
        <w:kern w:val="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mNlNjE2MmM1ODA5YTdhMzM0YWUwN2YwNTg1OTQifQ=="/>
  </w:docVars>
  <w:rsids>
    <w:rsidRoot w:val="76A734EA"/>
    <w:rsid w:val="76A73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Grid_0_0"/>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5">
    <w:name w:val="style93"/>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2023-11-16T08:22:00Z</dcterms:created>
  <dc:creator>YQY</dc:creator>
  <cp:lastModifiedBy>YQY</cp:lastModifiedBy>
  <dcterms:modified xsi:type="dcterms:W3CDTF">2023-11-16T08:53:49Z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F3B19CCBA6EF4154B8272A595E6877AE_11</vt:lpwstr>
  </property>
</Properties>
</file>