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adjustRightInd w:val="0"/>
        <w:snapToGrid w:val="0"/>
        <w:ind w:firstLine="0" w:firstLineChars="0"/>
        <w:rPr>
          <w:rFonts w:hint="eastAsia" w:ascii="宋体" w:hAnsi="宋体"/>
          <w:sz w:val="48"/>
          <w:szCs w:val="48"/>
        </w:rPr>
      </w:pPr>
      <w:bookmarkStart w:id="0" w:name="_Toc144974478"/>
      <w:bookmarkStart w:id="1" w:name="_Toc152042286"/>
      <w:bookmarkStart w:id="2" w:name="_Hlk532133368"/>
    </w:p>
    <w:p>
      <w:pPr>
        <w:widowControl w:val="0"/>
        <w:autoSpaceDE w:val="0"/>
        <w:autoSpaceDN w:val="0"/>
        <w:adjustRightInd w:val="0"/>
        <w:snapToGrid w:val="0"/>
        <w:ind w:firstLine="0" w:firstLineChars="0"/>
        <w:rPr>
          <w:rFonts w:hint="eastAsia" w:ascii="宋体" w:hAnsi="宋体"/>
          <w:sz w:val="48"/>
          <w:szCs w:val="48"/>
        </w:rPr>
      </w:pPr>
    </w:p>
    <w:p>
      <w:pPr>
        <w:widowControl w:val="0"/>
        <w:autoSpaceDE w:val="0"/>
        <w:autoSpaceDN w:val="0"/>
        <w:adjustRightInd w:val="0"/>
        <w:snapToGrid w:val="0"/>
        <w:ind w:firstLine="0" w:firstLineChars="0"/>
        <w:jc w:val="center"/>
        <w:rPr>
          <w:rFonts w:ascii="宋体" w:hAnsi="宋体"/>
          <w:b/>
          <w:sz w:val="84"/>
          <w:szCs w:val="84"/>
          <w14:shadow w14:blurRad="50800" w14:dist="38100" w14:dir="2700000" w14:sx="100000" w14:sy="100000" w14:kx="0" w14:ky="0" w14:algn="tl">
            <w14:srgbClr w14:val="000000">
              <w14:alpha w14:val="60000"/>
            </w14:srgbClr>
          </w14:shadow>
        </w:rPr>
      </w:pPr>
      <w:r>
        <w:rPr>
          <w:rFonts w:hint="eastAsia" w:ascii="宋体" w:hAnsi="宋体"/>
          <w:b/>
          <w:sz w:val="84"/>
          <w:szCs w:val="84"/>
          <w14:shadow w14:blurRad="50800" w14:dist="38100" w14:dir="2700000" w14:sx="100000" w14:sy="100000" w14:kx="0" w14:ky="0" w14:algn="tl">
            <w14:srgbClr w14:val="000000">
              <w14:alpha w14:val="60000"/>
            </w14:srgbClr>
          </w14:shadow>
        </w:rPr>
        <w:t>服务类招标文件</w:t>
      </w:r>
    </w:p>
    <w:p>
      <w:pPr>
        <w:widowControl w:val="0"/>
        <w:autoSpaceDE w:val="0"/>
        <w:autoSpaceDN w:val="0"/>
        <w:adjustRightInd w:val="0"/>
        <w:snapToGrid w:val="0"/>
        <w:ind w:firstLine="0" w:firstLineChars="0"/>
        <w:rPr>
          <w:rFonts w:hint="eastAsia" w:ascii="宋体" w:hAnsi="宋体"/>
          <w:sz w:val="48"/>
          <w:szCs w:val="48"/>
        </w:rPr>
      </w:pPr>
    </w:p>
    <w:p>
      <w:pPr>
        <w:widowControl w:val="0"/>
        <w:autoSpaceDE w:val="0"/>
        <w:autoSpaceDN w:val="0"/>
        <w:adjustRightInd w:val="0"/>
        <w:snapToGrid w:val="0"/>
        <w:ind w:firstLine="0" w:firstLineChars="0"/>
        <w:rPr>
          <w:rFonts w:hint="eastAsia" w:ascii="宋体" w:hAnsi="宋体"/>
          <w:sz w:val="48"/>
          <w:szCs w:val="48"/>
        </w:rPr>
      </w:pPr>
    </w:p>
    <w:tbl>
      <w:tblPr>
        <w:tblStyle w:val="49"/>
        <w:tblW w:w="8856" w:type="dxa"/>
        <w:tblInd w:w="0" w:type="dxa"/>
        <w:tblLayout w:type="fixed"/>
        <w:tblCellMar>
          <w:top w:w="0" w:type="dxa"/>
          <w:left w:w="108" w:type="dxa"/>
          <w:bottom w:w="0" w:type="dxa"/>
          <w:right w:w="108" w:type="dxa"/>
        </w:tblCellMar>
      </w:tblPr>
      <w:tblGrid>
        <w:gridCol w:w="2173"/>
        <w:gridCol w:w="6683"/>
      </w:tblGrid>
      <w:tr>
        <w:tblPrEx>
          <w:tblCellMar>
            <w:top w:w="0" w:type="dxa"/>
            <w:left w:w="108" w:type="dxa"/>
            <w:bottom w:w="0" w:type="dxa"/>
            <w:right w:w="108" w:type="dxa"/>
          </w:tblCellMar>
        </w:tblPrEx>
        <w:tc>
          <w:tcPr>
            <w:tcW w:w="2173" w:type="dxa"/>
            <w:noWrap w:val="0"/>
            <w:vAlign w:val="center"/>
          </w:tcPr>
          <w:p>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项目名称：</w:t>
            </w:r>
          </w:p>
        </w:tc>
        <w:tc>
          <w:tcPr>
            <w:tcW w:w="6683" w:type="dxa"/>
            <w:noWrap w:val="0"/>
            <w:vAlign w:val="center"/>
          </w:tcPr>
          <w:p>
            <w:pPr>
              <w:widowControl w:val="0"/>
              <w:autoSpaceDE w:val="0"/>
              <w:autoSpaceDN w:val="0"/>
              <w:adjustRightInd w:val="0"/>
              <w:snapToGrid w:val="0"/>
              <w:ind w:left="0" w:leftChars="0" w:firstLine="0" w:firstLineChars="0"/>
              <w:rPr>
                <w:rFonts w:hint="default" w:ascii="宋体" w:hAnsi="宋体" w:eastAsia="宋体"/>
                <w:b/>
                <w:sz w:val="32"/>
                <w:szCs w:val="32"/>
                <w:u w:val="single"/>
                <w:lang w:val="en-US" w:eastAsia="zh-CN"/>
              </w:rPr>
            </w:pPr>
            <w:r>
              <w:rPr>
                <w:rFonts w:hint="eastAsia" w:ascii="宋体" w:hAnsi="宋体"/>
                <w:b/>
                <w:sz w:val="32"/>
                <w:szCs w:val="32"/>
                <w:u w:val="single"/>
                <w:lang w:val="en-US" w:eastAsia="zh-CN"/>
              </w:rPr>
              <w:t xml:space="preserve">大浪街道非市政道路路灯管养     </w:t>
            </w:r>
          </w:p>
        </w:tc>
      </w:tr>
      <w:tr>
        <w:tblPrEx>
          <w:tblCellMar>
            <w:top w:w="0" w:type="dxa"/>
            <w:left w:w="108" w:type="dxa"/>
            <w:bottom w:w="0" w:type="dxa"/>
            <w:right w:w="108" w:type="dxa"/>
          </w:tblCellMar>
        </w:tblPrEx>
        <w:tc>
          <w:tcPr>
            <w:tcW w:w="2173" w:type="dxa"/>
            <w:noWrap w:val="0"/>
            <w:vAlign w:val="center"/>
          </w:tcPr>
          <w:p>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项目编号：</w:t>
            </w:r>
          </w:p>
        </w:tc>
        <w:tc>
          <w:tcPr>
            <w:tcW w:w="6683" w:type="dxa"/>
            <w:noWrap w:val="0"/>
            <w:vAlign w:val="center"/>
          </w:tcPr>
          <w:p>
            <w:pPr>
              <w:widowControl w:val="0"/>
              <w:autoSpaceDE w:val="0"/>
              <w:autoSpaceDN w:val="0"/>
              <w:adjustRightInd w:val="0"/>
              <w:snapToGrid w:val="0"/>
              <w:ind w:firstLine="0" w:firstLineChars="0"/>
              <w:rPr>
                <w:rFonts w:hint="default" w:ascii="宋体" w:hAnsi="宋体" w:eastAsia="宋体"/>
                <w:b/>
                <w:sz w:val="32"/>
                <w:szCs w:val="32"/>
                <w:u w:val="single"/>
                <w:lang w:val="en-US" w:eastAsia="zh-CN"/>
              </w:rPr>
            </w:pPr>
            <w:r>
              <w:rPr>
                <w:rFonts w:hint="eastAsia" w:ascii="宋体" w:hAnsi="宋体"/>
                <w:b/>
                <w:sz w:val="32"/>
                <w:szCs w:val="32"/>
                <w:u w:val="single"/>
                <w:lang w:val="en-US" w:eastAsia="zh-CN"/>
              </w:rPr>
              <w:t xml:space="preserve">                                   </w:t>
            </w:r>
          </w:p>
        </w:tc>
      </w:tr>
      <w:tr>
        <w:tblPrEx>
          <w:tblCellMar>
            <w:top w:w="0" w:type="dxa"/>
            <w:left w:w="108" w:type="dxa"/>
            <w:bottom w:w="0" w:type="dxa"/>
            <w:right w:w="108" w:type="dxa"/>
          </w:tblCellMar>
        </w:tblPrEx>
        <w:tc>
          <w:tcPr>
            <w:tcW w:w="2173" w:type="dxa"/>
            <w:noWrap w:val="0"/>
            <w:vAlign w:val="center"/>
          </w:tcPr>
          <w:p>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招标人：</w:t>
            </w:r>
          </w:p>
        </w:tc>
        <w:tc>
          <w:tcPr>
            <w:tcW w:w="6683" w:type="dxa"/>
            <w:noWrap w:val="0"/>
            <w:vAlign w:val="center"/>
          </w:tcPr>
          <w:p>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lang w:val="en-US" w:eastAsia="zh-CN"/>
              </w:rPr>
              <w:t xml:space="preserve">深圳市龙华环境有限公司            </w:t>
            </w:r>
            <w:r>
              <w:rPr>
                <w:rFonts w:hint="eastAsia" w:ascii="宋体" w:hAnsi="宋体"/>
                <w:b/>
                <w:sz w:val="32"/>
                <w:szCs w:val="32"/>
                <w:u w:val="single"/>
              </w:rPr>
              <w:t xml:space="preserve"> </w:t>
            </w:r>
          </w:p>
        </w:tc>
      </w:tr>
      <w:tr>
        <w:tblPrEx>
          <w:tblCellMar>
            <w:top w:w="0" w:type="dxa"/>
            <w:left w:w="108" w:type="dxa"/>
            <w:bottom w:w="0" w:type="dxa"/>
            <w:right w:w="108" w:type="dxa"/>
          </w:tblCellMar>
        </w:tblPrEx>
        <w:tc>
          <w:tcPr>
            <w:tcW w:w="2173" w:type="dxa"/>
            <w:noWrap w:val="0"/>
            <w:vAlign w:val="center"/>
          </w:tcPr>
          <w:p>
            <w:pPr>
              <w:widowControl w:val="0"/>
              <w:autoSpaceDE w:val="0"/>
              <w:autoSpaceDN w:val="0"/>
              <w:adjustRightInd w:val="0"/>
              <w:snapToGrid w:val="0"/>
              <w:ind w:firstLine="0" w:firstLineChars="0"/>
              <w:rPr>
                <w:rFonts w:hint="eastAsia" w:ascii="宋体" w:hAnsi="宋体" w:eastAsia="宋体"/>
                <w:b/>
                <w:sz w:val="32"/>
                <w:szCs w:val="32"/>
                <w:lang w:eastAsia="zh-CN"/>
              </w:rPr>
            </w:pPr>
            <w:r>
              <w:rPr>
                <w:rFonts w:hint="eastAsia" w:ascii="宋体" w:hAnsi="宋体"/>
                <w:b/>
                <w:sz w:val="32"/>
                <w:szCs w:val="32"/>
                <w:lang w:eastAsia="zh-CN"/>
              </w:rPr>
              <w:t>招标代理：</w:t>
            </w:r>
          </w:p>
        </w:tc>
        <w:tc>
          <w:tcPr>
            <w:tcW w:w="6683" w:type="dxa"/>
            <w:noWrap w:val="0"/>
            <w:vAlign w:val="center"/>
          </w:tcPr>
          <w:p>
            <w:pPr>
              <w:widowControl w:val="0"/>
              <w:autoSpaceDE w:val="0"/>
              <w:autoSpaceDN w:val="0"/>
              <w:adjustRightInd w:val="0"/>
              <w:snapToGrid w:val="0"/>
              <w:ind w:firstLine="0" w:firstLineChars="0"/>
              <w:rPr>
                <w:rFonts w:hint="default" w:ascii="宋体" w:hAnsi="宋体" w:eastAsia="宋体"/>
                <w:b/>
                <w:sz w:val="32"/>
                <w:szCs w:val="32"/>
                <w:u w:val="single"/>
                <w:lang w:val="en-US" w:eastAsia="zh-CN"/>
              </w:rPr>
            </w:pPr>
            <w:r>
              <w:rPr>
                <w:rFonts w:hint="eastAsia" w:ascii="宋体" w:hAnsi="宋体"/>
                <w:b/>
                <w:sz w:val="32"/>
                <w:szCs w:val="32"/>
                <w:u w:val="single"/>
                <w:lang w:val="en-US" w:eastAsia="zh-CN"/>
              </w:rPr>
              <w:t xml:space="preserve">                                   </w:t>
            </w:r>
          </w:p>
        </w:tc>
      </w:tr>
    </w:tbl>
    <w:p>
      <w:pPr>
        <w:widowControl w:val="0"/>
        <w:autoSpaceDE w:val="0"/>
        <w:autoSpaceDN w:val="0"/>
        <w:adjustRightInd w:val="0"/>
        <w:snapToGrid w:val="0"/>
        <w:ind w:firstLine="0" w:firstLineChars="0"/>
        <w:rPr>
          <w:rFonts w:ascii="宋体" w:hAnsi="宋体" w:cs="Courier New"/>
          <w:b/>
          <w:bCs/>
          <w:sz w:val="32"/>
          <w:szCs w:val="32"/>
        </w:rPr>
      </w:pPr>
    </w:p>
    <w:p>
      <w:pPr>
        <w:widowControl w:val="0"/>
        <w:autoSpaceDE w:val="0"/>
        <w:autoSpaceDN w:val="0"/>
        <w:adjustRightInd w:val="0"/>
        <w:snapToGrid w:val="0"/>
        <w:ind w:firstLine="0" w:firstLineChars="0"/>
        <w:jc w:val="center"/>
        <w:outlineLvl w:val="0"/>
        <w:rPr>
          <w:rFonts w:ascii="宋体" w:hAnsi="宋体" w:cs="Courier New"/>
          <w:b/>
          <w:bCs/>
          <w:sz w:val="32"/>
          <w:szCs w:val="32"/>
        </w:rPr>
      </w:pPr>
      <w:r>
        <w:rPr>
          <w:rFonts w:ascii="宋体" w:hAnsi="宋体" w:cs="Courier New"/>
          <w:b/>
          <w:bCs/>
          <w:sz w:val="32"/>
          <w:szCs w:val="32"/>
        </w:rPr>
        <w:br w:type="page"/>
      </w:r>
      <w:bookmarkEnd w:id="0"/>
      <w:bookmarkEnd w:id="1"/>
      <w:bookmarkStart w:id="3" w:name="_Toc49247151"/>
      <w:r>
        <w:rPr>
          <w:rFonts w:hint="eastAsia" w:ascii="宋体" w:hAnsi="宋体"/>
          <w:b/>
          <w:sz w:val="44"/>
          <w:szCs w:val="44"/>
        </w:rPr>
        <w:t>目录</w:t>
      </w:r>
      <w:bookmarkEnd w:id="3"/>
    </w:p>
    <w:p>
      <w:pPr>
        <w:pStyle w:val="33"/>
        <w:tabs>
          <w:tab w:val="right" w:leader="dot" w:pos="8630"/>
        </w:tabs>
        <w:rPr>
          <w:rStyle w:val="56"/>
          <w:b/>
          <w:lang w:eastAsia="zh-CN"/>
        </w:rPr>
      </w:pPr>
      <w:r>
        <w:rPr>
          <w:rFonts w:cs="宋体"/>
          <w:b/>
          <w:bCs/>
        </w:rPr>
        <w:fldChar w:fldCharType="begin"/>
      </w:r>
      <w:r>
        <w:rPr>
          <w:rStyle w:val="56"/>
          <w:rFonts w:cs="宋体"/>
          <w:b/>
          <w:bCs/>
        </w:rPr>
        <w:instrText xml:space="preserve"> TOC \o "1-2" \h \z \u </w:instrText>
      </w:r>
      <w:r>
        <w:rPr>
          <w:rFonts w:cs="宋体"/>
          <w:b/>
          <w:bCs/>
        </w:rPr>
        <w:fldChar w:fldCharType="separate"/>
      </w:r>
      <w:r>
        <w:rPr>
          <w:rStyle w:val="56"/>
          <w:b/>
        </w:rPr>
        <w:fldChar w:fldCharType="begin"/>
      </w:r>
      <w:r>
        <w:rPr>
          <w:rStyle w:val="56"/>
          <w:b/>
        </w:rPr>
        <w:instrText xml:space="preserve"> HYPERLINK \l "_Toc49247151" </w:instrText>
      </w:r>
      <w:r>
        <w:rPr>
          <w:rStyle w:val="56"/>
          <w:b/>
        </w:rPr>
        <w:fldChar w:fldCharType="separate"/>
      </w:r>
      <w:r>
        <w:rPr>
          <w:rStyle w:val="56"/>
          <w:b/>
        </w:rPr>
        <w:t>目录</w:t>
      </w:r>
      <w:r>
        <w:rPr>
          <w:rStyle w:val="56"/>
          <w:b/>
        </w:rPr>
        <w:tab/>
      </w:r>
      <w:r>
        <w:rPr>
          <w:rStyle w:val="56"/>
          <w:b/>
        </w:rPr>
        <w:fldChar w:fldCharType="begin"/>
      </w:r>
      <w:r>
        <w:rPr>
          <w:rStyle w:val="56"/>
          <w:b/>
        </w:rPr>
        <w:instrText xml:space="preserve"> PAGEREF _Toc49247151 \h </w:instrText>
      </w:r>
      <w:r>
        <w:rPr>
          <w:rStyle w:val="56"/>
          <w:b/>
        </w:rPr>
        <w:fldChar w:fldCharType="separate"/>
      </w:r>
      <w:r>
        <w:rPr>
          <w:rStyle w:val="56"/>
          <w:b/>
        </w:rPr>
        <w:t>2</w:t>
      </w:r>
      <w:r>
        <w:rPr>
          <w:rStyle w:val="56"/>
          <w:b/>
        </w:rPr>
        <w:fldChar w:fldCharType="end"/>
      </w:r>
      <w:r>
        <w:rPr>
          <w:rStyle w:val="56"/>
          <w:b/>
        </w:rPr>
        <w:fldChar w:fldCharType="end"/>
      </w:r>
    </w:p>
    <w:p>
      <w:pPr>
        <w:pStyle w:val="33"/>
        <w:tabs>
          <w:tab w:val="right" w:leader="dot" w:pos="8630"/>
        </w:tabs>
        <w:rPr>
          <w:rFonts w:ascii="等线" w:hAnsi="等线" w:eastAsia="等线"/>
          <w:kern w:val="2"/>
          <w:szCs w:val="22"/>
          <w:lang w:eastAsia="zh-CN"/>
        </w:rPr>
      </w:pPr>
      <w:r>
        <w:rPr>
          <w:rStyle w:val="56"/>
          <w:b/>
        </w:rPr>
        <w:fldChar w:fldCharType="begin"/>
      </w:r>
      <w:r>
        <w:rPr>
          <w:rStyle w:val="56"/>
          <w:b/>
        </w:rPr>
        <w:instrText xml:space="preserve"> HYPERLINK \l "_Toc49247152" </w:instrText>
      </w:r>
      <w:r>
        <w:rPr>
          <w:rStyle w:val="56"/>
          <w:b/>
        </w:rPr>
        <w:fldChar w:fldCharType="separate"/>
      </w:r>
      <w:r>
        <w:rPr>
          <w:rStyle w:val="56"/>
          <w:rFonts w:hint="eastAsia"/>
          <w:b/>
          <w:lang w:val="en-US" w:eastAsia="zh-CN"/>
        </w:rPr>
        <w:t>招标</w:t>
      </w:r>
      <w:r>
        <w:rPr>
          <w:rStyle w:val="56"/>
          <w:b/>
          <w:lang w:eastAsia="zh-CN"/>
        </w:rPr>
        <w:t>相关说明</w:t>
      </w:r>
      <w:r>
        <w:rPr>
          <w:rStyle w:val="56"/>
          <w:b/>
        </w:rPr>
        <w:tab/>
      </w:r>
      <w:r>
        <w:rPr>
          <w:rStyle w:val="56"/>
          <w:b/>
        </w:rPr>
        <w:fldChar w:fldCharType="begin"/>
      </w:r>
      <w:r>
        <w:rPr>
          <w:rStyle w:val="56"/>
          <w:b/>
        </w:rPr>
        <w:instrText xml:space="preserve"> PAGEREF _Toc49247152 \h </w:instrText>
      </w:r>
      <w:r>
        <w:rPr>
          <w:rStyle w:val="56"/>
          <w:b/>
        </w:rPr>
        <w:fldChar w:fldCharType="separate"/>
      </w:r>
      <w:r>
        <w:rPr>
          <w:rStyle w:val="56"/>
          <w:b/>
        </w:rPr>
        <w:t>4</w:t>
      </w:r>
      <w:r>
        <w:rPr>
          <w:rStyle w:val="56"/>
          <w:b/>
        </w:rPr>
        <w:fldChar w:fldCharType="end"/>
      </w:r>
      <w:r>
        <w:rPr>
          <w:rStyle w:val="56"/>
          <w:b/>
        </w:rPr>
        <w:fldChar w:fldCharType="end"/>
      </w:r>
    </w:p>
    <w:p>
      <w:pPr>
        <w:pStyle w:val="33"/>
        <w:tabs>
          <w:tab w:val="right" w:leader="dot" w:pos="8630"/>
        </w:tabs>
        <w:rPr>
          <w:rFonts w:ascii="等线" w:hAnsi="等线" w:eastAsia="等线"/>
          <w:kern w:val="2"/>
          <w:szCs w:val="22"/>
          <w:lang w:eastAsia="zh-CN"/>
        </w:rPr>
      </w:pPr>
      <w:r>
        <w:fldChar w:fldCharType="begin"/>
      </w:r>
      <w:r>
        <w:instrText xml:space="preserve"> HYPERLINK \l "_Toc49247153" </w:instrText>
      </w:r>
      <w:r>
        <w:fldChar w:fldCharType="separate"/>
      </w:r>
      <w:r>
        <w:rPr>
          <w:rStyle w:val="56"/>
          <w:b/>
          <w:bCs/>
        </w:rPr>
        <w:t>第一章 投标人须知</w:t>
      </w:r>
      <w:r>
        <w:tab/>
      </w:r>
      <w:r>
        <w:rPr>
          <w:rFonts w:hint="eastAsia"/>
          <w:lang w:val="en-US" w:eastAsia="zh-CN"/>
        </w:rPr>
        <w:t>6</w:t>
      </w:r>
      <w:r>
        <w:fldChar w:fldCharType="end"/>
      </w:r>
    </w:p>
    <w:p>
      <w:pPr>
        <w:pStyle w:val="42"/>
        <w:tabs>
          <w:tab w:val="right" w:leader="dot" w:pos="8630"/>
        </w:tabs>
        <w:ind w:firstLine="420"/>
        <w:rPr>
          <w:rFonts w:ascii="等线" w:hAnsi="等线" w:eastAsia="等线"/>
          <w:kern w:val="2"/>
          <w:szCs w:val="22"/>
          <w:lang w:eastAsia="zh-CN"/>
        </w:rPr>
      </w:pPr>
      <w:r>
        <w:fldChar w:fldCharType="begin"/>
      </w:r>
      <w:r>
        <w:instrText xml:space="preserve"> HYPERLINK \l "_Toc49247154" </w:instrText>
      </w:r>
      <w:r>
        <w:fldChar w:fldCharType="separate"/>
      </w:r>
      <w:r>
        <w:rPr>
          <w:rStyle w:val="56"/>
          <w:b/>
        </w:rPr>
        <w:t>第一节 投标人须知前附表</w:t>
      </w:r>
      <w:r>
        <w:tab/>
      </w:r>
      <w:r>
        <w:rPr>
          <w:rFonts w:hint="eastAsia"/>
          <w:lang w:val="en-US" w:eastAsia="zh-CN"/>
        </w:rPr>
        <w:t>7</w:t>
      </w:r>
      <w:r>
        <w:fldChar w:fldCharType="end"/>
      </w:r>
    </w:p>
    <w:p>
      <w:pPr>
        <w:pStyle w:val="42"/>
        <w:tabs>
          <w:tab w:val="right" w:leader="dot" w:pos="8630"/>
        </w:tabs>
        <w:ind w:firstLine="420"/>
        <w:rPr>
          <w:rFonts w:hint="eastAsia" w:ascii="等线" w:hAnsi="等线" w:eastAsia="宋体"/>
          <w:kern w:val="2"/>
          <w:szCs w:val="22"/>
          <w:lang w:val="en-US" w:eastAsia="zh-CN"/>
        </w:rPr>
      </w:pPr>
      <w:r>
        <w:fldChar w:fldCharType="begin"/>
      </w:r>
      <w:r>
        <w:instrText xml:space="preserve"> HYPERLINK \l "_Toc49247155" </w:instrText>
      </w:r>
      <w:r>
        <w:fldChar w:fldCharType="separate"/>
      </w:r>
      <w:r>
        <w:rPr>
          <w:rStyle w:val="56"/>
          <w:b/>
        </w:rPr>
        <w:t>第二节 否决性条款摘要</w:t>
      </w:r>
      <w:r>
        <w:tab/>
      </w:r>
      <w:r>
        <w:rPr>
          <w:rFonts w:hint="eastAsia"/>
          <w:lang w:val="en-US" w:eastAsia="zh-CN"/>
        </w:rPr>
        <w:t>1</w:t>
      </w:r>
      <w:r>
        <w:fldChar w:fldCharType="end"/>
      </w:r>
      <w:r>
        <w:rPr>
          <w:rFonts w:hint="eastAsia"/>
          <w:lang w:val="en-US" w:eastAsia="zh-CN"/>
        </w:rPr>
        <w:t>5</w:t>
      </w:r>
    </w:p>
    <w:p>
      <w:pPr>
        <w:pStyle w:val="42"/>
        <w:tabs>
          <w:tab w:val="right" w:leader="dot" w:pos="8630"/>
        </w:tabs>
        <w:ind w:firstLine="420"/>
        <w:rPr>
          <w:rFonts w:hint="eastAsia" w:ascii="等线" w:hAnsi="等线" w:eastAsia="宋体"/>
          <w:kern w:val="2"/>
          <w:szCs w:val="22"/>
          <w:lang w:val="en-US" w:eastAsia="zh-CN"/>
        </w:rPr>
      </w:pPr>
      <w:r>
        <w:fldChar w:fldCharType="begin"/>
      </w:r>
      <w:r>
        <w:instrText xml:space="preserve"> HYPERLINK \l "_Toc49247156" </w:instrText>
      </w:r>
      <w:r>
        <w:fldChar w:fldCharType="separate"/>
      </w:r>
      <w:r>
        <w:rPr>
          <w:rStyle w:val="56"/>
          <w:b/>
        </w:rPr>
        <w:t>第三节 总则</w:t>
      </w:r>
      <w:r>
        <w:tab/>
      </w:r>
      <w:r>
        <w:rPr>
          <w:rFonts w:hint="eastAsia"/>
          <w:lang w:val="en-US" w:eastAsia="zh-CN"/>
        </w:rPr>
        <w:t>1</w:t>
      </w:r>
      <w:r>
        <w:fldChar w:fldCharType="end"/>
      </w:r>
      <w:r>
        <w:rPr>
          <w:rFonts w:hint="eastAsia"/>
          <w:lang w:val="en-US" w:eastAsia="zh-CN"/>
        </w:rPr>
        <w:t>7</w:t>
      </w:r>
    </w:p>
    <w:p>
      <w:pPr>
        <w:pStyle w:val="33"/>
        <w:tabs>
          <w:tab w:val="right" w:leader="dot" w:pos="8630"/>
        </w:tabs>
        <w:rPr>
          <w:rFonts w:hint="eastAsia" w:ascii="等线" w:hAnsi="等线" w:eastAsia="宋体"/>
          <w:kern w:val="2"/>
          <w:szCs w:val="22"/>
          <w:lang w:val="en-US" w:eastAsia="zh-CN"/>
        </w:rPr>
      </w:pPr>
      <w:r>
        <w:fldChar w:fldCharType="begin"/>
      </w:r>
      <w:r>
        <w:instrText xml:space="preserve"> HYPERLINK \l "_Toc49247157" </w:instrText>
      </w:r>
      <w:r>
        <w:fldChar w:fldCharType="separate"/>
      </w:r>
      <w:r>
        <w:rPr>
          <w:rStyle w:val="56"/>
          <w:b/>
          <w:bCs/>
        </w:rPr>
        <w:t>第二章 评定标办法（</w:t>
      </w:r>
      <w:r>
        <w:rPr>
          <w:rStyle w:val="56"/>
          <w:rFonts w:hint="eastAsia"/>
          <w:b/>
          <w:bCs/>
          <w:lang w:eastAsia="zh-CN"/>
        </w:rPr>
        <w:t>综合评估</w:t>
      </w:r>
      <w:r>
        <w:rPr>
          <w:rStyle w:val="56"/>
          <w:b/>
          <w:bCs/>
        </w:rPr>
        <w:t>法）</w:t>
      </w:r>
      <w:r>
        <w:tab/>
      </w:r>
      <w:r>
        <w:rPr>
          <w:rFonts w:hint="eastAsia"/>
          <w:lang w:val="en-US" w:eastAsia="zh-CN"/>
        </w:rPr>
        <w:t>2</w:t>
      </w:r>
      <w:r>
        <w:fldChar w:fldCharType="end"/>
      </w:r>
      <w:r>
        <w:rPr>
          <w:rFonts w:hint="eastAsia"/>
          <w:lang w:val="en-US" w:eastAsia="zh-CN"/>
        </w:rPr>
        <w:t>6</w:t>
      </w:r>
    </w:p>
    <w:p>
      <w:pPr>
        <w:pStyle w:val="42"/>
        <w:tabs>
          <w:tab w:val="right" w:leader="dot" w:pos="8630"/>
        </w:tabs>
        <w:ind w:firstLine="420"/>
        <w:rPr>
          <w:rFonts w:hint="eastAsia" w:ascii="等线" w:hAnsi="等线" w:eastAsia="宋体"/>
          <w:kern w:val="2"/>
          <w:szCs w:val="22"/>
          <w:lang w:val="en-US" w:eastAsia="zh-CN"/>
        </w:rPr>
      </w:pPr>
      <w:r>
        <w:fldChar w:fldCharType="begin"/>
      </w:r>
      <w:r>
        <w:instrText xml:space="preserve"> HYPERLINK \l "_Toc49247158" </w:instrText>
      </w:r>
      <w:r>
        <w:fldChar w:fldCharType="separate"/>
      </w:r>
      <w:r>
        <w:rPr>
          <w:rStyle w:val="56"/>
          <w:b/>
        </w:rPr>
        <w:t>一、评标须知</w:t>
      </w:r>
      <w:r>
        <w:tab/>
      </w:r>
      <w:r>
        <w:rPr>
          <w:rFonts w:hint="eastAsia"/>
          <w:lang w:val="en-US" w:eastAsia="zh-CN"/>
        </w:rPr>
        <w:t>2</w:t>
      </w:r>
      <w:r>
        <w:fldChar w:fldCharType="end"/>
      </w:r>
      <w:r>
        <w:rPr>
          <w:rFonts w:hint="eastAsia"/>
          <w:lang w:val="en-US" w:eastAsia="zh-CN"/>
        </w:rPr>
        <w:t>7</w:t>
      </w:r>
    </w:p>
    <w:p>
      <w:pPr>
        <w:pStyle w:val="42"/>
        <w:tabs>
          <w:tab w:val="right" w:leader="dot" w:pos="8630"/>
        </w:tabs>
        <w:ind w:firstLine="420"/>
        <w:rPr>
          <w:rFonts w:hint="eastAsia" w:ascii="等线" w:hAnsi="等线" w:eastAsia="宋体"/>
          <w:kern w:val="2"/>
          <w:szCs w:val="22"/>
          <w:lang w:val="en-US" w:eastAsia="zh-CN"/>
        </w:rPr>
      </w:pPr>
      <w:r>
        <w:fldChar w:fldCharType="begin"/>
      </w:r>
      <w:r>
        <w:instrText xml:space="preserve"> HYPERLINK \l "_Toc49247159" </w:instrText>
      </w:r>
      <w:r>
        <w:fldChar w:fldCharType="separate"/>
      </w:r>
      <w:r>
        <w:rPr>
          <w:rStyle w:val="56"/>
          <w:b/>
        </w:rPr>
        <w:t>二、评标方法</w:t>
      </w:r>
      <w:r>
        <w:tab/>
      </w:r>
      <w:r>
        <w:rPr>
          <w:rFonts w:hint="eastAsia"/>
          <w:lang w:val="en-US" w:eastAsia="zh-CN"/>
        </w:rPr>
        <w:t>3</w:t>
      </w:r>
      <w:r>
        <w:fldChar w:fldCharType="end"/>
      </w:r>
      <w:r>
        <w:rPr>
          <w:rFonts w:hint="eastAsia"/>
          <w:lang w:val="en-US" w:eastAsia="zh-CN"/>
        </w:rPr>
        <w:t>0</w:t>
      </w:r>
    </w:p>
    <w:p>
      <w:pPr>
        <w:pStyle w:val="42"/>
        <w:tabs>
          <w:tab w:val="right" w:leader="dot" w:pos="8630"/>
        </w:tabs>
        <w:ind w:firstLine="420"/>
        <w:rPr>
          <w:rFonts w:hint="eastAsia" w:ascii="等线" w:hAnsi="等线" w:eastAsia="宋体"/>
          <w:kern w:val="2"/>
          <w:szCs w:val="22"/>
          <w:lang w:val="en-US" w:eastAsia="zh-CN"/>
        </w:rPr>
      </w:pPr>
      <w:r>
        <w:fldChar w:fldCharType="begin"/>
      </w:r>
      <w:r>
        <w:instrText xml:space="preserve"> HYPERLINK \l "_Toc49247160" </w:instrText>
      </w:r>
      <w:r>
        <w:fldChar w:fldCharType="separate"/>
      </w:r>
      <w:r>
        <w:rPr>
          <w:rStyle w:val="56"/>
          <w:b/>
        </w:rPr>
        <w:t>三、定标方法</w:t>
      </w:r>
      <w:r>
        <w:tab/>
      </w:r>
      <w:r>
        <w:rPr>
          <w:rFonts w:hint="eastAsia"/>
          <w:lang w:val="en-US" w:eastAsia="zh-CN"/>
        </w:rPr>
        <w:t>4</w:t>
      </w:r>
      <w:r>
        <w:fldChar w:fldCharType="end"/>
      </w:r>
      <w:r>
        <w:rPr>
          <w:rFonts w:hint="eastAsia"/>
          <w:lang w:val="en-US" w:eastAsia="zh-CN"/>
        </w:rPr>
        <w:t>2</w:t>
      </w:r>
    </w:p>
    <w:p>
      <w:pPr>
        <w:pStyle w:val="33"/>
        <w:tabs>
          <w:tab w:val="right" w:leader="dot" w:pos="8630"/>
        </w:tabs>
        <w:rPr>
          <w:rFonts w:hint="default" w:ascii="等线" w:hAnsi="等线" w:eastAsia="宋体"/>
          <w:kern w:val="2"/>
          <w:szCs w:val="22"/>
          <w:lang w:val="en-US" w:eastAsia="zh-CN"/>
        </w:rPr>
      </w:pPr>
      <w:r>
        <w:fldChar w:fldCharType="begin"/>
      </w:r>
      <w:r>
        <w:instrText xml:space="preserve"> HYPERLINK \l "_Toc49247161" </w:instrText>
      </w:r>
      <w:r>
        <w:fldChar w:fldCharType="separate"/>
      </w:r>
      <w:r>
        <w:rPr>
          <w:rStyle w:val="56"/>
          <w:b/>
          <w:bCs/>
        </w:rPr>
        <w:t>第三章 合同条款及格式</w:t>
      </w:r>
      <w:r>
        <w:tab/>
      </w:r>
      <w:r>
        <w:rPr>
          <w:rFonts w:hint="eastAsia"/>
          <w:lang w:val="en-US" w:eastAsia="zh-CN"/>
        </w:rPr>
        <w:fldChar w:fldCharType="end"/>
      </w:r>
      <w:r>
        <w:rPr>
          <w:rFonts w:hint="eastAsia"/>
          <w:lang w:val="en-US" w:eastAsia="zh-CN"/>
        </w:rPr>
        <w:t>43</w:t>
      </w:r>
    </w:p>
    <w:p>
      <w:pPr>
        <w:pStyle w:val="33"/>
        <w:tabs>
          <w:tab w:val="right" w:leader="dot" w:pos="8630"/>
        </w:tabs>
        <w:rPr>
          <w:rFonts w:ascii="等线" w:hAnsi="等线" w:eastAsia="等线"/>
          <w:kern w:val="2"/>
          <w:szCs w:val="22"/>
          <w:lang w:eastAsia="zh-CN"/>
        </w:rPr>
      </w:pPr>
      <w:r>
        <w:fldChar w:fldCharType="begin"/>
      </w:r>
      <w:r>
        <w:instrText xml:space="preserve"> HYPERLINK \l "_Toc49247162" </w:instrText>
      </w:r>
      <w:r>
        <w:fldChar w:fldCharType="separate"/>
      </w:r>
      <w:r>
        <w:rPr>
          <w:rStyle w:val="56"/>
          <w:b/>
        </w:rPr>
        <w:t>第四章 项目需求</w:t>
      </w:r>
      <w:r>
        <w:tab/>
      </w:r>
      <w:r>
        <w:fldChar w:fldCharType="begin"/>
      </w:r>
      <w:r>
        <w:instrText xml:space="preserve"> PAGEREF _Toc49247162 \h </w:instrText>
      </w:r>
      <w:r>
        <w:fldChar w:fldCharType="separate"/>
      </w:r>
      <w:r>
        <w:t>42</w:t>
      </w:r>
      <w:r>
        <w:fldChar w:fldCharType="end"/>
      </w:r>
      <w:r>
        <w:fldChar w:fldCharType="end"/>
      </w:r>
    </w:p>
    <w:p>
      <w:pPr>
        <w:pStyle w:val="42"/>
        <w:tabs>
          <w:tab w:val="right" w:leader="dot" w:pos="8630"/>
        </w:tabs>
        <w:ind w:firstLine="420"/>
        <w:rPr>
          <w:rFonts w:hint="eastAsia" w:ascii="等线" w:hAnsi="等线" w:eastAsia="宋体"/>
          <w:kern w:val="2"/>
          <w:szCs w:val="22"/>
          <w:lang w:val="en-US" w:eastAsia="zh-CN"/>
        </w:rPr>
      </w:pPr>
      <w:r>
        <w:fldChar w:fldCharType="begin"/>
      </w:r>
      <w:r>
        <w:instrText xml:space="preserve"> HYPERLINK \l "_Toc49247163" </w:instrText>
      </w:r>
      <w:r>
        <w:fldChar w:fldCharType="separate"/>
      </w:r>
      <w:r>
        <w:rPr>
          <w:rStyle w:val="56"/>
          <w:b/>
        </w:rPr>
        <w:t>第一节 商务条款</w:t>
      </w:r>
      <w:r>
        <w:tab/>
      </w:r>
      <w:r>
        <w:rPr>
          <w:rFonts w:hint="eastAsia"/>
          <w:lang w:val="en-US" w:eastAsia="zh-CN"/>
        </w:rPr>
        <w:t>6</w:t>
      </w:r>
      <w:r>
        <w:fldChar w:fldCharType="end"/>
      </w:r>
      <w:r>
        <w:rPr>
          <w:rFonts w:hint="eastAsia"/>
          <w:lang w:val="en-US" w:eastAsia="zh-CN"/>
        </w:rPr>
        <w:t>7</w:t>
      </w:r>
    </w:p>
    <w:p>
      <w:pPr>
        <w:pStyle w:val="33"/>
        <w:tabs>
          <w:tab w:val="right" w:leader="dot" w:pos="8630"/>
        </w:tabs>
        <w:rPr>
          <w:rFonts w:hint="eastAsia" w:ascii="等线" w:hAnsi="等线" w:eastAsia="宋体"/>
          <w:kern w:val="2"/>
          <w:szCs w:val="22"/>
          <w:lang w:val="en-US" w:eastAsia="zh-CN"/>
        </w:rPr>
      </w:pPr>
      <w:r>
        <w:fldChar w:fldCharType="begin"/>
      </w:r>
      <w:r>
        <w:instrText xml:space="preserve"> HYPERLINK \l "_Toc49247165" </w:instrText>
      </w:r>
      <w:r>
        <w:fldChar w:fldCharType="separate"/>
      </w:r>
      <w:r>
        <w:rPr>
          <w:rStyle w:val="56"/>
          <w:b/>
          <w:bCs/>
        </w:rPr>
        <w:t>第五章 投标文件格式</w:t>
      </w:r>
      <w:r>
        <w:tab/>
      </w:r>
      <w:r>
        <w:rPr>
          <w:rFonts w:hint="eastAsia"/>
          <w:lang w:val="en-US" w:eastAsia="zh-CN"/>
        </w:rPr>
        <w:t>6</w:t>
      </w:r>
      <w:r>
        <w:fldChar w:fldCharType="end"/>
      </w:r>
      <w:r>
        <w:rPr>
          <w:rFonts w:hint="eastAsia"/>
          <w:lang w:val="en-US" w:eastAsia="zh-CN"/>
        </w:rPr>
        <w:t>8</w:t>
      </w:r>
    </w:p>
    <w:p>
      <w:pPr>
        <w:pStyle w:val="42"/>
        <w:tabs>
          <w:tab w:val="right" w:leader="dot" w:pos="8630"/>
        </w:tabs>
        <w:ind w:firstLine="420"/>
        <w:rPr>
          <w:rFonts w:hint="eastAsia" w:ascii="等线" w:hAnsi="等线" w:eastAsia="宋体"/>
          <w:kern w:val="2"/>
          <w:szCs w:val="22"/>
          <w:lang w:val="en-US" w:eastAsia="zh-CN"/>
        </w:rPr>
      </w:pPr>
      <w:r>
        <w:fldChar w:fldCharType="begin"/>
      </w:r>
      <w:r>
        <w:instrText xml:space="preserve"> HYPERLINK \l "_Toc49247166" </w:instrText>
      </w:r>
      <w:r>
        <w:fldChar w:fldCharType="separate"/>
      </w:r>
      <w:r>
        <w:rPr>
          <w:rStyle w:val="56"/>
          <w:b/>
        </w:rPr>
        <w:t>一、资格审查文件部分</w:t>
      </w:r>
      <w:r>
        <w:tab/>
      </w:r>
      <w:r>
        <w:rPr>
          <w:rFonts w:hint="eastAsia"/>
          <w:lang w:val="en-US" w:eastAsia="zh-CN"/>
        </w:rPr>
        <w:t>7</w:t>
      </w:r>
      <w:r>
        <w:fldChar w:fldCharType="end"/>
      </w:r>
      <w:r>
        <w:rPr>
          <w:rFonts w:hint="eastAsia"/>
          <w:lang w:val="en-US" w:eastAsia="zh-CN"/>
        </w:rPr>
        <w:t>1</w:t>
      </w:r>
    </w:p>
    <w:p>
      <w:pPr>
        <w:pStyle w:val="42"/>
        <w:tabs>
          <w:tab w:val="right" w:leader="dot" w:pos="8630"/>
        </w:tabs>
        <w:ind w:firstLine="420"/>
        <w:rPr>
          <w:rFonts w:hint="eastAsia" w:ascii="等线" w:hAnsi="等线" w:eastAsia="宋体"/>
          <w:kern w:val="2"/>
          <w:szCs w:val="22"/>
          <w:lang w:val="en-US" w:eastAsia="zh-CN"/>
        </w:rPr>
      </w:pPr>
      <w:r>
        <w:fldChar w:fldCharType="begin"/>
      </w:r>
      <w:r>
        <w:instrText xml:space="preserve"> HYPERLINK \l "_Toc49247167" </w:instrText>
      </w:r>
      <w:r>
        <w:fldChar w:fldCharType="separate"/>
      </w:r>
      <w:r>
        <w:rPr>
          <w:rStyle w:val="56"/>
          <w:b/>
        </w:rPr>
        <w:t>二、商务标部分</w:t>
      </w:r>
      <w:r>
        <w:tab/>
      </w:r>
      <w:r>
        <w:rPr>
          <w:rFonts w:hint="eastAsia"/>
          <w:lang w:val="en-US" w:eastAsia="zh-CN"/>
        </w:rPr>
        <w:t>7</w:t>
      </w:r>
      <w:r>
        <w:fldChar w:fldCharType="end"/>
      </w:r>
      <w:r>
        <w:rPr>
          <w:rFonts w:hint="eastAsia"/>
          <w:lang w:val="en-US" w:eastAsia="zh-CN"/>
        </w:rPr>
        <w:t>7</w:t>
      </w:r>
    </w:p>
    <w:p>
      <w:pPr>
        <w:pStyle w:val="42"/>
        <w:tabs>
          <w:tab w:val="right" w:leader="dot" w:pos="8630"/>
        </w:tabs>
        <w:ind w:firstLine="420"/>
        <w:rPr>
          <w:rFonts w:hint="eastAsia" w:ascii="等线" w:hAnsi="等线" w:eastAsia="宋体"/>
          <w:kern w:val="2"/>
          <w:szCs w:val="22"/>
          <w:lang w:val="en-US" w:eastAsia="zh-CN"/>
        </w:rPr>
      </w:pPr>
      <w:r>
        <w:fldChar w:fldCharType="begin"/>
      </w:r>
      <w:r>
        <w:instrText xml:space="preserve"> HYPERLINK \l "_Toc49247168" </w:instrText>
      </w:r>
      <w:r>
        <w:fldChar w:fldCharType="separate"/>
      </w:r>
      <w:r>
        <w:rPr>
          <w:rStyle w:val="56"/>
          <w:b/>
        </w:rPr>
        <w:t>三、技术标部分</w:t>
      </w:r>
      <w:r>
        <w:tab/>
      </w:r>
      <w:r>
        <w:rPr>
          <w:rFonts w:hint="eastAsia"/>
          <w:lang w:val="en-US" w:eastAsia="zh-CN"/>
        </w:rPr>
        <w:t>8</w:t>
      </w:r>
      <w:r>
        <w:fldChar w:fldCharType="end"/>
      </w:r>
      <w:r>
        <w:rPr>
          <w:rFonts w:hint="eastAsia"/>
          <w:lang w:val="en-US" w:eastAsia="zh-CN"/>
        </w:rPr>
        <w:t>2</w:t>
      </w:r>
    </w:p>
    <w:p>
      <w:pPr>
        <w:pStyle w:val="42"/>
        <w:tabs>
          <w:tab w:val="right" w:leader="dot" w:pos="8630"/>
        </w:tabs>
        <w:ind w:firstLine="420"/>
        <w:rPr>
          <w:rFonts w:hint="eastAsia" w:ascii="等线" w:hAnsi="等线" w:eastAsia="宋体"/>
          <w:kern w:val="2"/>
          <w:szCs w:val="22"/>
          <w:lang w:val="en-US" w:eastAsia="zh-CN"/>
        </w:rPr>
      </w:pPr>
      <w:r>
        <w:fldChar w:fldCharType="begin"/>
      </w:r>
      <w:r>
        <w:instrText xml:space="preserve"> HYPERLINK \l "_Toc49247169" </w:instrText>
      </w:r>
      <w:r>
        <w:fldChar w:fldCharType="separate"/>
      </w:r>
      <w:r>
        <w:rPr>
          <w:rStyle w:val="56"/>
          <w:rFonts w:cs="Courier New"/>
          <w:b/>
          <w:bCs/>
        </w:rPr>
        <w:t>四、价格标部分</w:t>
      </w:r>
      <w:r>
        <w:tab/>
      </w:r>
      <w:r>
        <w:rPr>
          <w:rFonts w:hint="eastAsia"/>
          <w:lang w:val="en-US" w:eastAsia="zh-CN"/>
        </w:rPr>
        <w:t>8</w:t>
      </w:r>
      <w:r>
        <w:fldChar w:fldCharType="end"/>
      </w:r>
      <w:r>
        <w:rPr>
          <w:rFonts w:hint="eastAsia"/>
          <w:lang w:val="en-US" w:eastAsia="zh-CN"/>
        </w:rPr>
        <w:t>3</w:t>
      </w:r>
    </w:p>
    <w:p>
      <w:pPr>
        <w:rPr>
          <w:rFonts w:hint="eastAsia" w:eastAsia="宋体"/>
          <w:lang w:val="en-US" w:eastAsia="zh-CN"/>
        </w:rPr>
      </w:pPr>
      <w:r>
        <w:rPr>
          <w:rFonts w:ascii="宋体" w:hAnsi="宋体"/>
          <w:kern w:val="0"/>
          <w:szCs w:val="21"/>
          <w:lang w:eastAsia="en-US"/>
        </w:rPr>
        <w:fldChar w:fldCharType="end"/>
      </w:r>
      <w:r>
        <w:rPr>
          <w:rFonts w:hint="eastAsia"/>
          <w:lang w:val="en-US" w:eastAsia="zh-CN"/>
        </w:rPr>
        <w:t xml:space="preserve"> </w:t>
      </w:r>
    </w:p>
    <w:p>
      <w:pPr>
        <w:widowControl w:val="0"/>
        <w:autoSpaceDE w:val="0"/>
        <w:autoSpaceDN w:val="0"/>
        <w:adjustRightInd w:val="0"/>
        <w:snapToGrid w:val="0"/>
        <w:ind w:firstLine="0" w:firstLineChars="0"/>
        <w:jc w:val="center"/>
        <w:outlineLvl w:val="0"/>
        <w:rPr>
          <w:rFonts w:hint="eastAsia" w:ascii="宋体" w:hAnsi="宋体" w:cs="宋体"/>
          <w:b/>
          <w:bCs/>
          <w:sz w:val="36"/>
          <w:szCs w:val="36"/>
        </w:rPr>
      </w:pPr>
      <w:r>
        <w:rPr>
          <w:rFonts w:ascii="宋体" w:hAnsi="宋体"/>
          <w:b/>
          <w:snapToGrid w:val="0"/>
          <w:kern w:val="0"/>
          <w:sz w:val="52"/>
          <w:szCs w:val="52"/>
        </w:rPr>
        <w:br w:type="page"/>
      </w:r>
      <w:bookmarkEnd w:id="2"/>
      <w:bookmarkStart w:id="4" w:name="_Toc49247152"/>
      <w:bookmarkStart w:id="5" w:name="_Toc26136"/>
      <w:bookmarkStart w:id="6" w:name="_Toc502493626"/>
      <w:bookmarkStart w:id="7" w:name="_Toc18047"/>
      <w:bookmarkStart w:id="8" w:name="_Toc48740525"/>
      <w:bookmarkStart w:id="9" w:name="_Toc29676"/>
      <w:bookmarkStart w:id="10" w:name="_Toc499133346"/>
      <w:bookmarkStart w:id="11" w:name="_Toc22520"/>
      <w:bookmarkStart w:id="12" w:name="_Toc31740"/>
      <w:r>
        <w:rPr>
          <w:rFonts w:hint="eastAsia" w:ascii="宋体" w:hAnsi="宋体" w:cs="宋体"/>
          <w:b/>
          <w:bCs/>
          <w:sz w:val="36"/>
          <w:szCs w:val="36"/>
        </w:rPr>
        <w:t>“</w:t>
      </w:r>
      <w:r>
        <w:rPr>
          <w:rFonts w:hint="eastAsia" w:ascii="宋体" w:hAnsi="宋体" w:cs="宋体"/>
          <w:b/>
          <w:bCs/>
          <w:sz w:val="36"/>
          <w:szCs w:val="36"/>
          <w:lang w:val="en-US" w:eastAsia="zh-CN"/>
        </w:rPr>
        <w:t>招标</w:t>
      </w:r>
      <w:r>
        <w:rPr>
          <w:rFonts w:hint="eastAsia" w:ascii="宋体" w:hAnsi="宋体" w:cs="宋体"/>
          <w:b/>
          <w:bCs/>
          <w:sz w:val="36"/>
          <w:szCs w:val="36"/>
        </w:rPr>
        <w:t>”相关说明</w:t>
      </w:r>
      <w:bookmarkEnd w:id="4"/>
      <w:bookmarkEnd w:id="5"/>
      <w:bookmarkEnd w:id="6"/>
      <w:bookmarkEnd w:id="7"/>
      <w:bookmarkEnd w:id="8"/>
      <w:bookmarkEnd w:id="9"/>
      <w:bookmarkEnd w:id="10"/>
      <w:bookmarkEnd w:id="11"/>
      <w:bookmarkEnd w:id="12"/>
    </w:p>
    <w:p>
      <w:pPr>
        <w:widowControl w:val="0"/>
        <w:numPr>
          <w:ilvl w:val="0"/>
          <w:numId w:val="1"/>
        </w:numPr>
        <w:tabs>
          <w:tab w:val="left" w:pos="709"/>
        </w:tabs>
        <w:wordWrap w:val="0"/>
        <w:autoSpaceDE w:val="0"/>
        <w:autoSpaceDN w:val="0"/>
        <w:adjustRightInd w:val="0"/>
        <w:snapToGrid w:val="0"/>
        <w:ind w:firstLineChars="0"/>
        <w:jc w:val="left"/>
        <w:rPr>
          <w:rFonts w:ascii="宋体" w:hAnsi="宋体" w:cs="宋体"/>
          <w:b/>
          <w:szCs w:val="21"/>
        </w:rPr>
      </w:pPr>
      <w:bookmarkStart w:id="13" w:name="_Toc49188167"/>
      <w:r>
        <w:rPr>
          <w:rFonts w:hint="eastAsia" w:ascii="宋体" w:hAnsi="宋体" w:cs="宋体"/>
          <w:b/>
          <w:szCs w:val="21"/>
        </w:rPr>
        <w:t>前言</w:t>
      </w:r>
      <w:bookmarkEnd w:id="13"/>
    </w:p>
    <w:p>
      <w:pPr>
        <w:widowControl w:val="0"/>
        <w:numPr>
          <w:ilvl w:val="1"/>
          <w:numId w:val="1"/>
        </w:numPr>
        <w:tabs>
          <w:tab w:val="left" w:pos="709"/>
        </w:tabs>
        <w:wordWrap w:val="0"/>
        <w:autoSpaceDE w:val="0"/>
        <w:autoSpaceDN w:val="0"/>
        <w:adjustRightInd w:val="0"/>
        <w:snapToGrid w:val="0"/>
        <w:ind w:firstLineChars="0"/>
        <w:jc w:val="left"/>
        <w:rPr>
          <w:rFonts w:hint="eastAsia" w:ascii="宋体" w:hAnsi="宋体" w:cs="宋体"/>
          <w:szCs w:val="21"/>
        </w:rPr>
      </w:pPr>
      <w:r>
        <w:rPr>
          <w:rFonts w:hint="eastAsia" w:ascii="宋体" w:hAnsi="宋体" w:cs="宋体"/>
          <w:szCs w:val="21"/>
        </w:rPr>
        <w:t>投标人参与投标，获取本文件后，应仔细阅读本说明的全部内容，本说明与招标文件、招标文件附件具有同等效力。</w:t>
      </w:r>
    </w:p>
    <w:p>
      <w:pPr>
        <w:widowControl w:val="0"/>
        <w:numPr>
          <w:ilvl w:val="1"/>
          <w:numId w:val="1"/>
        </w:numPr>
        <w:tabs>
          <w:tab w:val="left" w:pos="709"/>
        </w:tabs>
        <w:wordWrap w:val="0"/>
        <w:autoSpaceDE w:val="0"/>
        <w:autoSpaceDN w:val="0"/>
        <w:adjustRightInd w:val="0"/>
        <w:snapToGrid w:val="0"/>
        <w:ind w:firstLineChars="0"/>
        <w:jc w:val="left"/>
        <w:rPr>
          <w:rFonts w:hint="eastAsia" w:ascii="宋体" w:hAnsi="宋体" w:cs="宋体"/>
          <w:szCs w:val="21"/>
        </w:rPr>
      </w:pPr>
      <w:r>
        <w:rPr>
          <w:rFonts w:hint="eastAsia" w:ascii="宋体" w:hAnsi="宋体" w:cs="宋体"/>
          <w:szCs w:val="21"/>
        </w:rPr>
        <w:t>投标人与招标人之间的信息交流须以</w:t>
      </w:r>
      <w:r>
        <w:rPr>
          <w:rFonts w:hint="eastAsia" w:ascii="宋体" w:hAnsi="宋体" w:cs="宋体"/>
          <w:szCs w:val="21"/>
          <w:lang w:val="en-US" w:eastAsia="zh-CN"/>
        </w:rPr>
        <w:t>书面</w:t>
      </w:r>
      <w:r>
        <w:rPr>
          <w:rFonts w:hint="eastAsia" w:ascii="宋体" w:hAnsi="宋体" w:cs="宋体"/>
          <w:szCs w:val="21"/>
        </w:rPr>
        <w:t>形式进行，对招标人以其他形式作出的解释、答复并由此产生的推论、结果的责任由投标人自行承担。</w:t>
      </w:r>
    </w:p>
    <w:p>
      <w:pPr>
        <w:widowControl w:val="0"/>
        <w:tabs>
          <w:tab w:val="left" w:pos="709"/>
        </w:tabs>
        <w:wordWrap w:val="0"/>
        <w:autoSpaceDE w:val="0"/>
        <w:autoSpaceDN w:val="0"/>
        <w:adjustRightInd w:val="0"/>
        <w:snapToGrid w:val="0"/>
        <w:ind w:firstLine="0" w:firstLineChars="0"/>
        <w:jc w:val="left"/>
        <w:rPr>
          <w:rFonts w:hint="eastAsia" w:ascii="宋体" w:hAnsi="宋体" w:cs="宋体"/>
          <w:szCs w:val="21"/>
        </w:rPr>
      </w:pPr>
    </w:p>
    <w:p>
      <w:pPr>
        <w:widowControl w:val="0"/>
        <w:numPr>
          <w:ilvl w:val="0"/>
          <w:numId w:val="1"/>
        </w:numPr>
        <w:tabs>
          <w:tab w:val="left" w:pos="709"/>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b/>
          <w:szCs w:val="21"/>
          <w:lang w:val="en-US" w:eastAsia="zh-CN"/>
        </w:rPr>
        <w:t>招标文件相关</w:t>
      </w:r>
    </w:p>
    <w:p>
      <w:pPr>
        <w:widowControl w:val="0"/>
        <w:numPr>
          <w:ilvl w:val="1"/>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b/>
          <w:szCs w:val="21"/>
          <w:lang w:val="en-US" w:eastAsia="zh-CN"/>
        </w:rPr>
        <w:t>招标文件获取</w:t>
      </w:r>
    </w:p>
    <w:p>
      <w:pPr>
        <w:widowControl w:val="0"/>
        <w:numPr>
          <w:ilvl w:val="0"/>
          <w:numId w:val="0"/>
        </w:numPr>
        <w:tabs>
          <w:tab w:val="left" w:pos="709"/>
          <w:tab w:val="left" w:pos="993"/>
        </w:tabs>
        <w:wordWrap w:val="0"/>
        <w:autoSpaceDE w:val="0"/>
        <w:autoSpaceDN w:val="0"/>
        <w:adjustRightInd w:val="0"/>
        <w:snapToGrid w:val="0"/>
        <w:ind w:leftChars="0" w:firstLine="420" w:firstLineChars="200"/>
        <w:jc w:val="left"/>
        <w:rPr>
          <w:rFonts w:hint="eastAsia" w:ascii="宋体" w:hAnsi="宋体" w:cs="宋体"/>
          <w:b/>
          <w:szCs w:val="21"/>
        </w:rPr>
      </w:pPr>
      <w:r>
        <w:rPr>
          <w:rFonts w:hint="eastAsia" w:ascii="宋体" w:hAnsi="宋体" w:cs="宋体"/>
          <w:szCs w:val="21"/>
          <w:lang w:val="en-US" w:eastAsia="zh-CN"/>
        </w:rPr>
        <w:t>企业在公司网站自行发布招标信息，包括但不限于</w:t>
      </w:r>
      <w:r>
        <w:rPr>
          <w:rFonts w:hint="eastAsia" w:ascii="宋体" w:hAnsi="宋体" w:cs="宋体"/>
          <w:szCs w:val="21"/>
        </w:rPr>
        <w:t>招标公告/邀请函</w:t>
      </w:r>
      <w:r>
        <w:rPr>
          <w:rFonts w:hint="eastAsia" w:ascii="宋体" w:hAnsi="宋体" w:cs="宋体"/>
          <w:szCs w:val="21"/>
          <w:lang w:val="en-US" w:eastAsia="zh-CN"/>
        </w:rPr>
        <w:t>等，投标企业自行报名并按要要求提交投标文件等</w:t>
      </w:r>
      <w:r>
        <w:rPr>
          <w:rFonts w:hint="eastAsia" w:ascii="宋体" w:hAnsi="宋体" w:cs="宋体"/>
          <w:szCs w:val="21"/>
        </w:rPr>
        <w:t>。</w:t>
      </w:r>
    </w:p>
    <w:p>
      <w:pPr>
        <w:widowControl w:val="0"/>
        <w:numPr>
          <w:ilvl w:val="1"/>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b/>
          <w:szCs w:val="21"/>
        </w:rPr>
        <w:t>招标文件的澄清与修改</w:t>
      </w:r>
    </w:p>
    <w:p>
      <w:pPr>
        <w:widowControl w:val="0"/>
        <w:numPr>
          <w:ilvl w:val="0"/>
          <w:numId w:val="0"/>
        </w:numPr>
        <w:tabs>
          <w:tab w:val="left" w:pos="709"/>
          <w:tab w:val="left" w:pos="993"/>
        </w:tabs>
        <w:wordWrap w:val="0"/>
        <w:autoSpaceDE w:val="0"/>
        <w:autoSpaceDN w:val="0"/>
        <w:adjustRightInd w:val="0"/>
        <w:snapToGrid w:val="0"/>
        <w:ind w:leftChars="0" w:firstLine="210" w:firstLineChars="100"/>
        <w:jc w:val="left"/>
        <w:rPr>
          <w:rFonts w:hint="eastAsia" w:ascii="宋体" w:hAnsi="宋体" w:cs="宋体"/>
          <w:b/>
          <w:szCs w:val="21"/>
        </w:rPr>
      </w:pPr>
      <w:r>
        <w:rPr>
          <w:rFonts w:hint="eastAsia" w:ascii="宋体" w:hAnsi="宋体" w:cs="宋体"/>
          <w:szCs w:val="21"/>
        </w:rPr>
        <w:t>投标人应仔细阅读和检查招标文件的全部内容。如发现缺页或附件不全，应及时向招标人</w:t>
      </w:r>
      <w:r>
        <w:rPr>
          <w:rFonts w:hint="eastAsia" w:ascii="宋体" w:hAnsi="宋体" w:cs="宋体"/>
          <w:szCs w:val="21"/>
          <w:lang w:val="en-US" w:eastAsia="zh-CN"/>
        </w:rPr>
        <w:t>书面</w:t>
      </w:r>
      <w:r>
        <w:rPr>
          <w:rFonts w:hint="eastAsia" w:ascii="宋体" w:hAnsi="宋体" w:cs="宋体"/>
          <w:szCs w:val="21"/>
        </w:rPr>
        <w:t>提出，以便补齐</w:t>
      </w:r>
      <w:r>
        <w:rPr>
          <w:rFonts w:hint="eastAsia" w:ascii="宋体" w:hAnsi="宋体" w:cs="宋体"/>
          <w:szCs w:val="21"/>
          <w:lang w:val="en-US" w:eastAsia="zh-CN"/>
        </w:rPr>
        <w:t>或修改</w:t>
      </w:r>
      <w:r>
        <w:rPr>
          <w:rFonts w:hint="eastAsia" w:ascii="宋体" w:hAnsi="宋体" w:cs="宋体"/>
          <w:szCs w:val="21"/>
          <w:lang w:eastAsia="zh-CN"/>
        </w:rPr>
        <w:t>。</w:t>
      </w:r>
    </w:p>
    <w:p>
      <w:pPr>
        <w:widowControl w:val="0"/>
        <w:numPr>
          <w:ilvl w:val="1"/>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b/>
          <w:szCs w:val="21"/>
        </w:rPr>
        <w:t>投标文件编制</w:t>
      </w:r>
    </w:p>
    <w:p>
      <w:pPr>
        <w:widowControl w:val="0"/>
        <w:numPr>
          <w:ilvl w:val="0"/>
          <w:numId w:val="0"/>
        </w:numPr>
        <w:tabs>
          <w:tab w:val="left" w:pos="709"/>
          <w:tab w:val="left" w:pos="993"/>
        </w:tabs>
        <w:wordWrap w:val="0"/>
        <w:autoSpaceDE w:val="0"/>
        <w:autoSpaceDN w:val="0"/>
        <w:adjustRightInd w:val="0"/>
        <w:snapToGrid w:val="0"/>
        <w:ind w:leftChars="0" w:firstLine="210" w:firstLineChars="100"/>
        <w:jc w:val="left"/>
        <w:rPr>
          <w:rFonts w:hint="default" w:ascii="宋体" w:hAnsi="宋体" w:eastAsia="宋体" w:cs="宋体"/>
          <w:b/>
          <w:szCs w:val="21"/>
          <w:lang w:val="en-US" w:eastAsia="zh-CN"/>
        </w:rPr>
      </w:pPr>
      <w:r>
        <w:rPr>
          <w:rFonts w:hint="eastAsia" w:ascii="宋体" w:hAnsi="宋体" w:cs="宋体"/>
          <w:szCs w:val="21"/>
          <w:lang w:val="en-US" w:eastAsia="zh-CN"/>
        </w:rPr>
        <w:t>企业</w:t>
      </w:r>
      <w:r>
        <w:rPr>
          <w:rFonts w:hint="eastAsia" w:ascii="宋体" w:hAnsi="宋体" w:cs="宋体"/>
          <w:szCs w:val="21"/>
        </w:rPr>
        <w:t>根据评审项目的要求</w:t>
      </w:r>
      <w:r>
        <w:rPr>
          <w:rFonts w:hint="eastAsia" w:ascii="宋体" w:hAnsi="宋体" w:cs="宋体"/>
          <w:szCs w:val="21"/>
          <w:lang w:val="en-US" w:eastAsia="zh-CN"/>
        </w:rPr>
        <w:t>自行编制</w:t>
      </w:r>
      <w:r>
        <w:rPr>
          <w:rFonts w:hint="eastAsia" w:ascii="宋体" w:hAnsi="宋体" w:cs="宋体"/>
          <w:szCs w:val="21"/>
        </w:rPr>
        <w:t>符合投标要求的标准章节，投标人在相应的章节中编写相应的具体内容。</w:t>
      </w:r>
    </w:p>
    <w:p>
      <w:pPr>
        <w:widowControl w:val="0"/>
        <w:numPr>
          <w:ilvl w:val="1"/>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b/>
          <w:szCs w:val="21"/>
        </w:rPr>
        <w:t>电子投标文件递交</w:t>
      </w:r>
    </w:p>
    <w:p>
      <w:pPr>
        <w:widowControl w:val="0"/>
        <w:numPr>
          <w:ilvl w:val="0"/>
          <w:numId w:val="0"/>
        </w:numPr>
        <w:tabs>
          <w:tab w:val="left" w:pos="709"/>
          <w:tab w:val="left" w:pos="993"/>
        </w:tabs>
        <w:wordWrap w:val="0"/>
        <w:autoSpaceDE w:val="0"/>
        <w:autoSpaceDN w:val="0"/>
        <w:adjustRightInd w:val="0"/>
        <w:snapToGrid w:val="0"/>
        <w:ind w:leftChars="0" w:firstLine="420" w:firstLineChars="200"/>
        <w:jc w:val="left"/>
        <w:rPr>
          <w:rFonts w:hint="eastAsia" w:ascii="宋体" w:hAnsi="宋体" w:cs="宋体"/>
          <w:b/>
          <w:szCs w:val="21"/>
        </w:rPr>
      </w:pPr>
      <w:r>
        <w:rPr>
          <w:rFonts w:hint="eastAsia" w:ascii="宋体" w:hAnsi="宋体" w:cs="宋体"/>
          <w:szCs w:val="21"/>
        </w:rPr>
        <w:t>投标人应在投标截止时间前</w:t>
      </w:r>
      <w:r>
        <w:rPr>
          <w:rFonts w:hint="eastAsia" w:ascii="宋体" w:hAnsi="宋体" w:cs="宋体"/>
          <w:szCs w:val="21"/>
          <w:lang w:val="en-US" w:eastAsia="zh-CN"/>
        </w:rPr>
        <w:t>向招标人</w:t>
      </w:r>
      <w:r>
        <w:rPr>
          <w:rFonts w:hint="eastAsia" w:ascii="宋体" w:hAnsi="宋体" w:cs="宋体"/>
          <w:szCs w:val="21"/>
        </w:rPr>
        <w:t>递交投标文件。</w:t>
      </w:r>
      <w:r>
        <w:rPr>
          <w:rFonts w:hint="eastAsia" w:ascii="宋体" w:hAnsi="宋体" w:cs="宋体"/>
          <w:szCs w:val="21"/>
          <w:lang w:val="en-US" w:eastAsia="zh-CN"/>
        </w:rPr>
        <w:t>投标文件必须密封完整，开启处加盖企业公章，文件一但提交，不得更改。</w:t>
      </w:r>
    </w:p>
    <w:p>
      <w:pPr>
        <w:widowControl w:val="0"/>
        <w:numPr>
          <w:ilvl w:val="1"/>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b/>
          <w:szCs w:val="21"/>
        </w:rPr>
        <w:t>投标文件的解密与开标</w:t>
      </w:r>
      <w:bookmarkStart w:id="14" w:name="_Toc527995758"/>
      <w:bookmarkStart w:id="15" w:name="_Toc524529442"/>
      <w:bookmarkStart w:id="16" w:name="_Toc536034150"/>
      <w:bookmarkStart w:id="17" w:name="_Toc522868897"/>
      <w:bookmarkStart w:id="18" w:name="_Toc522886010"/>
      <w:bookmarkStart w:id="19" w:name="_Toc524091610"/>
      <w:bookmarkStart w:id="20" w:name="_Toc528575667"/>
      <w:bookmarkStart w:id="21" w:name="_Toc524450186"/>
      <w:bookmarkStart w:id="22" w:name="_Toc522202596"/>
    </w:p>
    <w:bookmarkEnd w:id="14"/>
    <w:bookmarkEnd w:id="15"/>
    <w:bookmarkEnd w:id="16"/>
    <w:bookmarkEnd w:id="17"/>
    <w:bookmarkEnd w:id="18"/>
    <w:bookmarkEnd w:id="19"/>
    <w:bookmarkEnd w:id="20"/>
    <w:bookmarkEnd w:id="21"/>
    <w:bookmarkEnd w:id="22"/>
    <w:p>
      <w:pPr>
        <w:widowControl w:val="0"/>
        <w:numPr>
          <w:ilvl w:val="0"/>
          <w:numId w:val="0"/>
        </w:numPr>
        <w:tabs>
          <w:tab w:val="left" w:pos="709"/>
          <w:tab w:val="left" w:pos="993"/>
        </w:tabs>
        <w:wordWrap w:val="0"/>
        <w:autoSpaceDE w:val="0"/>
        <w:autoSpaceDN w:val="0"/>
        <w:adjustRightInd w:val="0"/>
        <w:snapToGrid w:val="0"/>
        <w:ind w:leftChars="0" w:firstLine="420" w:firstLineChars="200"/>
        <w:jc w:val="left"/>
        <w:rPr>
          <w:rFonts w:hint="eastAsia" w:ascii="宋体" w:hAnsi="宋体" w:cs="宋体"/>
          <w:b/>
          <w:szCs w:val="21"/>
        </w:rPr>
      </w:pPr>
      <w:r>
        <w:rPr>
          <w:rFonts w:hint="eastAsia" w:ascii="宋体" w:hAnsi="宋体" w:cs="宋体"/>
          <w:szCs w:val="21"/>
        </w:rPr>
        <w:t>工作人员</w:t>
      </w:r>
      <w:r>
        <w:rPr>
          <w:rFonts w:hint="eastAsia" w:ascii="宋体" w:hAnsi="宋体" w:cs="宋体"/>
          <w:szCs w:val="21"/>
          <w:lang w:val="en-US" w:eastAsia="zh-CN"/>
        </w:rPr>
        <w:t>向评定小组展示投标文件，确定文件原始密封未经修改，评委根据要求对文件进行评审</w:t>
      </w:r>
      <w:r>
        <w:rPr>
          <w:rFonts w:hint="eastAsia" w:ascii="宋体" w:hAnsi="宋体" w:cs="宋体"/>
          <w:szCs w:val="21"/>
        </w:rPr>
        <w:t>；</w:t>
      </w:r>
    </w:p>
    <w:p>
      <w:pPr>
        <w:widowControl w:val="0"/>
        <w:numPr>
          <w:ilvl w:val="1"/>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b/>
          <w:szCs w:val="21"/>
        </w:rPr>
        <w:t>费用的缴纳与票据的开具</w:t>
      </w:r>
    </w:p>
    <w:p>
      <w:pPr>
        <w:widowControl w:val="0"/>
        <w:numPr>
          <w:ilvl w:val="2"/>
          <w:numId w:val="1"/>
        </w:numPr>
        <w:tabs>
          <w:tab w:val="left" w:pos="709"/>
        </w:tabs>
        <w:wordWrap w:val="0"/>
        <w:autoSpaceDE w:val="0"/>
        <w:autoSpaceDN w:val="0"/>
        <w:adjustRightInd w:val="0"/>
        <w:snapToGrid w:val="0"/>
        <w:ind w:firstLineChars="0"/>
        <w:jc w:val="left"/>
        <w:rPr>
          <w:rFonts w:hint="eastAsia" w:ascii="宋体" w:hAnsi="宋体" w:cs="宋体"/>
          <w:szCs w:val="21"/>
        </w:rPr>
      </w:pPr>
      <w:bookmarkStart w:id="23" w:name="_Toc522868886"/>
      <w:bookmarkStart w:id="24" w:name="_Toc528575656"/>
      <w:bookmarkStart w:id="25" w:name="_Toc524091599"/>
      <w:bookmarkStart w:id="26" w:name="_Toc524529431"/>
      <w:bookmarkStart w:id="27" w:name="_Toc522202585"/>
      <w:bookmarkStart w:id="28" w:name="_Toc527995747"/>
      <w:bookmarkStart w:id="29" w:name="_Toc536034139"/>
      <w:bookmarkStart w:id="30" w:name="_Toc524450175"/>
      <w:bookmarkStart w:id="31" w:name="_Toc522885999"/>
      <w:r>
        <w:rPr>
          <w:rFonts w:hint="eastAsia" w:ascii="宋体" w:hAnsi="宋体" w:cs="宋体"/>
          <w:szCs w:val="21"/>
          <w:lang w:val="en-US" w:eastAsia="zh-CN"/>
        </w:rPr>
        <w:t>本次招投标为：免费</w:t>
      </w:r>
    </w:p>
    <w:p>
      <w:pPr>
        <w:widowControl w:val="0"/>
        <w:numPr>
          <w:ilvl w:val="2"/>
          <w:numId w:val="1"/>
        </w:numPr>
        <w:tabs>
          <w:tab w:val="left" w:pos="709"/>
        </w:tabs>
        <w:wordWrap w:val="0"/>
        <w:autoSpaceDE w:val="0"/>
        <w:autoSpaceDN w:val="0"/>
        <w:adjustRightInd w:val="0"/>
        <w:snapToGrid w:val="0"/>
        <w:ind w:firstLineChars="0"/>
        <w:jc w:val="left"/>
        <w:rPr>
          <w:rFonts w:hint="eastAsia" w:ascii="宋体" w:hAnsi="宋体" w:cs="宋体"/>
          <w:szCs w:val="21"/>
        </w:rPr>
      </w:pPr>
      <w:r>
        <w:rPr>
          <w:rFonts w:hint="eastAsia" w:ascii="宋体" w:hAnsi="宋体" w:cs="宋体"/>
          <w:szCs w:val="21"/>
        </w:rPr>
        <w:t>投标保证金</w:t>
      </w:r>
      <w:bookmarkEnd w:id="23"/>
      <w:bookmarkEnd w:id="24"/>
      <w:bookmarkEnd w:id="25"/>
      <w:bookmarkEnd w:id="26"/>
      <w:bookmarkEnd w:id="27"/>
      <w:bookmarkEnd w:id="28"/>
      <w:bookmarkEnd w:id="29"/>
      <w:bookmarkEnd w:id="30"/>
      <w:bookmarkEnd w:id="31"/>
      <w:r>
        <w:rPr>
          <w:rFonts w:hint="eastAsia" w:ascii="宋体" w:hAnsi="宋体" w:cs="宋体"/>
          <w:szCs w:val="21"/>
          <w:lang w:eastAsia="zh-CN"/>
        </w:rPr>
        <w:t>：</w:t>
      </w:r>
      <w:r>
        <w:rPr>
          <w:rFonts w:hint="eastAsia" w:ascii="宋体" w:hAnsi="宋体" w:cs="宋体"/>
          <w:szCs w:val="21"/>
          <w:lang w:val="en-US" w:eastAsia="zh-CN"/>
        </w:rPr>
        <w:t>不收取投标保证金</w:t>
      </w:r>
      <w:r>
        <w:rPr>
          <w:rFonts w:hint="eastAsia" w:ascii="宋体" w:hAnsi="宋体" w:cs="宋体"/>
          <w:szCs w:val="21"/>
        </w:rPr>
        <w:t>。</w:t>
      </w:r>
    </w:p>
    <w:p>
      <w:pPr>
        <w:widowControl w:val="0"/>
        <w:numPr>
          <w:ilvl w:val="1"/>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b/>
          <w:szCs w:val="21"/>
        </w:rPr>
        <w:t>招标结果的发布</w:t>
      </w:r>
    </w:p>
    <w:p>
      <w:pPr>
        <w:widowControl w:val="0"/>
        <w:numPr>
          <w:ilvl w:val="0"/>
          <w:numId w:val="0"/>
        </w:numPr>
        <w:tabs>
          <w:tab w:val="left" w:pos="709"/>
          <w:tab w:val="left" w:pos="993"/>
        </w:tabs>
        <w:wordWrap w:val="0"/>
        <w:autoSpaceDE w:val="0"/>
        <w:autoSpaceDN w:val="0"/>
        <w:adjustRightInd w:val="0"/>
        <w:snapToGrid w:val="0"/>
        <w:ind w:leftChars="0" w:firstLine="210" w:firstLineChars="100"/>
        <w:jc w:val="left"/>
        <w:rPr>
          <w:rFonts w:hint="eastAsia" w:ascii="宋体" w:hAnsi="宋体" w:cs="宋体"/>
          <w:b/>
          <w:szCs w:val="21"/>
        </w:rPr>
      </w:pPr>
      <w:r>
        <w:rPr>
          <w:rFonts w:hint="eastAsia" w:ascii="宋体" w:hAnsi="宋体" w:cs="宋体"/>
          <w:szCs w:val="21"/>
          <w:lang w:val="en-US" w:eastAsia="zh-CN"/>
        </w:rPr>
        <w:t>招标人以书面形式发出中标通知书</w:t>
      </w:r>
      <w:r>
        <w:rPr>
          <w:rFonts w:hint="eastAsia" w:ascii="宋体" w:hAnsi="宋体" w:cs="宋体"/>
          <w:szCs w:val="21"/>
        </w:rPr>
        <w:t>；</w:t>
      </w:r>
    </w:p>
    <w:p>
      <w:pPr>
        <w:widowControl w:val="0"/>
        <w:numPr>
          <w:ilvl w:val="1"/>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b/>
          <w:szCs w:val="21"/>
        </w:rPr>
        <w:t>投标人注意事项</w:t>
      </w:r>
    </w:p>
    <w:p>
      <w:pPr>
        <w:widowControl w:val="0"/>
        <w:numPr>
          <w:ilvl w:val="0"/>
          <w:numId w:val="0"/>
        </w:numPr>
        <w:tabs>
          <w:tab w:val="left" w:pos="709"/>
          <w:tab w:val="left" w:pos="993"/>
        </w:tabs>
        <w:wordWrap w:val="0"/>
        <w:autoSpaceDE w:val="0"/>
        <w:autoSpaceDN w:val="0"/>
        <w:adjustRightInd w:val="0"/>
        <w:snapToGrid w:val="0"/>
        <w:ind w:leftChars="0" w:firstLine="210" w:firstLineChars="100"/>
        <w:jc w:val="left"/>
        <w:rPr>
          <w:rFonts w:hint="eastAsia" w:ascii="宋体" w:hAnsi="宋体" w:cs="宋体"/>
          <w:b/>
          <w:szCs w:val="21"/>
        </w:rPr>
      </w:pPr>
      <w:r>
        <w:rPr>
          <w:rFonts w:hint="eastAsia" w:ascii="宋体" w:hAnsi="宋体" w:cs="宋体"/>
          <w:szCs w:val="21"/>
        </w:rPr>
        <w:t>投标人提交的投标文件必须</w:t>
      </w:r>
      <w:r>
        <w:rPr>
          <w:rFonts w:hint="eastAsia" w:ascii="宋体" w:hAnsi="宋体" w:cs="宋体"/>
          <w:szCs w:val="21"/>
          <w:lang w:val="en-US" w:eastAsia="zh-CN"/>
        </w:rPr>
        <w:t>按照招</w:t>
      </w:r>
      <w:r>
        <w:rPr>
          <w:rFonts w:hint="eastAsia" w:ascii="宋体" w:hAnsi="宋体" w:cs="宋体"/>
          <w:szCs w:val="21"/>
        </w:rPr>
        <w:t>标文件</w:t>
      </w:r>
      <w:r>
        <w:rPr>
          <w:rFonts w:hint="eastAsia" w:ascii="宋体" w:hAnsi="宋体" w:cs="宋体"/>
          <w:szCs w:val="21"/>
          <w:lang w:val="en-US" w:eastAsia="zh-CN"/>
        </w:rPr>
        <w:t>顺序和要求编制并提供</w:t>
      </w:r>
      <w:r>
        <w:rPr>
          <w:rFonts w:hint="eastAsia" w:ascii="宋体" w:hAnsi="宋体" w:cs="宋体"/>
          <w:szCs w:val="21"/>
          <w:lang w:eastAsia="zh-CN"/>
        </w:rPr>
        <w:t>，</w:t>
      </w:r>
      <w:r>
        <w:rPr>
          <w:rFonts w:hint="eastAsia" w:ascii="宋体" w:hAnsi="宋体" w:cs="宋体"/>
          <w:szCs w:val="21"/>
        </w:rPr>
        <w:t>投标文件</w:t>
      </w:r>
      <w:r>
        <w:rPr>
          <w:rFonts w:hint="eastAsia" w:ascii="宋体" w:hAnsi="宋体" w:cs="宋体"/>
          <w:szCs w:val="21"/>
          <w:lang w:val="en-US" w:eastAsia="zh-CN"/>
        </w:rPr>
        <w:t>必须密封后提交招标人，文件袋以及投标文件必须加盖公章</w:t>
      </w:r>
      <w:r>
        <w:rPr>
          <w:rFonts w:hint="eastAsia" w:ascii="宋体" w:hAnsi="宋体" w:cs="宋体"/>
          <w:szCs w:val="21"/>
          <w:lang w:eastAsia="zh-CN"/>
        </w:rPr>
        <w:t>，</w:t>
      </w:r>
      <w:r>
        <w:rPr>
          <w:rFonts w:hint="eastAsia" w:ascii="宋体" w:hAnsi="宋体" w:cs="宋体"/>
          <w:szCs w:val="21"/>
          <w:lang w:val="en-US" w:eastAsia="zh-CN"/>
        </w:rPr>
        <w:t>以上出现一个错误即视为投标无效。</w:t>
      </w:r>
    </w:p>
    <w:p>
      <w:pPr>
        <w:widowControl w:val="0"/>
        <w:numPr>
          <w:ilvl w:val="0"/>
          <w:numId w:val="0"/>
        </w:numPr>
        <w:tabs>
          <w:tab w:val="left" w:pos="709"/>
        </w:tabs>
        <w:wordWrap w:val="0"/>
        <w:autoSpaceDE w:val="0"/>
        <w:autoSpaceDN w:val="0"/>
        <w:adjustRightInd w:val="0"/>
        <w:snapToGrid w:val="0"/>
        <w:ind w:leftChars="0" w:firstLine="422" w:firstLineChars="200"/>
        <w:jc w:val="left"/>
        <w:rPr>
          <w:rFonts w:ascii="宋体" w:hAnsi="宋体" w:cs="宋体"/>
          <w:b/>
          <w:szCs w:val="21"/>
        </w:rPr>
      </w:pPr>
    </w:p>
    <w:p>
      <w:pPr>
        <w:widowControl w:val="0"/>
        <w:numPr>
          <w:ilvl w:val="1"/>
          <w:numId w:val="1"/>
        </w:numPr>
        <w:tabs>
          <w:tab w:val="left" w:pos="709"/>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b/>
          <w:szCs w:val="21"/>
          <w:lang w:val="en-US" w:eastAsia="zh-CN"/>
        </w:rPr>
        <w:t>采购人</w:t>
      </w:r>
      <w:r>
        <w:rPr>
          <w:rFonts w:hint="eastAsia" w:ascii="宋体" w:hAnsi="宋体" w:cs="宋体"/>
          <w:b/>
          <w:szCs w:val="21"/>
        </w:rPr>
        <w:t>联系方式</w:t>
      </w:r>
    </w:p>
    <w:p>
      <w:pPr>
        <w:widowControl w:val="0"/>
        <w:numPr>
          <w:ilvl w:val="0"/>
          <w:numId w:val="0"/>
        </w:numPr>
        <w:tabs>
          <w:tab w:val="left" w:pos="709"/>
          <w:tab w:val="left" w:pos="993"/>
        </w:tabs>
        <w:wordWrap w:val="0"/>
        <w:autoSpaceDE w:val="0"/>
        <w:autoSpaceDN w:val="0"/>
        <w:adjustRightInd w:val="0"/>
        <w:snapToGrid w:val="0"/>
        <w:ind w:leftChars="0" w:firstLine="210" w:firstLineChars="100"/>
        <w:jc w:val="left"/>
        <w:rPr>
          <w:rFonts w:hint="eastAsia" w:ascii="宋体" w:hAnsi="宋体" w:cs="宋体"/>
          <w:szCs w:val="21"/>
        </w:rPr>
      </w:pPr>
      <w:r>
        <w:rPr>
          <w:rFonts w:hint="eastAsia" w:ascii="宋体" w:hAnsi="宋体" w:cs="宋体"/>
          <w:szCs w:val="21"/>
          <w:lang w:val="en-US" w:eastAsia="zh-CN"/>
        </w:rPr>
        <w:t>采购负责人：李工：13537521158；</w:t>
      </w:r>
    </w:p>
    <w:p>
      <w:pPr>
        <w:rPr>
          <w:rFonts w:ascii="宋体" w:hAnsi="宋体"/>
          <w:snapToGrid w:val="0"/>
          <w:kern w:val="0"/>
          <w:szCs w:val="21"/>
        </w:rPr>
      </w:pPr>
      <w:r>
        <w:rPr>
          <w:rFonts w:ascii="宋体" w:hAnsi="宋体"/>
          <w:snapToGrid w:val="0"/>
          <w:kern w:val="0"/>
          <w:szCs w:val="21"/>
        </w:rPr>
        <w:br w:type="page"/>
      </w:r>
      <w:bookmarkStart w:id="32" w:name="_Toc152045511"/>
      <w:bookmarkStart w:id="33" w:name="_Toc152042287"/>
      <w:bookmarkStart w:id="34" w:name="_Toc144974479"/>
      <w:bookmarkStart w:id="35" w:name="_Toc49247153"/>
    </w:p>
    <w:p>
      <w:pPr>
        <w:rPr>
          <w:rFonts w:ascii="宋体" w:hAnsi="宋体"/>
          <w:snapToGrid w:val="0"/>
          <w:kern w:val="0"/>
          <w:szCs w:val="21"/>
        </w:rPr>
      </w:pPr>
    </w:p>
    <w:p>
      <w:pPr>
        <w:rPr>
          <w:rFonts w:ascii="宋体" w:hAnsi="宋体"/>
          <w:snapToGrid w:val="0"/>
          <w:kern w:val="0"/>
          <w:szCs w:val="21"/>
        </w:rPr>
      </w:pPr>
    </w:p>
    <w:p>
      <w:pPr>
        <w:rPr>
          <w:rFonts w:ascii="宋体" w:hAnsi="宋体"/>
          <w:snapToGrid w:val="0"/>
          <w:kern w:val="0"/>
          <w:szCs w:val="21"/>
        </w:rPr>
      </w:pPr>
    </w:p>
    <w:p>
      <w:pPr>
        <w:rPr>
          <w:rFonts w:ascii="宋体" w:hAnsi="宋体"/>
          <w:snapToGrid w:val="0"/>
          <w:kern w:val="0"/>
          <w:szCs w:val="21"/>
        </w:rPr>
      </w:pPr>
    </w:p>
    <w:p>
      <w:pPr>
        <w:rPr>
          <w:rFonts w:ascii="宋体" w:hAnsi="宋体"/>
          <w:snapToGrid w:val="0"/>
          <w:kern w:val="0"/>
          <w:szCs w:val="21"/>
        </w:rPr>
      </w:pPr>
    </w:p>
    <w:p>
      <w:pPr>
        <w:ind w:left="0" w:leftChars="0" w:firstLine="0" w:firstLineChars="0"/>
        <w:jc w:val="center"/>
        <w:rPr>
          <w:rFonts w:ascii="宋体" w:hAnsi="宋体"/>
          <w:snapToGrid w:val="0"/>
          <w:kern w:val="0"/>
          <w:sz w:val="52"/>
          <w:szCs w:val="52"/>
        </w:rPr>
      </w:pPr>
      <w:r>
        <w:rPr>
          <w:rFonts w:hint="eastAsia" w:ascii="宋体" w:hAnsi="宋体"/>
          <w:b/>
          <w:bCs/>
          <w:sz w:val="52"/>
          <w:szCs w:val="52"/>
        </w:rPr>
        <w:t>第一章</w:t>
      </w:r>
      <w:bookmarkEnd w:id="32"/>
      <w:bookmarkEnd w:id="33"/>
      <w:bookmarkEnd w:id="34"/>
      <w:r>
        <w:rPr>
          <w:rFonts w:hint="eastAsia" w:ascii="宋体" w:hAnsi="宋体"/>
          <w:b/>
          <w:bCs/>
          <w:sz w:val="52"/>
          <w:szCs w:val="52"/>
        </w:rPr>
        <w:t xml:space="preserve"> 投标人须知</w:t>
      </w:r>
      <w:bookmarkEnd w:id="35"/>
    </w:p>
    <w:p>
      <w:pPr>
        <w:widowControl w:val="0"/>
        <w:autoSpaceDE w:val="0"/>
        <w:autoSpaceDN w:val="0"/>
        <w:adjustRightInd w:val="0"/>
        <w:snapToGrid w:val="0"/>
        <w:ind w:firstLine="0" w:firstLineChars="0"/>
        <w:jc w:val="center"/>
        <w:outlineLvl w:val="1"/>
        <w:rPr>
          <w:rFonts w:ascii="宋体" w:hAnsi="宋体"/>
          <w:sz w:val="28"/>
        </w:rPr>
      </w:pPr>
      <w:r>
        <w:rPr>
          <w:rFonts w:ascii="宋体" w:hAnsi="宋体"/>
        </w:rPr>
        <w:br w:type="page"/>
      </w:r>
      <w:bookmarkStart w:id="36" w:name="OLE_LINK1"/>
      <w:bookmarkEnd w:id="36"/>
      <w:bookmarkStart w:id="37" w:name="OLE_LINK2"/>
      <w:bookmarkEnd w:id="37"/>
      <w:bookmarkStart w:id="38" w:name="_Toc144974496"/>
      <w:bookmarkStart w:id="39" w:name="_Toc152042304"/>
      <w:bookmarkStart w:id="40" w:name="_Toc152045528"/>
      <w:bookmarkStart w:id="41" w:name="_Toc379581309"/>
      <w:bookmarkStart w:id="42" w:name="_Toc49247154"/>
      <w:r>
        <w:rPr>
          <w:rFonts w:hint="eastAsia" w:ascii="宋体" w:hAnsi="宋体"/>
          <w:b/>
          <w:sz w:val="32"/>
          <w:szCs w:val="32"/>
        </w:rPr>
        <w:t>第一节 投标人须知前附表</w:t>
      </w:r>
      <w:bookmarkEnd w:id="38"/>
      <w:bookmarkEnd w:id="39"/>
      <w:bookmarkEnd w:id="40"/>
      <w:bookmarkEnd w:id="41"/>
      <w:bookmarkEnd w:id="42"/>
    </w:p>
    <w:p>
      <w:pPr>
        <w:widowControl w:val="0"/>
        <w:autoSpaceDE w:val="0"/>
        <w:autoSpaceDN w:val="0"/>
        <w:adjustRightInd w:val="0"/>
        <w:snapToGrid w:val="0"/>
        <w:ind w:firstLine="0" w:firstLineChars="0"/>
        <w:rPr>
          <w:rFonts w:ascii="宋体" w:hAnsi="宋体"/>
          <w:b/>
          <w:szCs w:val="21"/>
        </w:rPr>
      </w:pPr>
      <w:r>
        <w:rPr>
          <w:rFonts w:hint="eastAsia" w:ascii="宋体" w:hAnsi="宋体"/>
          <w:b/>
          <w:szCs w:val="21"/>
        </w:rPr>
        <w:t>重要提示：</w:t>
      </w:r>
    </w:p>
    <w:p>
      <w:pPr>
        <w:widowControl w:val="0"/>
        <w:autoSpaceDE w:val="0"/>
        <w:autoSpaceDN w:val="0"/>
        <w:adjustRightInd w:val="0"/>
        <w:snapToGrid w:val="0"/>
        <w:ind w:firstLine="0" w:firstLineChars="0"/>
        <w:rPr>
          <w:rFonts w:ascii="宋体" w:hAnsi="宋体"/>
          <w:szCs w:val="21"/>
        </w:rPr>
      </w:pPr>
      <w:r>
        <w:rPr>
          <w:rFonts w:hint="eastAsia" w:ascii="宋体" w:hAnsi="宋体"/>
          <w:szCs w:val="21"/>
        </w:rPr>
        <w:t>1. 本表对项目情况、招标程序的主要时限、投标文件编制要求的有关信息，是对投标须知的具体补充。如出现前后不一致的表述以投标人须知前附表为准。</w:t>
      </w:r>
    </w:p>
    <w:p>
      <w:pPr>
        <w:widowControl w:val="0"/>
        <w:autoSpaceDE w:val="0"/>
        <w:autoSpaceDN w:val="0"/>
        <w:adjustRightInd w:val="0"/>
        <w:snapToGrid w:val="0"/>
        <w:ind w:firstLine="0" w:firstLineChars="0"/>
        <w:rPr>
          <w:rFonts w:ascii="宋体" w:hAnsi="宋体"/>
          <w:szCs w:val="21"/>
        </w:rPr>
      </w:pPr>
      <w:r>
        <w:rPr>
          <w:rFonts w:hint="eastAsia" w:ascii="宋体" w:hAnsi="宋体"/>
          <w:szCs w:val="21"/>
        </w:rPr>
        <w:t>2. 本文所示时间均为北京时间。</w:t>
      </w:r>
    </w:p>
    <w:p>
      <w:pPr>
        <w:widowControl w:val="0"/>
        <w:autoSpaceDE w:val="0"/>
        <w:autoSpaceDN w:val="0"/>
        <w:adjustRightInd w:val="0"/>
        <w:snapToGrid w:val="0"/>
        <w:ind w:firstLine="0" w:firstLineChars="0"/>
        <w:rPr>
          <w:rFonts w:ascii="宋体" w:hAnsi="宋体"/>
          <w:szCs w:val="21"/>
        </w:rPr>
      </w:pPr>
      <w:r>
        <w:rPr>
          <w:rFonts w:ascii="宋体" w:hAnsi="宋体"/>
          <w:szCs w:val="21"/>
        </w:rPr>
        <w:t xml:space="preserve">3. </w:t>
      </w:r>
      <w:r>
        <w:rPr>
          <w:rFonts w:hint="eastAsia" w:ascii="宋体" w:hAnsi="宋体"/>
          <w:szCs w:val="21"/>
        </w:rPr>
        <w:t>用“</w:t>
      </w:r>
      <w:r>
        <w:rPr>
          <w:rFonts w:ascii="Segoe UI Symbol" w:hAnsi="Segoe UI Symbol" w:cs="Segoe UI Symbol"/>
          <w:szCs w:val="21"/>
        </w:rPr>
        <w:t>☑</w:t>
      </w:r>
      <w:r>
        <w:rPr>
          <w:rFonts w:ascii="宋体" w:hAnsi="宋体"/>
          <w:szCs w:val="21"/>
        </w:rPr>
        <w:t>”</w:t>
      </w:r>
      <w:r>
        <w:rPr>
          <w:rFonts w:hint="eastAsia" w:ascii="宋体" w:hAnsi="宋体"/>
          <w:szCs w:val="21"/>
        </w:rPr>
        <w:t>标识时表明该选项被招标人选用，用“□”标识时表明该选项未被招标人选用。本文件中对应模板性条款未被招标人选用的内容，自动不适用。</w:t>
      </w:r>
    </w:p>
    <w:p>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4、招标人在编制招标文件时，示范文本中的空格部分应根据招标项目实际需求填写，无内容或不采用者应用斜画线表示或者注明“本项目不适用”。</w:t>
      </w:r>
    </w:p>
    <w:tbl>
      <w:tblPr>
        <w:tblStyle w:val="49"/>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2019"/>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6" w:type="dxa"/>
            <w:gridSpan w:val="3"/>
            <w:tcBorders>
              <w:top w:val="single" w:color="auto" w:sz="4" w:space="0"/>
            </w:tcBorders>
            <w:shd w:val="clear" w:color="auto" w:fill="D9E2F3"/>
            <w:noWrap w:val="0"/>
            <w:vAlign w:val="center"/>
          </w:tcPr>
          <w:p>
            <w:pPr>
              <w:widowControl w:val="0"/>
              <w:autoSpaceDE w:val="0"/>
              <w:autoSpaceDN w:val="0"/>
              <w:adjustRightInd w:val="0"/>
              <w:snapToGrid w:val="0"/>
              <w:ind w:firstLine="0" w:firstLineChars="0"/>
              <w:jc w:val="center"/>
              <w:rPr>
                <w:rFonts w:ascii="宋体" w:hAnsi="宋体"/>
                <w:b/>
                <w:sz w:val="32"/>
                <w:szCs w:val="32"/>
              </w:rPr>
            </w:pPr>
            <w:bookmarkStart w:id="43" w:name="_Hlk532140181"/>
            <w:r>
              <w:rPr>
                <w:rFonts w:hint="eastAsia" w:ascii="宋体" w:hAnsi="宋体"/>
                <w:b/>
                <w:sz w:val="32"/>
                <w:szCs w:val="32"/>
              </w:rPr>
              <w:t>投标人须知前附表（一）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noWrap w:val="0"/>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2019" w:type="dxa"/>
            <w:noWrap w:val="0"/>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名称</w:t>
            </w:r>
          </w:p>
        </w:tc>
        <w:tc>
          <w:tcPr>
            <w:tcW w:w="5760" w:type="dxa"/>
            <w:noWrap w:val="0"/>
            <w:vAlign w:val="center"/>
          </w:tcPr>
          <w:p>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1.1.2</w:t>
            </w:r>
          </w:p>
        </w:tc>
        <w:tc>
          <w:tcPr>
            <w:tcW w:w="2019" w:type="dxa"/>
            <w:noWrap w:val="0"/>
            <w:vAlign w:val="center"/>
          </w:tcPr>
          <w:p>
            <w:pPr>
              <w:widowControl w:val="0"/>
              <w:autoSpaceDE w:val="0"/>
              <w:autoSpaceDN w:val="0"/>
              <w:adjustRightInd w:val="0"/>
              <w:snapToGrid w:val="0"/>
              <w:ind w:firstLine="0" w:firstLineChars="0"/>
              <w:jc w:val="center"/>
              <w:rPr>
                <w:rFonts w:ascii="宋体" w:hAnsi="宋体"/>
                <w:szCs w:val="21"/>
              </w:rPr>
            </w:pPr>
            <w:r>
              <w:rPr>
                <w:rFonts w:ascii="宋体" w:hAnsi="宋体"/>
                <w:szCs w:val="21"/>
              </w:rPr>
              <w:t>招标人</w:t>
            </w:r>
          </w:p>
        </w:tc>
        <w:tc>
          <w:tcPr>
            <w:tcW w:w="5760" w:type="dxa"/>
            <w:noWrap w:val="0"/>
            <w:vAlign w:val="center"/>
          </w:tcPr>
          <w:p>
            <w:pPr>
              <w:widowControl w:val="0"/>
              <w:autoSpaceDE w:val="0"/>
              <w:autoSpaceDN w:val="0"/>
              <w:adjustRightInd w:val="0"/>
              <w:snapToGrid w:val="0"/>
              <w:ind w:firstLine="0" w:firstLineChars="0"/>
              <w:rPr>
                <w:rFonts w:hint="default" w:ascii="宋体" w:hAnsi="宋体"/>
                <w:szCs w:val="21"/>
                <w:u w:val="single"/>
                <w:lang w:val="en-US"/>
              </w:rPr>
            </w:pPr>
            <w:r>
              <w:rPr>
                <w:rFonts w:ascii="宋体" w:hAnsi="宋体"/>
                <w:szCs w:val="21"/>
              </w:rPr>
              <w:t>名称：</w:t>
            </w:r>
            <w:r>
              <w:rPr>
                <w:rFonts w:hint="eastAsia" w:ascii="宋体" w:hAnsi="宋体"/>
                <w:szCs w:val="21"/>
                <w:u w:val="single"/>
              </w:rPr>
              <w:t xml:space="preserve"> 深圳市龙华环境有限公司 </w:t>
            </w:r>
            <w:r>
              <w:rPr>
                <w:rFonts w:hint="eastAsia" w:ascii="宋体" w:hAnsi="宋体"/>
                <w:szCs w:val="21"/>
                <w:u w:val="single"/>
                <w:lang w:val="en-US" w:eastAsia="zh-CN"/>
              </w:rPr>
              <w:t xml:space="preserve">          </w:t>
            </w:r>
          </w:p>
          <w:p>
            <w:pPr>
              <w:widowControl w:val="0"/>
              <w:autoSpaceDE w:val="0"/>
              <w:autoSpaceDN w:val="0"/>
              <w:adjustRightInd w:val="0"/>
              <w:snapToGrid w:val="0"/>
              <w:ind w:firstLine="0" w:firstLineChars="0"/>
              <w:rPr>
                <w:rFonts w:ascii="宋体" w:hAnsi="宋体"/>
                <w:szCs w:val="21"/>
              </w:rPr>
            </w:pPr>
            <w:r>
              <w:rPr>
                <w:rFonts w:hint="eastAsia" w:ascii="宋体" w:hAnsi="宋体"/>
                <w:szCs w:val="21"/>
              </w:rPr>
              <w:t>联系</w:t>
            </w:r>
            <w:r>
              <w:rPr>
                <w:rFonts w:ascii="宋体" w:hAnsi="宋体"/>
                <w:szCs w:val="21"/>
              </w:rPr>
              <w:t>地址：</w:t>
            </w:r>
            <w:r>
              <w:rPr>
                <w:rFonts w:hint="eastAsia" w:ascii="宋体" w:hAnsi="宋体"/>
                <w:szCs w:val="21"/>
                <w:u w:val="single"/>
                <w:lang w:val="en-US" w:eastAsia="zh-CN"/>
              </w:rPr>
              <w:t xml:space="preserve"> 大浪街道华昌路华富工业园内B栋一层    </w:t>
            </w:r>
            <w:r>
              <w:rPr>
                <w:rFonts w:hint="eastAsia" w:ascii="宋体" w:hAnsi="宋体"/>
                <w:szCs w:val="21"/>
                <w:u w:val="single"/>
              </w:rPr>
              <w:t xml:space="preserve">   </w:t>
            </w:r>
          </w:p>
          <w:p>
            <w:pPr>
              <w:widowControl w:val="0"/>
              <w:autoSpaceDE w:val="0"/>
              <w:autoSpaceDN w:val="0"/>
              <w:adjustRightInd w:val="0"/>
              <w:snapToGrid w:val="0"/>
              <w:ind w:firstLine="0" w:firstLineChars="0"/>
              <w:rPr>
                <w:rFonts w:hint="default" w:ascii="宋体" w:hAnsi="宋体"/>
                <w:szCs w:val="21"/>
                <w:lang w:val="en-US"/>
              </w:rPr>
            </w:pPr>
            <w:r>
              <w:rPr>
                <w:rFonts w:hint="eastAsia" w:ascii="宋体" w:hAnsi="宋体"/>
                <w:szCs w:val="21"/>
              </w:rPr>
              <w:t>联系人：</w:t>
            </w:r>
            <w:r>
              <w:rPr>
                <w:rFonts w:hint="eastAsia" w:ascii="宋体" w:hAnsi="宋体"/>
                <w:szCs w:val="21"/>
                <w:u w:val="single"/>
                <w:lang w:val="en-US" w:eastAsia="zh-CN"/>
              </w:rPr>
              <w:t xml:space="preserve">  陈果     </w:t>
            </w:r>
          </w:p>
          <w:p>
            <w:pPr>
              <w:widowControl w:val="0"/>
              <w:autoSpaceDE w:val="0"/>
              <w:autoSpaceDN w:val="0"/>
              <w:adjustRightInd w:val="0"/>
              <w:snapToGrid w:val="0"/>
              <w:ind w:firstLine="0" w:firstLineChars="0"/>
              <w:rPr>
                <w:rFonts w:hint="default" w:ascii="宋体" w:hAnsi="宋体"/>
                <w:kern w:val="0"/>
                <w:szCs w:val="21"/>
                <w:u w:val="single"/>
                <w:lang w:val="en-US"/>
              </w:rPr>
            </w:pPr>
            <w:r>
              <w:rPr>
                <w:rFonts w:hint="eastAsia" w:ascii="宋体" w:hAnsi="宋体"/>
                <w:szCs w:val="21"/>
              </w:rPr>
              <w:t>联系电话：</w:t>
            </w:r>
            <w:r>
              <w:rPr>
                <w:rFonts w:hint="eastAsia" w:ascii="宋体" w:hAnsi="宋体"/>
                <w:szCs w:val="21"/>
                <w:u w:val="single"/>
                <w:lang w:val="en-US" w:eastAsia="zh-CN"/>
              </w:rPr>
              <w:t xml:space="preserve">  13537521158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noWrap w:val="0"/>
            <w:vAlign w:val="center"/>
          </w:tcPr>
          <w:p>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1.1.3</w:t>
            </w:r>
          </w:p>
        </w:tc>
        <w:tc>
          <w:tcPr>
            <w:tcW w:w="2019" w:type="dxa"/>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招标代理</w:t>
            </w:r>
          </w:p>
        </w:tc>
        <w:tc>
          <w:tcPr>
            <w:tcW w:w="5760" w:type="dxa"/>
            <w:noWrap w:val="0"/>
            <w:vAlign w:val="center"/>
          </w:tcPr>
          <w:p>
            <w:pPr>
              <w:widowControl w:val="0"/>
              <w:autoSpaceDE w:val="0"/>
              <w:autoSpaceDN w:val="0"/>
              <w:adjustRightInd w:val="0"/>
              <w:snapToGrid w:val="0"/>
              <w:ind w:firstLine="0" w:firstLineChars="0"/>
              <w:rPr>
                <w:rFonts w:hint="default" w:ascii="宋体" w:hAnsi="宋体" w:eastAsia="宋体"/>
                <w:szCs w:val="21"/>
                <w:lang w:val="en-US" w:eastAsia="zh-CN"/>
              </w:rPr>
            </w:pPr>
            <w:r>
              <w:rPr>
                <w:rFonts w:hint="eastAsia" w:ascii="宋体" w:hAnsi="宋体"/>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restart"/>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1.1.</w:t>
            </w:r>
            <w:r>
              <w:rPr>
                <w:rFonts w:ascii="宋体" w:hAnsi="宋体"/>
                <w:szCs w:val="21"/>
              </w:rPr>
              <w:t>4</w:t>
            </w:r>
          </w:p>
        </w:tc>
        <w:tc>
          <w:tcPr>
            <w:tcW w:w="2019" w:type="dxa"/>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项目编号</w:t>
            </w:r>
          </w:p>
        </w:tc>
        <w:tc>
          <w:tcPr>
            <w:tcW w:w="5760" w:type="dxa"/>
            <w:noWrap w:val="0"/>
            <w:vAlign w:val="center"/>
          </w:tcPr>
          <w:p>
            <w:pPr>
              <w:widowControl w:val="0"/>
              <w:autoSpaceDE w:val="0"/>
              <w:autoSpaceDN w:val="0"/>
              <w:adjustRightInd w:val="0"/>
              <w:snapToGrid w:val="0"/>
              <w:ind w:firstLine="0" w:firstLineChars="0"/>
              <w:rPr>
                <w:rFonts w:hint="eastAsia" w:ascii="宋体" w:hAnsi="宋体" w:eastAsia="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noWrap w:val="0"/>
            <w:vAlign w:val="center"/>
          </w:tcPr>
          <w:p>
            <w:pPr>
              <w:widowControl w:val="0"/>
              <w:autoSpaceDE w:val="0"/>
              <w:autoSpaceDN w:val="0"/>
              <w:adjustRightInd w:val="0"/>
              <w:snapToGrid w:val="0"/>
              <w:ind w:firstLine="0" w:firstLineChars="0"/>
              <w:jc w:val="center"/>
              <w:rPr>
                <w:rFonts w:hint="eastAsia" w:ascii="宋体" w:hAnsi="宋体"/>
                <w:szCs w:val="21"/>
              </w:rPr>
            </w:pPr>
          </w:p>
        </w:tc>
        <w:tc>
          <w:tcPr>
            <w:tcW w:w="2019" w:type="dxa"/>
            <w:noWrap w:val="0"/>
            <w:vAlign w:val="center"/>
          </w:tcPr>
          <w:p>
            <w:pPr>
              <w:widowControl w:val="0"/>
              <w:autoSpaceDE w:val="0"/>
              <w:autoSpaceDN w:val="0"/>
              <w:adjustRightInd w:val="0"/>
              <w:snapToGrid w:val="0"/>
              <w:ind w:firstLine="0" w:firstLineChars="0"/>
              <w:jc w:val="center"/>
              <w:rPr>
                <w:rFonts w:ascii="宋体" w:hAnsi="宋体"/>
                <w:szCs w:val="21"/>
              </w:rPr>
            </w:pPr>
            <w:r>
              <w:rPr>
                <w:rFonts w:ascii="宋体" w:hAnsi="宋体"/>
                <w:szCs w:val="21"/>
              </w:rPr>
              <w:t>项目名称</w:t>
            </w:r>
          </w:p>
        </w:tc>
        <w:tc>
          <w:tcPr>
            <w:tcW w:w="5760" w:type="dxa"/>
            <w:noWrap w:val="0"/>
            <w:vAlign w:val="center"/>
          </w:tcPr>
          <w:p>
            <w:pPr>
              <w:widowControl w:val="0"/>
              <w:autoSpaceDE w:val="0"/>
              <w:autoSpaceDN w:val="0"/>
              <w:adjustRightInd w:val="0"/>
              <w:snapToGrid w:val="0"/>
              <w:ind w:firstLine="0" w:firstLineChars="0"/>
              <w:rPr>
                <w:rFonts w:hint="eastAsia" w:ascii="宋体" w:hAnsi="宋体" w:eastAsia="宋体"/>
                <w:szCs w:val="21"/>
                <w:lang w:eastAsia="zh-CN"/>
              </w:rPr>
            </w:pPr>
            <w:r>
              <w:rPr>
                <w:rFonts w:hint="eastAsia" w:ascii="宋体" w:hAnsi="宋体" w:eastAsia="宋体"/>
                <w:szCs w:val="21"/>
                <w:lang w:eastAsia="zh-CN"/>
              </w:rPr>
              <w:t>大浪街道</w:t>
            </w:r>
            <w:r>
              <w:rPr>
                <w:rFonts w:hint="eastAsia" w:ascii="宋体" w:hAnsi="宋体"/>
                <w:szCs w:val="21"/>
                <w:lang w:val="en-US" w:eastAsia="zh-CN"/>
              </w:rPr>
              <w:t>非市政道路路灯管养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restart"/>
            <w:noWrap w:val="0"/>
            <w:vAlign w:val="center"/>
          </w:tcPr>
          <w:p>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1.1.</w:t>
            </w:r>
            <w:r>
              <w:rPr>
                <w:rFonts w:ascii="宋体" w:hAnsi="宋体"/>
                <w:szCs w:val="21"/>
              </w:rPr>
              <w:t>5</w:t>
            </w:r>
          </w:p>
        </w:tc>
        <w:tc>
          <w:tcPr>
            <w:tcW w:w="2019" w:type="dxa"/>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公告日期</w:t>
            </w:r>
          </w:p>
        </w:tc>
        <w:tc>
          <w:tcPr>
            <w:tcW w:w="5760" w:type="dxa"/>
            <w:noWrap w:val="0"/>
            <w:vAlign w:val="center"/>
          </w:tcPr>
          <w:p>
            <w:pPr>
              <w:widowControl w:val="0"/>
              <w:autoSpaceDE w:val="0"/>
              <w:autoSpaceDN w:val="0"/>
              <w:adjustRightInd w:val="0"/>
              <w:snapToGrid w:val="0"/>
              <w:ind w:firstLine="0" w:firstLineChars="0"/>
              <w:rPr>
                <w:rFonts w:ascii="宋体" w:hAnsi="宋体"/>
                <w:szCs w:val="21"/>
              </w:rPr>
            </w:pPr>
            <w:r>
              <w:rPr>
                <w:rFonts w:hint="eastAsia" w:ascii="宋体" w:hAnsi="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noWrap w:val="0"/>
            <w:vAlign w:val="center"/>
          </w:tcPr>
          <w:p>
            <w:pPr>
              <w:widowControl w:val="0"/>
              <w:autoSpaceDE w:val="0"/>
              <w:autoSpaceDN w:val="0"/>
              <w:adjustRightInd w:val="0"/>
              <w:snapToGrid w:val="0"/>
              <w:ind w:firstLine="0" w:firstLineChars="0"/>
              <w:jc w:val="center"/>
              <w:rPr>
                <w:rFonts w:hint="eastAsia" w:ascii="宋体" w:hAnsi="宋体"/>
                <w:szCs w:val="21"/>
              </w:rPr>
            </w:pPr>
          </w:p>
        </w:tc>
        <w:tc>
          <w:tcPr>
            <w:tcW w:w="2019" w:type="dxa"/>
            <w:noWrap w:val="0"/>
            <w:vAlign w:val="center"/>
          </w:tcPr>
          <w:p>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项目类别</w:t>
            </w:r>
          </w:p>
        </w:tc>
        <w:tc>
          <w:tcPr>
            <w:tcW w:w="5760" w:type="dxa"/>
            <w:noWrap w:val="0"/>
            <w:vAlign w:val="center"/>
          </w:tcPr>
          <w:p>
            <w:pPr>
              <w:widowControl w:val="0"/>
              <w:autoSpaceDE w:val="0"/>
              <w:autoSpaceDN w:val="0"/>
              <w:adjustRightInd w:val="0"/>
              <w:snapToGrid w:val="0"/>
              <w:ind w:firstLine="0" w:firstLineChars="0"/>
              <w:rPr>
                <w:rFonts w:hint="eastAsia" w:ascii="宋体" w:hAnsi="宋体" w:eastAsia="宋体"/>
                <w:szCs w:val="21"/>
                <w:lang w:eastAsia="zh-CN"/>
              </w:rPr>
            </w:pPr>
            <w:r>
              <w:rPr>
                <w:rFonts w:hint="eastAsia" w:ascii="宋体" w:hAnsi="宋体"/>
                <w:szCs w:val="21"/>
                <w:lang w:eastAsia="zh-CN"/>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noWrap w:val="0"/>
            <w:vAlign w:val="center"/>
          </w:tcPr>
          <w:p>
            <w:pPr>
              <w:widowControl w:val="0"/>
              <w:autoSpaceDE w:val="0"/>
              <w:autoSpaceDN w:val="0"/>
              <w:adjustRightInd w:val="0"/>
              <w:snapToGrid w:val="0"/>
              <w:ind w:firstLine="0" w:firstLineChars="0"/>
              <w:jc w:val="center"/>
              <w:rPr>
                <w:rFonts w:hint="eastAsia" w:ascii="宋体" w:hAnsi="宋体"/>
                <w:szCs w:val="21"/>
              </w:rPr>
            </w:pPr>
          </w:p>
        </w:tc>
        <w:tc>
          <w:tcPr>
            <w:tcW w:w="2019" w:type="dxa"/>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招标方式</w:t>
            </w:r>
          </w:p>
        </w:tc>
        <w:tc>
          <w:tcPr>
            <w:tcW w:w="5760" w:type="dxa"/>
            <w:noWrap w:val="0"/>
            <w:vAlign w:val="center"/>
          </w:tcPr>
          <w:p>
            <w:pPr>
              <w:widowControl w:val="0"/>
              <w:autoSpaceDE w:val="0"/>
              <w:autoSpaceDN w:val="0"/>
              <w:adjustRightInd w:val="0"/>
              <w:snapToGrid w:val="0"/>
              <w:ind w:firstLine="0" w:firstLineChars="0"/>
              <w:rPr>
                <w:rFonts w:ascii="宋体" w:hAnsi="宋体"/>
                <w:szCs w:val="21"/>
              </w:rPr>
            </w:pPr>
            <w:r>
              <w:rPr>
                <w:rFonts w:hint="eastAsia" w:ascii="Segoe UI Symbol" w:hAnsi="Segoe UI Symbol" w:cs="Segoe UI Symbol"/>
                <w:szCs w:val="21"/>
                <w:lang w:eastAsia="zh-CN"/>
              </w:rPr>
              <w:t>☑</w:t>
            </w:r>
            <w:r>
              <w:rPr>
                <w:rFonts w:hint="eastAsia" w:ascii="宋体" w:hAnsi="宋体"/>
                <w:szCs w:val="21"/>
              </w:rPr>
              <w:t>公开招标</w:t>
            </w:r>
            <w:r>
              <w:rPr>
                <w:rFonts w:ascii="宋体" w:hAnsi="宋体"/>
                <w:szCs w:val="21"/>
              </w:rPr>
              <w:t xml:space="preserve">  </w:t>
            </w:r>
            <w:r>
              <w:rPr>
                <w:rFonts w:hint="eastAsia" w:ascii="宋体" w:hAnsi="宋体"/>
                <w:szCs w:val="21"/>
              </w:rPr>
              <w:t>□邀请招标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noWrap w:val="0"/>
            <w:vAlign w:val="center"/>
          </w:tcPr>
          <w:p>
            <w:pPr>
              <w:widowControl w:val="0"/>
              <w:autoSpaceDE w:val="0"/>
              <w:autoSpaceDN w:val="0"/>
              <w:adjustRightInd w:val="0"/>
              <w:snapToGrid w:val="0"/>
              <w:ind w:firstLine="0" w:firstLineChars="0"/>
              <w:jc w:val="center"/>
              <w:rPr>
                <w:rFonts w:hint="eastAsia" w:ascii="宋体" w:hAnsi="宋体"/>
                <w:szCs w:val="21"/>
              </w:rPr>
            </w:pPr>
          </w:p>
        </w:tc>
        <w:tc>
          <w:tcPr>
            <w:tcW w:w="2019" w:type="dxa"/>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资格审查方式</w:t>
            </w:r>
          </w:p>
        </w:tc>
        <w:tc>
          <w:tcPr>
            <w:tcW w:w="5760" w:type="dxa"/>
            <w:noWrap w:val="0"/>
            <w:vAlign w:val="center"/>
          </w:tcPr>
          <w:p>
            <w:pPr>
              <w:widowControl w:val="0"/>
              <w:autoSpaceDE w:val="0"/>
              <w:autoSpaceDN w:val="0"/>
              <w:adjustRightInd w:val="0"/>
              <w:snapToGrid w:val="0"/>
              <w:ind w:firstLine="0" w:firstLineChars="0"/>
              <w:rPr>
                <w:rFonts w:ascii="宋体" w:hAnsi="宋体"/>
                <w:szCs w:val="21"/>
              </w:rPr>
            </w:pPr>
            <w:r>
              <w:rPr>
                <w:rFonts w:hint="eastAsia" w:ascii="Segoe UI Symbol" w:hAnsi="Segoe UI Symbol" w:cs="Segoe UI Symbol"/>
                <w:szCs w:val="21"/>
                <w:lang w:eastAsia="zh-CN"/>
              </w:rPr>
              <w:t>☑</w:t>
            </w:r>
            <w:r>
              <w:rPr>
                <w:rFonts w:hint="eastAsia" w:ascii="宋体" w:hAnsi="宋体"/>
                <w:szCs w:val="21"/>
              </w:rPr>
              <w:t>资格后审</w:t>
            </w:r>
            <w:r>
              <w:rPr>
                <w:rFonts w:ascii="宋体" w:hAnsi="宋体"/>
                <w:szCs w:val="21"/>
              </w:rPr>
              <w:t xml:space="preserve">  </w:t>
            </w:r>
            <w:r>
              <w:rPr>
                <w:rFonts w:hint="eastAsia" w:ascii="宋体" w:hAnsi="宋体"/>
                <w:szCs w:val="21"/>
              </w:rPr>
              <w:t>□资格预审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restart"/>
            <w:noWrap w:val="0"/>
            <w:vAlign w:val="center"/>
          </w:tcPr>
          <w:p>
            <w:pPr>
              <w:widowControl w:val="0"/>
              <w:autoSpaceDE w:val="0"/>
              <w:autoSpaceDN w:val="0"/>
              <w:adjustRightInd w:val="0"/>
              <w:snapToGrid w:val="0"/>
              <w:ind w:firstLine="0" w:firstLineChars="0"/>
              <w:jc w:val="center"/>
              <w:rPr>
                <w:rFonts w:hint="eastAsia" w:ascii="宋体" w:hAnsi="宋体"/>
                <w:szCs w:val="21"/>
              </w:rPr>
            </w:pPr>
            <w:r>
              <w:rPr>
                <w:rFonts w:ascii="宋体" w:hAnsi="宋体"/>
                <w:szCs w:val="21"/>
              </w:rPr>
              <w:t>2.1.2</w:t>
            </w:r>
          </w:p>
        </w:tc>
        <w:tc>
          <w:tcPr>
            <w:tcW w:w="2019" w:type="dxa"/>
            <w:noWrap w:val="0"/>
            <w:vAlign w:val="center"/>
          </w:tcPr>
          <w:p>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招标文件</w:t>
            </w:r>
          </w:p>
          <w:p>
            <w:pPr>
              <w:widowControl w:val="0"/>
              <w:autoSpaceDE w:val="0"/>
              <w:autoSpaceDN w:val="0"/>
              <w:adjustRightInd w:val="0"/>
              <w:snapToGrid w:val="0"/>
              <w:ind w:firstLine="0" w:firstLineChars="0"/>
              <w:jc w:val="center"/>
              <w:rPr>
                <w:rFonts w:ascii="宋体" w:hAnsi="宋体"/>
                <w:szCs w:val="21"/>
              </w:rPr>
            </w:pPr>
            <w:r>
              <w:rPr>
                <w:rFonts w:hint="eastAsia" w:ascii="宋体" w:hAnsi="宋体"/>
                <w:kern w:val="0"/>
                <w:szCs w:val="21"/>
              </w:rPr>
              <w:t>获取方式</w:t>
            </w:r>
          </w:p>
        </w:tc>
        <w:tc>
          <w:tcPr>
            <w:tcW w:w="5760" w:type="dxa"/>
            <w:noWrap w:val="0"/>
            <w:vAlign w:val="center"/>
          </w:tcPr>
          <w:p>
            <w:pPr>
              <w:widowControl w:val="0"/>
              <w:autoSpaceDE w:val="0"/>
              <w:autoSpaceDN w:val="0"/>
              <w:adjustRightInd w:val="0"/>
              <w:snapToGrid w:val="0"/>
              <w:ind w:firstLine="0" w:firstLineChars="0"/>
              <w:rPr>
                <w:rFonts w:ascii="宋体" w:hAnsi="宋体"/>
                <w:szCs w:val="21"/>
              </w:rPr>
            </w:pPr>
            <w:r>
              <w:rPr>
                <w:rFonts w:hint="eastAsia" w:ascii="宋体" w:hAnsi="宋体"/>
                <w:szCs w:val="21"/>
              </w:rPr>
              <w:t>通过</w:t>
            </w:r>
            <w:r>
              <w:rPr>
                <w:rFonts w:hint="eastAsia" w:ascii="宋体" w:hAnsi="宋体"/>
                <w:szCs w:val="21"/>
                <w:lang w:val="en-US" w:eastAsia="zh-CN"/>
              </w:rPr>
              <w:t>公司网站</w:t>
            </w:r>
            <w:r>
              <w:rPr>
                <w:rFonts w:hint="eastAsia" w:ascii="宋体" w:hAnsi="宋体"/>
                <w:szCs w:val="21"/>
              </w:rPr>
              <w:t>平台获取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noWrap w:val="0"/>
            <w:vAlign w:val="center"/>
          </w:tcPr>
          <w:p>
            <w:pPr>
              <w:widowControl w:val="0"/>
              <w:autoSpaceDE w:val="0"/>
              <w:autoSpaceDN w:val="0"/>
              <w:adjustRightInd w:val="0"/>
              <w:snapToGrid w:val="0"/>
              <w:ind w:firstLine="0" w:firstLineChars="0"/>
              <w:jc w:val="center"/>
              <w:rPr>
                <w:rFonts w:hint="eastAsia" w:ascii="宋体" w:hAnsi="宋体"/>
                <w:szCs w:val="21"/>
              </w:rPr>
            </w:pPr>
          </w:p>
        </w:tc>
        <w:tc>
          <w:tcPr>
            <w:tcW w:w="2019" w:type="dxa"/>
            <w:noWrap w:val="0"/>
            <w:vAlign w:val="center"/>
          </w:tcPr>
          <w:p>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招标文件</w:t>
            </w:r>
          </w:p>
          <w:p>
            <w:pPr>
              <w:widowControl w:val="0"/>
              <w:autoSpaceDE w:val="0"/>
              <w:autoSpaceDN w:val="0"/>
              <w:adjustRightInd w:val="0"/>
              <w:snapToGrid w:val="0"/>
              <w:ind w:firstLine="0" w:firstLineChars="0"/>
              <w:jc w:val="center"/>
              <w:rPr>
                <w:rFonts w:hint="eastAsia" w:ascii="宋体" w:hAnsi="宋体"/>
                <w:kern w:val="0"/>
                <w:szCs w:val="21"/>
              </w:rPr>
            </w:pPr>
            <w:r>
              <w:rPr>
                <w:rFonts w:ascii="宋体" w:hAnsi="宋体"/>
                <w:kern w:val="0"/>
                <w:szCs w:val="21"/>
              </w:rPr>
              <w:t>获取时间</w:t>
            </w:r>
          </w:p>
        </w:tc>
        <w:tc>
          <w:tcPr>
            <w:tcW w:w="5760" w:type="dxa"/>
            <w:noWrap w:val="0"/>
            <w:vAlign w:val="center"/>
          </w:tcPr>
          <w:p>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noWrap w:val="0"/>
            <w:vAlign w:val="center"/>
          </w:tcPr>
          <w:p>
            <w:pPr>
              <w:widowControl w:val="0"/>
              <w:autoSpaceDE w:val="0"/>
              <w:autoSpaceDN w:val="0"/>
              <w:adjustRightInd w:val="0"/>
              <w:snapToGrid w:val="0"/>
              <w:ind w:firstLine="0" w:firstLineChars="0"/>
              <w:jc w:val="center"/>
              <w:rPr>
                <w:rFonts w:hint="eastAsia" w:ascii="宋体" w:hAnsi="宋体"/>
                <w:szCs w:val="21"/>
              </w:rPr>
            </w:pPr>
          </w:p>
        </w:tc>
        <w:tc>
          <w:tcPr>
            <w:tcW w:w="2019" w:type="dxa"/>
            <w:noWrap w:val="0"/>
            <w:vAlign w:val="center"/>
          </w:tcPr>
          <w:p>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是否需要提交</w:t>
            </w:r>
          </w:p>
          <w:p>
            <w:pPr>
              <w:widowControl w:val="0"/>
              <w:autoSpaceDE w:val="0"/>
              <w:autoSpaceDN w:val="0"/>
              <w:adjustRightInd w:val="0"/>
              <w:snapToGrid w:val="0"/>
              <w:ind w:firstLine="0" w:firstLineChars="0"/>
              <w:jc w:val="center"/>
              <w:rPr>
                <w:rFonts w:hint="eastAsia" w:ascii="宋体" w:hAnsi="宋体"/>
                <w:kern w:val="0"/>
                <w:szCs w:val="21"/>
              </w:rPr>
            </w:pPr>
            <w:r>
              <w:rPr>
                <w:rFonts w:hint="eastAsia" w:ascii="宋体" w:hAnsi="宋体"/>
                <w:kern w:val="0"/>
                <w:szCs w:val="21"/>
              </w:rPr>
              <w:t>报名资料</w:t>
            </w:r>
          </w:p>
        </w:tc>
        <w:tc>
          <w:tcPr>
            <w:tcW w:w="5760" w:type="dxa"/>
            <w:noWrap w:val="0"/>
            <w:vAlign w:val="center"/>
          </w:tcPr>
          <w:p>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□是</w:t>
            </w:r>
          </w:p>
          <w:p>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需要投标单位提交</w:t>
            </w:r>
            <w:r>
              <w:rPr>
                <w:rFonts w:hint="eastAsia" w:ascii="宋体" w:hAnsi="宋体"/>
                <w:kern w:val="0"/>
                <w:szCs w:val="21"/>
              </w:rPr>
              <w:t>报名</w:t>
            </w:r>
            <w:r>
              <w:rPr>
                <w:rFonts w:hint="eastAsia" w:ascii="宋体" w:hAnsi="宋体"/>
                <w:szCs w:val="21"/>
              </w:rPr>
              <w:t>资料，且</w:t>
            </w:r>
            <w:r>
              <w:rPr>
                <w:rFonts w:hint="eastAsia" w:ascii="宋体" w:hAnsi="宋体"/>
                <w:kern w:val="0"/>
                <w:szCs w:val="21"/>
              </w:rPr>
              <w:t>报名</w:t>
            </w:r>
            <w:r>
              <w:rPr>
                <w:rFonts w:hint="eastAsia" w:ascii="宋体" w:hAnsi="宋体"/>
                <w:szCs w:val="21"/>
              </w:rPr>
              <w:t>资料确认通过才允许获取招标文件。</w:t>
            </w:r>
          </w:p>
          <w:p>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所需资料：</w:t>
            </w:r>
          </w:p>
          <w:p>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1）法定代表人证明书、法定代表人授权委托书；</w:t>
            </w:r>
          </w:p>
          <w:p>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2）投标人营业执照复印件加盖公章；</w:t>
            </w:r>
          </w:p>
          <w:p>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3）提供满足投标人资格要求的其他证明材料。</w:t>
            </w:r>
          </w:p>
          <w:p>
            <w:pPr>
              <w:widowControl w:val="0"/>
              <w:autoSpaceDE w:val="0"/>
              <w:autoSpaceDN w:val="0"/>
              <w:adjustRightInd w:val="0"/>
              <w:snapToGrid w:val="0"/>
              <w:ind w:firstLine="0" w:firstLineChars="0"/>
              <w:rPr>
                <w:rFonts w:ascii="宋体" w:hAnsi="宋体"/>
                <w:szCs w:val="21"/>
              </w:rPr>
            </w:pPr>
            <w:r>
              <w:rPr>
                <w:rFonts w:hint="eastAsia" w:ascii="宋体" w:hAnsi="宋体"/>
                <w:szCs w:val="21"/>
              </w:rPr>
              <w:t>报名时对投标人是否符合“投标人资格要求”规定进行审查，审查结果只表明投标人符合获取招标文件的初步要求。投标人是否满足招标文件规定的资格条件以评标委员会资格后审意见为准。</w:t>
            </w:r>
          </w:p>
          <w:p>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lang w:eastAsia="zh-CN"/>
              </w:rPr>
              <w:t>☑</w:t>
            </w: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2.2.1</w:t>
            </w:r>
          </w:p>
        </w:tc>
        <w:tc>
          <w:tcPr>
            <w:tcW w:w="2019" w:type="dxa"/>
            <w:noWrap w:val="0"/>
            <w:vAlign w:val="center"/>
          </w:tcPr>
          <w:p>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shd w:val="clear" w:color="auto" w:fill="FFFFFF"/>
              </w:rPr>
              <w:t>投标人提出</w:t>
            </w:r>
          </w:p>
          <w:p>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shd w:val="clear" w:color="auto" w:fill="FFFFFF"/>
              </w:rPr>
              <w:t>质疑截止时间</w:t>
            </w:r>
          </w:p>
        </w:tc>
        <w:tc>
          <w:tcPr>
            <w:tcW w:w="5760" w:type="dxa"/>
            <w:noWrap w:val="0"/>
            <w:vAlign w:val="center"/>
          </w:tcPr>
          <w:p>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2.3.1</w:t>
            </w:r>
          </w:p>
        </w:tc>
        <w:tc>
          <w:tcPr>
            <w:tcW w:w="2019" w:type="dxa"/>
            <w:noWrap w:val="0"/>
            <w:vAlign w:val="center"/>
          </w:tcPr>
          <w:p>
            <w:pPr>
              <w:widowControl w:val="0"/>
              <w:autoSpaceDE w:val="0"/>
              <w:autoSpaceDN w:val="0"/>
              <w:adjustRightInd w:val="0"/>
              <w:snapToGrid w:val="0"/>
              <w:ind w:firstLine="0" w:firstLineChars="0"/>
              <w:jc w:val="center"/>
              <w:rPr>
                <w:rFonts w:ascii="宋体" w:hAnsi="宋体" w:cs="宋体"/>
                <w:szCs w:val="21"/>
                <w:shd w:val="clear" w:color="auto" w:fill="FFFFFF"/>
              </w:rPr>
            </w:pPr>
            <w:r>
              <w:rPr>
                <w:rFonts w:hint="eastAsia" w:ascii="宋体" w:hAnsi="宋体" w:cs="宋体"/>
                <w:szCs w:val="21"/>
                <w:shd w:val="clear" w:color="auto" w:fill="FFFFFF"/>
              </w:rPr>
              <w:t>招标人澄清、修改、</w:t>
            </w:r>
            <w:r>
              <w:rPr>
                <w:rFonts w:ascii="宋体" w:hAnsi="宋体" w:cs="宋体"/>
                <w:szCs w:val="21"/>
                <w:shd w:val="clear" w:color="auto" w:fill="FFFFFF"/>
              </w:rPr>
              <w:t>答疑</w:t>
            </w:r>
            <w:r>
              <w:rPr>
                <w:rFonts w:hint="eastAsia" w:ascii="宋体" w:hAnsi="宋体" w:cs="宋体"/>
                <w:szCs w:val="21"/>
                <w:shd w:val="clear" w:color="auto" w:fill="FFFFFF"/>
              </w:rPr>
              <w:t>截止时间</w:t>
            </w:r>
          </w:p>
        </w:tc>
        <w:tc>
          <w:tcPr>
            <w:tcW w:w="5760" w:type="dxa"/>
            <w:noWrap w:val="0"/>
            <w:vAlign w:val="center"/>
          </w:tcPr>
          <w:p>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restart"/>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w:t>
            </w:r>
            <w:r>
              <w:rPr>
                <w:rFonts w:ascii="宋体" w:hAnsi="宋体"/>
                <w:szCs w:val="21"/>
              </w:rPr>
              <w:t>.2.1</w:t>
            </w:r>
          </w:p>
        </w:tc>
        <w:tc>
          <w:tcPr>
            <w:tcW w:w="2019" w:type="dxa"/>
            <w:noWrap w:val="0"/>
            <w:vAlign w:val="center"/>
          </w:tcPr>
          <w:p>
            <w:pPr>
              <w:widowControl w:val="0"/>
              <w:autoSpaceDE w:val="0"/>
              <w:autoSpaceDN w:val="0"/>
              <w:adjustRightInd w:val="0"/>
              <w:snapToGrid w:val="0"/>
              <w:ind w:firstLine="0" w:firstLineChars="0"/>
              <w:jc w:val="center"/>
              <w:rPr>
                <w:rFonts w:ascii="宋体" w:hAnsi="宋体"/>
                <w:szCs w:val="21"/>
                <w:shd w:val="clear" w:color="auto" w:fill="FFFFFF"/>
              </w:rPr>
            </w:pPr>
            <w:r>
              <w:rPr>
                <w:rFonts w:ascii="宋体" w:hAnsi="宋体"/>
                <w:szCs w:val="21"/>
                <w:shd w:val="clear" w:color="auto" w:fill="FFFFFF"/>
              </w:rPr>
              <w:t>投标截止时间</w:t>
            </w:r>
          </w:p>
        </w:tc>
        <w:tc>
          <w:tcPr>
            <w:tcW w:w="5760" w:type="dxa"/>
            <w:noWrap w:val="0"/>
            <w:vAlign w:val="center"/>
          </w:tcPr>
          <w:p>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noWrap w:val="0"/>
            <w:vAlign w:val="center"/>
          </w:tcPr>
          <w:p>
            <w:pPr>
              <w:widowControl w:val="0"/>
              <w:autoSpaceDE w:val="0"/>
              <w:autoSpaceDN w:val="0"/>
              <w:adjustRightInd w:val="0"/>
              <w:snapToGrid w:val="0"/>
              <w:ind w:firstLine="0" w:firstLineChars="0"/>
              <w:jc w:val="center"/>
              <w:rPr>
                <w:rFonts w:hint="eastAsia" w:ascii="宋体" w:hAnsi="宋体"/>
                <w:szCs w:val="21"/>
              </w:rPr>
            </w:pPr>
          </w:p>
        </w:tc>
        <w:tc>
          <w:tcPr>
            <w:tcW w:w="2019" w:type="dxa"/>
            <w:noWrap w:val="0"/>
            <w:vAlign w:val="center"/>
          </w:tcPr>
          <w:p>
            <w:pPr>
              <w:widowControl w:val="0"/>
              <w:autoSpaceDE w:val="0"/>
              <w:autoSpaceDN w:val="0"/>
              <w:adjustRightInd w:val="0"/>
              <w:snapToGrid w:val="0"/>
              <w:ind w:firstLine="0" w:firstLineChars="0"/>
              <w:jc w:val="center"/>
              <w:rPr>
                <w:rFonts w:hint="eastAsia" w:ascii="宋体" w:hAnsi="宋体"/>
                <w:kern w:val="0"/>
                <w:szCs w:val="21"/>
              </w:rPr>
            </w:pPr>
            <w:r>
              <w:rPr>
                <w:rFonts w:hint="eastAsia" w:ascii="宋体" w:hAnsi="宋体"/>
                <w:szCs w:val="21"/>
                <w:shd w:val="clear" w:color="auto" w:fill="FFFFFF"/>
              </w:rPr>
              <w:t>开标时间</w:t>
            </w:r>
          </w:p>
        </w:tc>
        <w:tc>
          <w:tcPr>
            <w:tcW w:w="5760" w:type="dxa"/>
            <w:noWrap w:val="0"/>
            <w:vAlign w:val="center"/>
          </w:tcPr>
          <w:p>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noWrap w:val="0"/>
            <w:vAlign w:val="center"/>
          </w:tcPr>
          <w:p>
            <w:pPr>
              <w:widowControl w:val="0"/>
              <w:autoSpaceDE w:val="0"/>
              <w:autoSpaceDN w:val="0"/>
              <w:adjustRightInd w:val="0"/>
              <w:snapToGrid w:val="0"/>
              <w:ind w:firstLine="0" w:firstLineChars="0"/>
              <w:jc w:val="center"/>
              <w:rPr>
                <w:rFonts w:hint="eastAsia" w:ascii="宋体" w:hAnsi="宋体"/>
                <w:szCs w:val="21"/>
              </w:rPr>
            </w:pPr>
          </w:p>
        </w:tc>
        <w:tc>
          <w:tcPr>
            <w:tcW w:w="2019" w:type="dxa"/>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投标文件</w:t>
            </w:r>
          </w:p>
          <w:p>
            <w:pPr>
              <w:widowControl w:val="0"/>
              <w:autoSpaceDE w:val="0"/>
              <w:autoSpaceDN w:val="0"/>
              <w:adjustRightInd w:val="0"/>
              <w:snapToGrid w:val="0"/>
              <w:ind w:firstLine="0" w:firstLineChars="0"/>
              <w:jc w:val="center"/>
              <w:rPr>
                <w:rFonts w:hint="eastAsia" w:ascii="宋体" w:hAnsi="宋体"/>
                <w:szCs w:val="21"/>
                <w:shd w:val="clear" w:color="auto" w:fill="FFFFFF"/>
              </w:rPr>
            </w:pPr>
            <w:r>
              <w:rPr>
                <w:rFonts w:hint="eastAsia" w:ascii="宋体" w:hAnsi="宋体"/>
                <w:szCs w:val="21"/>
              </w:rPr>
              <w:t>递交地点</w:t>
            </w:r>
          </w:p>
        </w:tc>
        <w:tc>
          <w:tcPr>
            <w:tcW w:w="5760" w:type="dxa"/>
            <w:noWrap w:val="0"/>
            <w:vAlign w:val="center"/>
          </w:tcPr>
          <w:p>
            <w:pPr>
              <w:widowControl w:val="0"/>
              <w:autoSpaceDE w:val="0"/>
              <w:autoSpaceDN w:val="0"/>
              <w:adjustRightInd w:val="0"/>
              <w:snapToGrid w:val="0"/>
              <w:ind w:firstLine="0" w:firstLineChars="0"/>
              <w:rPr>
                <w:rFonts w:hint="eastAsia" w:ascii="宋体" w:hAnsi="宋体"/>
                <w:kern w:val="0"/>
                <w:szCs w:val="21"/>
                <w:u w:val="single"/>
                <w:shd w:val="clear" w:color="auto" w:fill="FFFFFF"/>
              </w:rPr>
            </w:pPr>
            <w:r>
              <w:rPr>
                <w:rFonts w:hint="eastAsia" w:ascii="宋体" w:hAnsi="宋体"/>
                <w:kern w:val="0"/>
                <w:szCs w:val="21"/>
                <w:lang w:eastAsia="zh-CN"/>
              </w:rPr>
              <w:t>☑</w:t>
            </w:r>
            <w:r>
              <w:rPr>
                <w:rFonts w:hint="eastAsia" w:ascii="宋体" w:hAnsi="宋体"/>
                <w:bCs/>
                <w:szCs w:val="21"/>
              </w:rPr>
              <w:t>纸质投标文件递交地点：</w:t>
            </w:r>
            <w:r>
              <w:rPr>
                <w:rFonts w:hint="eastAsia" w:ascii="宋体" w:hAnsi="宋体"/>
                <w:kern w:val="0"/>
                <w:szCs w:val="21"/>
                <w:u w:val="single"/>
              </w:rPr>
              <w:t xml:space="preserve">   </w:t>
            </w:r>
            <w:r>
              <w:rPr>
                <w:rFonts w:hint="eastAsia" w:ascii="宋体" w:hAnsi="宋体"/>
                <w:szCs w:val="21"/>
                <w:u w:val="single"/>
                <w:lang w:val="en-US" w:eastAsia="zh-CN"/>
              </w:rPr>
              <w:t>大浪街道华昌路华富工业园内B栋一层</w:t>
            </w:r>
            <w:r>
              <w:rPr>
                <w:rFonts w:hint="eastAsia" w:ascii="宋体" w:hAnsi="宋体"/>
                <w:kern w:val="0"/>
                <w:szCs w:val="21"/>
                <w:u w:val="single"/>
              </w:rPr>
              <w:t xml:space="preserve"> </w:t>
            </w:r>
            <w:r>
              <w:rPr>
                <w:rFonts w:hint="eastAsia" w:ascii="宋体" w:hAnsi="宋体"/>
                <w:kern w:val="0"/>
                <w:szCs w:val="21"/>
                <w:u w:val="single"/>
                <w:lang w:val="en-US" w:eastAsia="zh-CN"/>
              </w:rPr>
              <w:t>龙华环境公司项目部办公室</w:t>
            </w:r>
            <w:r>
              <w:rPr>
                <w:rFonts w:hint="eastAsia" w:ascii="宋体" w:hAnsi="宋体"/>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noWrap w:val="0"/>
            <w:vAlign w:val="center"/>
          </w:tcPr>
          <w:p>
            <w:pPr>
              <w:widowControl w:val="0"/>
              <w:autoSpaceDE w:val="0"/>
              <w:autoSpaceDN w:val="0"/>
              <w:adjustRightInd w:val="0"/>
              <w:snapToGrid w:val="0"/>
              <w:ind w:firstLine="0" w:firstLineChars="0"/>
              <w:jc w:val="center"/>
              <w:rPr>
                <w:rFonts w:hint="eastAsia" w:ascii="宋体" w:hAnsi="宋体"/>
                <w:szCs w:val="21"/>
              </w:rPr>
            </w:pPr>
          </w:p>
        </w:tc>
        <w:tc>
          <w:tcPr>
            <w:tcW w:w="2019" w:type="dxa"/>
            <w:noWrap w:val="0"/>
            <w:vAlign w:val="center"/>
          </w:tcPr>
          <w:p>
            <w:pPr>
              <w:widowControl w:val="0"/>
              <w:autoSpaceDE w:val="0"/>
              <w:autoSpaceDN w:val="0"/>
              <w:adjustRightInd w:val="0"/>
              <w:snapToGrid w:val="0"/>
              <w:ind w:firstLine="0" w:firstLineChars="0"/>
              <w:jc w:val="center"/>
              <w:rPr>
                <w:rFonts w:hint="eastAsia" w:ascii="宋体" w:hAnsi="宋体"/>
                <w:szCs w:val="21"/>
                <w:shd w:val="clear" w:color="auto" w:fill="FFFFFF"/>
              </w:rPr>
            </w:pPr>
            <w:r>
              <w:rPr>
                <w:rFonts w:hint="eastAsia" w:ascii="宋体" w:hAnsi="宋体"/>
                <w:szCs w:val="21"/>
              </w:rPr>
              <w:t>开标地点</w:t>
            </w:r>
          </w:p>
        </w:tc>
        <w:tc>
          <w:tcPr>
            <w:tcW w:w="5760" w:type="dxa"/>
            <w:noWrap w:val="0"/>
            <w:vAlign w:val="center"/>
          </w:tcPr>
          <w:p>
            <w:pPr>
              <w:widowControl w:val="0"/>
              <w:autoSpaceDE w:val="0"/>
              <w:autoSpaceDN w:val="0"/>
              <w:adjustRightInd w:val="0"/>
              <w:snapToGrid w:val="0"/>
              <w:ind w:firstLine="0" w:firstLineChars="0"/>
              <w:rPr>
                <w:rFonts w:hint="default" w:ascii="宋体" w:hAnsi="宋体"/>
                <w:kern w:val="0"/>
                <w:szCs w:val="21"/>
                <w:u w:val="single"/>
                <w:shd w:val="clear" w:color="auto" w:fill="FFFFFF"/>
                <w:lang w:val="en-US"/>
              </w:rPr>
            </w:pPr>
            <w:r>
              <w:rPr>
                <w:rFonts w:hint="eastAsia" w:ascii="宋体" w:hAnsi="宋体"/>
                <w:kern w:val="0"/>
                <w:szCs w:val="21"/>
                <w:lang w:eastAsia="zh-CN"/>
              </w:rPr>
              <w:t>☑</w:t>
            </w:r>
            <w:r>
              <w:rPr>
                <w:rFonts w:hint="eastAsia" w:ascii="宋体" w:hAnsi="宋体"/>
                <w:kern w:val="0"/>
                <w:szCs w:val="21"/>
              </w:rPr>
              <w:t>进行现场开标，地址：</w:t>
            </w:r>
            <w:r>
              <w:rPr>
                <w:rFonts w:hint="eastAsia" w:ascii="宋体" w:hAnsi="宋体" w:eastAsia="宋体" w:cs="宋体"/>
                <w:i w:val="0"/>
                <w:iCs w:val="0"/>
                <w:caps w:val="0"/>
                <w:color w:val="333333"/>
                <w:spacing w:val="0"/>
                <w:sz w:val="24"/>
                <w:szCs w:val="24"/>
                <w:u w:val="single"/>
                <w:shd w:val="clear" w:fill="FFFFFF"/>
              </w:rPr>
              <w:t>深圳市龙华区观盛三路龙馨家园A栋龙华建设1</w:t>
            </w:r>
            <w:r>
              <w:rPr>
                <w:rFonts w:hint="eastAsia" w:ascii="宋体" w:hAnsi="宋体" w:eastAsia="宋体" w:cs="宋体"/>
                <w:i w:val="0"/>
                <w:iCs w:val="0"/>
                <w:caps w:val="0"/>
                <w:color w:val="333333"/>
                <w:spacing w:val="0"/>
                <w:sz w:val="24"/>
                <w:szCs w:val="24"/>
                <w:u w:val="single"/>
                <w:shd w:val="clear" w:fill="FFFFFF"/>
                <w:lang w:val="en-US" w:eastAsia="zh-CN"/>
              </w:rPr>
              <w:t>5</w:t>
            </w:r>
            <w:r>
              <w:rPr>
                <w:rFonts w:hint="eastAsia" w:ascii="宋体" w:hAnsi="宋体" w:eastAsia="宋体" w:cs="宋体"/>
                <w:i w:val="0"/>
                <w:iCs w:val="0"/>
                <w:caps w:val="0"/>
                <w:color w:val="333333"/>
                <w:spacing w:val="0"/>
                <w:sz w:val="24"/>
                <w:szCs w:val="24"/>
                <w:u w:val="single"/>
                <w:shd w:val="clear" w:fill="FFFFFF"/>
              </w:rPr>
              <w:t>层</w:t>
            </w:r>
            <w:r>
              <w:rPr>
                <w:rFonts w:hint="eastAsia" w:ascii="宋体" w:hAnsi="宋体"/>
                <w:kern w:val="0"/>
                <w:szCs w:val="21"/>
                <w:u w:val="single"/>
                <w:lang w:val="en-US" w:eastAsia="zh-CN"/>
              </w:rPr>
              <w:t xml:space="preserve">会议室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restart"/>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3.2.4</w:t>
            </w:r>
          </w:p>
        </w:tc>
        <w:tc>
          <w:tcPr>
            <w:tcW w:w="2019" w:type="dxa"/>
            <w:vMerge w:val="restart"/>
            <w:noWrap w:val="0"/>
            <w:vAlign w:val="center"/>
          </w:tcPr>
          <w:p>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最高限价或其计算方法</w:t>
            </w:r>
          </w:p>
        </w:tc>
        <w:tc>
          <w:tcPr>
            <w:tcW w:w="5760" w:type="dxa"/>
            <w:tcBorders>
              <w:bottom w:val="single" w:color="auto" w:sz="2" w:space="0"/>
            </w:tcBorders>
            <w:noWrap w:val="0"/>
            <w:vAlign w:val="center"/>
          </w:tcPr>
          <w:p>
            <w:pPr>
              <w:widowControl w:val="0"/>
              <w:autoSpaceDE w:val="0"/>
              <w:autoSpaceDN w:val="0"/>
              <w:adjustRightInd w:val="0"/>
              <w:snapToGrid w:val="0"/>
              <w:ind w:firstLine="0" w:firstLineChars="0"/>
              <w:rPr>
                <w:rFonts w:hint="eastAsia" w:ascii="宋体" w:hAnsi="宋体" w:cs="Segoe UI Symbol"/>
                <w:kern w:val="0"/>
                <w:szCs w:val="21"/>
              </w:rPr>
            </w:pPr>
            <w:r>
              <w:rPr>
                <w:rFonts w:hint="eastAsia" w:ascii="宋体" w:hAnsi="宋体" w:cs="Segoe UI Symbol"/>
                <w:kern w:val="0"/>
                <w:szCs w:val="21"/>
              </w:rPr>
              <w:t>设置最高限价：</w:t>
            </w:r>
          </w:p>
          <w:p>
            <w:pPr>
              <w:widowControl w:val="0"/>
              <w:autoSpaceDE w:val="0"/>
              <w:autoSpaceDN w:val="0"/>
              <w:adjustRightInd w:val="0"/>
              <w:snapToGrid w:val="0"/>
              <w:ind w:firstLine="0" w:firstLineChars="0"/>
              <w:rPr>
                <w:rFonts w:hint="eastAsia" w:ascii="宋体" w:hAnsi="宋体" w:cs="Segoe UI Symbol"/>
                <w:kern w:val="0"/>
                <w:szCs w:val="21"/>
                <w:highlight w:val="none"/>
              </w:rPr>
            </w:pPr>
            <w:r>
              <w:rPr>
                <w:rFonts w:hint="eastAsia" w:ascii="宋体" w:hAnsi="宋体" w:cs="Segoe UI Symbol"/>
                <w:kern w:val="0"/>
                <w:szCs w:val="21"/>
                <w:highlight w:val="none"/>
                <w:lang w:eastAsia="zh-CN"/>
              </w:rPr>
              <w:t>☑</w:t>
            </w:r>
            <w:r>
              <w:rPr>
                <w:rFonts w:hint="eastAsia" w:ascii="宋体" w:hAnsi="宋体" w:cs="Segoe UI Symbol"/>
                <w:kern w:val="0"/>
                <w:szCs w:val="21"/>
                <w:highlight w:val="none"/>
              </w:rPr>
              <w:t>最高限价（总价）：人民币</w:t>
            </w:r>
            <w:r>
              <w:rPr>
                <w:rFonts w:hint="eastAsia" w:ascii="宋体" w:hAnsi="宋体" w:cs="Segoe UI Symbol"/>
                <w:kern w:val="0"/>
                <w:szCs w:val="21"/>
                <w:highlight w:val="none"/>
                <w:u w:val="single"/>
                <w:lang w:val="en-US" w:eastAsia="zh-CN"/>
              </w:rPr>
              <w:t xml:space="preserve">  </w:t>
            </w:r>
            <w:r>
              <w:rPr>
                <w:rFonts w:hint="eastAsia" w:ascii="宋体" w:hAnsi="宋体" w:eastAsia="宋体" w:cs="宋体"/>
                <w:b w:val="0"/>
                <w:bCs w:val="0"/>
                <w:color w:val="000000"/>
                <w:sz w:val="21"/>
                <w:szCs w:val="21"/>
                <w:u w:val="single"/>
                <w:lang w:val="en-US" w:eastAsia="zh-CN"/>
              </w:rPr>
              <w:t>807524.19</w:t>
            </w:r>
            <w:r>
              <w:rPr>
                <w:rFonts w:hint="eastAsia" w:ascii="宋体" w:hAnsi="宋体" w:cs="Segoe UI Symbol"/>
                <w:kern w:val="0"/>
                <w:szCs w:val="21"/>
                <w:highlight w:val="none"/>
                <w:u w:val="single"/>
                <w:lang w:val="en-US" w:eastAsia="zh-CN"/>
              </w:rPr>
              <w:t xml:space="preserve">  </w:t>
            </w:r>
            <w:r>
              <w:rPr>
                <w:rFonts w:hint="eastAsia" w:ascii="宋体" w:hAnsi="宋体" w:cs="Segoe UI Symbol"/>
                <w:kern w:val="0"/>
                <w:szCs w:val="21"/>
                <w:highlight w:val="none"/>
              </w:rPr>
              <w:t>元；</w:t>
            </w:r>
          </w:p>
          <w:p>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□最高限价说明或其计算方法：</w:t>
            </w:r>
            <w:r>
              <w:rPr>
                <w:rFonts w:ascii="宋体" w:hAnsi="宋体" w:cs="Segoe UI Symbol"/>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noWrap w:val="0"/>
            <w:vAlign w:val="center"/>
          </w:tcPr>
          <w:p>
            <w:pPr>
              <w:widowControl w:val="0"/>
              <w:autoSpaceDE w:val="0"/>
              <w:autoSpaceDN w:val="0"/>
              <w:adjustRightInd w:val="0"/>
              <w:snapToGrid w:val="0"/>
              <w:ind w:firstLine="0" w:firstLineChars="0"/>
              <w:jc w:val="center"/>
              <w:rPr>
                <w:rFonts w:hint="eastAsia" w:ascii="宋体" w:hAnsi="宋体"/>
                <w:szCs w:val="21"/>
              </w:rPr>
            </w:pPr>
          </w:p>
        </w:tc>
        <w:tc>
          <w:tcPr>
            <w:tcW w:w="2019" w:type="dxa"/>
            <w:vMerge w:val="continue"/>
            <w:noWrap w:val="0"/>
            <w:vAlign w:val="center"/>
          </w:tcPr>
          <w:p>
            <w:pPr>
              <w:widowControl w:val="0"/>
              <w:autoSpaceDE w:val="0"/>
              <w:autoSpaceDN w:val="0"/>
              <w:adjustRightInd w:val="0"/>
              <w:snapToGrid w:val="0"/>
              <w:ind w:firstLine="0" w:firstLineChars="0"/>
              <w:jc w:val="center"/>
              <w:rPr>
                <w:rFonts w:hint="eastAsia" w:ascii="宋体" w:hAnsi="宋体"/>
                <w:kern w:val="0"/>
                <w:szCs w:val="21"/>
              </w:rPr>
            </w:pPr>
          </w:p>
        </w:tc>
        <w:tc>
          <w:tcPr>
            <w:tcW w:w="5760" w:type="dxa"/>
            <w:tcBorders>
              <w:top w:val="single" w:color="auto" w:sz="2" w:space="0"/>
            </w:tcBorders>
            <w:noWrap w:val="0"/>
            <w:vAlign w:val="center"/>
          </w:tcPr>
          <w:p>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□不设置最高限价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3.3.1</w:t>
            </w:r>
          </w:p>
        </w:tc>
        <w:tc>
          <w:tcPr>
            <w:tcW w:w="2019" w:type="dxa"/>
            <w:noWrap w:val="0"/>
            <w:vAlign w:val="center"/>
          </w:tcPr>
          <w:p>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shd w:val="clear" w:color="auto" w:fill="FFFFFF"/>
              </w:rPr>
              <w:t>投标有效期</w:t>
            </w:r>
          </w:p>
        </w:tc>
        <w:tc>
          <w:tcPr>
            <w:tcW w:w="5760" w:type="dxa"/>
            <w:noWrap w:val="0"/>
            <w:vAlign w:val="center"/>
          </w:tcPr>
          <w:p>
            <w:pPr>
              <w:widowControl w:val="0"/>
              <w:autoSpaceDE w:val="0"/>
              <w:autoSpaceDN w:val="0"/>
              <w:adjustRightInd w:val="0"/>
              <w:snapToGrid w:val="0"/>
              <w:ind w:firstLine="0" w:firstLineChars="0"/>
              <w:rPr>
                <w:rFonts w:ascii="宋体" w:hAnsi="宋体"/>
                <w:szCs w:val="21"/>
                <w:shd w:val="clear" w:color="auto" w:fill="FFFFFF"/>
              </w:rPr>
            </w:pPr>
            <w:r>
              <w:rPr>
                <w:rFonts w:hint="eastAsia" w:ascii="宋体" w:hAnsi="宋体"/>
                <w:kern w:val="0"/>
                <w:szCs w:val="21"/>
                <w:u w:val="single"/>
                <w:shd w:val="clear" w:color="auto" w:fill="FFFFFF"/>
              </w:rPr>
              <w:t xml:space="preserve">  120  </w:t>
            </w:r>
            <w:r>
              <w:rPr>
                <w:rFonts w:hint="eastAsia" w:ascii="宋体" w:hAnsi="宋体"/>
                <w:szCs w:val="21"/>
                <w:shd w:val="clear" w:color="auto" w:fill="FFFFFF"/>
              </w:rPr>
              <w:t>个日历日（自投标截止之日起算）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6.3</w:t>
            </w:r>
            <w:r>
              <w:rPr>
                <w:rFonts w:ascii="宋体" w:hAnsi="宋体"/>
                <w:szCs w:val="21"/>
              </w:rPr>
              <w:t>.1</w:t>
            </w:r>
          </w:p>
        </w:tc>
        <w:tc>
          <w:tcPr>
            <w:tcW w:w="2019" w:type="dxa"/>
            <w:noWrap w:val="0"/>
            <w:vAlign w:val="center"/>
          </w:tcPr>
          <w:p>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评标方法</w:t>
            </w:r>
          </w:p>
        </w:tc>
        <w:tc>
          <w:tcPr>
            <w:tcW w:w="5760" w:type="dxa"/>
            <w:noWrap w:val="0"/>
            <w:vAlign w:val="center"/>
          </w:tcPr>
          <w:p>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lang w:eastAsia="zh-CN"/>
              </w:rPr>
              <w:t>☑</w:t>
            </w:r>
            <w:r>
              <w:rPr>
                <w:rFonts w:hint="eastAsia" w:ascii="宋体" w:hAnsi="宋体" w:cs="Segoe UI Symbol"/>
                <w:kern w:val="0"/>
                <w:szCs w:val="21"/>
              </w:rPr>
              <w:t>综合评估法</w:t>
            </w:r>
          </w:p>
          <w:p>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□经评审的最低投标价法</w:t>
            </w:r>
          </w:p>
          <w:p>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□定性评审法</w:t>
            </w:r>
          </w:p>
          <w:p>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□其他：</w:t>
            </w:r>
            <w:r>
              <w:rPr>
                <w:rFonts w:hint="eastAsia" w:ascii="宋体" w:hAnsi="宋体" w:cs="Segoe UI Symbol"/>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restart"/>
            <w:noWrap w:val="0"/>
            <w:vAlign w:val="center"/>
          </w:tcPr>
          <w:p>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7.1.1</w:t>
            </w:r>
          </w:p>
        </w:tc>
        <w:tc>
          <w:tcPr>
            <w:tcW w:w="2019" w:type="dxa"/>
            <w:noWrap w:val="0"/>
            <w:vAlign w:val="center"/>
          </w:tcPr>
          <w:p>
            <w:pPr>
              <w:widowControl w:val="0"/>
              <w:autoSpaceDE w:val="0"/>
              <w:autoSpaceDN w:val="0"/>
              <w:adjustRightInd w:val="0"/>
              <w:snapToGrid w:val="0"/>
              <w:ind w:firstLine="0" w:firstLineChars="0"/>
              <w:jc w:val="center"/>
              <w:rPr>
                <w:rFonts w:hint="eastAsia" w:ascii="宋体" w:hAnsi="宋体" w:cs="宋体"/>
                <w:szCs w:val="21"/>
              </w:rPr>
            </w:pPr>
            <w:r>
              <w:rPr>
                <w:rFonts w:hint="eastAsia" w:ascii="宋体" w:hAnsi="宋体" w:cs="宋体"/>
                <w:szCs w:val="21"/>
              </w:rPr>
              <w:t>定标方式</w:t>
            </w:r>
          </w:p>
        </w:tc>
        <w:tc>
          <w:tcPr>
            <w:tcW w:w="5760" w:type="dxa"/>
            <w:noWrap w:val="0"/>
            <w:vAlign w:val="center"/>
          </w:tcPr>
          <w:p>
            <w:pPr>
              <w:widowControl w:val="0"/>
              <w:autoSpaceDE w:val="0"/>
              <w:autoSpaceDN w:val="0"/>
              <w:adjustRightInd w:val="0"/>
              <w:snapToGrid w:val="0"/>
              <w:ind w:firstLine="0" w:firstLineChars="0"/>
              <w:rPr>
                <w:rFonts w:ascii="宋体" w:hAnsi="宋体" w:cs="Courier New"/>
                <w:kern w:val="0"/>
                <w:szCs w:val="21"/>
              </w:rPr>
            </w:pPr>
            <w:r>
              <w:rPr>
                <w:rFonts w:hint="eastAsia" w:ascii="宋体" w:hAnsi="宋体" w:cs="Courier New"/>
                <w:kern w:val="0"/>
                <w:szCs w:val="21"/>
                <w:lang w:eastAsia="zh-CN"/>
              </w:rPr>
              <w:t>☑</w:t>
            </w:r>
            <w:r>
              <w:rPr>
                <w:rFonts w:hint="eastAsia" w:ascii="宋体" w:hAnsi="宋体" w:cs="Courier New"/>
                <w:kern w:val="0"/>
                <w:szCs w:val="21"/>
              </w:rPr>
              <w:t>由评标委员会直接确定中标人</w:t>
            </w:r>
          </w:p>
          <w:p>
            <w:pPr>
              <w:widowControl w:val="0"/>
              <w:autoSpaceDE w:val="0"/>
              <w:autoSpaceDN w:val="0"/>
              <w:adjustRightInd w:val="0"/>
              <w:snapToGrid w:val="0"/>
              <w:ind w:firstLine="0" w:firstLineChars="0"/>
              <w:rPr>
                <w:rFonts w:hint="eastAsia" w:ascii="宋体" w:hAnsi="宋体" w:cs="Segoe UI Symbol"/>
                <w:kern w:val="0"/>
                <w:szCs w:val="21"/>
              </w:rPr>
            </w:pPr>
            <w:r>
              <w:rPr>
                <w:rFonts w:hint="eastAsia" w:ascii="宋体" w:hAnsi="宋体" w:cs="Courier New"/>
                <w:kern w:val="0"/>
                <w:szCs w:val="21"/>
                <w:lang w:eastAsia="zh-CN"/>
              </w:rPr>
              <w:t>□</w:t>
            </w:r>
            <w:r>
              <w:rPr>
                <w:rFonts w:hint="eastAsia" w:ascii="宋体" w:hAnsi="宋体" w:cs="Courier New"/>
                <w:kern w:val="0"/>
                <w:szCs w:val="21"/>
              </w:rPr>
              <w:t>评定分离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noWrap w:val="0"/>
            <w:vAlign w:val="center"/>
          </w:tcPr>
          <w:p>
            <w:pPr>
              <w:widowControl w:val="0"/>
              <w:autoSpaceDE w:val="0"/>
              <w:autoSpaceDN w:val="0"/>
              <w:adjustRightInd w:val="0"/>
              <w:snapToGrid w:val="0"/>
              <w:ind w:firstLine="0" w:firstLineChars="0"/>
              <w:jc w:val="center"/>
              <w:rPr>
                <w:rFonts w:ascii="宋体" w:hAnsi="宋体"/>
                <w:szCs w:val="21"/>
              </w:rPr>
            </w:pPr>
          </w:p>
        </w:tc>
        <w:tc>
          <w:tcPr>
            <w:tcW w:w="2019" w:type="dxa"/>
            <w:vMerge w:val="restart"/>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定标方法</w:t>
            </w:r>
          </w:p>
          <w:p>
            <w:pPr>
              <w:widowControl w:val="0"/>
              <w:autoSpaceDE w:val="0"/>
              <w:autoSpaceDN w:val="0"/>
              <w:adjustRightInd w:val="0"/>
              <w:snapToGrid w:val="0"/>
              <w:ind w:firstLine="0" w:firstLineChars="0"/>
              <w:jc w:val="center"/>
              <w:rPr>
                <w:rFonts w:ascii="宋体" w:hAnsi="宋体" w:cs="宋体"/>
                <w:szCs w:val="21"/>
              </w:rPr>
            </w:pPr>
            <w:r>
              <w:rPr>
                <w:rFonts w:hint="eastAsia" w:ascii="宋体" w:hAnsi="宋体"/>
                <w:szCs w:val="21"/>
              </w:rPr>
              <w:t>及定标程序</w:t>
            </w:r>
          </w:p>
        </w:tc>
        <w:tc>
          <w:tcPr>
            <w:tcW w:w="5760" w:type="dxa"/>
            <w:noWrap w:val="0"/>
            <w:vAlign w:val="center"/>
          </w:tcPr>
          <w:p>
            <w:pPr>
              <w:widowControl w:val="0"/>
              <w:autoSpaceDE w:val="0"/>
              <w:autoSpaceDN w:val="0"/>
              <w:adjustRightInd w:val="0"/>
              <w:snapToGrid w:val="0"/>
              <w:ind w:firstLine="0" w:firstLineChars="0"/>
              <w:rPr>
                <w:rFonts w:ascii="宋体" w:hAnsi="宋体" w:cs="Courier New"/>
                <w:b/>
                <w:kern w:val="0"/>
                <w:szCs w:val="21"/>
              </w:rPr>
            </w:pPr>
            <w:r>
              <w:rPr>
                <w:rFonts w:hint="eastAsia" w:ascii="宋体" w:hAnsi="宋体" w:cs="Courier New"/>
                <w:b/>
                <w:kern w:val="0"/>
                <w:szCs w:val="21"/>
                <w:lang w:eastAsia="zh-CN"/>
              </w:rPr>
              <w:t>□</w:t>
            </w:r>
            <w:r>
              <w:rPr>
                <w:rFonts w:hint="eastAsia" w:ascii="宋体" w:hAnsi="宋体" w:cs="Courier New"/>
                <w:b/>
                <w:kern w:val="0"/>
                <w:szCs w:val="21"/>
              </w:rPr>
              <w:t>票决定标</w:t>
            </w:r>
          </w:p>
          <w:p>
            <w:pPr>
              <w:widowControl w:val="0"/>
              <w:autoSpaceDE w:val="0"/>
              <w:autoSpaceDN w:val="0"/>
              <w:adjustRightInd w:val="0"/>
              <w:snapToGrid w:val="0"/>
              <w:ind w:firstLine="0" w:firstLineChars="0"/>
              <w:rPr>
                <w:rFonts w:hint="eastAsia" w:ascii="宋体" w:hAnsi="宋体" w:cs="Courier New"/>
                <w:kern w:val="0"/>
                <w:szCs w:val="21"/>
              </w:rPr>
            </w:pPr>
            <w:r>
              <w:rPr>
                <w:rFonts w:hint="eastAsia" w:ascii="宋体" w:hAnsi="宋体" w:cs="Courier New"/>
                <w:kern w:val="0"/>
                <w:szCs w:val="21"/>
                <w:lang w:eastAsia="zh-CN"/>
              </w:rPr>
              <w:t>☑</w:t>
            </w:r>
            <w:r>
              <w:rPr>
                <w:rFonts w:hint="eastAsia" w:ascii="宋体" w:hAnsi="宋体" w:cs="Courier New"/>
                <w:kern w:val="0"/>
                <w:szCs w:val="21"/>
              </w:rPr>
              <w:t xml:space="preserve">直接票决定标 </w:t>
            </w:r>
          </w:p>
          <w:p>
            <w:pPr>
              <w:widowControl w:val="0"/>
              <w:autoSpaceDE w:val="0"/>
              <w:autoSpaceDN w:val="0"/>
              <w:adjustRightInd w:val="0"/>
              <w:snapToGrid w:val="0"/>
              <w:ind w:firstLine="0" w:firstLineChars="0"/>
              <w:rPr>
                <w:rFonts w:hint="eastAsia" w:ascii="宋体" w:hAnsi="宋体" w:cs="Courier New"/>
                <w:kern w:val="0"/>
                <w:szCs w:val="21"/>
              </w:rPr>
            </w:pPr>
            <w:r>
              <w:rPr>
                <w:rFonts w:hint="eastAsia" w:ascii="宋体" w:hAnsi="宋体" w:cs="Courier New"/>
                <w:kern w:val="0"/>
                <w:szCs w:val="21"/>
              </w:rPr>
              <w:t>□逐轮票决定标</w:t>
            </w:r>
          </w:p>
          <w:p>
            <w:pPr>
              <w:widowControl w:val="0"/>
              <w:autoSpaceDE w:val="0"/>
              <w:autoSpaceDN w:val="0"/>
              <w:adjustRightInd w:val="0"/>
              <w:snapToGrid w:val="0"/>
              <w:ind w:firstLine="0" w:firstLineChars="0"/>
              <w:rPr>
                <w:rFonts w:hint="eastAsia" w:ascii="宋体" w:hAnsi="宋体" w:cs="Courier New"/>
                <w:kern w:val="0"/>
                <w:szCs w:val="21"/>
              </w:rPr>
            </w:pPr>
            <w:r>
              <w:rPr>
                <w:rFonts w:hint="eastAsia" w:ascii="宋体" w:hAnsi="宋体" w:cs="Courier New"/>
                <w:b/>
                <w:kern w:val="0"/>
                <w:szCs w:val="21"/>
              </w:rPr>
              <w:t>□票决抽签定标</w:t>
            </w:r>
            <w:r>
              <w:rPr>
                <w:rFonts w:hint="eastAsia" w:ascii="宋体" w:hAnsi="宋体" w:cs="Courier New"/>
                <w:kern w:val="0"/>
                <w:szCs w:val="21"/>
              </w:rPr>
              <w:t>：票决</w:t>
            </w:r>
            <w:r>
              <w:rPr>
                <w:rFonts w:hint="eastAsia" w:ascii="宋体" w:hAnsi="宋体" w:cs="Courier New"/>
                <w:kern w:val="0"/>
                <w:szCs w:val="21"/>
                <w:u w:val="single"/>
              </w:rPr>
              <w:t xml:space="preserve">      </w:t>
            </w:r>
            <w:r>
              <w:rPr>
                <w:rFonts w:hint="eastAsia" w:ascii="宋体" w:hAnsi="宋体" w:cs="Courier New"/>
                <w:kern w:val="0"/>
                <w:szCs w:val="21"/>
              </w:rPr>
              <w:t>名投标人后，以随机抽签方式确定中标人。</w:t>
            </w:r>
          </w:p>
          <w:p>
            <w:pPr>
              <w:widowControl w:val="0"/>
              <w:autoSpaceDE w:val="0"/>
              <w:autoSpaceDN w:val="0"/>
              <w:adjustRightInd w:val="0"/>
              <w:snapToGrid w:val="0"/>
              <w:ind w:firstLine="0" w:firstLineChars="0"/>
              <w:rPr>
                <w:rFonts w:ascii="宋体" w:hAnsi="宋体" w:cs="Courier New"/>
                <w:b/>
                <w:kern w:val="0"/>
                <w:szCs w:val="21"/>
              </w:rPr>
            </w:pPr>
            <w:r>
              <w:rPr>
                <w:rFonts w:hint="eastAsia" w:ascii="宋体" w:hAnsi="宋体" w:cs="Courier New"/>
                <w:b/>
                <w:kern w:val="0"/>
                <w:szCs w:val="21"/>
                <w:lang w:eastAsia="zh-CN"/>
              </w:rPr>
              <w:t>□</w:t>
            </w:r>
            <w:r>
              <w:rPr>
                <w:rFonts w:hint="eastAsia" w:ascii="宋体" w:hAnsi="宋体" w:cs="Courier New"/>
                <w:b/>
                <w:kern w:val="0"/>
                <w:szCs w:val="21"/>
              </w:rPr>
              <w:t>集体议事法</w:t>
            </w:r>
          </w:p>
          <w:p>
            <w:pPr>
              <w:widowControl w:val="0"/>
              <w:autoSpaceDE w:val="0"/>
              <w:autoSpaceDN w:val="0"/>
              <w:adjustRightInd w:val="0"/>
              <w:snapToGrid w:val="0"/>
              <w:ind w:firstLine="0" w:firstLineChars="0"/>
              <w:rPr>
                <w:rFonts w:hint="eastAsia" w:ascii="宋体" w:hAnsi="宋体" w:cs="Courier New"/>
                <w:b/>
                <w:kern w:val="0"/>
                <w:szCs w:val="21"/>
                <w:u w:val="single"/>
              </w:rPr>
            </w:pPr>
            <w:r>
              <w:rPr>
                <w:rFonts w:hint="eastAsia" w:ascii="宋体" w:hAnsi="宋体" w:cs="Courier New"/>
                <w:b/>
                <w:kern w:val="0"/>
                <w:szCs w:val="21"/>
              </w:rPr>
              <w:t>□价格法 确定中标人价格的方式：</w:t>
            </w:r>
            <w:r>
              <w:rPr>
                <w:rFonts w:hint="eastAsia" w:ascii="宋体" w:hAnsi="宋体" w:cs="Courier New"/>
                <w:b/>
                <w:kern w:val="0"/>
                <w:szCs w:val="21"/>
                <w:u w:val="single"/>
              </w:rPr>
              <w:t xml:space="preserve"> </w:t>
            </w:r>
            <w:r>
              <w:rPr>
                <w:rFonts w:ascii="宋体" w:hAnsi="宋体" w:cs="Courier New"/>
                <w:b/>
                <w:kern w:val="0"/>
                <w:szCs w:val="21"/>
                <w:u w:val="single"/>
              </w:rPr>
              <w:t xml:space="preserve">           </w:t>
            </w:r>
          </w:p>
          <w:p>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Courier New"/>
                <w:b/>
                <w:bCs/>
                <w:kern w:val="0"/>
                <w:szCs w:val="21"/>
              </w:rPr>
              <w:t>□其它方法：_</w:t>
            </w:r>
            <w:r>
              <w:rPr>
                <w:rFonts w:ascii="宋体" w:hAnsi="宋体" w:cs="Courier New"/>
                <w:b/>
                <w:bCs/>
                <w:kern w:val="0"/>
                <w:szCs w:val="21"/>
              </w:rPr>
              <w:t>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noWrap w:val="0"/>
            <w:vAlign w:val="center"/>
          </w:tcPr>
          <w:p>
            <w:pPr>
              <w:widowControl w:val="0"/>
              <w:autoSpaceDE w:val="0"/>
              <w:autoSpaceDN w:val="0"/>
              <w:adjustRightInd w:val="0"/>
              <w:snapToGrid w:val="0"/>
              <w:ind w:firstLine="0" w:firstLineChars="0"/>
              <w:jc w:val="center"/>
              <w:rPr>
                <w:rFonts w:ascii="宋体" w:hAnsi="宋体"/>
                <w:szCs w:val="21"/>
              </w:rPr>
            </w:pPr>
          </w:p>
        </w:tc>
        <w:tc>
          <w:tcPr>
            <w:tcW w:w="2019" w:type="dxa"/>
            <w:vMerge w:val="continue"/>
            <w:noWrap w:val="0"/>
            <w:vAlign w:val="center"/>
          </w:tcPr>
          <w:p>
            <w:pPr>
              <w:widowControl w:val="0"/>
              <w:autoSpaceDE w:val="0"/>
              <w:autoSpaceDN w:val="0"/>
              <w:adjustRightInd w:val="0"/>
              <w:snapToGrid w:val="0"/>
              <w:ind w:firstLine="0" w:firstLineChars="0"/>
              <w:jc w:val="center"/>
              <w:rPr>
                <w:rFonts w:hint="eastAsia" w:ascii="宋体" w:hAnsi="宋体"/>
                <w:szCs w:val="21"/>
              </w:rPr>
            </w:pPr>
          </w:p>
        </w:tc>
        <w:tc>
          <w:tcPr>
            <w:tcW w:w="5760" w:type="dxa"/>
            <w:noWrap w:val="0"/>
            <w:vAlign w:val="center"/>
          </w:tcPr>
          <w:p>
            <w:pPr>
              <w:widowControl w:val="0"/>
              <w:autoSpaceDE w:val="0"/>
              <w:autoSpaceDN w:val="0"/>
              <w:adjustRightInd w:val="0"/>
              <w:snapToGrid w:val="0"/>
              <w:ind w:firstLine="0" w:firstLineChars="0"/>
              <w:rPr>
                <w:rFonts w:hint="eastAsia" w:ascii="宋体" w:hAnsi="宋体" w:cs="Courier New"/>
                <w:b/>
                <w:kern w:val="0"/>
                <w:szCs w:val="21"/>
                <w:u w:val="single"/>
              </w:rPr>
            </w:pPr>
            <w:r>
              <w:rPr>
                <w:rFonts w:hint="eastAsia" w:ascii="宋体" w:hAnsi="宋体" w:cs="Courier New"/>
                <w:b/>
                <w:kern w:val="0"/>
                <w:szCs w:val="21"/>
              </w:rPr>
              <w:t>定标程序：</w:t>
            </w:r>
            <w:r>
              <w:rPr>
                <w:rFonts w:hint="eastAsia" w:ascii="宋体" w:hAnsi="宋体" w:cs="Courier New"/>
                <w:b/>
                <w:kern w:val="0"/>
                <w:szCs w:val="21"/>
                <w:u w:val="single"/>
              </w:rPr>
              <w:t xml:space="preserve"> </w:t>
            </w:r>
            <w:r>
              <w:rPr>
                <w:rFonts w:ascii="宋体" w:hAnsi="宋体" w:cs="Courier New"/>
                <w:b/>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8.4.1</w:t>
            </w:r>
          </w:p>
        </w:tc>
        <w:tc>
          <w:tcPr>
            <w:tcW w:w="2019" w:type="dxa"/>
            <w:noWrap w:val="0"/>
            <w:vAlign w:val="center"/>
          </w:tcPr>
          <w:p>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shd w:val="clear" w:color="auto" w:fill="FFFFFF"/>
              </w:rPr>
              <w:t>签订</w:t>
            </w:r>
            <w:r>
              <w:rPr>
                <w:rFonts w:ascii="宋体" w:hAnsi="宋体"/>
                <w:szCs w:val="21"/>
                <w:highlight w:val="none"/>
                <w:shd w:val="clear" w:color="auto" w:fill="FFFFFF"/>
              </w:rPr>
              <w:t>合同</w:t>
            </w:r>
            <w:r>
              <w:rPr>
                <w:rFonts w:hint="eastAsia" w:ascii="宋体" w:hAnsi="宋体"/>
                <w:szCs w:val="21"/>
                <w:highlight w:val="none"/>
                <w:shd w:val="clear" w:color="auto" w:fill="FFFFFF"/>
              </w:rPr>
              <w:t>时间</w:t>
            </w:r>
          </w:p>
        </w:tc>
        <w:tc>
          <w:tcPr>
            <w:tcW w:w="5760" w:type="dxa"/>
            <w:noWrap w:val="0"/>
            <w:vAlign w:val="center"/>
          </w:tcPr>
          <w:p>
            <w:pPr>
              <w:widowControl w:val="0"/>
              <w:autoSpaceDE w:val="0"/>
              <w:autoSpaceDN w:val="0"/>
              <w:adjustRightInd w:val="0"/>
              <w:snapToGrid w:val="0"/>
              <w:ind w:firstLine="0" w:firstLineChars="0"/>
              <w:rPr>
                <w:rFonts w:ascii="宋体" w:hAnsi="宋体"/>
                <w:szCs w:val="21"/>
                <w:highlight w:val="none"/>
                <w:shd w:val="clear" w:color="auto" w:fill="FFFFFF"/>
              </w:rPr>
            </w:pPr>
            <w:r>
              <w:rPr>
                <w:rFonts w:hint="eastAsia" w:ascii="宋体" w:hAnsi="宋体"/>
                <w:szCs w:val="21"/>
                <w:highlight w:val="none"/>
                <w:shd w:val="clear" w:color="auto" w:fill="FFFFFF"/>
              </w:rPr>
              <w:t>中标通知书发出之日起</w:t>
            </w:r>
            <w:r>
              <w:rPr>
                <w:rFonts w:ascii="宋体" w:hAnsi="宋体"/>
                <w:szCs w:val="21"/>
                <w:highlight w:val="none"/>
                <w:u w:val="single"/>
                <w:shd w:val="clear" w:color="auto" w:fill="FFFFFF"/>
              </w:rPr>
              <w:t xml:space="preserve">  </w:t>
            </w:r>
            <w:r>
              <w:rPr>
                <w:rFonts w:hint="eastAsia" w:ascii="宋体" w:hAnsi="宋体"/>
                <w:szCs w:val="21"/>
                <w:highlight w:val="none"/>
                <w:u w:val="single"/>
                <w:shd w:val="clear" w:color="auto" w:fill="FFFFFF"/>
                <w:lang w:val="en-US" w:eastAsia="zh-CN"/>
              </w:rPr>
              <w:t>3</w:t>
            </w:r>
            <w:r>
              <w:rPr>
                <w:rFonts w:ascii="宋体" w:hAnsi="宋体"/>
                <w:szCs w:val="21"/>
                <w:highlight w:val="none"/>
                <w:u w:val="single"/>
                <w:shd w:val="clear" w:color="auto" w:fill="FFFFFF"/>
              </w:rPr>
              <w:t>0</w:t>
            </w:r>
            <w:r>
              <w:rPr>
                <w:rFonts w:hint="eastAsia" w:ascii="宋体" w:hAnsi="宋体"/>
                <w:szCs w:val="21"/>
                <w:highlight w:val="none"/>
                <w:u w:val="single"/>
                <w:shd w:val="clear" w:color="auto" w:fill="FFFFFF"/>
              </w:rPr>
              <w:t xml:space="preserve">  </w:t>
            </w:r>
            <w:r>
              <w:rPr>
                <w:rFonts w:hint="eastAsia" w:ascii="宋体" w:hAnsi="宋体"/>
                <w:szCs w:val="21"/>
                <w:highlight w:val="none"/>
                <w:u w:val="none"/>
                <w:shd w:val="clear" w:color="auto" w:fill="FFFFFF"/>
                <w:lang w:eastAsia="zh-CN"/>
              </w:rPr>
              <w:t>天（日历日）</w:t>
            </w:r>
            <w:r>
              <w:rPr>
                <w:rFonts w:hint="eastAsia" w:ascii="宋体" w:hAnsi="宋体"/>
                <w:szCs w:val="21"/>
                <w:highlight w:val="none"/>
                <w:shd w:val="clear" w:color="auto" w:fill="FFFFFF"/>
              </w:rPr>
              <w:t>内。</w:t>
            </w:r>
          </w:p>
        </w:tc>
      </w:tr>
    </w:tbl>
    <w:p>
      <w:pPr>
        <w:widowControl w:val="0"/>
        <w:autoSpaceDE w:val="0"/>
        <w:autoSpaceDN w:val="0"/>
        <w:adjustRightInd w:val="0"/>
        <w:snapToGrid w:val="0"/>
        <w:ind w:firstLine="420"/>
        <w:jc w:val="left"/>
        <w:rPr>
          <w:rFonts w:ascii="宋体" w:hAnsi="宋体"/>
        </w:rPr>
      </w:pPr>
    </w:p>
    <w:tbl>
      <w:tblPr>
        <w:tblStyle w:val="49"/>
        <w:tblW w:w="88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1020"/>
        <w:gridCol w:w="2090"/>
        <w:gridCol w:w="5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8856" w:type="dxa"/>
            <w:gridSpan w:val="3"/>
            <w:shd w:val="clear" w:color="auto" w:fill="D9E2F3"/>
            <w:noWrap w:val="0"/>
            <w:vAlign w:val="center"/>
          </w:tcPr>
          <w:p>
            <w:pPr>
              <w:widowControl w:val="0"/>
              <w:autoSpaceDE w:val="0"/>
              <w:autoSpaceDN w:val="0"/>
              <w:adjustRightInd w:val="0"/>
              <w:snapToGrid w:val="0"/>
              <w:ind w:firstLine="0" w:firstLineChars="0"/>
              <w:jc w:val="center"/>
              <w:rPr>
                <w:rFonts w:ascii="宋体" w:hAnsi="宋体"/>
                <w:sz w:val="32"/>
                <w:szCs w:val="32"/>
                <w:shd w:val="clear" w:color="auto" w:fill="FFFFFF"/>
              </w:rPr>
            </w:pPr>
            <w:r>
              <w:rPr>
                <w:rFonts w:hint="eastAsia" w:ascii="宋体" w:hAnsi="宋体"/>
                <w:b/>
                <w:sz w:val="32"/>
                <w:szCs w:val="32"/>
              </w:rPr>
              <w:t>投标人须知前附表（二）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auto"/>
            <w:noWrap w:val="0"/>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2090" w:type="dxa"/>
            <w:shd w:val="clear" w:color="auto" w:fill="auto"/>
            <w:noWrap w:val="0"/>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名称</w:t>
            </w:r>
          </w:p>
        </w:tc>
        <w:tc>
          <w:tcPr>
            <w:tcW w:w="5746" w:type="dxa"/>
            <w:shd w:val="clear" w:color="auto" w:fill="auto"/>
            <w:noWrap w:val="0"/>
            <w:vAlign w:val="center"/>
          </w:tcPr>
          <w:p>
            <w:pPr>
              <w:widowControl w:val="0"/>
              <w:autoSpaceDE w:val="0"/>
              <w:autoSpaceDN w:val="0"/>
              <w:adjustRightInd w:val="0"/>
              <w:snapToGrid w:val="0"/>
              <w:ind w:firstLine="0" w:firstLineChars="0"/>
              <w:jc w:val="center"/>
              <w:rPr>
                <w:rFonts w:ascii="宋体" w:hAnsi="宋体"/>
                <w:b/>
                <w:szCs w:val="21"/>
                <w:shd w:val="clear" w:color="auto" w:fill="FFFFFF"/>
              </w:rPr>
            </w:pPr>
            <w:r>
              <w:rPr>
                <w:rFonts w:ascii="宋体" w:hAnsi="宋体"/>
                <w:b/>
                <w:szCs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1.2</w:t>
            </w:r>
          </w:p>
        </w:tc>
        <w:tc>
          <w:tcPr>
            <w:tcW w:w="2090" w:type="dxa"/>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资金来源和落实</w:t>
            </w:r>
          </w:p>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情况</w:t>
            </w:r>
          </w:p>
        </w:tc>
        <w:tc>
          <w:tcPr>
            <w:tcW w:w="5746" w:type="dxa"/>
            <w:shd w:val="clear" w:color="auto" w:fill="FFFFFF"/>
            <w:noWrap w:val="0"/>
            <w:vAlign w:val="center"/>
          </w:tcPr>
          <w:p>
            <w:pPr>
              <w:widowControl w:val="0"/>
              <w:autoSpaceDE w:val="0"/>
              <w:autoSpaceDN w:val="0"/>
              <w:adjustRightInd w:val="0"/>
              <w:snapToGrid w:val="0"/>
              <w:ind w:firstLine="0" w:firstLineChars="0"/>
              <w:rPr>
                <w:rFonts w:ascii="宋体" w:hAnsi="宋体"/>
                <w:szCs w:val="21"/>
              </w:rPr>
            </w:pPr>
            <w:r>
              <w:rPr>
                <w:rFonts w:hint="eastAsia" w:ascii="宋体" w:hAnsi="宋体"/>
                <w:szCs w:val="21"/>
              </w:rPr>
              <w:t>资金来源：企业自筹</w:t>
            </w:r>
          </w:p>
          <w:p>
            <w:pPr>
              <w:widowControl w:val="0"/>
              <w:autoSpaceDE w:val="0"/>
              <w:autoSpaceDN w:val="0"/>
              <w:adjustRightInd w:val="0"/>
              <w:snapToGrid w:val="0"/>
              <w:ind w:firstLine="0" w:firstLineChars="0"/>
              <w:rPr>
                <w:rFonts w:ascii="宋体" w:hAnsi="宋体"/>
                <w:szCs w:val="21"/>
              </w:rPr>
            </w:pPr>
            <w:r>
              <w:rPr>
                <w:rFonts w:hint="eastAsia" w:ascii="宋体" w:hAnsi="宋体"/>
                <w:szCs w:val="21"/>
              </w:rPr>
              <w:t>出资比例：100%</w:t>
            </w:r>
          </w:p>
          <w:p>
            <w:pPr>
              <w:widowControl w:val="0"/>
              <w:autoSpaceDE w:val="0"/>
              <w:autoSpaceDN w:val="0"/>
              <w:adjustRightInd w:val="0"/>
              <w:snapToGrid w:val="0"/>
              <w:ind w:firstLine="0" w:firstLineChars="0"/>
              <w:rPr>
                <w:rFonts w:ascii="宋体" w:hAnsi="宋体"/>
                <w:szCs w:val="21"/>
                <w:u w:val="single"/>
              </w:rPr>
            </w:pPr>
            <w:r>
              <w:rPr>
                <w:rFonts w:hint="eastAsia" w:ascii="宋体" w:hAnsi="宋体"/>
                <w:szCs w:val="21"/>
              </w:rPr>
              <w:t>资金落实情况：</w:t>
            </w:r>
            <w:r>
              <w:rPr>
                <w:rFonts w:hint="eastAsia" w:ascii="Segoe UI Symbol" w:hAnsi="Segoe UI Symbol" w:cs="Segoe UI Symbol"/>
                <w:snapToGrid w:val="0"/>
                <w:kern w:val="0"/>
                <w:szCs w:val="21"/>
                <w:lang w:eastAsia="zh-CN"/>
              </w:rPr>
              <w:t>☑</w:t>
            </w:r>
            <w:r>
              <w:rPr>
                <w:rFonts w:hint="eastAsia" w:ascii="宋体" w:hAnsi="宋体"/>
                <w:szCs w:val="21"/>
              </w:rPr>
              <w:t>已落实 □未落实 □其他：</w:t>
            </w:r>
            <w:r>
              <w:rPr>
                <w:rFonts w:hint="eastAsia" w:ascii="宋体" w:hAnsi="宋体"/>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vMerge w:val="restart"/>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1.3.1</w:t>
            </w:r>
          </w:p>
        </w:tc>
        <w:tc>
          <w:tcPr>
            <w:tcW w:w="2090" w:type="dxa"/>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r>
              <w:rPr>
                <w:rFonts w:ascii="宋体" w:hAnsi="宋体"/>
                <w:szCs w:val="21"/>
              </w:rPr>
              <w:t>招标范围</w:t>
            </w:r>
          </w:p>
        </w:tc>
        <w:tc>
          <w:tcPr>
            <w:tcW w:w="5746" w:type="dxa"/>
            <w:shd w:val="clear" w:color="auto" w:fill="FFFFFF"/>
            <w:noWrap w:val="0"/>
            <w:vAlign w:val="center"/>
          </w:tcPr>
          <w:p>
            <w:pPr>
              <w:widowControl w:val="0"/>
              <w:autoSpaceDE w:val="0"/>
              <w:autoSpaceDN w:val="0"/>
              <w:adjustRightInd w:val="0"/>
              <w:snapToGrid w:val="0"/>
              <w:ind w:firstLine="0" w:firstLineChars="0"/>
              <w:rPr>
                <w:rFonts w:ascii="宋体" w:hAnsi="宋体"/>
                <w:szCs w:val="21"/>
                <w:highlight w:val="none"/>
              </w:rPr>
            </w:pPr>
            <w:r>
              <w:rPr>
                <w:rFonts w:hint="eastAsia" w:ascii="宋体" w:hAnsi="宋体" w:eastAsia="宋体"/>
                <w:sz w:val="21"/>
                <w:highlight w:val="none"/>
              </w:rPr>
              <w:t>详见招标文件“第四章 项目需求”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vMerge w:val="continue"/>
            <w:shd w:val="clear" w:color="auto" w:fill="FFFFFF"/>
            <w:noWrap w:val="0"/>
            <w:vAlign w:val="center"/>
          </w:tcPr>
          <w:p>
            <w:pPr>
              <w:widowControl w:val="0"/>
              <w:autoSpaceDE w:val="0"/>
              <w:autoSpaceDN w:val="0"/>
              <w:adjustRightInd w:val="0"/>
              <w:snapToGrid w:val="0"/>
              <w:ind w:firstLine="0" w:firstLineChars="0"/>
              <w:jc w:val="center"/>
              <w:rPr>
                <w:rFonts w:hint="eastAsia" w:ascii="宋体" w:hAnsi="宋体"/>
                <w:szCs w:val="21"/>
              </w:rPr>
            </w:pPr>
          </w:p>
        </w:tc>
        <w:tc>
          <w:tcPr>
            <w:tcW w:w="2090" w:type="dxa"/>
            <w:shd w:val="clear" w:color="auto" w:fill="FFFFFF"/>
            <w:noWrap w:val="0"/>
            <w:vAlign w:val="center"/>
          </w:tcPr>
          <w:p>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项目</w:t>
            </w:r>
            <w:r>
              <w:rPr>
                <w:rFonts w:ascii="宋体" w:hAnsi="宋体"/>
                <w:szCs w:val="21"/>
              </w:rPr>
              <w:t>概况</w:t>
            </w:r>
          </w:p>
        </w:tc>
        <w:tc>
          <w:tcPr>
            <w:tcW w:w="5746" w:type="dxa"/>
            <w:shd w:val="clear" w:color="auto" w:fill="FFFFFF"/>
            <w:noWrap w:val="0"/>
            <w:vAlign w:val="center"/>
          </w:tcPr>
          <w:p>
            <w:pPr>
              <w:widowControl w:val="0"/>
              <w:autoSpaceDE w:val="0"/>
              <w:autoSpaceDN w:val="0"/>
              <w:adjustRightInd w:val="0"/>
              <w:snapToGrid w:val="0"/>
              <w:ind w:firstLine="0" w:firstLineChars="0"/>
              <w:rPr>
                <w:rFonts w:ascii="宋体" w:hAnsi="宋体"/>
                <w:szCs w:val="21"/>
                <w:highlight w:val="none"/>
              </w:rPr>
            </w:pPr>
            <w:r>
              <w:rPr>
                <w:rFonts w:hint="eastAsia" w:ascii="宋体" w:hAnsi="宋体" w:eastAsia="宋体"/>
                <w:sz w:val="21"/>
                <w:highlight w:val="none"/>
              </w:rPr>
              <w:t>详见招标文件“第四章 项目需求”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1.3.2</w:t>
            </w:r>
          </w:p>
        </w:tc>
        <w:tc>
          <w:tcPr>
            <w:tcW w:w="2090" w:type="dxa"/>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服务期</w:t>
            </w:r>
          </w:p>
        </w:tc>
        <w:tc>
          <w:tcPr>
            <w:tcW w:w="5746" w:type="dxa"/>
            <w:shd w:val="clear" w:color="auto" w:fill="FFFFFF"/>
            <w:noWrap w:val="0"/>
            <w:vAlign w:val="center"/>
          </w:tcPr>
          <w:p>
            <w:pPr>
              <w:widowControl w:val="0"/>
              <w:autoSpaceDE w:val="0"/>
              <w:autoSpaceDN w:val="0"/>
              <w:adjustRightInd w:val="0"/>
              <w:snapToGrid w:val="0"/>
              <w:ind w:firstLine="0" w:firstLineChars="0"/>
              <w:rPr>
                <w:rFonts w:ascii="宋体" w:hAnsi="宋体"/>
                <w:szCs w:val="21"/>
                <w:highlight w:val="none"/>
              </w:rPr>
            </w:pPr>
            <w:r>
              <w:rPr>
                <w:rFonts w:hint="eastAsia" w:ascii="宋体" w:hAnsi="宋体" w:eastAsia="宋体"/>
                <w:sz w:val="21"/>
                <w:highlight w:val="none"/>
              </w:rPr>
              <w:t>详见招标文件“第四章 项目需求”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1.3.3</w:t>
            </w:r>
          </w:p>
        </w:tc>
        <w:tc>
          <w:tcPr>
            <w:tcW w:w="2090" w:type="dxa"/>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服务</w:t>
            </w:r>
            <w:r>
              <w:rPr>
                <w:rFonts w:ascii="宋体" w:hAnsi="宋体"/>
                <w:szCs w:val="21"/>
              </w:rPr>
              <w:t>地点</w:t>
            </w:r>
          </w:p>
        </w:tc>
        <w:tc>
          <w:tcPr>
            <w:tcW w:w="5746" w:type="dxa"/>
            <w:shd w:val="clear" w:color="auto" w:fill="FFFFFF"/>
            <w:noWrap w:val="0"/>
            <w:vAlign w:val="center"/>
          </w:tcPr>
          <w:p>
            <w:pPr>
              <w:widowControl w:val="0"/>
              <w:autoSpaceDE w:val="0"/>
              <w:autoSpaceDN w:val="0"/>
              <w:adjustRightInd w:val="0"/>
              <w:snapToGrid w:val="0"/>
              <w:ind w:firstLine="0" w:firstLineChars="0"/>
              <w:rPr>
                <w:rFonts w:ascii="宋体" w:hAnsi="宋体"/>
                <w:szCs w:val="21"/>
                <w:highlight w:val="none"/>
              </w:rPr>
            </w:pPr>
            <w:r>
              <w:rPr>
                <w:rFonts w:hint="eastAsia" w:ascii="宋体" w:hAnsi="宋体" w:eastAsia="宋体"/>
                <w:sz w:val="21"/>
                <w:highlight w:val="none"/>
              </w:rPr>
              <w:t>详见招标文件“第四章 项目需求”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1.4</w:t>
            </w:r>
          </w:p>
        </w:tc>
        <w:tc>
          <w:tcPr>
            <w:tcW w:w="2090" w:type="dxa"/>
            <w:shd w:val="clear" w:color="auto" w:fill="FFFFFF"/>
            <w:noWrap w:val="0"/>
            <w:vAlign w:val="center"/>
          </w:tcPr>
          <w:p>
            <w:pPr>
              <w:widowControl w:val="0"/>
              <w:autoSpaceDE w:val="0"/>
              <w:autoSpaceDN w:val="0"/>
              <w:adjustRightInd w:val="0"/>
              <w:snapToGrid w:val="0"/>
              <w:ind w:firstLine="0" w:firstLineChars="0"/>
              <w:jc w:val="center"/>
              <w:rPr>
                <w:rFonts w:ascii="宋体" w:hAnsi="宋体"/>
                <w:b/>
                <w:bCs/>
                <w:szCs w:val="21"/>
                <w:highlight w:val="none"/>
              </w:rPr>
            </w:pPr>
            <w:r>
              <w:rPr>
                <w:rFonts w:ascii="宋体" w:hAnsi="宋体"/>
                <w:b/>
                <w:bCs/>
                <w:szCs w:val="21"/>
                <w:highlight w:val="none"/>
              </w:rPr>
              <w:t>投标人</w:t>
            </w:r>
            <w:r>
              <w:rPr>
                <w:rFonts w:hint="eastAsia" w:ascii="宋体" w:hAnsi="宋体"/>
                <w:b/>
                <w:bCs/>
                <w:szCs w:val="21"/>
                <w:highlight w:val="none"/>
              </w:rPr>
              <w:t>资格</w:t>
            </w:r>
          </w:p>
          <w:p>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要求</w:t>
            </w:r>
          </w:p>
        </w:tc>
        <w:tc>
          <w:tcPr>
            <w:tcW w:w="5746" w:type="dxa"/>
            <w:shd w:val="clear" w:color="auto" w:fill="FFFFFF"/>
            <w:noWrap w:val="0"/>
            <w:vAlign w:val="center"/>
          </w:tcPr>
          <w:p>
            <w:pPr>
              <w:widowControl w:val="0"/>
              <w:numPr>
                <w:ilvl w:val="0"/>
                <w:numId w:val="2"/>
              </w:numPr>
              <w:autoSpaceDE w:val="0"/>
              <w:autoSpaceDN w:val="0"/>
              <w:adjustRightInd w:val="0"/>
              <w:snapToGrid w:val="0"/>
              <w:rPr>
                <w:rFonts w:hint="eastAsia"/>
                <w:lang w:eastAsia="zh-CN"/>
              </w:rPr>
            </w:pPr>
            <w:r>
              <w:rPr>
                <w:rFonts w:hint="eastAsia"/>
              </w:rPr>
              <w:t>投标人须是在中华人民共和国境内注册，具有独立法人资格或是具有独立承担民事责任的能力的其它组织（提供营业执照扫描件或事业单位法人证等法人证明扫描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原件备查</w:t>
            </w:r>
            <w:r>
              <w:rPr>
                <w:rFonts w:hint="eastAsia"/>
                <w:lang w:eastAsia="zh-CN"/>
              </w:rPr>
              <w:t>；</w:t>
            </w:r>
          </w:p>
          <w:p>
            <w:pPr>
              <w:pStyle w:val="18"/>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2.</w:t>
            </w:r>
            <w:r>
              <w:rPr>
                <w:rFonts w:hint="eastAsia" w:asciiTheme="minorEastAsia" w:hAnsiTheme="minorEastAsia" w:eastAsiaTheme="minorEastAsia" w:cstheme="minorEastAsia"/>
                <w:kern w:val="0"/>
                <w:sz w:val="21"/>
                <w:szCs w:val="21"/>
              </w:rPr>
              <w:t>参与本项目投标前三年内，在经营活动中没有重大违法记录（在</w:t>
            </w:r>
            <w:r>
              <w:rPr>
                <w:rFonts w:hint="eastAsia"/>
              </w:rPr>
              <w:t>《投标及履约承诺函》</w:t>
            </w:r>
            <w:r>
              <w:rPr>
                <w:rFonts w:hint="eastAsia" w:asciiTheme="minorEastAsia" w:hAnsiTheme="minorEastAsia" w:eastAsiaTheme="minorEastAsia" w:cstheme="minorEastAsia"/>
                <w:kern w:val="0"/>
                <w:sz w:val="21"/>
                <w:szCs w:val="21"/>
              </w:rPr>
              <w:t>中作出声明）</w:t>
            </w:r>
          </w:p>
          <w:p>
            <w:pPr>
              <w:pStyle w:val="18"/>
              <w:rPr>
                <w:rFonts w:hint="default"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3.</w:t>
            </w:r>
            <w:r>
              <w:rPr>
                <w:rFonts w:hint="eastAsia" w:asciiTheme="minorEastAsia" w:hAnsiTheme="minorEastAsia" w:eastAsiaTheme="minorEastAsia" w:cstheme="minorEastAsia"/>
                <w:b w:val="0"/>
                <w:bCs w:val="0"/>
                <w:kern w:val="0"/>
                <w:sz w:val="21"/>
                <w:szCs w:val="21"/>
              </w:rPr>
              <w:t>参与本项目</w:t>
            </w:r>
            <w:r>
              <w:rPr>
                <w:rFonts w:hint="eastAsia" w:asciiTheme="minorEastAsia" w:hAnsiTheme="minorEastAsia" w:eastAsiaTheme="minorEastAsia" w:cstheme="minorEastAsia"/>
                <w:b w:val="0"/>
                <w:bCs w:val="0"/>
                <w:kern w:val="0"/>
                <w:sz w:val="21"/>
                <w:szCs w:val="21"/>
                <w:lang w:eastAsia="zh-CN"/>
              </w:rPr>
              <w:t>招标</w:t>
            </w:r>
            <w:r>
              <w:rPr>
                <w:rFonts w:hint="eastAsia" w:asciiTheme="minorEastAsia" w:hAnsiTheme="minorEastAsia" w:eastAsiaTheme="minorEastAsia" w:cstheme="minorEastAsia"/>
                <w:b w:val="0"/>
                <w:bCs w:val="0"/>
                <w:kern w:val="0"/>
                <w:sz w:val="21"/>
                <w:szCs w:val="21"/>
              </w:rPr>
              <w:t>活动时不存在被有关部门禁止参与采购活动且在有效期内的情况（</w:t>
            </w:r>
            <w:r>
              <w:rPr>
                <w:rFonts w:hint="eastAsia" w:asciiTheme="minorEastAsia" w:hAnsiTheme="minorEastAsia" w:eastAsiaTheme="minorEastAsia" w:cstheme="minorEastAsia"/>
                <w:kern w:val="0"/>
                <w:sz w:val="21"/>
                <w:szCs w:val="21"/>
              </w:rPr>
              <w:t>在</w:t>
            </w:r>
            <w:r>
              <w:rPr>
                <w:rFonts w:hint="eastAsia"/>
              </w:rPr>
              <w:t>《投标及履约承诺函》</w:t>
            </w:r>
            <w:r>
              <w:rPr>
                <w:rFonts w:hint="eastAsia" w:asciiTheme="minorEastAsia" w:hAnsiTheme="minorEastAsia" w:eastAsiaTheme="minorEastAsia" w:cstheme="minorEastAsia"/>
                <w:kern w:val="0"/>
                <w:sz w:val="21"/>
                <w:szCs w:val="21"/>
              </w:rPr>
              <w:t>中作出声明</w:t>
            </w:r>
            <w:r>
              <w:rPr>
                <w:rFonts w:hint="eastAsia" w:asciiTheme="minorEastAsia" w:hAnsiTheme="minorEastAsia" w:eastAsiaTheme="minorEastAsia" w:cstheme="minorEastAsia"/>
                <w:b w:val="0"/>
                <w:bCs w:val="0"/>
                <w:kern w:val="0"/>
                <w:sz w:val="21"/>
                <w:szCs w:val="21"/>
              </w:rPr>
              <w:t>）；</w:t>
            </w:r>
          </w:p>
          <w:p>
            <w:pPr>
              <w:pStyle w:val="18"/>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lang w:val="en-US" w:eastAsia="zh-CN"/>
              </w:rPr>
              <w:t>4.</w:t>
            </w:r>
            <w:r>
              <w:rPr>
                <w:rFonts w:hint="eastAsia" w:asciiTheme="minorEastAsia" w:hAnsiTheme="minorEastAsia" w:eastAsiaTheme="minorEastAsia" w:cstheme="minorEastAsia"/>
                <w:b w:val="0"/>
                <w:bCs w:val="0"/>
                <w:kern w:val="0"/>
                <w:sz w:val="21"/>
                <w:szCs w:val="21"/>
              </w:rPr>
              <w:t>具备《中华人民共和国政府采购法》第二十二条第一款的条件（</w:t>
            </w:r>
            <w:r>
              <w:rPr>
                <w:rFonts w:hint="eastAsia" w:asciiTheme="minorEastAsia" w:hAnsiTheme="minorEastAsia" w:eastAsiaTheme="minorEastAsia" w:cstheme="minorEastAsia"/>
                <w:kern w:val="0"/>
                <w:sz w:val="21"/>
                <w:szCs w:val="21"/>
              </w:rPr>
              <w:t>在</w:t>
            </w:r>
            <w:r>
              <w:rPr>
                <w:rFonts w:hint="eastAsia"/>
              </w:rPr>
              <w:t>《投标及履约承诺函》</w:t>
            </w:r>
            <w:r>
              <w:rPr>
                <w:rFonts w:hint="eastAsia" w:asciiTheme="minorEastAsia" w:hAnsiTheme="minorEastAsia" w:eastAsiaTheme="minorEastAsia" w:cstheme="minorEastAsia"/>
                <w:kern w:val="0"/>
                <w:sz w:val="21"/>
                <w:szCs w:val="21"/>
              </w:rPr>
              <w:t>中作出声明</w:t>
            </w:r>
            <w:r>
              <w:rPr>
                <w:rFonts w:hint="eastAsia" w:asciiTheme="minorEastAsia" w:hAnsiTheme="minorEastAsia" w:eastAsiaTheme="minorEastAsia" w:cstheme="minorEastAsia"/>
                <w:b w:val="0"/>
                <w:bCs w:val="0"/>
                <w:kern w:val="0"/>
                <w:sz w:val="21"/>
                <w:szCs w:val="21"/>
              </w:rPr>
              <w:t>）</w:t>
            </w:r>
          </w:p>
          <w:p>
            <w:pPr>
              <w:pStyle w:val="18"/>
              <w:rPr>
                <w:rFonts w:hint="default"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5.</w:t>
            </w:r>
            <w:r>
              <w:rPr>
                <w:rFonts w:hint="eastAsia" w:asciiTheme="minorEastAsia" w:hAnsiTheme="minorEastAsia" w:eastAsiaTheme="minorEastAsia" w:cstheme="minorEastAsia"/>
                <w:b w:val="0"/>
                <w:bCs w:val="0"/>
                <w:kern w:val="0"/>
                <w:sz w:val="21"/>
                <w:szCs w:val="21"/>
              </w:rPr>
              <w:t>未被列入失信被执行人、重大税收违法案件当事人名单、政府采购严重违法失信行为记录名单（</w:t>
            </w:r>
            <w:r>
              <w:rPr>
                <w:rFonts w:hint="eastAsia" w:asciiTheme="minorEastAsia" w:hAnsiTheme="minorEastAsia" w:eastAsiaTheme="minorEastAsia" w:cstheme="minorEastAsia"/>
                <w:kern w:val="0"/>
                <w:sz w:val="21"/>
                <w:szCs w:val="21"/>
              </w:rPr>
              <w:t>在</w:t>
            </w:r>
            <w:r>
              <w:rPr>
                <w:rFonts w:hint="eastAsia"/>
              </w:rPr>
              <w:t>《投标及履约承诺函》</w:t>
            </w:r>
            <w:r>
              <w:rPr>
                <w:rFonts w:hint="eastAsia" w:asciiTheme="minorEastAsia" w:hAnsiTheme="minorEastAsia" w:eastAsiaTheme="minorEastAsia" w:cstheme="minorEastAsia"/>
                <w:kern w:val="0"/>
                <w:sz w:val="21"/>
                <w:szCs w:val="21"/>
              </w:rPr>
              <w:t>中作出声明</w:t>
            </w:r>
            <w:r>
              <w:rPr>
                <w:rFonts w:hint="eastAsia" w:asciiTheme="minorEastAsia" w:hAnsiTheme="minorEastAsia" w:eastAsiaTheme="minorEastAsia" w:cstheme="minorEastAsia"/>
                <w:b w:val="0"/>
                <w:bCs w:val="0"/>
                <w:kern w:val="0"/>
                <w:sz w:val="21"/>
                <w:szCs w:val="21"/>
              </w:rPr>
              <w:t>）</w:t>
            </w:r>
          </w:p>
          <w:p>
            <w:pPr>
              <w:pStyle w:val="18"/>
              <w:rPr>
                <w:rFonts w:hint="eastAsia" w:eastAsiaTheme="minorEastAsia"/>
                <w:lang w:eastAsia="zh-CN"/>
              </w:rPr>
            </w:pPr>
            <w:r>
              <w:rPr>
                <w:rFonts w:hint="eastAsia" w:asciiTheme="minorEastAsia" w:hAnsiTheme="minorEastAsia" w:eastAsiaTheme="minorEastAsia" w:cstheme="minorEastAsia"/>
                <w:kern w:val="0"/>
                <w:sz w:val="21"/>
                <w:szCs w:val="21"/>
                <w:lang w:val="en-US" w:eastAsia="zh-CN"/>
              </w:rPr>
              <w:t>6.</w:t>
            </w:r>
            <w:r>
              <w:rPr>
                <w:rFonts w:hint="eastAsia" w:asciiTheme="minorEastAsia" w:hAnsiTheme="minorEastAsia" w:eastAsiaTheme="minorEastAsia" w:cstheme="minorEastAsia"/>
                <w:kern w:val="0"/>
                <w:sz w:val="21"/>
                <w:szCs w:val="21"/>
              </w:rPr>
              <w:t>单位负责人为同一人或者存在直接控股、管理关系的不同</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，不得</w:t>
            </w:r>
            <w:r>
              <w:rPr>
                <w:rFonts w:hint="eastAsia" w:asciiTheme="minorEastAsia" w:hAnsiTheme="minorEastAsia" w:eastAsiaTheme="minorEastAsia" w:cstheme="minorEastAsia"/>
                <w:kern w:val="0"/>
                <w:sz w:val="21"/>
                <w:szCs w:val="21"/>
                <w:lang w:eastAsia="zh-CN"/>
              </w:rPr>
              <w:t>同时</w:t>
            </w:r>
            <w:r>
              <w:rPr>
                <w:rFonts w:hint="eastAsia" w:asciiTheme="minorEastAsia" w:hAnsiTheme="minorEastAsia" w:eastAsiaTheme="minorEastAsia" w:cstheme="minorEastAsia"/>
                <w:kern w:val="0"/>
                <w:sz w:val="21"/>
                <w:szCs w:val="21"/>
              </w:rPr>
              <w:t>参加</w:t>
            </w:r>
            <w:r>
              <w:rPr>
                <w:rFonts w:hint="eastAsia" w:asciiTheme="minorEastAsia" w:hAnsiTheme="minorEastAsia" w:eastAsiaTheme="minorEastAsia" w:cstheme="minorEastAsia"/>
                <w:kern w:val="0"/>
                <w:sz w:val="21"/>
                <w:szCs w:val="21"/>
                <w:lang w:eastAsia="zh-CN"/>
              </w:rPr>
              <w:t>本项目投标</w:t>
            </w:r>
            <w:r>
              <w:rPr>
                <w:rFonts w:hint="eastAsia" w:asciiTheme="minorEastAsia" w:hAnsiTheme="minorEastAsia" w:eastAsiaTheme="minorEastAsia" w:cstheme="minorEastAsia"/>
                <w:b w:val="0"/>
                <w:bCs w:val="0"/>
                <w:kern w:val="0"/>
                <w:sz w:val="21"/>
                <w:szCs w:val="21"/>
              </w:rPr>
              <w:t>（</w:t>
            </w:r>
            <w:r>
              <w:rPr>
                <w:rFonts w:hint="eastAsia" w:asciiTheme="minorEastAsia" w:hAnsiTheme="minorEastAsia" w:eastAsiaTheme="minorEastAsia" w:cstheme="minorEastAsia"/>
                <w:kern w:val="0"/>
                <w:sz w:val="21"/>
                <w:szCs w:val="21"/>
              </w:rPr>
              <w:t>在</w:t>
            </w:r>
            <w:r>
              <w:rPr>
                <w:rFonts w:hint="eastAsia"/>
              </w:rPr>
              <w:t>《投标及履约承诺函》</w:t>
            </w:r>
            <w:r>
              <w:rPr>
                <w:rFonts w:hint="eastAsia" w:asciiTheme="minorEastAsia" w:hAnsiTheme="minorEastAsia" w:eastAsiaTheme="minorEastAsia" w:cstheme="minorEastAsia"/>
                <w:kern w:val="0"/>
                <w:sz w:val="21"/>
                <w:szCs w:val="21"/>
              </w:rPr>
              <w:t>中作出声明</w:t>
            </w:r>
            <w:r>
              <w:rPr>
                <w:rFonts w:hint="eastAsia" w:asciiTheme="minorEastAsia" w:hAnsiTheme="minorEastAsia" w:eastAsiaTheme="minorEastAsia" w:cstheme="minorEastAsia"/>
                <w:b w:val="0"/>
                <w:bCs w:val="0"/>
                <w:kern w:val="0"/>
                <w:sz w:val="21"/>
                <w:szCs w:val="21"/>
              </w:rPr>
              <w:t>）</w:t>
            </w:r>
            <w:r>
              <w:rPr>
                <w:rFonts w:hint="eastAsia" w:asciiTheme="minorEastAsia" w:hAnsiTheme="minorEastAsia" w:eastAsiaTheme="minorEastAsia" w:cstheme="minorEastAsia"/>
                <w:b w:val="0"/>
                <w:bCs w:val="0"/>
                <w:kern w:val="0"/>
                <w:sz w:val="21"/>
                <w:szCs w:val="21"/>
                <w:lang w:eastAsia="zh-CN"/>
              </w:rPr>
              <w:t>；</w:t>
            </w:r>
          </w:p>
          <w:p>
            <w:pPr>
              <w:rPr>
                <w:rFonts w:hint="eastAsia"/>
                <w:lang w:val="en-US" w:eastAsia="zh-CN"/>
              </w:rPr>
            </w:pPr>
            <w:r>
              <w:rPr>
                <w:rFonts w:hint="eastAsia"/>
                <w:lang w:val="en-US" w:eastAsia="zh-CN"/>
              </w:rPr>
              <w:t>7.</w:t>
            </w:r>
            <w:r>
              <w:rPr>
                <w:rFonts w:hint="eastAsia" w:ascii="宋体" w:hAnsi="宋体" w:eastAsia="宋体" w:cs="宋体"/>
                <w:sz w:val="21"/>
                <w:szCs w:val="21"/>
              </w:rPr>
              <w:t>本项目不接受进口产品投标</w:t>
            </w:r>
            <w:r>
              <w:rPr>
                <w:rFonts w:hint="eastAsia" w:ascii="宋体" w:hAnsi="宋体" w:cs="宋体"/>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1.4.4</w:t>
            </w:r>
          </w:p>
        </w:tc>
        <w:tc>
          <w:tcPr>
            <w:tcW w:w="2090" w:type="dxa"/>
            <w:shd w:val="clear" w:color="auto" w:fill="FFFFFF"/>
            <w:noWrap w:val="0"/>
            <w:vAlign w:val="center"/>
          </w:tcPr>
          <w:p>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是否接受</w:t>
            </w:r>
          </w:p>
          <w:p>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联合体投标</w:t>
            </w:r>
          </w:p>
        </w:tc>
        <w:tc>
          <w:tcPr>
            <w:tcW w:w="5746" w:type="dxa"/>
            <w:shd w:val="clear" w:color="auto" w:fill="FFFFFF"/>
            <w:noWrap w:val="0"/>
            <w:vAlign w:val="center"/>
          </w:tcPr>
          <w:p>
            <w:pPr>
              <w:widowControl w:val="0"/>
              <w:autoSpaceDE w:val="0"/>
              <w:autoSpaceDN w:val="0"/>
              <w:adjustRightInd w:val="0"/>
              <w:snapToGrid w:val="0"/>
              <w:ind w:firstLine="0" w:firstLineChars="0"/>
              <w:rPr>
                <w:rFonts w:ascii="宋体" w:hAnsi="宋体"/>
                <w:kern w:val="0"/>
                <w:szCs w:val="21"/>
              </w:rPr>
            </w:pPr>
            <w:r>
              <w:rPr>
                <w:rFonts w:hint="eastAsia" w:ascii="Segoe UI Symbol" w:hAnsi="Segoe UI Symbol" w:cs="Segoe UI Symbol"/>
                <w:kern w:val="0"/>
                <w:szCs w:val="21"/>
                <w:lang w:eastAsia="zh-CN"/>
              </w:rPr>
              <w:t>☑</w:t>
            </w:r>
            <w:r>
              <w:rPr>
                <w:rFonts w:hint="eastAsia" w:ascii="宋体" w:hAnsi="宋体"/>
                <w:kern w:val="0"/>
                <w:szCs w:val="21"/>
              </w:rPr>
              <w:t>不接受</w:t>
            </w:r>
          </w:p>
          <w:p>
            <w:pPr>
              <w:widowControl w:val="0"/>
              <w:autoSpaceDE w:val="0"/>
              <w:autoSpaceDN w:val="0"/>
              <w:adjustRightInd w:val="0"/>
              <w:snapToGrid w:val="0"/>
              <w:ind w:firstLine="0" w:firstLineChars="0"/>
              <w:rPr>
                <w:rFonts w:ascii="宋体" w:hAnsi="宋体"/>
                <w:kern w:val="0"/>
                <w:szCs w:val="21"/>
              </w:rPr>
            </w:pPr>
            <w:r>
              <w:rPr>
                <w:rFonts w:hint="eastAsia" w:ascii="宋体" w:hAnsi="宋体"/>
                <w:kern w:val="0"/>
                <w:szCs w:val="21"/>
              </w:rPr>
              <w:t>□接受，应满足下列要求：</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1.9.1</w:t>
            </w:r>
          </w:p>
        </w:tc>
        <w:tc>
          <w:tcPr>
            <w:tcW w:w="2090" w:type="dxa"/>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shd w:val="clear" w:color="auto" w:fill="FFFFFF"/>
              </w:rPr>
            </w:pPr>
            <w:r>
              <w:rPr>
                <w:rFonts w:ascii="宋体" w:hAnsi="宋体"/>
                <w:szCs w:val="21"/>
                <w:shd w:val="clear" w:color="auto" w:fill="FFFFFF"/>
              </w:rPr>
              <w:t>踏勘</w:t>
            </w:r>
            <w:r>
              <w:rPr>
                <w:rFonts w:hint="eastAsia" w:ascii="宋体" w:hAnsi="宋体"/>
                <w:szCs w:val="21"/>
                <w:shd w:val="clear" w:color="auto" w:fill="FFFFFF"/>
              </w:rPr>
              <w:t>现场</w:t>
            </w:r>
          </w:p>
        </w:tc>
        <w:tc>
          <w:tcPr>
            <w:tcW w:w="5746" w:type="dxa"/>
            <w:shd w:val="clear" w:color="auto" w:fill="FFFFFF"/>
            <w:noWrap w:val="0"/>
            <w:vAlign w:val="center"/>
          </w:tcPr>
          <w:p>
            <w:pPr>
              <w:widowControl w:val="0"/>
              <w:autoSpaceDE w:val="0"/>
              <w:autoSpaceDN w:val="0"/>
              <w:adjustRightInd w:val="0"/>
              <w:snapToGrid w:val="0"/>
              <w:ind w:firstLine="0" w:firstLineChars="0"/>
              <w:rPr>
                <w:rFonts w:ascii="宋体" w:hAnsi="宋体"/>
                <w:kern w:val="0"/>
                <w:szCs w:val="21"/>
                <w:shd w:val="clear" w:color="auto" w:fill="FFFFFF"/>
              </w:rPr>
            </w:pPr>
            <w:r>
              <w:rPr>
                <w:rFonts w:hint="eastAsia" w:ascii="Segoe UI Symbol" w:hAnsi="Segoe UI Symbol" w:cs="Segoe UI Symbol"/>
                <w:kern w:val="0"/>
                <w:szCs w:val="21"/>
                <w:shd w:val="clear" w:color="auto" w:fill="FFFFFF"/>
                <w:lang w:eastAsia="zh-CN"/>
              </w:rPr>
              <w:t>☑</w:t>
            </w:r>
            <w:r>
              <w:rPr>
                <w:rFonts w:hint="eastAsia" w:ascii="宋体" w:hAnsi="宋体"/>
                <w:kern w:val="0"/>
                <w:szCs w:val="21"/>
                <w:shd w:val="clear" w:color="auto" w:fill="FFFFFF"/>
              </w:rPr>
              <w:t>不组织。可在</w:t>
            </w:r>
            <w:r>
              <w:rPr>
                <w:rFonts w:hint="eastAsia" w:ascii="宋体" w:hAnsi="宋体"/>
                <w:kern w:val="0"/>
                <w:szCs w:val="21"/>
                <w:u w:val="single"/>
                <w:shd w:val="clear" w:color="auto" w:fill="FFFFFF"/>
              </w:rPr>
              <w:t xml:space="preserve">     </w:t>
            </w:r>
            <w:r>
              <w:rPr>
                <w:rFonts w:hint="eastAsia" w:ascii="宋体" w:hAnsi="宋体"/>
                <w:kern w:val="0"/>
                <w:szCs w:val="21"/>
                <w:shd w:val="clear" w:color="auto" w:fill="FFFFFF"/>
              </w:rPr>
              <w:t>至</w:t>
            </w:r>
            <w:r>
              <w:rPr>
                <w:rFonts w:hint="eastAsia" w:ascii="宋体" w:hAnsi="宋体"/>
                <w:kern w:val="0"/>
                <w:szCs w:val="21"/>
                <w:u w:val="single"/>
                <w:shd w:val="clear" w:color="auto" w:fill="FFFFFF"/>
              </w:rPr>
              <w:t xml:space="preserve">     </w:t>
            </w:r>
            <w:r>
              <w:rPr>
                <w:rFonts w:hint="eastAsia" w:ascii="宋体" w:hAnsi="宋体"/>
                <w:kern w:val="0"/>
                <w:szCs w:val="21"/>
                <w:shd w:val="clear" w:color="auto" w:fill="FFFFFF"/>
              </w:rPr>
              <w:t>自行踏勘</w:t>
            </w:r>
          </w:p>
          <w:p>
            <w:pPr>
              <w:widowControl w:val="0"/>
              <w:autoSpaceDE w:val="0"/>
              <w:autoSpaceDN w:val="0"/>
              <w:adjustRightInd w:val="0"/>
              <w:snapToGrid w:val="0"/>
              <w:ind w:firstLine="0" w:firstLineChars="0"/>
              <w:rPr>
                <w:rFonts w:ascii="宋体" w:hAnsi="宋体"/>
                <w:kern w:val="0"/>
                <w:szCs w:val="21"/>
                <w:shd w:val="clear" w:color="auto" w:fill="FFFFFF"/>
              </w:rPr>
            </w:pPr>
            <w:r>
              <w:rPr>
                <w:rFonts w:hint="eastAsia" w:ascii="宋体" w:hAnsi="宋体"/>
                <w:kern w:val="0"/>
                <w:szCs w:val="21"/>
                <w:shd w:val="clear" w:color="auto" w:fill="FFFFFF"/>
                <w:lang w:eastAsia="zh-CN"/>
              </w:rPr>
              <w:t>□</w:t>
            </w:r>
            <w:r>
              <w:rPr>
                <w:rFonts w:hint="eastAsia" w:ascii="宋体" w:hAnsi="宋体"/>
                <w:kern w:val="0"/>
                <w:szCs w:val="21"/>
                <w:shd w:val="clear" w:color="auto" w:fill="FFFFFF"/>
              </w:rPr>
              <w:t>组织：</w:t>
            </w:r>
          </w:p>
          <w:p>
            <w:pPr>
              <w:widowControl w:val="0"/>
              <w:wordWrap w:val="0"/>
              <w:autoSpaceDE w:val="0"/>
              <w:autoSpaceDN w:val="0"/>
              <w:adjustRightInd w:val="0"/>
              <w:snapToGrid w:val="0"/>
              <w:ind w:firstLine="0" w:firstLineChars="0"/>
              <w:rPr>
                <w:rFonts w:ascii="宋体" w:hAnsi="宋体"/>
                <w:kern w:val="0"/>
                <w:szCs w:val="21"/>
              </w:rPr>
            </w:pPr>
            <w:r>
              <w:rPr>
                <w:rFonts w:hint="eastAsia" w:ascii="宋体" w:hAnsi="宋体"/>
                <w:kern w:val="0"/>
                <w:szCs w:val="21"/>
              </w:rPr>
              <w:t>踏勘时间：</w:t>
            </w:r>
            <w:r>
              <w:rPr>
                <w:rFonts w:ascii="宋体" w:hAnsi="宋体"/>
                <w:kern w:val="0"/>
                <w:szCs w:val="21"/>
                <w:u w:val="single"/>
              </w:rPr>
              <w:t xml:space="preserve">                        </w:t>
            </w:r>
          </w:p>
          <w:p>
            <w:pPr>
              <w:widowControl w:val="0"/>
              <w:autoSpaceDE w:val="0"/>
              <w:autoSpaceDN w:val="0"/>
              <w:adjustRightInd w:val="0"/>
              <w:snapToGrid w:val="0"/>
              <w:ind w:firstLine="0" w:firstLineChars="0"/>
              <w:rPr>
                <w:rFonts w:ascii="宋体" w:hAnsi="宋体"/>
                <w:kern w:val="0"/>
                <w:szCs w:val="21"/>
                <w:u w:val="single"/>
                <w:shd w:val="clear" w:color="auto" w:fill="FFFFFF"/>
              </w:rPr>
            </w:pPr>
            <w:r>
              <w:rPr>
                <w:rFonts w:hint="eastAsia" w:ascii="宋体" w:hAnsi="宋体"/>
                <w:kern w:val="0"/>
                <w:szCs w:val="21"/>
              </w:rPr>
              <w:t>集合地点：</w:t>
            </w:r>
            <w:r>
              <w:rPr>
                <w:rFonts w:ascii="宋体" w:hAnsi="宋体"/>
                <w:kern w:val="0"/>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1.10.1</w:t>
            </w:r>
          </w:p>
        </w:tc>
        <w:tc>
          <w:tcPr>
            <w:tcW w:w="2090" w:type="dxa"/>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shd w:val="clear" w:color="auto" w:fill="FFFFFF"/>
              </w:rPr>
            </w:pPr>
            <w:r>
              <w:rPr>
                <w:rFonts w:ascii="宋体" w:hAnsi="宋体"/>
                <w:szCs w:val="21"/>
                <w:shd w:val="clear" w:color="auto" w:fill="FFFFFF"/>
              </w:rPr>
              <w:t>投标预备会</w:t>
            </w:r>
          </w:p>
        </w:tc>
        <w:tc>
          <w:tcPr>
            <w:tcW w:w="5746" w:type="dxa"/>
            <w:shd w:val="clear" w:color="auto" w:fill="FFFFFF"/>
            <w:noWrap w:val="0"/>
            <w:vAlign w:val="center"/>
          </w:tcPr>
          <w:p>
            <w:pPr>
              <w:widowControl w:val="0"/>
              <w:wordWrap w:val="0"/>
              <w:autoSpaceDE w:val="0"/>
              <w:autoSpaceDN w:val="0"/>
              <w:adjustRightInd w:val="0"/>
              <w:snapToGrid w:val="0"/>
              <w:ind w:firstLine="0" w:firstLineChars="0"/>
              <w:rPr>
                <w:rFonts w:ascii="宋体" w:hAnsi="宋体"/>
                <w:szCs w:val="21"/>
              </w:rPr>
            </w:pPr>
            <w:r>
              <w:rPr>
                <w:rFonts w:hint="eastAsia" w:ascii="Segoe UI Symbol" w:hAnsi="Segoe UI Symbol" w:cs="Segoe UI Symbol"/>
                <w:kern w:val="0"/>
                <w:szCs w:val="21"/>
                <w:lang w:eastAsia="zh-CN"/>
              </w:rPr>
              <w:t>☑</w:t>
            </w:r>
            <w:r>
              <w:rPr>
                <w:rFonts w:hint="eastAsia" w:ascii="宋体" w:hAnsi="宋体"/>
                <w:szCs w:val="21"/>
              </w:rPr>
              <w:t>不</w:t>
            </w:r>
            <w:r>
              <w:rPr>
                <w:rFonts w:ascii="宋体" w:hAnsi="宋体"/>
                <w:szCs w:val="21"/>
              </w:rPr>
              <w:t>召开</w:t>
            </w:r>
          </w:p>
          <w:p>
            <w:pPr>
              <w:widowControl w:val="0"/>
              <w:wordWrap w:val="0"/>
              <w:autoSpaceDE w:val="0"/>
              <w:autoSpaceDN w:val="0"/>
              <w:adjustRightInd w:val="0"/>
              <w:snapToGrid w:val="0"/>
              <w:ind w:firstLine="0" w:firstLineChars="0"/>
              <w:rPr>
                <w:rFonts w:ascii="宋体" w:hAnsi="宋体"/>
                <w:szCs w:val="21"/>
              </w:rPr>
            </w:pPr>
            <w:r>
              <w:rPr>
                <w:rFonts w:hint="eastAsia" w:ascii="宋体" w:hAnsi="宋体"/>
                <w:szCs w:val="21"/>
              </w:rPr>
              <w:t>□</w:t>
            </w:r>
            <w:r>
              <w:rPr>
                <w:rFonts w:ascii="宋体" w:hAnsi="宋体"/>
                <w:szCs w:val="21"/>
              </w:rPr>
              <w:t>召开</w:t>
            </w:r>
            <w:r>
              <w:rPr>
                <w:rFonts w:hint="eastAsia" w:ascii="宋体" w:hAnsi="宋体"/>
                <w:szCs w:val="21"/>
              </w:rPr>
              <w:t>：</w:t>
            </w:r>
          </w:p>
          <w:p>
            <w:pPr>
              <w:widowControl w:val="0"/>
              <w:wordWrap w:val="0"/>
              <w:autoSpaceDE w:val="0"/>
              <w:autoSpaceDN w:val="0"/>
              <w:adjustRightInd w:val="0"/>
              <w:snapToGrid w:val="0"/>
              <w:ind w:firstLine="0" w:firstLineChars="0"/>
              <w:rPr>
                <w:rFonts w:ascii="宋体" w:hAnsi="宋体"/>
                <w:szCs w:val="21"/>
              </w:rPr>
            </w:pPr>
            <w:r>
              <w:rPr>
                <w:rFonts w:ascii="宋体" w:hAnsi="宋体"/>
                <w:szCs w:val="21"/>
              </w:rPr>
              <w:t>召开时间：</w:t>
            </w:r>
            <w:r>
              <w:rPr>
                <w:rFonts w:ascii="宋体" w:hAnsi="宋体"/>
                <w:kern w:val="0"/>
                <w:szCs w:val="21"/>
                <w:u w:val="single"/>
              </w:rPr>
              <w:t xml:space="preserve">                        </w:t>
            </w:r>
          </w:p>
          <w:p>
            <w:pPr>
              <w:widowControl w:val="0"/>
              <w:autoSpaceDE w:val="0"/>
              <w:autoSpaceDN w:val="0"/>
              <w:adjustRightInd w:val="0"/>
              <w:snapToGrid w:val="0"/>
              <w:ind w:firstLine="0" w:firstLineChars="0"/>
              <w:rPr>
                <w:rFonts w:ascii="宋体" w:hAnsi="宋体" w:cs="MS Mincho"/>
                <w:kern w:val="0"/>
                <w:szCs w:val="21"/>
                <w:shd w:val="clear" w:color="auto" w:fill="FFFFFF"/>
              </w:rPr>
            </w:pPr>
            <w:r>
              <w:rPr>
                <w:rFonts w:ascii="宋体" w:hAnsi="宋体"/>
                <w:szCs w:val="21"/>
              </w:rPr>
              <w:t>召开地点：</w:t>
            </w:r>
            <w:r>
              <w:rPr>
                <w:rFonts w:ascii="宋体" w:hAnsi="宋体"/>
                <w:kern w:val="0"/>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1.12.1</w:t>
            </w:r>
          </w:p>
        </w:tc>
        <w:tc>
          <w:tcPr>
            <w:tcW w:w="2090" w:type="dxa"/>
            <w:shd w:val="clear" w:color="auto" w:fill="FFFFFF"/>
            <w:noWrap w:val="0"/>
            <w:vAlign w:val="center"/>
          </w:tcPr>
          <w:p>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szCs w:val="21"/>
              </w:rPr>
              <w:t>响应和偏离</w:t>
            </w:r>
          </w:p>
        </w:tc>
        <w:tc>
          <w:tcPr>
            <w:tcW w:w="5746" w:type="dxa"/>
            <w:shd w:val="clear" w:color="auto" w:fill="FFFFFF"/>
            <w:noWrap w:val="0"/>
            <w:vAlign w:val="center"/>
          </w:tcPr>
          <w:p>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商务、技术条款响应和偏离说明如下：</w:t>
            </w:r>
          </w:p>
          <w:p>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严重偏离：本招标文件中标注“★”的条款未实质性响应（发生负偏离），将导致投标被否决；</w:t>
            </w:r>
          </w:p>
          <w:p>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一般偏离：本招标文件中标注“▲”的条款未实质性响应（发生负偏离），将可能导致在评、定标时产生不利于投标人的影响；</w:t>
            </w:r>
            <w:r>
              <w:rPr>
                <w:rFonts w:ascii="宋体" w:hAnsi="宋体" w:cs="Segoe UI Symbol"/>
                <w:kern w:val="0"/>
                <w:szCs w:val="21"/>
                <w:highlight w:val="none"/>
              </w:rPr>
              <w:t xml:space="preserve"> </w:t>
            </w:r>
          </w:p>
          <w:p>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可偏离：未标注“★”和“▲”的条款可以发生偏离。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vMerge w:val="restart"/>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3.2.5</w:t>
            </w:r>
          </w:p>
        </w:tc>
        <w:tc>
          <w:tcPr>
            <w:tcW w:w="2090" w:type="dxa"/>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投标货币</w:t>
            </w:r>
          </w:p>
        </w:tc>
        <w:tc>
          <w:tcPr>
            <w:tcW w:w="5746" w:type="dxa"/>
            <w:shd w:val="clear" w:color="auto" w:fill="FFFFFF"/>
            <w:noWrap w:val="0"/>
            <w:vAlign w:val="center"/>
          </w:tcPr>
          <w:p>
            <w:pPr>
              <w:widowControl w:val="0"/>
              <w:autoSpaceDE w:val="0"/>
              <w:autoSpaceDN w:val="0"/>
              <w:adjustRightInd w:val="0"/>
              <w:snapToGrid w:val="0"/>
              <w:ind w:firstLine="0" w:firstLineChars="0"/>
              <w:rPr>
                <w:rFonts w:ascii="宋体" w:hAnsi="宋体" w:cs="Segoe UI Symbol"/>
                <w:kern w:val="0"/>
                <w:szCs w:val="21"/>
              </w:rPr>
            </w:pPr>
            <w:r>
              <w:rPr>
                <w:rFonts w:ascii="Segoe UI Symbol" w:hAnsi="Segoe UI Symbol" w:cs="Segoe UI Symbol"/>
                <w:kern w:val="0"/>
                <w:szCs w:val="21"/>
              </w:rPr>
              <w:t>☑</w:t>
            </w:r>
            <w:r>
              <w:rPr>
                <w:rFonts w:hint="eastAsia" w:ascii="宋体" w:hAnsi="宋体" w:cs="Segoe UI Symbol"/>
                <w:kern w:val="0"/>
                <w:szCs w:val="21"/>
              </w:rPr>
              <w:t>人民币  □其他：</w:t>
            </w:r>
            <w:r>
              <w:rPr>
                <w:rFonts w:hint="eastAsia" w:ascii="宋体" w:hAnsi="宋体" w:cs="Segoe UI Symbol"/>
                <w:kern w:val="0"/>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vMerge w:val="continue"/>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p>
        </w:tc>
        <w:tc>
          <w:tcPr>
            <w:tcW w:w="2090" w:type="dxa"/>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rPr>
              <w:t>报价方式和内容</w:t>
            </w:r>
          </w:p>
        </w:tc>
        <w:tc>
          <w:tcPr>
            <w:tcW w:w="5746" w:type="dxa"/>
            <w:shd w:val="clear" w:color="auto" w:fill="FFFFFF"/>
            <w:noWrap w:val="0"/>
            <w:vAlign w:val="center"/>
          </w:tcPr>
          <w:p>
            <w:pPr>
              <w:pStyle w:val="18"/>
              <w:ind w:left="0" w:leftChars="0" w:firstLine="0" w:firstLineChars="0"/>
              <w:rPr>
                <w:rFonts w:ascii="宋体" w:hAnsi="宋体"/>
                <w:szCs w:val="21"/>
                <w:shd w:val="clear" w:color="auto" w:fill="FFFFFF"/>
              </w:rPr>
            </w:pPr>
            <w:r>
              <w:rPr>
                <w:rFonts w:hint="eastAsia"/>
                <w:lang w:eastAsia="zh-CN"/>
              </w:rPr>
              <w:t>详见“商务条款”中报价要求部分内容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vMerge w:val="restart"/>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3.4.</w:t>
            </w:r>
            <w:r>
              <w:rPr>
                <w:rFonts w:ascii="宋体" w:hAnsi="宋体"/>
                <w:szCs w:val="21"/>
              </w:rPr>
              <w:t>1</w:t>
            </w:r>
          </w:p>
        </w:tc>
        <w:tc>
          <w:tcPr>
            <w:tcW w:w="2090" w:type="dxa"/>
            <w:vMerge w:val="restart"/>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r>
              <w:rPr>
                <w:rFonts w:ascii="宋体" w:hAnsi="宋体"/>
                <w:szCs w:val="21"/>
              </w:rPr>
              <w:t>投标保证金</w:t>
            </w:r>
          </w:p>
        </w:tc>
        <w:tc>
          <w:tcPr>
            <w:tcW w:w="5746" w:type="dxa"/>
            <w:shd w:val="clear" w:color="auto" w:fill="FFFFFF"/>
            <w:noWrap w:val="0"/>
            <w:vAlign w:val="center"/>
          </w:tcPr>
          <w:p>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是否要求递交投标保证金：</w:t>
            </w:r>
            <w:r>
              <w:rPr>
                <w:rFonts w:hint="eastAsia" w:ascii="宋体" w:hAnsi="宋体" w:cs="Segoe UI Symbol"/>
                <w:kern w:val="0"/>
                <w:szCs w:val="21"/>
                <w:highlight w:val="none"/>
                <w:lang w:eastAsia="zh-CN"/>
              </w:rPr>
              <w:t>□</w:t>
            </w:r>
            <w:r>
              <w:rPr>
                <w:rFonts w:hint="eastAsia" w:ascii="宋体" w:hAnsi="宋体" w:cs="Segoe UI Symbol"/>
                <w:kern w:val="0"/>
                <w:szCs w:val="21"/>
                <w:highlight w:val="none"/>
              </w:rPr>
              <w:t>要求</w:t>
            </w:r>
            <w:r>
              <w:rPr>
                <w:rFonts w:ascii="宋体" w:hAnsi="宋体" w:cs="Segoe UI Symbol"/>
                <w:kern w:val="0"/>
                <w:szCs w:val="21"/>
                <w:highlight w:val="none"/>
              </w:rPr>
              <w:t xml:space="preserve">  </w:t>
            </w:r>
            <w:r>
              <w:rPr>
                <w:rFonts w:hint="eastAsia" w:ascii="宋体" w:hAnsi="宋体" w:cs="Segoe UI Symbol"/>
                <w:kern w:val="0"/>
                <w:szCs w:val="21"/>
                <w:highlight w:val="none"/>
                <w:lang w:eastAsia="zh-CN"/>
              </w:rPr>
              <w:t>☑</w:t>
            </w:r>
            <w:r>
              <w:rPr>
                <w:rFonts w:hint="eastAsia" w:ascii="宋体" w:hAnsi="宋体" w:cs="Segoe UI Symbol"/>
                <w:kern w:val="0"/>
                <w:szCs w:val="21"/>
                <w:highlight w:val="none"/>
              </w:rPr>
              <w:t>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vMerge w:val="continue"/>
            <w:shd w:val="clear" w:color="auto" w:fill="FFFFFF"/>
            <w:noWrap w:val="0"/>
            <w:vAlign w:val="center"/>
          </w:tcPr>
          <w:p>
            <w:pPr>
              <w:widowControl w:val="0"/>
              <w:autoSpaceDE w:val="0"/>
              <w:autoSpaceDN w:val="0"/>
              <w:adjustRightInd w:val="0"/>
              <w:snapToGrid w:val="0"/>
              <w:ind w:firstLine="0" w:firstLineChars="0"/>
              <w:jc w:val="center"/>
              <w:rPr>
                <w:rFonts w:hint="eastAsia" w:ascii="宋体" w:hAnsi="宋体"/>
                <w:szCs w:val="21"/>
              </w:rPr>
            </w:pPr>
          </w:p>
        </w:tc>
        <w:tc>
          <w:tcPr>
            <w:tcW w:w="2090" w:type="dxa"/>
            <w:vMerge w:val="continue"/>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p>
        </w:tc>
        <w:tc>
          <w:tcPr>
            <w:tcW w:w="5746" w:type="dxa"/>
            <w:shd w:val="clear" w:color="auto" w:fill="FFFFFF"/>
            <w:noWrap w:val="0"/>
            <w:vAlign w:val="center"/>
          </w:tcPr>
          <w:p>
            <w:pPr>
              <w:widowControl w:val="0"/>
              <w:autoSpaceDE w:val="0"/>
              <w:autoSpaceDN w:val="0"/>
              <w:adjustRightInd w:val="0"/>
              <w:snapToGrid w:val="0"/>
              <w:ind w:firstLine="0" w:firstLineChars="0"/>
              <w:rPr>
                <w:rFonts w:ascii="宋体" w:hAnsi="宋体"/>
                <w:szCs w:val="21"/>
                <w:shd w:val="clear" w:color="auto" w:fill="FFFFFF"/>
              </w:rPr>
            </w:pPr>
            <w:r>
              <w:rPr>
                <w:rFonts w:hint="eastAsia" w:ascii="宋体" w:hAnsi="宋体" w:cs="Segoe UI Symbol"/>
                <w:kern w:val="0"/>
                <w:szCs w:val="21"/>
              </w:rPr>
              <w:t>投标保证金的</w:t>
            </w:r>
            <w:r>
              <w:rPr>
                <w:rFonts w:ascii="宋体" w:hAnsi="宋体" w:cs="Segoe UI Symbol"/>
                <w:kern w:val="0"/>
                <w:szCs w:val="21"/>
              </w:rPr>
              <w:t>形式：</w:t>
            </w:r>
            <w:r>
              <w:rPr>
                <w:rFonts w:hint="eastAsia" w:ascii="宋体" w:hAnsi="宋体" w:cs="Segoe UI Symbol"/>
                <w:kern w:val="0"/>
                <w:szCs w:val="21"/>
              </w:rPr>
              <w:t>□银行转账</w:t>
            </w:r>
            <w:r>
              <w:rPr>
                <w:rFonts w:ascii="宋体" w:hAnsi="宋体" w:cs="Segoe UI Symbol"/>
                <w:kern w:val="0"/>
                <w:szCs w:val="21"/>
              </w:rPr>
              <w:t xml:space="preserve">  </w:t>
            </w:r>
            <w:r>
              <w:rPr>
                <w:rFonts w:hint="eastAsia" w:ascii="宋体" w:hAnsi="宋体" w:cs="Segoe UI Symbol"/>
                <w:kern w:val="0"/>
                <w:szCs w:val="21"/>
              </w:rPr>
              <w:t>□投标保函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vMerge w:val="continue"/>
            <w:shd w:val="clear" w:color="auto" w:fill="FFFFFF"/>
            <w:noWrap w:val="0"/>
            <w:vAlign w:val="center"/>
          </w:tcPr>
          <w:p>
            <w:pPr>
              <w:widowControl w:val="0"/>
              <w:autoSpaceDE w:val="0"/>
              <w:autoSpaceDN w:val="0"/>
              <w:adjustRightInd w:val="0"/>
              <w:snapToGrid w:val="0"/>
              <w:ind w:firstLine="0" w:firstLineChars="0"/>
              <w:jc w:val="center"/>
              <w:rPr>
                <w:rFonts w:hint="eastAsia" w:ascii="宋体" w:hAnsi="宋体"/>
                <w:szCs w:val="21"/>
              </w:rPr>
            </w:pPr>
          </w:p>
        </w:tc>
        <w:tc>
          <w:tcPr>
            <w:tcW w:w="2090" w:type="dxa"/>
            <w:vMerge w:val="continue"/>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p>
        </w:tc>
        <w:tc>
          <w:tcPr>
            <w:tcW w:w="5746" w:type="dxa"/>
            <w:shd w:val="clear" w:color="auto" w:fill="FFFFFF"/>
            <w:noWrap w:val="0"/>
            <w:vAlign w:val="center"/>
          </w:tcPr>
          <w:p>
            <w:pPr>
              <w:widowControl w:val="0"/>
              <w:autoSpaceDE w:val="0"/>
              <w:autoSpaceDN w:val="0"/>
              <w:adjustRightInd w:val="0"/>
              <w:snapToGrid w:val="0"/>
              <w:ind w:firstLine="0" w:firstLineChars="0"/>
              <w:rPr>
                <w:rFonts w:hint="eastAsia" w:ascii="宋体" w:hAnsi="宋体" w:cs="Segoe UI Symbol"/>
                <w:kern w:val="0"/>
                <w:szCs w:val="21"/>
              </w:rPr>
            </w:pPr>
            <w:r>
              <w:rPr>
                <w:rFonts w:hint="eastAsia" w:ascii="宋体" w:hAnsi="宋体" w:cs="Segoe UI Symbol"/>
                <w:kern w:val="0"/>
                <w:szCs w:val="21"/>
              </w:rPr>
              <w:t>投标保证金金额：人民币</w:t>
            </w:r>
            <w:r>
              <w:rPr>
                <w:rFonts w:hint="eastAsia" w:ascii="宋体" w:hAnsi="宋体" w:cs="Segoe UI Symbol"/>
                <w:kern w:val="0"/>
                <w:szCs w:val="21"/>
                <w:u w:val="single"/>
              </w:rPr>
              <w:t xml:space="preserve">    </w:t>
            </w:r>
            <w:r>
              <w:rPr>
                <w:rFonts w:hint="eastAsia" w:ascii="宋体" w:hAnsi="宋体" w:cs="Segoe UI Symbol"/>
                <w:kern w:val="0"/>
                <w:szCs w:val="21"/>
              </w:rPr>
              <w:t>元（不得</w:t>
            </w:r>
            <w:r>
              <w:rPr>
                <w:rFonts w:ascii="宋体" w:hAnsi="宋体" w:cs="Segoe UI Symbol"/>
                <w:kern w:val="0"/>
                <w:szCs w:val="21"/>
              </w:rPr>
              <w:t>超过</w:t>
            </w:r>
            <w:r>
              <w:rPr>
                <w:rFonts w:hint="eastAsia" w:ascii="宋体" w:hAnsi="宋体" w:cs="Segoe UI Symbol"/>
                <w:kern w:val="0"/>
                <w:szCs w:val="21"/>
              </w:rPr>
              <w:t>项目</w:t>
            </w:r>
            <w:r>
              <w:rPr>
                <w:rFonts w:ascii="宋体" w:hAnsi="宋体" w:cs="Segoe UI Symbol"/>
                <w:kern w:val="0"/>
                <w:szCs w:val="21"/>
              </w:rPr>
              <w:t>预算</w:t>
            </w:r>
            <w:r>
              <w:rPr>
                <w:rFonts w:hint="eastAsia" w:ascii="宋体" w:hAnsi="宋体" w:cs="Segoe UI Symbol"/>
                <w:kern w:val="0"/>
                <w:szCs w:val="21"/>
              </w:rPr>
              <w:t>或者</w:t>
            </w:r>
            <w:r>
              <w:rPr>
                <w:rFonts w:ascii="宋体" w:hAnsi="宋体" w:cs="Segoe UI Symbol"/>
                <w:kern w:val="0"/>
                <w:szCs w:val="21"/>
              </w:rPr>
              <w:t>最高投标限价的</w:t>
            </w:r>
            <w:r>
              <w:rPr>
                <w:rFonts w:hint="eastAsia" w:ascii="宋体" w:hAnsi="宋体" w:cs="Segoe UI Symbol"/>
                <w:kern w:val="0"/>
                <w:szCs w:val="21"/>
              </w:rPr>
              <w:t>2</w:t>
            </w:r>
            <w:r>
              <w:rPr>
                <w:rFonts w:ascii="宋体" w:hAnsi="宋体" w:cs="Segoe UI Symbol"/>
                <w:kern w:val="0"/>
                <w:szCs w:val="21"/>
              </w:rPr>
              <w:t>%</w:t>
            </w:r>
            <w:r>
              <w:rPr>
                <w:rFonts w:hint="eastAsia" w:ascii="宋体" w:hAnsi="宋体" w:cs="Segoe UI Symbol"/>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vMerge w:val="continue"/>
            <w:shd w:val="clear" w:color="auto" w:fill="FFFFFF"/>
            <w:noWrap w:val="0"/>
            <w:vAlign w:val="center"/>
          </w:tcPr>
          <w:p>
            <w:pPr>
              <w:widowControl w:val="0"/>
              <w:autoSpaceDE w:val="0"/>
              <w:autoSpaceDN w:val="0"/>
              <w:adjustRightInd w:val="0"/>
              <w:snapToGrid w:val="0"/>
              <w:ind w:firstLine="0" w:firstLineChars="0"/>
              <w:jc w:val="center"/>
              <w:rPr>
                <w:rFonts w:hint="eastAsia" w:ascii="宋体" w:hAnsi="宋体"/>
                <w:szCs w:val="21"/>
              </w:rPr>
            </w:pPr>
          </w:p>
        </w:tc>
        <w:tc>
          <w:tcPr>
            <w:tcW w:w="2090" w:type="dxa"/>
            <w:vMerge w:val="continue"/>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p>
        </w:tc>
        <w:tc>
          <w:tcPr>
            <w:tcW w:w="5746" w:type="dxa"/>
            <w:shd w:val="clear" w:color="auto" w:fill="FFFFFF"/>
            <w:noWrap w:val="0"/>
            <w:vAlign w:val="center"/>
          </w:tcPr>
          <w:p>
            <w:pPr>
              <w:widowControl w:val="0"/>
              <w:autoSpaceDE w:val="0"/>
              <w:autoSpaceDN w:val="0"/>
              <w:adjustRightInd w:val="0"/>
              <w:snapToGrid w:val="0"/>
              <w:ind w:firstLine="0" w:firstLineChars="0"/>
              <w:rPr>
                <w:rFonts w:hint="eastAsia" w:ascii="宋体" w:hAnsi="宋体" w:cs="Segoe UI Symbol"/>
                <w:kern w:val="0"/>
                <w:szCs w:val="21"/>
                <w:u w:val="single"/>
              </w:rPr>
            </w:pPr>
            <w:r>
              <w:rPr>
                <w:rFonts w:hint="eastAsia" w:ascii="宋体" w:hAnsi="宋体" w:cs="Segoe UI Symbol"/>
                <w:kern w:val="0"/>
                <w:szCs w:val="21"/>
              </w:rPr>
              <w:t>投标保证金的</w:t>
            </w:r>
            <w:r>
              <w:rPr>
                <w:rFonts w:ascii="宋体" w:hAnsi="宋体" w:cs="Segoe UI Symbol"/>
                <w:kern w:val="0"/>
                <w:szCs w:val="21"/>
              </w:rPr>
              <w:t>形式</w:t>
            </w:r>
            <w:r>
              <w:rPr>
                <w:rFonts w:hint="eastAsia" w:ascii="宋体" w:hAnsi="宋体" w:cs="Segoe UI Symbol"/>
                <w:kern w:val="0"/>
                <w:szCs w:val="21"/>
              </w:rPr>
              <w:t>为银行转账的，需在转账时注明项目编号，保证金应从投标人账户中转出。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vMerge w:val="continue"/>
            <w:shd w:val="clear" w:color="auto" w:fill="FFFFFF"/>
            <w:noWrap w:val="0"/>
            <w:vAlign w:val="center"/>
          </w:tcPr>
          <w:p>
            <w:pPr>
              <w:widowControl w:val="0"/>
              <w:autoSpaceDE w:val="0"/>
              <w:autoSpaceDN w:val="0"/>
              <w:adjustRightInd w:val="0"/>
              <w:snapToGrid w:val="0"/>
              <w:ind w:firstLine="0" w:firstLineChars="0"/>
              <w:jc w:val="center"/>
              <w:rPr>
                <w:rFonts w:hint="eastAsia" w:ascii="宋体" w:hAnsi="宋体"/>
                <w:szCs w:val="21"/>
              </w:rPr>
            </w:pPr>
          </w:p>
        </w:tc>
        <w:tc>
          <w:tcPr>
            <w:tcW w:w="2090" w:type="dxa"/>
            <w:vMerge w:val="continue"/>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p>
        </w:tc>
        <w:tc>
          <w:tcPr>
            <w:tcW w:w="5746" w:type="dxa"/>
            <w:shd w:val="clear" w:color="auto" w:fill="FFFFFF"/>
            <w:noWrap w:val="0"/>
            <w:vAlign w:val="center"/>
          </w:tcPr>
          <w:p>
            <w:pPr>
              <w:widowControl w:val="0"/>
              <w:autoSpaceDE w:val="0"/>
              <w:autoSpaceDN w:val="0"/>
              <w:adjustRightInd w:val="0"/>
              <w:snapToGrid w:val="0"/>
              <w:ind w:firstLine="0" w:firstLineChars="0"/>
              <w:rPr>
                <w:rFonts w:ascii="宋体" w:hAnsi="宋体"/>
                <w:szCs w:val="21"/>
                <w:shd w:val="clear" w:color="auto" w:fill="FFFFFF"/>
              </w:rPr>
            </w:pPr>
            <w:r>
              <w:rPr>
                <w:rFonts w:hint="eastAsia" w:ascii="宋体" w:hAnsi="宋体"/>
                <w:szCs w:val="21"/>
              </w:rPr>
              <w:t>投标保证金为保函形式的，投标保函应在投标有效截止时间（含）后____日内保持有效。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vMerge w:val="continue"/>
            <w:shd w:val="clear" w:color="auto" w:fill="FFFFFF"/>
            <w:noWrap w:val="0"/>
            <w:vAlign w:val="center"/>
          </w:tcPr>
          <w:p>
            <w:pPr>
              <w:widowControl w:val="0"/>
              <w:autoSpaceDE w:val="0"/>
              <w:autoSpaceDN w:val="0"/>
              <w:adjustRightInd w:val="0"/>
              <w:snapToGrid w:val="0"/>
              <w:ind w:firstLine="0" w:firstLineChars="0"/>
              <w:jc w:val="center"/>
              <w:rPr>
                <w:rFonts w:hint="eastAsia" w:ascii="宋体" w:hAnsi="宋体"/>
                <w:szCs w:val="21"/>
              </w:rPr>
            </w:pPr>
          </w:p>
        </w:tc>
        <w:tc>
          <w:tcPr>
            <w:tcW w:w="2090" w:type="dxa"/>
            <w:vMerge w:val="continue"/>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p>
        </w:tc>
        <w:tc>
          <w:tcPr>
            <w:tcW w:w="5746" w:type="dxa"/>
            <w:shd w:val="clear" w:color="auto" w:fill="FFFFFF"/>
            <w:noWrap w:val="0"/>
            <w:vAlign w:val="center"/>
          </w:tcPr>
          <w:p>
            <w:pPr>
              <w:widowControl w:val="0"/>
              <w:autoSpaceDE w:val="0"/>
              <w:autoSpaceDN w:val="0"/>
              <w:adjustRightInd w:val="0"/>
              <w:snapToGrid w:val="0"/>
              <w:ind w:firstLine="0" w:firstLineChars="0"/>
              <w:rPr>
                <w:rFonts w:ascii="宋体" w:hAnsi="宋体"/>
                <w:szCs w:val="21"/>
                <w:shd w:val="clear" w:color="auto" w:fill="FFFFFF"/>
              </w:rPr>
            </w:pPr>
            <w:r>
              <w:rPr>
                <w:rFonts w:hint="eastAsia" w:ascii="宋体" w:hAnsi="宋体"/>
                <w:szCs w:val="21"/>
              </w:rPr>
              <w:t>其他可以扣除投标保证金的情形：</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3.7.1</w:t>
            </w:r>
          </w:p>
        </w:tc>
        <w:tc>
          <w:tcPr>
            <w:tcW w:w="2090" w:type="dxa"/>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r>
              <w:rPr>
                <w:rFonts w:ascii="宋体" w:hAnsi="宋体"/>
                <w:szCs w:val="21"/>
              </w:rPr>
              <w:t>是否允许</w:t>
            </w:r>
            <w:r>
              <w:rPr>
                <w:rFonts w:hint="eastAsia" w:ascii="宋体" w:hAnsi="宋体"/>
                <w:szCs w:val="21"/>
              </w:rPr>
              <w:t>递交</w:t>
            </w:r>
          </w:p>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备</w:t>
            </w:r>
            <w:r>
              <w:rPr>
                <w:rFonts w:ascii="宋体" w:hAnsi="宋体"/>
                <w:szCs w:val="21"/>
              </w:rPr>
              <w:t>选投标</w:t>
            </w:r>
            <w:r>
              <w:rPr>
                <w:rFonts w:hint="eastAsia" w:ascii="宋体" w:hAnsi="宋体"/>
                <w:szCs w:val="21"/>
              </w:rPr>
              <w:t>方</w:t>
            </w:r>
            <w:r>
              <w:rPr>
                <w:rFonts w:ascii="宋体" w:hAnsi="宋体"/>
                <w:szCs w:val="21"/>
              </w:rPr>
              <w:t>案</w:t>
            </w:r>
          </w:p>
        </w:tc>
        <w:tc>
          <w:tcPr>
            <w:tcW w:w="5746" w:type="dxa"/>
            <w:shd w:val="clear" w:color="auto" w:fill="FFFFFF"/>
            <w:noWrap w:val="0"/>
            <w:vAlign w:val="center"/>
          </w:tcPr>
          <w:p>
            <w:pPr>
              <w:widowControl w:val="0"/>
              <w:autoSpaceDE w:val="0"/>
              <w:autoSpaceDN w:val="0"/>
              <w:adjustRightInd w:val="0"/>
              <w:snapToGrid w:val="0"/>
              <w:ind w:firstLine="0" w:firstLineChars="0"/>
              <w:rPr>
                <w:rFonts w:ascii="宋体" w:hAnsi="宋体"/>
                <w:szCs w:val="21"/>
              </w:rPr>
            </w:pPr>
            <w:r>
              <w:rPr>
                <w:rFonts w:hint="eastAsia" w:ascii="Segoe UI Symbol" w:hAnsi="Segoe UI Symbol" w:cs="Segoe UI Symbol"/>
                <w:kern w:val="0"/>
                <w:szCs w:val="21"/>
                <w:lang w:eastAsia="zh-CN"/>
              </w:rPr>
              <w:t>☑</w:t>
            </w:r>
            <w:r>
              <w:rPr>
                <w:rFonts w:hint="eastAsia" w:ascii="宋体" w:hAnsi="宋体"/>
                <w:szCs w:val="21"/>
              </w:rPr>
              <w:t>不允许</w:t>
            </w:r>
          </w:p>
          <w:p>
            <w:pPr>
              <w:widowControl w:val="0"/>
              <w:autoSpaceDE w:val="0"/>
              <w:autoSpaceDN w:val="0"/>
              <w:adjustRightInd w:val="0"/>
              <w:snapToGrid w:val="0"/>
              <w:ind w:firstLine="0" w:firstLineChars="0"/>
              <w:rPr>
                <w:rFonts w:ascii="宋体" w:hAnsi="宋体"/>
                <w:szCs w:val="21"/>
              </w:rPr>
            </w:pPr>
            <w:r>
              <w:rPr>
                <w:rFonts w:hint="eastAsia" w:ascii="宋体" w:hAnsi="宋体"/>
                <w:kern w:val="0"/>
                <w:szCs w:val="21"/>
                <w:lang w:eastAsia="zh-CN"/>
              </w:rPr>
              <w:t>□</w:t>
            </w:r>
            <w:r>
              <w:rPr>
                <w:rFonts w:hint="eastAsia" w:ascii="宋体" w:hAnsi="宋体"/>
                <w:szCs w:val="21"/>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noWrap w:val="0"/>
            <w:vAlign w:val="center"/>
          </w:tcPr>
          <w:p>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1</w:t>
            </w:r>
            <w:r>
              <w:rPr>
                <w:rFonts w:ascii="宋体" w:hAnsi="宋体"/>
                <w:szCs w:val="21"/>
              </w:rPr>
              <w:t>.1.6</w:t>
            </w:r>
          </w:p>
        </w:tc>
        <w:tc>
          <w:tcPr>
            <w:tcW w:w="2090" w:type="dxa"/>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招标公告</w:t>
            </w:r>
          </w:p>
        </w:tc>
        <w:tc>
          <w:tcPr>
            <w:tcW w:w="5746" w:type="dxa"/>
            <w:vMerge w:val="restart"/>
            <w:shd w:val="clear" w:color="auto" w:fill="FFFFFF"/>
            <w:noWrap w:val="0"/>
            <w:vAlign w:val="center"/>
          </w:tcPr>
          <w:p>
            <w:pPr>
              <w:widowControl w:val="0"/>
              <w:wordWrap w:val="0"/>
              <w:autoSpaceDE w:val="0"/>
              <w:autoSpaceDN w:val="0"/>
              <w:adjustRightInd w:val="0"/>
              <w:snapToGrid w:val="0"/>
              <w:ind w:firstLine="0" w:firstLineChars="0"/>
              <w:rPr>
                <w:rFonts w:ascii="宋体" w:hAnsi="宋体"/>
                <w:szCs w:val="21"/>
                <w:u w:val="single"/>
              </w:rPr>
            </w:pPr>
            <w:r>
              <w:rPr>
                <w:rFonts w:hint="eastAsia" w:ascii="宋体" w:hAnsi="宋体"/>
                <w:szCs w:val="21"/>
              </w:rPr>
              <w:t>公示/公告媒介：</w:t>
            </w:r>
          </w:p>
          <w:p>
            <w:pPr>
              <w:widowControl w:val="0"/>
              <w:wordWrap w:val="0"/>
              <w:autoSpaceDE w:val="0"/>
              <w:autoSpaceDN w:val="0"/>
              <w:adjustRightInd w:val="0"/>
              <w:snapToGrid w:val="0"/>
              <w:ind w:firstLine="0" w:firstLineChars="0"/>
              <w:rPr>
                <w:rFonts w:ascii="Segoe UI Symbol" w:hAnsi="Segoe UI Symbol" w:cs="Segoe UI Symbol"/>
                <w:kern w:val="0"/>
                <w:szCs w:val="21"/>
              </w:rPr>
            </w:pPr>
            <w:r>
              <w:rPr>
                <w:rFonts w:ascii="宋体" w:hAnsi="宋体" w:eastAsia="宋体" w:cs="宋体"/>
                <w:sz w:val="24"/>
                <w:szCs w:val="24"/>
              </w:rPr>
              <w:fldChar w:fldCharType="begin"/>
            </w:r>
            <w:r>
              <w:rPr>
                <w:rFonts w:ascii="宋体" w:hAnsi="宋体" w:eastAsia="宋体" w:cs="宋体"/>
                <w:sz w:val="24"/>
                <w:szCs w:val="24"/>
              </w:rPr>
              <w:instrText xml:space="preserve"> HYPERLINK "http://www.lhconst.com/products.aspx?nid=3&amp;typeid=13" </w:instrText>
            </w:r>
            <w:r>
              <w:rPr>
                <w:rFonts w:ascii="宋体" w:hAnsi="宋体" w:eastAsia="宋体" w:cs="宋体"/>
                <w:sz w:val="24"/>
                <w:szCs w:val="24"/>
              </w:rPr>
              <w:fldChar w:fldCharType="separate"/>
            </w:r>
            <w:r>
              <w:rPr>
                <w:rStyle w:val="56"/>
                <w:rFonts w:ascii="宋体" w:hAnsi="宋体" w:eastAsia="宋体" w:cs="宋体"/>
                <w:sz w:val="24"/>
                <w:szCs w:val="24"/>
              </w:rPr>
              <w:t xml:space="preserve">深圳市龙华建设发展集团有限公司 </w:t>
            </w:r>
            <w:r>
              <w:rPr>
                <w:rStyle w:val="56"/>
                <w:rFonts w:hint="eastAsia" w:ascii="宋体" w:hAnsi="宋体" w:eastAsia="宋体" w:cs="宋体"/>
                <w:sz w:val="24"/>
                <w:szCs w:val="24"/>
              </w:rPr>
              <w:t>http://www.lhconst.com</w:t>
            </w:r>
            <w:r>
              <w:rPr>
                <w:rFonts w:ascii="宋体" w:hAnsi="宋体" w:eastAsia="宋体" w:cs="宋体"/>
                <w:sz w:val="24"/>
                <w:szCs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7.2</w:t>
            </w:r>
            <w:r>
              <w:rPr>
                <w:rFonts w:ascii="宋体" w:hAnsi="宋体"/>
                <w:szCs w:val="21"/>
              </w:rPr>
              <w:t>.1</w:t>
            </w:r>
          </w:p>
        </w:tc>
        <w:tc>
          <w:tcPr>
            <w:tcW w:w="2090" w:type="dxa"/>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中标候选人</w:t>
            </w:r>
          </w:p>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公示</w:t>
            </w:r>
          </w:p>
        </w:tc>
        <w:tc>
          <w:tcPr>
            <w:tcW w:w="5746" w:type="dxa"/>
            <w:vMerge w:val="continue"/>
            <w:shd w:val="clear" w:color="auto" w:fill="FFFFFF"/>
            <w:noWrap w:val="0"/>
            <w:vAlign w:val="center"/>
          </w:tcPr>
          <w:p>
            <w:pPr>
              <w:widowControl w:val="0"/>
              <w:autoSpaceDE w:val="0"/>
              <w:autoSpaceDN w:val="0"/>
              <w:adjustRightInd w:val="0"/>
              <w:snapToGrid w:val="0"/>
              <w:ind w:firstLine="0" w:firstLineChars="0"/>
              <w:rPr>
                <w:rFonts w:ascii="宋体" w:hAnsi="宋体"/>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noWrap w:val="0"/>
            <w:vAlign w:val="center"/>
          </w:tcPr>
          <w:p>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7</w:t>
            </w:r>
            <w:r>
              <w:rPr>
                <w:rFonts w:ascii="宋体" w:hAnsi="宋体"/>
                <w:szCs w:val="21"/>
              </w:rPr>
              <w:t>.2.2</w:t>
            </w:r>
          </w:p>
        </w:tc>
        <w:tc>
          <w:tcPr>
            <w:tcW w:w="2090" w:type="dxa"/>
            <w:shd w:val="clear" w:color="auto" w:fill="FFFFFF"/>
            <w:noWrap w:val="0"/>
            <w:vAlign w:val="center"/>
          </w:tcPr>
          <w:p>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中标公告</w:t>
            </w:r>
          </w:p>
        </w:tc>
        <w:tc>
          <w:tcPr>
            <w:tcW w:w="5746" w:type="dxa"/>
            <w:vMerge w:val="continue"/>
            <w:shd w:val="clear" w:color="auto" w:fill="FFFFFF"/>
            <w:noWrap w:val="0"/>
            <w:vAlign w:val="center"/>
          </w:tcPr>
          <w:p>
            <w:pPr>
              <w:widowControl w:val="0"/>
              <w:autoSpaceDE w:val="0"/>
              <w:autoSpaceDN w:val="0"/>
              <w:adjustRightInd w:val="0"/>
              <w:snapToGrid w:val="0"/>
              <w:ind w:firstLine="0" w:firstLineChars="0"/>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vMerge w:val="restart"/>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8.3.1</w:t>
            </w:r>
          </w:p>
        </w:tc>
        <w:tc>
          <w:tcPr>
            <w:tcW w:w="2090" w:type="dxa"/>
            <w:vMerge w:val="restart"/>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r>
              <w:rPr>
                <w:rFonts w:ascii="宋体" w:hAnsi="宋体"/>
                <w:szCs w:val="21"/>
              </w:rPr>
              <w:t>履约担保</w:t>
            </w:r>
          </w:p>
        </w:tc>
        <w:tc>
          <w:tcPr>
            <w:tcW w:w="5746" w:type="dxa"/>
            <w:shd w:val="clear" w:color="auto" w:fill="FFFFFF"/>
            <w:noWrap w:val="0"/>
            <w:vAlign w:val="center"/>
          </w:tcPr>
          <w:p>
            <w:pPr>
              <w:widowControl w:val="0"/>
              <w:autoSpaceDE w:val="0"/>
              <w:autoSpaceDN w:val="0"/>
              <w:adjustRightInd w:val="0"/>
              <w:snapToGrid w:val="0"/>
              <w:ind w:firstLine="0" w:firstLineChars="0"/>
              <w:rPr>
                <w:rFonts w:ascii="宋体" w:hAnsi="宋体" w:cs="Segoe UI Symbol"/>
                <w:kern w:val="0"/>
                <w:szCs w:val="21"/>
                <w:highlight w:val="none"/>
              </w:rPr>
            </w:pPr>
            <w:r>
              <w:rPr>
                <w:rFonts w:ascii="宋体" w:hAnsi="宋体" w:cs="Segoe UI Symbol"/>
                <w:kern w:val="0"/>
                <w:szCs w:val="21"/>
                <w:highlight w:val="none"/>
              </w:rPr>
              <w:t>是否要求中标人提交履约</w:t>
            </w:r>
            <w:r>
              <w:rPr>
                <w:rFonts w:hint="eastAsia" w:ascii="宋体" w:hAnsi="宋体" w:cs="Segoe UI Symbol"/>
                <w:kern w:val="0"/>
                <w:szCs w:val="21"/>
                <w:highlight w:val="none"/>
              </w:rPr>
              <w:t>担保</w:t>
            </w:r>
            <w:r>
              <w:rPr>
                <w:rFonts w:ascii="宋体" w:hAnsi="宋体" w:cs="Segoe UI Symbol"/>
                <w:kern w:val="0"/>
                <w:szCs w:val="21"/>
                <w:highlight w:val="none"/>
              </w:rPr>
              <w:t>：</w:t>
            </w:r>
            <w:r>
              <w:rPr>
                <w:rFonts w:hint="eastAsia" w:ascii="宋体" w:hAnsi="宋体" w:cs="Segoe UI Symbol"/>
                <w:kern w:val="0"/>
                <w:szCs w:val="21"/>
                <w:highlight w:val="none"/>
                <w:lang w:eastAsia="zh-CN"/>
              </w:rPr>
              <w:t>□</w:t>
            </w:r>
            <w:r>
              <w:rPr>
                <w:rFonts w:hint="eastAsia" w:ascii="宋体" w:hAnsi="宋体" w:cs="Segoe UI Symbol"/>
                <w:kern w:val="0"/>
                <w:szCs w:val="21"/>
                <w:highlight w:val="none"/>
              </w:rPr>
              <w:t>要求</w:t>
            </w:r>
            <w:r>
              <w:rPr>
                <w:rFonts w:ascii="宋体" w:hAnsi="宋体" w:cs="Segoe UI Symbol"/>
                <w:kern w:val="0"/>
                <w:szCs w:val="21"/>
                <w:highlight w:val="none"/>
              </w:rPr>
              <w:t xml:space="preserve">  </w:t>
            </w:r>
            <w:r>
              <w:rPr>
                <w:rFonts w:hint="eastAsia" w:ascii="宋体" w:hAnsi="宋体" w:cs="Segoe UI Symbol"/>
                <w:kern w:val="0"/>
                <w:szCs w:val="21"/>
                <w:highlight w:val="none"/>
                <w:lang w:eastAsia="zh-CN"/>
              </w:rPr>
              <w:t>☑</w:t>
            </w:r>
            <w:r>
              <w:rPr>
                <w:rFonts w:hint="eastAsia" w:ascii="宋体" w:hAnsi="宋体" w:cs="Segoe UI Symbol"/>
                <w:kern w:val="0"/>
                <w:szCs w:val="21"/>
                <w:highlight w:val="none"/>
              </w:rPr>
              <w:t>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vMerge w:val="continue"/>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p>
        </w:tc>
        <w:tc>
          <w:tcPr>
            <w:tcW w:w="2090" w:type="dxa"/>
            <w:vMerge w:val="continue"/>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shd w:val="clear" w:color="auto" w:fill="FFFFFF"/>
              </w:rPr>
            </w:pPr>
          </w:p>
        </w:tc>
        <w:tc>
          <w:tcPr>
            <w:tcW w:w="5746" w:type="dxa"/>
            <w:shd w:val="clear" w:color="auto" w:fill="FFFFFF"/>
            <w:noWrap w:val="0"/>
            <w:vAlign w:val="center"/>
          </w:tcPr>
          <w:p>
            <w:pPr>
              <w:widowControl w:val="0"/>
              <w:autoSpaceDE w:val="0"/>
              <w:autoSpaceDN w:val="0"/>
              <w:adjustRightInd w:val="0"/>
              <w:snapToGrid w:val="0"/>
              <w:ind w:firstLine="0" w:firstLineChars="0"/>
              <w:rPr>
                <w:rFonts w:ascii="宋体" w:hAnsi="宋体" w:cs="Segoe UI Symbol"/>
                <w:kern w:val="0"/>
                <w:szCs w:val="21"/>
                <w:highlight w:val="none"/>
              </w:rPr>
            </w:pPr>
            <w:r>
              <w:rPr>
                <w:rFonts w:ascii="宋体" w:hAnsi="宋体" w:cs="Segoe UI Symbol"/>
                <w:kern w:val="0"/>
                <w:szCs w:val="21"/>
                <w:highlight w:val="none"/>
              </w:rPr>
              <w:t>履约担保的形式</w:t>
            </w:r>
            <w:r>
              <w:rPr>
                <w:rFonts w:hint="eastAsia" w:ascii="宋体" w:hAnsi="宋体" w:cs="Segoe UI Symbol"/>
                <w:kern w:val="0"/>
                <w:szCs w:val="21"/>
                <w:highlight w:val="none"/>
              </w:rPr>
              <w:t>：</w:t>
            </w:r>
            <w:r>
              <w:rPr>
                <w:rFonts w:hint="eastAsia" w:ascii="宋体" w:hAnsi="宋体" w:cs="Segoe UI Symbol"/>
                <w:kern w:val="0"/>
                <w:szCs w:val="21"/>
                <w:highlight w:val="none"/>
                <w:lang w:eastAsia="zh-CN"/>
              </w:rPr>
              <w:t>□</w:t>
            </w:r>
            <w:r>
              <w:rPr>
                <w:rFonts w:hint="eastAsia" w:ascii="宋体" w:hAnsi="宋体" w:cs="Segoe UI Symbol"/>
                <w:kern w:val="0"/>
                <w:szCs w:val="21"/>
                <w:highlight w:val="none"/>
              </w:rPr>
              <w:t>现金、转账</w:t>
            </w:r>
            <w:r>
              <w:rPr>
                <w:rFonts w:ascii="宋体" w:hAnsi="宋体" w:cs="Segoe UI Symbol"/>
                <w:kern w:val="0"/>
                <w:szCs w:val="21"/>
                <w:highlight w:val="none"/>
              </w:rPr>
              <w:t xml:space="preserve">  </w:t>
            </w:r>
            <w:r>
              <w:rPr>
                <w:rFonts w:hint="eastAsia" w:ascii="宋体" w:hAnsi="宋体" w:cs="Segoe UI Symbol"/>
                <w:kern w:val="0"/>
                <w:szCs w:val="21"/>
                <w:highlight w:val="none"/>
                <w:lang w:eastAsia="zh-CN"/>
              </w:rPr>
              <w:t>□</w:t>
            </w:r>
            <w:r>
              <w:rPr>
                <w:rFonts w:hint="eastAsia" w:ascii="宋体" w:hAnsi="宋体" w:cs="Segoe UI Symbol"/>
                <w:kern w:val="0"/>
                <w:szCs w:val="21"/>
                <w:highlight w:val="none"/>
              </w:rPr>
              <w:t>银行保函</w:t>
            </w:r>
          </w:p>
          <w:p>
            <w:pPr>
              <w:widowControl w:val="0"/>
              <w:autoSpaceDE w:val="0"/>
              <w:autoSpaceDN w:val="0"/>
              <w:adjustRightInd w:val="0"/>
              <w:snapToGrid w:val="0"/>
              <w:ind w:firstLine="0" w:firstLineChars="0"/>
              <w:rPr>
                <w:rFonts w:hint="default" w:ascii="宋体" w:hAnsi="宋体" w:eastAsia="宋体" w:cs="Segoe UI Symbol"/>
                <w:kern w:val="0"/>
                <w:szCs w:val="21"/>
                <w:highlight w:val="none"/>
                <w:u w:val="single"/>
                <w:lang w:val="en-US" w:eastAsia="zh-CN"/>
              </w:rPr>
            </w:pPr>
            <w:r>
              <w:rPr>
                <w:rFonts w:ascii="宋体" w:hAnsi="宋体" w:cs="Segoe UI Symbol"/>
                <w:kern w:val="0"/>
                <w:szCs w:val="21"/>
                <w:highlight w:val="none"/>
              </w:rPr>
              <w:t>履约担保的金额：</w:t>
            </w:r>
            <w:r>
              <w:rPr>
                <w:rFonts w:hint="eastAsia" w:ascii="宋体" w:hAnsi="宋体" w:cs="Segoe UI Symbol"/>
                <w:kern w:val="0"/>
                <w:szCs w:val="21"/>
                <w:highlight w:val="none"/>
                <w:u w:val="single"/>
                <w:lang w:val="en-US" w:eastAsia="zh-CN"/>
              </w:rPr>
              <w:t xml:space="preserve">      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9</w:t>
            </w:r>
            <w:r>
              <w:rPr>
                <w:rFonts w:ascii="宋体" w:hAnsi="宋体"/>
                <w:szCs w:val="21"/>
              </w:rPr>
              <w:t>.5</w:t>
            </w:r>
          </w:p>
        </w:tc>
        <w:tc>
          <w:tcPr>
            <w:tcW w:w="2090" w:type="dxa"/>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招标失败的</w:t>
            </w:r>
          </w:p>
          <w:p>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rPr>
              <w:t>其他情形</w:t>
            </w:r>
          </w:p>
        </w:tc>
        <w:tc>
          <w:tcPr>
            <w:tcW w:w="5746" w:type="dxa"/>
            <w:shd w:val="clear" w:color="auto" w:fill="FFFFFF"/>
            <w:noWrap w:val="0"/>
            <w:vAlign w:val="center"/>
          </w:tcPr>
          <w:p>
            <w:pPr>
              <w:pStyle w:val="18"/>
              <w:numPr>
                <w:ilvl w:val="0"/>
                <w:numId w:val="3"/>
              </w:numPr>
              <w:ind w:left="0" w:leftChars="0" w:firstLine="0" w:firstLineChars="0"/>
              <w:rPr>
                <w:rFonts w:ascii="宋体" w:hAnsi="宋体" w:cs="Segoe UI Symbol"/>
                <w:kern w:val="0"/>
                <w:szCs w:val="21"/>
              </w:rPr>
            </w:pPr>
            <w:r>
              <w:rPr>
                <w:rFonts w:hint="eastAsia"/>
                <w:lang w:eastAsia="zh-CN"/>
              </w:rPr>
              <w:t>因不可抗因素导致项目无法正常进行或坚持招标对招标人造成严重损失的。</w:t>
            </w:r>
          </w:p>
          <w:p>
            <w:pPr>
              <w:pStyle w:val="18"/>
              <w:numPr>
                <w:ilvl w:val="0"/>
                <w:numId w:val="3"/>
              </w:numPr>
              <w:ind w:left="0" w:leftChars="0" w:firstLine="0" w:firstLineChars="0"/>
              <w:rPr>
                <w:rFonts w:ascii="宋体" w:hAnsi="宋体" w:cs="Segoe UI Symbol"/>
                <w:kern w:val="0"/>
                <w:szCs w:val="21"/>
              </w:rPr>
            </w:pPr>
            <w:r>
              <w:rPr>
                <w:rFonts w:hint="eastAsia" w:ascii="Times New Roman" w:hAnsi="Times New Roman"/>
                <w:color w:val="auto"/>
                <w:kern w:val="2"/>
                <w:sz w:val="21"/>
                <w:szCs w:val="24"/>
                <w:lang w:val="en-US" w:eastAsia="zh-CN" w:bidi="ar-SA"/>
              </w:rPr>
              <w:t>评标委员会发现招标文件存在歧义、重大缺陷导致评标工作无法进行，或者招标文件内容违反国家有关强制性规定的。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noWrap w:val="0"/>
            <w:vAlign w:val="center"/>
          </w:tcPr>
          <w:p>
            <w:pPr>
              <w:widowControl w:val="0"/>
              <w:wordWrap w:val="0"/>
              <w:autoSpaceDE w:val="0"/>
              <w:autoSpaceDN w:val="0"/>
              <w:adjustRightInd w:val="0"/>
              <w:snapToGrid w:val="0"/>
              <w:ind w:firstLine="0" w:firstLineChars="0"/>
              <w:jc w:val="center"/>
              <w:rPr>
                <w:rFonts w:ascii="宋体" w:hAnsi="宋体"/>
                <w:szCs w:val="21"/>
              </w:rPr>
            </w:pPr>
            <w:r>
              <w:rPr>
                <w:rFonts w:hint="eastAsia" w:ascii="宋体" w:hAnsi="宋体"/>
                <w:szCs w:val="21"/>
              </w:rPr>
              <w:t>/</w:t>
            </w:r>
          </w:p>
        </w:tc>
        <w:tc>
          <w:tcPr>
            <w:tcW w:w="2090" w:type="dxa"/>
            <w:shd w:val="clear" w:color="auto" w:fill="FFFFFF"/>
            <w:noWrap w:val="0"/>
            <w:vAlign w:val="center"/>
          </w:tcPr>
          <w:p>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kern w:val="0"/>
                <w:szCs w:val="21"/>
              </w:rPr>
              <w:t>交易相关费用</w:t>
            </w:r>
          </w:p>
        </w:tc>
        <w:tc>
          <w:tcPr>
            <w:tcW w:w="5746" w:type="dxa"/>
            <w:shd w:val="clear" w:color="auto" w:fill="FFFFFF"/>
            <w:noWrap w:val="0"/>
            <w:vAlign w:val="center"/>
          </w:tcPr>
          <w:p>
            <w:pPr>
              <w:widowControl w:val="0"/>
              <w:autoSpaceDE w:val="0"/>
              <w:autoSpaceDN w:val="0"/>
              <w:adjustRightInd w:val="0"/>
              <w:snapToGrid w:val="0"/>
              <w:ind w:firstLine="0" w:firstLineChars="0"/>
              <w:rPr>
                <w:rFonts w:hint="eastAsia" w:ascii="宋体" w:hAnsi="宋体" w:eastAsia="宋体" w:cs="Segoe UI Symbol"/>
                <w:kern w:val="0"/>
                <w:szCs w:val="21"/>
                <w:lang w:val="en-US" w:eastAsia="zh-CN"/>
              </w:rPr>
            </w:pPr>
            <w:r>
              <w:rPr>
                <w:rFonts w:hint="eastAsia" w:ascii="宋体" w:hAnsi="宋体" w:cs="Segoe UI Symbol"/>
                <w:kern w:val="0"/>
                <w:szCs w:val="21"/>
                <w:lang w:val="en-US" w:eastAsia="zh-CN"/>
              </w:rPr>
              <w:t>不收费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noWrap w:val="0"/>
            <w:vAlign w:val="center"/>
          </w:tcPr>
          <w:p>
            <w:pPr>
              <w:widowControl w:val="0"/>
              <w:wordWrap w:val="0"/>
              <w:autoSpaceDE w:val="0"/>
              <w:autoSpaceDN w:val="0"/>
              <w:adjustRightInd w:val="0"/>
              <w:snapToGrid w:val="0"/>
              <w:ind w:firstLine="0" w:firstLineChars="0"/>
              <w:jc w:val="center"/>
              <w:rPr>
                <w:rFonts w:hint="eastAsia" w:ascii="宋体" w:hAnsi="宋体" w:eastAsia="宋体"/>
                <w:szCs w:val="21"/>
                <w:lang w:val="en-US" w:eastAsia="zh-CN"/>
              </w:rPr>
            </w:pPr>
            <w:r>
              <w:rPr>
                <w:rFonts w:hint="eastAsia" w:ascii="宋体" w:hAnsi="宋体"/>
                <w:szCs w:val="21"/>
                <w:lang w:val="en-US" w:eastAsia="zh-CN"/>
              </w:rPr>
              <w:t>/</w:t>
            </w:r>
          </w:p>
        </w:tc>
        <w:tc>
          <w:tcPr>
            <w:tcW w:w="2090" w:type="dxa"/>
            <w:shd w:val="clear" w:color="auto" w:fill="FFFFFF"/>
            <w:noWrap w:val="0"/>
            <w:vAlign w:val="center"/>
          </w:tcPr>
          <w:p>
            <w:pPr>
              <w:widowControl w:val="0"/>
              <w:autoSpaceDE w:val="0"/>
              <w:autoSpaceDN w:val="0"/>
              <w:adjustRightInd w:val="0"/>
              <w:snapToGrid w:val="0"/>
              <w:spacing w:beforeLines="0" w:afterLines="0"/>
              <w:ind w:firstLine="420" w:firstLineChars="200"/>
              <w:jc w:val="left"/>
              <w:rPr>
                <w:rFonts w:hint="eastAsia" w:ascii="宋体" w:hAnsi="宋体"/>
                <w:kern w:val="0"/>
                <w:szCs w:val="21"/>
              </w:rPr>
            </w:pPr>
            <w:r>
              <w:rPr>
                <w:rFonts w:hint="eastAsia" w:ascii="宋体" w:hAnsi="宋体"/>
                <w:kern w:val="0"/>
                <w:szCs w:val="21"/>
              </w:rPr>
              <w:t>账户信息</w:t>
            </w:r>
          </w:p>
        </w:tc>
        <w:tc>
          <w:tcPr>
            <w:tcW w:w="5746" w:type="dxa"/>
            <w:shd w:val="clear" w:color="auto" w:fill="FFFFFF"/>
            <w:noWrap w:val="0"/>
            <w:vAlign w:val="center"/>
          </w:tcPr>
          <w:p>
            <w:pPr>
              <w:pStyle w:val="2"/>
              <w:ind w:left="0" w:leftChars="0" w:firstLine="0" w:firstLineChars="0"/>
              <w:rPr>
                <w:rFonts w:hint="eastAsia" w:ascii="宋体" w:hAnsi="宋体" w:cs="Segoe UI Symbol"/>
                <w:kern w:val="0"/>
                <w:szCs w:val="21"/>
                <w:lang w:val="en-US" w:eastAsia="zh-CN"/>
              </w:rPr>
            </w:pPr>
            <w:r>
              <w:rPr>
                <w:rFonts w:hint="eastAsia"/>
              </w:rPr>
              <w:t>。</w:t>
            </w:r>
          </w:p>
        </w:tc>
      </w:tr>
    </w:tbl>
    <w:p>
      <w:pPr>
        <w:widowControl w:val="0"/>
        <w:autoSpaceDE w:val="0"/>
        <w:autoSpaceDN w:val="0"/>
        <w:adjustRightInd w:val="0"/>
        <w:snapToGrid w:val="0"/>
        <w:ind w:firstLine="420"/>
        <w:jc w:val="left"/>
        <w:rPr>
          <w:rFonts w:hint="eastAsia" w:ascii="宋体" w:hAnsi="宋体"/>
        </w:rPr>
      </w:pPr>
    </w:p>
    <w:bookmarkEnd w:id="43"/>
    <w:tbl>
      <w:tblPr>
        <w:tblStyle w:val="49"/>
        <w:tblW w:w="88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1008"/>
        <w:gridCol w:w="2102"/>
        <w:gridCol w:w="5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8856" w:type="dxa"/>
            <w:gridSpan w:val="3"/>
            <w:shd w:val="clear" w:color="auto" w:fill="D9E2F3"/>
            <w:noWrap w:val="0"/>
            <w:vAlign w:val="center"/>
          </w:tcPr>
          <w:p>
            <w:pPr>
              <w:widowControl w:val="0"/>
              <w:autoSpaceDE w:val="0"/>
              <w:autoSpaceDN w:val="0"/>
              <w:adjustRightInd w:val="0"/>
              <w:snapToGrid w:val="0"/>
              <w:ind w:firstLine="0" w:firstLineChars="0"/>
              <w:jc w:val="center"/>
              <w:rPr>
                <w:rFonts w:ascii="宋体" w:hAnsi="宋体"/>
                <w:sz w:val="32"/>
                <w:szCs w:val="32"/>
              </w:rPr>
            </w:pPr>
            <w:bookmarkStart w:id="44" w:name="_Hlk532140390"/>
            <w:bookmarkStart w:id="45" w:name="_Toc144974497"/>
            <w:bookmarkStart w:id="46" w:name="_Toc152045529"/>
            <w:bookmarkStart w:id="47" w:name="_Toc152042305"/>
            <w:r>
              <w:rPr>
                <w:rFonts w:hint="eastAsia" w:ascii="宋体" w:hAnsi="宋体"/>
                <w:b/>
                <w:sz w:val="32"/>
                <w:szCs w:val="32"/>
              </w:rPr>
              <w:t>投标人须知前附表（三）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08" w:type="dxa"/>
            <w:shd w:val="clear" w:color="auto" w:fill="auto"/>
            <w:noWrap w:val="0"/>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2102" w:type="dxa"/>
            <w:shd w:val="clear" w:color="auto" w:fill="auto"/>
            <w:noWrap w:val="0"/>
            <w:vAlign w:val="center"/>
          </w:tcPr>
          <w:p>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名称</w:t>
            </w:r>
          </w:p>
        </w:tc>
        <w:tc>
          <w:tcPr>
            <w:tcW w:w="5746" w:type="dxa"/>
            <w:shd w:val="clear" w:color="auto" w:fill="auto"/>
            <w:noWrap w:val="0"/>
            <w:vAlign w:val="center"/>
          </w:tcPr>
          <w:p>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08" w:type="dxa"/>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3.8.3</w:t>
            </w:r>
          </w:p>
        </w:tc>
        <w:tc>
          <w:tcPr>
            <w:tcW w:w="2102" w:type="dxa"/>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投标文件的</w:t>
            </w:r>
          </w:p>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编制</w:t>
            </w:r>
            <w:r>
              <w:rPr>
                <w:rFonts w:ascii="宋体" w:hAnsi="宋体"/>
                <w:szCs w:val="21"/>
              </w:rPr>
              <w:t>要求</w:t>
            </w:r>
          </w:p>
        </w:tc>
        <w:tc>
          <w:tcPr>
            <w:tcW w:w="5746" w:type="dxa"/>
            <w:shd w:val="clear" w:color="auto" w:fill="FFFFFF"/>
            <w:noWrap w:val="0"/>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将投标文件按照招标文件的节点要求</w:t>
            </w:r>
            <w:r>
              <w:rPr>
                <w:rFonts w:hint="eastAsia" w:ascii="宋体" w:hAnsi="宋体"/>
                <w:szCs w:val="21"/>
                <w:lang w:val="en-US" w:eastAsia="zh-CN"/>
              </w:rPr>
              <w:t>编制</w:t>
            </w:r>
            <w:r>
              <w:rPr>
                <w:rFonts w:hint="eastAsia" w:ascii="宋体" w:hAnsi="宋体"/>
                <w:szCs w:val="21"/>
              </w:rPr>
              <w:t>。因投标人原因导致</w:t>
            </w:r>
            <w:r>
              <w:rPr>
                <w:rFonts w:hint="eastAsia" w:ascii="宋体" w:hAnsi="宋体"/>
                <w:szCs w:val="21"/>
                <w:lang w:val="en-US" w:eastAsia="zh-CN"/>
              </w:rPr>
              <w:t>错误、</w:t>
            </w:r>
            <w:r>
              <w:rPr>
                <w:rFonts w:hint="eastAsia" w:ascii="宋体" w:hAnsi="宋体"/>
                <w:szCs w:val="21"/>
              </w:rPr>
              <w:t>漏</w:t>
            </w:r>
            <w:r>
              <w:rPr>
                <w:rFonts w:hint="eastAsia" w:ascii="宋体" w:hAnsi="宋体"/>
                <w:szCs w:val="21"/>
                <w:lang w:val="en-US" w:eastAsia="zh-CN"/>
              </w:rPr>
              <w:t>项</w:t>
            </w:r>
            <w:r>
              <w:rPr>
                <w:rFonts w:hint="eastAsia" w:ascii="宋体" w:hAnsi="宋体"/>
                <w:szCs w:val="21"/>
              </w:rPr>
              <w:t>、内容模糊的相应后果，由投标人自行承担。</w:t>
            </w: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其他要求：</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lang w:val="en-US" w:eastAsia="zh-CN"/>
              </w:rPr>
              <w:t>/</w:t>
            </w:r>
            <w:r>
              <w:rPr>
                <w:rFonts w:ascii="宋体" w:hAnsi="宋体"/>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08" w:type="dxa"/>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4.1.1</w:t>
            </w:r>
          </w:p>
        </w:tc>
        <w:tc>
          <w:tcPr>
            <w:tcW w:w="2102" w:type="dxa"/>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投标文件的</w:t>
            </w:r>
          </w:p>
          <w:p>
            <w:pPr>
              <w:widowControl w:val="0"/>
              <w:autoSpaceDE w:val="0"/>
              <w:autoSpaceDN w:val="0"/>
              <w:adjustRightInd w:val="0"/>
              <w:snapToGrid w:val="0"/>
              <w:ind w:firstLine="0" w:firstLineChars="0"/>
              <w:jc w:val="center"/>
              <w:rPr>
                <w:rFonts w:hint="eastAsia" w:ascii="宋体" w:hAnsi="宋体" w:eastAsia="宋体"/>
                <w:szCs w:val="21"/>
                <w:lang w:eastAsia="zh-CN"/>
              </w:rPr>
            </w:pPr>
            <w:r>
              <w:rPr>
                <w:rFonts w:hint="eastAsia" w:ascii="宋体" w:hAnsi="宋体"/>
                <w:szCs w:val="21"/>
                <w:lang w:val="en-US" w:eastAsia="zh-CN"/>
              </w:rPr>
              <w:t>密封</w:t>
            </w:r>
          </w:p>
        </w:tc>
        <w:tc>
          <w:tcPr>
            <w:tcW w:w="5746" w:type="dxa"/>
            <w:shd w:val="clear" w:color="auto" w:fill="FFFFFF"/>
            <w:noWrap w:val="0"/>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lang w:val="en-US" w:eastAsia="zh-CN"/>
              </w:rPr>
              <w:t>投标文件需密封袋装并加盖企业公章</w:t>
            </w:r>
            <w:r>
              <w:rPr>
                <w:rFonts w:hint="eastAsia"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08" w:type="dxa"/>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4.2</w:t>
            </w:r>
            <w:r>
              <w:rPr>
                <w:rFonts w:ascii="宋体" w:hAnsi="宋体"/>
                <w:szCs w:val="21"/>
              </w:rPr>
              <w:t>.5</w:t>
            </w:r>
          </w:p>
        </w:tc>
        <w:tc>
          <w:tcPr>
            <w:tcW w:w="2102" w:type="dxa"/>
            <w:shd w:val="clear" w:color="auto" w:fill="FFFFFF"/>
            <w:noWrap w:val="0"/>
            <w:vAlign w:val="center"/>
          </w:tcPr>
          <w:p>
            <w:pPr>
              <w:widowControl w:val="0"/>
              <w:autoSpaceDE w:val="0"/>
              <w:autoSpaceDN w:val="0"/>
              <w:adjustRightInd w:val="0"/>
              <w:snapToGrid w:val="0"/>
              <w:ind w:firstLine="0" w:firstLineChars="0"/>
              <w:jc w:val="both"/>
              <w:rPr>
                <w:rFonts w:ascii="宋体" w:hAnsi="宋体"/>
                <w:szCs w:val="21"/>
              </w:rPr>
            </w:pPr>
            <w:r>
              <w:rPr>
                <w:rFonts w:ascii="宋体" w:hAnsi="宋体"/>
                <w:szCs w:val="21"/>
              </w:rPr>
              <w:t>投标文件递交的要求</w:t>
            </w:r>
          </w:p>
        </w:tc>
        <w:tc>
          <w:tcPr>
            <w:tcW w:w="5746" w:type="dxa"/>
            <w:shd w:val="clear" w:color="auto" w:fill="FFFFFF"/>
            <w:noWrap w:val="0"/>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投标人应在投标截止时间前</w:t>
            </w:r>
            <w:r>
              <w:rPr>
                <w:rFonts w:hint="eastAsia" w:ascii="宋体" w:hAnsi="宋体"/>
                <w:szCs w:val="21"/>
                <w:lang w:val="en-US" w:eastAsia="zh-CN"/>
              </w:rPr>
              <w:t>向招标人</w:t>
            </w:r>
            <w:r>
              <w:rPr>
                <w:rFonts w:hint="eastAsia" w:ascii="宋体" w:hAnsi="宋体"/>
                <w:szCs w:val="21"/>
              </w:rPr>
              <w:t>递交</w:t>
            </w:r>
            <w:r>
              <w:rPr>
                <w:rFonts w:hint="eastAsia" w:ascii="宋体" w:hAnsi="宋体"/>
                <w:szCs w:val="21"/>
                <w:lang w:val="en-US" w:eastAsia="zh-CN"/>
              </w:rPr>
              <w:t>符合要求的</w:t>
            </w:r>
            <w:r>
              <w:rPr>
                <w:rFonts w:hint="eastAsia" w:ascii="宋体" w:hAnsi="宋体"/>
                <w:szCs w:val="21"/>
              </w:rPr>
              <w:t>投标文件</w:t>
            </w:r>
            <w:r>
              <w:rPr>
                <w:rFonts w:hint="eastAsia" w:ascii="宋体" w:hAnsi="宋体"/>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856" w:type="dxa"/>
            <w:gridSpan w:val="3"/>
            <w:tcBorders>
              <w:bottom w:val="single" w:color="000000" w:sz="4" w:space="0"/>
            </w:tcBorders>
            <w:shd w:val="clear" w:color="auto" w:fill="D9E2F3"/>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b/>
                <w:szCs w:val="21"/>
              </w:rPr>
              <w:t>需要</w:t>
            </w:r>
            <w:r>
              <w:rPr>
                <w:rFonts w:ascii="宋体" w:hAnsi="宋体"/>
                <w:b/>
                <w:szCs w:val="21"/>
              </w:rPr>
              <w:t>补充</w:t>
            </w:r>
            <w:r>
              <w:rPr>
                <w:rFonts w:hint="eastAsia" w:ascii="宋体" w:hAnsi="宋体"/>
                <w:b/>
                <w:szCs w:val="21"/>
              </w:rPr>
              <w:t>或修改的其他</w:t>
            </w:r>
            <w:r>
              <w:rPr>
                <w:rFonts w:ascii="宋体" w:hAnsi="宋体"/>
                <w:b/>
                <w:szCs w:val="21"/>
              </w:rPr>
              <w:t>内容</w:t>
            </w:r>
            <w:r>
              <w:rPr>
                <w:rFonts w:hint="eastAsia" w:ascii="宋体" w:hAnsi="宋体"/>
                <w:b/>
                <w:szCs w:val="21"/>
              </w:rPr>
              <w:t>（前后不一致的以此为准）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08" w:type="dxa"/>
            <w:shd w:val="clear" w:color="auto" w:fill="D9E2F3"/>
            <w:noWrap w:val="0"/>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2102" w:type="dxa"/>
            <w:shd w:val="clear" w:color="auto" w:fill="D9E2F3"/>
            <w:noWrap w:val="0"/>
            <w:vAlign w:val="center"/>
          </w:tcPr>
          <w:p>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名称</w:t>
            </w:r>
          </w:p>
        </w:tc>
        <w:tc>
          <w:tcPr>
            <w:tcW w:w="5746" w:type="dxa"/>
            <w:shd w:val="clear" w:color="auto" w:fill="D9E2F3"/>
            <w:noWrap w:val="0"/>
            <w:vAlign w:val="center"/>
          </w:tcPr>
          <w:p>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08" w:type="dxa"/>
            <w:vMerge w:val="restart"/>
            <w:tcBorders>
              <w:right w:val="single" w:color="auto" w:sz="4" w:space="0"/>
            </w:tcBorders>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11.1</w:t>
            </w:r>
          </w:p>
        </w:tc>
        <w:tc>
          <w:tcPr>
            <w:tcW w:w="2102" w:type="dxa"/>
            <w:tcBorders>
              <w:left w:val="single" w:color="auto" w:sz="4" w:space="0"/>
              <w:bottom w:val="single" w:color="000000" w:sz="4" w:space="0"/>
            </w:tcBorders>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投标样品</w:t>
            </w:r>
          </w:p>
        </w:tc>
        <w:tc>
          <w:tcPr>
            <w:tcW w:w="5746" w:type="dxa"/>
            <w:tcBorders>
              <w:bottom w:val="single" w:color="000000" w:sz="4" w:space="0"/>
            </w:tcBorders>
            <w:shd w:val="clear" w:color="auto" w:fill="FFFFFF"/>
            <w:noWrap w:val="0"/>
            <w:vAlign w:val="center"/>
          </w:tcPr>
          <w:p>
            <w:pPr>
              <w:widowControl w:val="0"/>
              <w:autoSpaceDE w:val="0"/>
              <w:autoSpaceDN w:val="0"/>
              <w:adjustRightInd w:val="0"/>
              <w:snapToGrid w:val="0"/>
              <w:ind w:firstLine="0" w:firstLineChars="0"/>
              <w:jc w:val="left"/>
              <w:rPr>
                <w:rFonts w:ascii="宋体" w:hAnsi="宋体"/>
                <w:szCs w:val="21"/>
              </w:rPr>
            </w:pPr>
            <w:r>
              <w:rPr>
                <w:rFonts w:hint="eastAsia" w:ascii="Segoe UI Symbol" w:hAnsi="Segoe UI Symbol" w:cs="Segoe UI Symbol"/>
                <w:kern w:val="0"/>
                <w:szCs w:val="21"/>
                <w:lang w:eastAsia="zh-CN"/>
              </w:rPr>
              <w:t>☑</w:t>
            </w:r>
            <w:r>
              <w:rPr>
                <w:rFonts w:hint="eastAsia" w:ascii="宋体" w:hAnsi="宋体"/>
                <w:szCs w:val="21"/>
              </w:rPr>
              <w:t>不要求递交投标样品</w:t>
            </w: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lang w:eastAsia="zh-CN"/>
              </w:rPr>
              <w:t>□</w:t>
            </w:r>
            <w:r>
              <w:rPr>
                <w:rFonts w:hint="eastAsia" w:ascii="宋体" w:hAnsi="宋体"/>
                <w:szCs w:val="21"/>
              </w:rPr>
              <w:t>递交投标样品，具体要求：</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08" w:type="dxa"/>
            <w:vMerge w:val="continue"/>
            <w:tcBorders>
              <w:right w:val="single" w:color="auto" w:sz="4" w:space="0"/>
            </w:tcBorders>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p>
        </w:tc>
        <w:tc>
          <w:tcPr>
            <w:tcW w:w="2102" w:type="dxa"/>
            <w:tcBorders>
              <w:left w:val="single" w:color="auto" w:sz="4" w:space="0"/>
              <w:bottom w:val="single" w:color="000000" w:sz="4" w:space="0"/>
            </w:tcBorders>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投标方案演示</w:t>
            </w:r>
          </w:p>
        </w:tc>
        <w:tc>
          <w:tcPr>
            <w:tcW w:w="5746" w:type="dxa"/>
            <w:tcBorders>
              <w:bottom w:val="single" w:color="000000" w:sz="4" w:space="0"/>
            </w:tcBorders>
            <w:shd w:val="clear" w:color="auto" w:fill="FFFFFF"/>
            <w:noWrap w:val="0"/>
            <w:vAlign w:val="center"/>
          </w:tcPr>
          <w:p>
            <w:pPr>
              <w:widowControl w:val="0"/>
              <w:autoSpaceDE w:val="0"/>
              <w:autoSpaceDN w:val="0"/>
              <w:adjustRightInd w:val="0"/>
              <w:snapToGrid w:val="0"/>
              <w:ind w:firstLine="0" w:firstLineChars="0"/>
              <w:jc w:val="left"/>
              <w:rPr>
                <w:rFonts w:ascii="宋体" w:hAnsi="宋体"/>
                <w:szCs w:val="21"/>
              </w:rPr>
            </w:pPr>
            <w:r>
              <w:rPr>
                <w:rFonts w:hint="eastAsia" w:ascii="Segoe UI Symbol" w:hAnsi="Segoe UI Symbol" w:cs="Segoe UI Symbol"/>
                <w:kern w:val="0"/>
                <w:szCs w:val="21"/>
                <w:lang w:eastAsia="zh-CN"/>
              </w:rPr>
              <w:t>☑</w:t>
            </w:r>
            <w:r>
              <w:rPr>
                <w:rFonts w:hint="eastAsia" w:ascii="宋体" w:hAnsi="宋体"/>
                <w:szCs w:val="21"/>
              </w:rPr>
              <w:t>不要求进行方案演示</w:t>
            </w: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□要求进行方案演示，具体要求：</w:t>
            </w:r>
            <w:r>
              <w:rPr>
                <w:rFonts w:hint="eastAsia" w:ascii="宋体" w:hAnsi="宋体"/>
                <w:szCs w:val="21"/>
                <w:u w:val="single"/>
              </w:rPr>
              <w:t xml:space="preserve"> </w:t>
            </w:r>
            <w:r>
              <w:rPr>
                <w:rFonts w:ascii="宋体" w:hAnsi="宋体"/>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1" w:hRule="atLeast"/>
        </w:trPr>
        <w:tc>
          <w:tcPr>
            <w:tcW w:w="1008" w:type="dxa"/>
            <w:vMerge w:val="continue"/>
            <w:tcBorders>
              <w:bottom w:val="single" w:color="000000" w:sz="4" w:space="0"/>
              <w:right w:val="single" w:color="auto" w:sz="4" w:space="0"/>
            </w:tcBorders>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p>
        </w:tc>
        <w:tc>
          <w:tcPr>
            <w:tcW w:w="2102" w:type="dxa"/>
            <w:tcBorders>
              <w:left w:val="single" w:color="auto" w:sz="4" w:space="0"/>
              <w:bottom w:val="single" w:color="000000" w:sz="4" w:space="0"/>
            </w:tcBorders>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公开招标失败的处理</w:t>
            </w:r>
          </w:p>
        </w:tc>
        <w:tc>
          <w:tcPr>
            <w:tcW w:w="5746" w:type="dxa"/>
            <w:tcBorders>
              <w:bottom w:val="single" w:color="000000" w:sz="4" w:space="0"/>
            </w:tcBorders>
            <w:shd w:val="clear" w:color="auto" w:fill="FFFFFF"/>
            <w:noWrap w:val="0"/>
            <w:vAlign w:val="center"/>
          </w:tcPr>
          <w:p>
            <w:pPr>
              <w:ind w:left="0" w:leftChars="0" w:firstLine="0" w:firstLineChars="0"/>
              <w:rPr>
                <w:rFonts w:ascii="宋体" w:hAnsi="宋体"/>
              </w:rPr>
            </w:pPr>
            <w:r>
              <w:rPr>
                <w:rFonts w:hint="eastAsia" w:ascii="宋体" w:hAnsi="宋体"/>
                <w:szCs w:val="21"/>
                <w:lang w:val="en-US" w:eastAsia="zh-CN"/>
              </w:rPr>
              <w:t>1、</w:t>
            </w:r>
            <w:r>
              <w:rPr>
                <w:rFonts w:hint="eastAsia" w:ascii="宋体" w:hAnsi="宋体"/>
                <w:szCs w:val="21"/>
              </w:rPr>
              <w:t>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评审对招标文件作实质响应的供应商不足等原因造成公开招标失败，可由招标机构重新组织采购。</w:t>
            </w:r>
          </w:p>
          <w:p>
            <w:pPr>
              <w:ind w:left="0" w:leftChars="0" w:firstLine="0" w:firstLineChars="0"/>
              <w:rPr>
                <w:rFonts w:ascii="宋体" w:hAnsi="宋体"/>
                <w:szCs w:val="21"/>
              </w:rPr>
            </w:pPr>
            <w:r>
              <w:rPr>
                <w:rFonts w:hint="eastAsia" w:ascii="宋体" w:hAnsi="宋体"/>
                <w:szCs w:val="21"/>
                <w:lang w:val="en-US" w:eastAsia="zh-CN"/>
              </w:rPr>
              <w:t>2、</w:t>
            </w:r>
            <w:r>
              <w:rPr>
                <w:rFonts w:hint="eastAsia" w:ascii="宋体" w:hAnsi="宋体"/>
                <w:szCs w:val="21"/>
              </w:rPr>
              <w:t>对公开招标失败的项目，评审委员会在出具该项目招标失败结论的同时，提出重新采购组织形式的建议，以及进一步完善招标文件的资格、技术、商务要求的修改建议。</w:t>
            </w:r>
          </w:p>
          <w:p>
            <w:pPr>
              <w:ind w:left="0" w:leftChars="0" w:firstLine="0" w:firstLineChars="0"/>
              <w:rPr>
                <w:rFonts w:ascii="宋体" w:hAnsi="宋体"/>
                <w:szCs w:val="21"/>
              </w:rPr>
            </w:pPr>
            <w:r>
              <w:rPr>
                <w:rFonts w:hint="eastAsia" w:ascii="宋体" w:hAnsi="宋体"/>
                <w:szCs w:val="21"/>
              </w:rPr>
              <w:t>3</w:t>
            </w:r>
            <w:r>
              <w:rPr>
                <w:rFonts w:hint="eastAsia" w:ascii="宋体" w:hAnsi="宋体"/>
                <w:szCs w:val="21"/>
                <w:lang w:eastAsia="zh-CN"/>
              </w:rPr>
              <w:t>、</w:t>
            </w:r>
            <w:r>
              <w:rPr>
                <w:rFonts w:hint="eastAsia" w:ascii="宋体" w:hAnsi="宋体"/>
                <w:szCs w:val="21"/>
              </w:rPr>
              <w:t>重新组织采购有以下两种组织形式：</w:t>
            </w:r>
          </w:p>
          <w:p>
            <w:pPr>
              <w:ind w:left="0" w:leftChars="0" w:firstLine="0" w:firstLineChars="0"/>
              <w:rPr>
                <w:rFonts w:ascii="宋体" w:hAnsi="宋体"/>
              </w:rPr>
            </w:pPr>
            <w:r>
              <w:rPr>
                <w:rFonts w:hint="eastAsia" w:ascii="宋体" w:hAnsi="宋体"/>
              </w:rPr>
              <w:t>（1）由</w:t>
            </w:r>
            <w:r>
              <w:rPr>
                <w:rFonts w:hint="eastAsia" w:ascii="宋体" w:hAnsi="宋体"/>
                <w:szCs w:val="21"/>
                <w:lang w:val="en-US" w:eastAsia="zh-CN"/>
              </w:rPr>
              <w:t>采购人</w:t>
            </w:r>
            <w:r>
              <w:rPr>
                <w:rFonts w:hint="eastAsia" w:ascii="宋体" w:hAnsi="宋体"/>
              </w:rPr>
              <w:t>重新组织公开招标；</w:t>
            </w:r>
          </w:p>
          <w:p>
            <w:pPr>
              <w:ind w:left="0" w:leftChars="0" w:firstLine="0" w:firstLineChars="0"/>
              <w:rPr>
                <w:rFonts w:ascii="宋体" w:hAnsi="宋体" w:cs="MS Mincho"/>
                <w:kern w:val="0"/>
                <w:szCs w:val="21"/>
              </w:rPr>
            </w:pPr>
            <w:r>
              <w:rPr>
                <w:rFonts w:hint="eastAsia" w:ascii="宋体" w:hAnsi="宋体"/>
              </w:rPr>
              <w:t>（2）根据实际情况需要向监督管理部门提出非公开招标方式申请，经相关部门批准，公开招标失败采购项目可转为竞争性谈判或单一来源谈判方式采购。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8856" w:type="dxa"/>
            <w:gridSpan w:val="3"/>
            <w:shd w:val="clear" w:color="auto" w:fill="D9E2F3"/>
            <w:noWrap w:val="0"/>
            <w:vAlign w:val="center"/>
          </w:tcPr>
          <w:p>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投标文件的编制内容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08" w:type="dxa"/>
            <w:shd w:val="clear" w:color="auto" w:fill="auto"/>
            <w:noWrap w:val="0"/>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w:t>
            </w:r>
            <w:r>
              <w:rPr>
                <w:rFonts w:ascii="宋体" w:hAnsi="宋体"/>
                <w:b/>
                <w:szCs w:val="21"/>
              </w:rPr>
              <w:t>号</w:t>
            </w:r>
          </w:p>
        </w:tc>
        <w:tc>
          <w:tcPr>
            <w:tcW w:w="2102" w:type="dxa"/>
            <w:shd w:val="clear" w:color="auto" w:fill="auto"/>
            <w:noWrap w:val="0"/>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内容</w:t>
            </w:r>
          </w:p>
        </w:tc>
        <w:tc>
          <w:tcPr>
            <w:tcW w:w="5746" w:type="dxa"/>
            <w:shd w:val="clear" w:color="auto" w:fill="auto"/>
            <w:noWrap w:val="0"/>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08" w:type="dxa"/>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3.1.1</w:t>
            </w:r>
          </w:p>
        </w:tc>
        <w:tc>
          <w:tcPr>
            <w:tcW w:w="2102" w:type="dxa"/>
            <w:tcBorders>
              <w:bottom w:val="single" w:color="auto" w:sz="4" w:space="0"/>
            </w:tcBorders>
            <w:shd w:val="clear" w:color="auto" w:fill="FFFFFF"/>
            <w:noWrap w:val="0"/>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cs="Courier New"/>
                <w:kern w:val="0"/>
                <w:szCs w:val="21"/>
              </w:rPr>
              <w:t>投标文件组成</w:t>
            </w:r>
          </w:p>
        </w:tc>
        <w:tc>
          <w:tcPr>
            <w:tcW w:w="5746" w:type="dxa"/>
            <w:shd w:val="clear" w:color="auto" w:fill="FFFFFF"/>
            <w:noWrap w:val="0"/>
            <w:vAlign w:val="center"/>
          </w:tcPr>
          <w:p>
            <w:pPr>
              <w:widowControl w:val="0"/>
              <w:autoSpaceDE w:val="0"/>
              <w:autoSpaceDN w:val="0"/>
              <w:adjustRightInd w:val="0"/>
              <w:snapToGrid w:val="0"/>
              <w:ind w:firstLine="0" w:firstLineChars="0"/>
              <w:jc w:val="left"/>
              <w:rPr>
                <w:rFonts w:ascii="宋体" w:hAnsi="宋体" w:cs="Courier New"/>
                <w:b/>
                <w:kern w:val="0"/>
                <w:szCs w:val="21"/>
              </w:rPr>
            </w:pPr>
            <w:r>
              <w:rPr>
                <w:rFonts w:hint="eastAsia" w:ascii="宋体" w:hAnsi="宋体" w:cs="Courier New"/>
                <w:kern w:val="0"/>
                <w:szCs w:val="21"/>
              </w:rPr>
              <w:t>投标文件包含以下组成部分</w:t>
            </w:r>
            <w:r>
              <w:rPr>
                <w:rFonts w:hint="eastAsia" w:ascii="宋体" w:hAnsi="宋体" w:cs="Courier New"/>
                <w:b/>
                <w:kern w:val="0"/>
                <w:szCs w:val="21"/>
              </w:rPr>
              <w:t>：</w:t>
            </w:r>
          </w:p>
          <w:p>
            <w:pPr>
              <w:widowControl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Courier New"/>
                <w:kern w:val="0"/>
                <w:szCs w:val="21"/>
                <w:lang w:eastAsia="zh-CN"/>
              </w:rPr>
              <w:t>☑</w:t>
            </w:r>
            <w:r>
              <w:rPr>
                <w:rFonts w:hint="eastAsia" w:ascii="宋体" w:hAnsi="宋体" w:cs="Courier New"/>
                <w:kern w:val="0"/>
                <w:szCs w:val="21"/>
              </w:rPr>
              <w:t>资格审查文件</w:t>
            </w:r>
          </w:p>
          <w:p>
            <w:pPr>
              <w:widowControl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Courier New"/>
                <w:kern w:val="0"/>
                <w:szCs w:val="21"/>
                <w:lang w:eastAsia="zh-CN"/>
              </w:rPr>
              <w:t>☑</w:t>
            </w:r>
            <w:r>
              <w:rPr>
                <w:rFonts w:hint="eastAsia" w:ascii="宋体" w:hAnsi="宋体" w:cs="Courier New"/>
                <w:kern w:val="0"/>
                <w:szCs w:val="21"/>
              </w:rPr>
              <w:t>商务标部分</w:t>
            </w:r>
          </w:p>
          <w:p>
            <w:pPr>
              <w:widowControl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Courier New"/>
                <w:kern w:val="0"/>
                <w:szCs w:val="21"/>
                <w:lang w:eastAsia="zh-CN"/>
              </w:rPr>
              <w:t>☑</w:t>
            </w:r>
            <w:r>
              <w:rPr>
                <w:rFonts w:hint="eastAsia" w:ascii="宋体" w:hAnsi="宋体" w:cs="Courier New"/>
                <w:kern w:val="0"/>
                <w:szCs w:val="21"/>
              </w:rPr>
              <w:t>技术标部分</w:t>
            </w:r>
          </w:p>
          <w:p>
            <w:pPr>
              <w:widowControl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Courier New"/>
                <w:kern w:val="0"/>
                <w:szCs w:val="21"/>
                <w:lang w:eastAsia="zh-CN"/>
              </w:rPr>
              <w:t>☑</w:t>
            </w:r>
            <w:r>
              <w:rPr>
                <w:rFonts w:hint="eastAsia" w:ascii="宋体" w:hAnsi="宋体" w:cs="Courier New"/>
                <w:kern w:val="0"/>
                <w:szCs w:val="21"/>
              </w:rPr>
              <w:t>价格标部分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8856" w:type="dxa"/>
            <w:gridSpan w:val="3"/>
            <w:shd w:val="clear" w:color="auto" w:fill="FFFFFF"/>
            <w:noWrap w:val="0"/>
            <w:vAlign w:val="center"/>
          </w:tcPr>
          <w:p>
            <w:pPr>
              <w:widowControl w:val="0"/>
              <w:autoSpaceDE w:val="0"/>
              <w:autoSpaceDN w:val="0"/>
              <w:adjustRightInd w:val="0"/>
              <w:snapToGrid w:val="0"/>
              <w:ind w:firstLine="0" w:firstLineChars="0"/>
              <w:jc w:val="left"/>
              <w:rPr>
                <w:rFonts w:ascii="宋体" w:hAnsi="宋体"/>
                <w:b/>
                <w:bCs/>
                <w:snapToGrid w:val="0"/>
                <w:kern w:val="0"/>
                <w:szCs w:val="21"/>
              </w:rPr>
            </w:pPr>
            <w:r>
              <w:rPr>
                <w:rFonts w:hint="eastAsia" w:ascii="宋体" w:hAnsi="宋体"/>
                <w:b/>
                <w:bCs/>
                <w:snapToGrid w:val="0"/>
                <w:kern w:val="0"/>
                <w:szCs w:val="21"/>
              </w:rPr>
              <w:t>备注：</w:t>
            </w:r>
          </w:p>
          <w:p>
            <w:pPr>
              <w:widowControl w:val="0"/>
              <w:autoSpaceDE w:val="0"/>
              <w:autoSpaceDN w:val="0"/>
              <w:adjustRightInd w:val="0"/>
              <w:snapToGrid w:val="0"/>
              <w:ind w:firstLine="0" w:firstLineChars="0"/>
              <w:jc w:val="left"/>
              <w:rPr>
                <w:rFonts w:ascii="宋体" w:hAnsi="宋体"/>
                <w:bCs/>
                <w:snapToGrid w:val="0"/>
                <w:kern w:val="0"/>
                <w:szCs w:val="21"/>
              </w:rPr>
            </w:pPr>
            <w:r>
              <w:rPr>
                <w:rFonts w:hint="eastAsia" w:ascii="宋体" w:hAnsi="宋体"/>
                <w:bCs/>
                <w:snapToGrid w:val="0"/>
                <w:kern w:val="0"/>
                <w:szCs w:val="21"/>
              </w:rPr>
              <w:t>本表如出现前后不一的缺漏情况，以招标文件中列明较多的为准，如出现名称不一致的情况以投标文件格式的名称为准。</w:t>
            </w:r>
          </w:p>
        </w:tc>
      </w:tr>
    </w:tbl>
    <w:p>
      <w:pPr>
        <w:widowControl w:val="0"/>
        <w:autoSpaceDE w:val="0"/>
        <w:autoSpaceDN w:val="0"/>
        <w:adjustRightInd w:val="0"/>
        <w:snapToGrid w:val="0"/>
        <w:ind w:firstLine="0" w:firstLineChars="0"/>
        <w:jc w:val="left"/>
        <w:rPr>
          <w:rFonts w:hint="eastAsia" w:ascii="宋体" w:hAnsi="宋体"/>
        </w:rPr>
      </w:pPr>
    </w:p>
    <w:p>
      <w:pPr>
        <w:widowControl w:val="0"/>
        <w:autoSpaceDE w:val="0"/>
        <w:autoSpaceDN w:val="0"/>
        <w:adjustRightInd w:val="0"/>
        <w:snapToGrid w:val="0"/>
        <w:ind w:firstLine="0" w:firstLineChars="0"/>
        <w:jc w:val="left"/>
        <w:rPr>
          <w:rFonts w:ascii="宋体" w:hAnsi="宋体"/>
          <w:b/>
          <w:sz w:val="32"/>
          <w:szCs w:val="32"/>
        </w:rPr>
      </w:pPr>
      <w:r>
        <w:rPr>
          <w:rFonts w:ascii="宋体" w:hAnsi="宋体"/>
          <w:sz w:val="28"/>
        </w:rPr>
        <w:br w:type="page"/>
      </w:r>
    </w:p>
    <w:p>
      <w:pPr>
        <w:widowControl w:val="0"/>
        <w:autoSpaceDE w:val="0"/>
        <w:autoSpaceDN w:val="0"/>
        <w:adjustRightInd w:val="0"/>
        <w:snapToGrid w:val="0"/>
        <w:ind w:firstLine="0" w:firstLineChars="0"/>
        <w:jc w:val="center"/>
        <w:outlineLvl w:val="1"/>
        <w:rPr>
          <w:rFonts w:ascii="宋体" w:hAnsi="宋体"/>
          <w:sz w:val="28"/>
        </w:rPr>
      </w:pPr>
      <w:bookmarkStart w:id="48" w:name="_Toc49247155"/>
      <w:r>
        <w:rPr>
          <w:rFonts w:hint="eastAsia" w:ascii="宋体" w:hAnsi="宋体"/>
          <w:b/>
          <w:sz w:val="32"/>
          <w:szCs w:val="32"/>
        </w:rPr>
        <w:t>第二节 否决性条款摘要</w:t>
      </w:r>
      <w:bookmarkEnd w:id="48"/>
    </w:p>
    <w:p>
      <w:pPr>
        <w:widowControl w:val="0"/>
        <w:autoSpaceDE w:val="0"/>
        <w:autoSpaceDN w:val="0"/>
        <w:adjustRightInd w:val="0"/>
        <w:snapToGrid w:val="0"/>
        <w:ind w:firstLine="0" w:firstLineChars="0"/>
        <w:jc w:val="left"/>
        <w:rPr>
          <w:rFonts w:ascii="宋体" w:hAnsi="宋体"/>
          <w:bCs/>
          <w:szCs w:val="21"/>
        </w:rPr>
      </w:pPr>
      <w:r>
        <w:rPr>
          <w:rFonts w:hint="eastAsia" w:ascii="宋体" w:hAnsi="宋体"/>
          <w:b/>
          <w:bCs/>
          <w:szCs w:val="21"/>
        </w:rPr>
        <w:t>提示投标人和评标</w:t>
      </w:r>
      <w:r>
        <w:rPr>
          <w:rFonts w:hint="eastAsia" w:ascii="宋体" w:hAnsi="宋体"/>
          <w:b/>
          <w:bCs/>
          <w:szCs w:val="21"/>
          <w:lang w:val="en-US" w:eastAsia="zh-CN"/>
        </w:rPr>
        <w:t>小组</w:t>
      </w:r>
      <w:r>
        <w:rPr>
          <w:rFonts w:hint="eastAsia" w:ascii="宋体" w:hAnsi="宋体"/>
          <w:bCs/>
          <w:szCs w:val="21"/>
        </w:rPr>
        <w:t>：本部分内容是本项目招标文件中涉及的所有否决性条款的汇总，否决性条款包括：投标文件不予受理的情形和废标条款。招标文件中有关否决性条款的阐述与本节不一致的，以本节内容为准。除出现以下情形外，投标文件的其他任何情形均不得作否决处理。</w:t>
      </w:r>
    </w:p>
    <w:p>
      <w:pPr>
        <w:widowControl w:val="0"/>
        <w:autoSpaceDE w:val="0"/>
        <w:autoSpaceDN w:val="0"/>
        <w:adjustRightInd w:val="0"/>
        <w:snapToGrid w:val="0"/>
        <w:ind w:firstLine="0" w:firstLineChars="0"/>
        <w:jc w:val="left"/>
        <w:rPr>
          <w:rFonts w:ascii="宋体" w:hAnsi="宋体"/>
          <w:b/>
          <w:bCs/>
          <w:sz w:val="24"/>
          <w:szCs w:val="21"/>
        </w:rPr>
      </w:pPr>
    </w:p>
    <w:bookmarkEnd w:id="44"/>
    <w:p>
      <w:pPr>
        <w:pStyle w:val="263"/>
        <w:widowControl w:val="0"/>
        <w:numPr>
          <w:ilvl w:val="0"/>
          <w:numId w:val="4"/>
        </w:numPr>
        <w:autoSpaceDE w:val="0"/>
        <w:autoSpaceDN w:val="0"/>
        <w:adjustRightInd w:val="0"/>
        <w:snapToGrid w:val="0"/>
        <w:ind w:firstLineChars="0"/>
        <w:jc w:val="left"/>
        <w:rPr>
          <w:rFonts w:ascii="宋体" w:hAnsi="宋体"/>
          <w:b/>
          <w:bCs/>
          <w:szCs w:val="21"/>
        </w:rPr>
      </w:pPr>
      <w:r>
        <w:rPr>
          <w:rFonts w:hint="eastAsia" w:ascii="宋体" w:hAnsi="宋体"/>
          <w:b/>
          <w:szCs w:val="21"/>
        </w:rPr>
        <w:t>投标文件有下列情形之一的，其投标将不予受理的情形（由招标人负责判定）：</w:t>
      </w:r>
    </w:p>
    <w:p>
      <w:pPr>
        <w:pStyle w:val="263"/>
        <w:widowControl w:val="0"/>
        <w:numPr>
          <w:ilvl w:val="1"/>
          <w:numId w:val="4"/>
        </w:numPr>
        <w:autoSpaceDE w:val="0"/>
        <w:autoSpaceDN w:val="0"/>
        <w:adjustRightInd w:val="0"/>
        <w:snapToGrid w:val="0"/>
        <w:ind w:firstLineChars="0"/>
        <w:jc w:val="left"/>
        <w:rPr>
          <w:rFonts w:ascii="宋体" w:hAnsi="宋体"/>
        </w:rPr>
      </w:pPr>
      <w:bookmarkStart w:id="49" w:name="_Toc246221337"/>
      <w:bookmarkStart w:id="50" w:name="_Toc246144208"/>
      <w:bookmarkStart w:id="51" w:name="_Toc246133765"/>
      <w:r>
        <w:rPr>
          <w:rFonts w:hint="eastAsia" w:ascii="宋体" w:hAnsi="宋体"/>
        </w:rPr>
        <w:t>在投标人须知前附表规定的投标截止时间以后逾期送达的或者未送达指定地点的投标文件；</w:t>
      </w:r>
    </w:p>
    <w:p>
      <w:pPr>
        <w:pStyle w:val="263"/>
        <w:widowControl w:val="0"/>
        <w:numPr>
          <w:ilvl w:val="1"/>
          <w:numId w:val="4"/>
        </w:numPr>
        <w:autoSpaceDE w:val="0"/>
        <w:autoSpaceDN w:val="0"/>
        <w:adjustRightInd w:val="0"/>
        <w:snapToGrid w:val="0"/>
        <w:ind w:firstLineChars="0"/>
        <w:jc w:val="left"/>
        <w:rPr>
          <w:rFonts w:ascii="宋体" w:hAnsi="宋体"/>
        </w:rPr>
      </w:pPr>
      <w:r>
        <w:rPr>
          <w:rFonts w:hint="eastAsia" w:ascii="宋体" w:hAnsi="宋体"/>
        </w:rPr>
        <w:t>投标人提交的投标文件无法读取，导致无法正常开标的；</w:t>
      </w:r>
    </w:p>
    <w:p>
      <w:pPr>
        <w:pStyle w:val="263"/>
        <w:widowControl w:val="0"/>
        <w:numPr>
          <w:ilvl w:val="1"/>
          <w:numId w:val="4"/>
        </w:numPr>
        <w:autoSpaceDE w:val="0"/>
        <w:autoSpaceDN w:val="0"/>
        <w:adjustRightInd w:val="0"/>
        <w:snapToGrid w:val="0"/>
        <w:ind w:firstLineChars="0"/>
        <w:jc w:val="left"/>
        <w:rPr>
          <w:rFonts w:ascii="宋体" w:hAnsi="宋体"/>
        </w:rPr>
      </w:pPr>
      <w:r>
        <w:rPr>
          <w:rFonts w:hint="eastAsia" w:ascii="宋体" w:hAnsi="宋体"/>
        </w:rPr>
        <w:t>投标人名称和购买（获取）文件时登记不一致的。</w:t>
      </w:r>
    </w:p>
    <w:p>
      <w:pPr>
        <w:widowControl w:val="0"/>
        <w:autoSpaceDE w:val="0"/>
        <w:autoSpaceDN w:val="0"/>
        <w:adjustRightInd w:val="0"/>
        <w:snapToGrid w:val="0"/>
        <w:ind w:firstLine="0" w:firstLineChars="0"/>
        <w:jc w:val="left"/>
        <w:rPr>
          <w:rFonts w:ascii="宋体" w:hAnsi="宋体"/>
        </w:rPr>
      </w:pPr>
    </w:p>
    <w:p>
      <w:pPr>
        <w:pStyle w:val="263"/>
        <w:widowControl w:val="0"/>
        <w:numPr>
          <w:ilvl w:val="0"/>
          <w:numId w:val="4"/>
        </w:numPr>
        <w:autoSpaceDE w:val="0"/>
        <w:autoSpaceDN w:val="0"/>
        <w:adjustRightInd w:val="0"/>
        <w:snapToGrid w:val="0"/>
        <w:ind w:firstLineChars="0"/>
        <w:jc w:val="left"/>
        <w:rPr>
          <w:rFonts w:ascii="宋体" w:hAnsi="宋体"/>
          <w:b/>
          <w:szCs w:val="21"/>
        </w:rPr>
      </w:pPr>
      <w:r>
        <w:rPr>
          <w:rFonts w:hint="eastAsia" w:ascii="宋体" w:hAnsi="宋体"/>
          <w:b/>
          <w:szCs w:val="21"/>
        </w:rPr>
        <w:t>围标、串标与废标的判定与处理</w:t>
      </w:r>
      <w:bookmarkEnd w:id="49"/>
      <w:bookmarkEnd w:id="50"/>
      <w:bookmarkEnd w:id="51"/>
      <w:r>
        <w:rPr>
          <w:rFonts w:hint="eastAsia" w:ascii="宋体" w:hAnsi="宋体"/>
          <w:b/>
          <w:szCs w:val="21"/>
        </w:rPr>
        <w:t>（初步评审由评标委员会负责判定）</w:t>
      </w:r>
    </w:p>
    <w:p>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围标、串标的判定与处理</w:t>
      </w:r>
    </w:p>
    <w:p>
      <w:pPr>
        <w:widowControl w:val="0"/>
        <w:autoSpaceDE w:val="0"/>
        <w:autoSpaceDN w:val="0"/>
        <w:adjustRightInd w:val="0"/>
        <w:snapToGrid w:val="0"/>
        <w:ind w:firstLine="0" w:firstLineChars="0"/>
        <w:jc w:val="left"/>
        <w:rPr>
          <w:rFonts w:ascii="宋体" w:hAnsi="宋体"/>
        </w:rPr>
      </w:pPr>
      <w:r>
        <w:rPr>
          <w:rFonts w:hint="eastAsia" w:ascii="宋体" w:hAnsi="宋体"/>
        </w:rPr>
        <w:t>有下列情形之一的，经评标</w:t>
      </w:r>
      <w:r>
        <w:rPr>
          <w:rFonts w:hint="eastAsia" w:ascii="宋体" w:hAnsi="宋体"/>
          <w:lang w:val="en-US" w:eastAsia="zh-CN"/>
        </w:rPr>
        <w:t>小组</w:t>
      </w:r>
      <w:r>
        <w:rPr>
          <w:rFonts w:hint="eastAsia" w:ascii="宋体" w:hAnsi="宋体"/>
        </w:rPr>
        <w:t>遵循少数服从多数的原则集体表决认定后，按围标、串标行为对待，除按废标处理外，招标人将提请有关主管部门或者有关行政管理部门根据情况依法做出处罚：</w:t>
      </w:r>
    </w:p>
    <w:p>
      <w:pPr>
        <w:pStyle w:val="263"/>
        <w:widowControl w:val="0"/>
        <w:numPr>
          <w:ilvl w:val="2"/>
          <w:numId w:val="4"/>
        </w:numPr>
        <w:autoSpaceDE w:val="0"/>
        <w:autoSpaceDN w:val="0"/>
        <w:adjustRightInd w:val="0"/>
        <w:snapToGrid w:val="0"/>
        <w:ind w:firstLineChars="0"/>
        <w:jc w:val="left"/>
        <w:rPr>
          <w:rFonts w:ascii="宋体" w:hAnsi="宋体"/>
        </w:rPr>
      </w:pPr>
      <w:r>
        <w:rPr>
          <w:rFonts w:hint="eastAsia" w:ascii="宋体" w:hAnsi="宋体"/>
        </w:rPr>
        <w:t>不同投标人委托同一单位或者个人办理投标事宜；</w:t>
      </w:r>
    </w:p>
    <w:p>
      <w:pPr>
        <w:pStyle w:val="263"/>
        <w:widowControl w:val="0"/>
        <w:numPr>
          <w:ilvl w:val="2"/>
          <w:numId w:val="4"/>
        </w:numPr>
        <w:autoSpaceDE w:val="0"/>
        <w:autoSpaceDN w:val="0"/>
        <w:adjustRightInd w:val="0"/>
        <w:snapToGrid w:val="0"/>
        <w:ind w:firstLineChars="0"/>
        <w:jc w:val="left"/>
        <w:rPr>
          <w:rFonts w:ascii="宋体" w:hAnsi="宋体"/>
        </w:rPr>
      </w:pPr>
      <w:r>
        <w:rPr>
          <w:rFonts w:hint="eastAsia" w:ascii="宋体" w:hAnsi="宋体"/>
        </w:rPr>
        <w:t>不同投标人的投标文件载明的项目管理成员为同一人；</w:t>
      </w:r>
    </w:p>
    <w:p>
      <w:pPr>
        <w:pStyle w:val="263"/>
        <w:widowControl w:val="0"/>
        <w:numPr>
          <w:ilvl w:val="2"/>
          <w:numId w:val="4"/>
        </w:numPr>
        <w:autoSpaceDE w:val="0"/>
        <w:autoSpaceDN w:val="0"/>
        <w:adjustRightInd w:val="0"/>
        <w:snapToGrid w:val="0"/>
        <w:ind w:firstLineChars="0"/>
        <w:jc w:val="left"/>
        <w:rPr>
          <w:rFonts w:ascii="宋体" w:hAnsi="宋体"/>
        </w:rPr>
      </w:pPr>
      <w:r>
        <w:rPr>
          <w:rFonts w:hint="eastAsia" w:ascii="宋体" w:hAnsi="宋体"/>
        </w:rPr>
        <w:t>不同投标人的投标文件异常一致；</w:t>
      </w:r>
    </w:p>
    <w:p>
      <w:pPr>
        <w:pStyle w:val="263"/>
        <w:widowControl w:val="0"/>
        <w:numPr>
          <w:ilvl w:val="2"/>
          <w:numId w:val="4"/>
        </w:numPr>
        <w:autoSpaceDE w:val="0"/>
        <w:autoSpaceDN w:val="0"/>
        <w:adjustRightInd w:val="0"/>
        <w:snapToGrid w:val="0"/>
        <w:ind w:firstLineChars="0"/>
        <w:jc w:val="left"/>
        <w:rPr>
          <w:rFonts w:ascii="宋体" w:hAnsi="宋体"/>
        </w:rPr>
      </w:pPr>
      <w:r>
        <w:rPr>
          <w:rFonts w:hint="eastAsia" w:ascii="宋体" w:hAnsi="宋体"/>
        </w:rPr>
        <w:t>不同投标人的投标文件相互混装；</w:t>
      </w:r>
    </w:p>
    <w:p>
      <w:pPr>
        <w:pStyle w:val="263"/>
        <w:widowControl w:val="0"/>
        <w:numPr>
          <w:ilvl w:val="2"/>
          <w:numId w:val="4"/>
        </w:numPr>
        <w:autoSpaceDE w:val="0"/>
        <w:autoSpaceDN w:val="0"/>
        <w:adjustRightInd w:val="0"/>
        <w:snapToGrid w:val="0"/>
        <w:ind w:firstLineChars="0"/>
        <w:jc w:val="left"/>
        <w:rPr>
          <w:rFonts w:ascii="宋体" w:hAnsi="宋体"/>
        </w:rPr>
      </w:pPr>
      <w:r>
        <w:rPr>
          <w:rFonts w:ascii="宋体" w:hAnsi="宋体"/>
        </w:rPr>
        <w:t>投标人以他人名义投标，串通投标，以行贿手段谋取中标或者以其他弄虚作假方式投标</w:t>
      </w:r>
      <w:r>
        <w:rPr>
          <w:rFonts w:hint="eastAsia" w:ascii="宋体" w:hAnsi="宋体"/>
        </w:rPr>
        <w:t>。</w:t>
      </w:r>
    </w:p>
    <w:p>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废标的判定与处理</w:t>
      </w:r>
    </w:p>
    <w:p>
      <w:pPr>
        <w:widowControl w:val="0"/>
        <w:autoSpaceDE w:val="0"/>
        <w:autoSpaceDN w:val="0"/>
        <w:adjustRightInd w:val="0"/>
        <w:snapToGrid w:val="0"/>
        <w:ind w:firstLine="0" w:firstLineChars="0"/>
        <w:jc w:val="left"/>
        <w:rPr>
          <w:rFonts w:ascii="宋体" w:hAnsi="宋体"/>
        </w:rPr>
      </w:pPr>
      <w:r>
        <w:rPr>
          <w:rFonts w:hint="eastAsia" w:ascii="宋体" w:hAnsi="宋体"/>
        </w:rPr>
        <w:t>有下列情形之一的，经评标</w:t>
      </w:r>
      <w:r>
        <w:rPr>
          <w:rFonts w:hint="eastAsia" w:ascii="宋体" w:hAnsi="宋体"/>
          <w:lang w:val="en-US" w:eastAsia="zh-CN"/>
        </w:rPr>
        <w:t>小组</w:t>
      </w:r>
      <w:r>
        <w:rPr>
          <w:rFonts w:hint="eastAsia" w:ascii="宋体" w:hAnsi="宋体"/>
        </w:rPr>
        <w:t>遵循少数服从多数的原则集体表决认定后，按废标处理让该投标文件退出评标程序。</w:t>
      </w:r>
    </w:p>
    <w:p>
      <w:pPr>
        <w:pStyle w:val="263"/>
        <w:widowControl w:val="0"/>
        <w:numPr>
          <w:ilvl w:val="2"/>
          <w:numId w:val="4"/>
        </w:numPr>
        <w:autoSpaceDE w:val="0"/>
        <w:autoSpaceDN w:val="0"/>
        <w:adjustRightInd w:val="0"/>
        <w:snapToGrid w:val="0"/>
        <w:ind w:firstLineChars="0"/>
        <w:jc w:val="left"/>
        <w:rPr>
          <w:rFonts w:ascii="宋体" w:hAnsi="宋体"/>
          <w:snapToGrid w:val="0"/>
          <w:kern w:val="0"/>
        </w:rPr>
      </w:pPr>
      <w:r>
        <w:rPr>
          <w:rFonts w:hint="eastAsia" w:ascii="宋体" w:hAnsi="宋体"/>
          <w:snapToGrid w:val="0"/>
          <w:kern w:val="0"/>
        </w:rPr>
        <w:t>投标报价超出招标控制价或最高限价的或按第一章第三节3.2条规定的调整方法确定的调整后价格超出最高限价的；</w:t>
      </w:r>
    </w:p>
    <w:p>
      <w:pPr>
        <w:pStyle w:val="263"/>
        <w:widowControl w:val="0"/>
        <w:numPr>
          <w:ilvl w:val="2"/>
          <w:numId w:val="4"/>
        </w:numPr>
        <w:autoSpaceDE w:val="0"/>
        <w:autoSpaceDN w:val="0"/>
        <w:adjustRightInd w:val="0"/>
        <w:snapToGrid w:val="0"/>
        <w:ind w:firstLineChars="0"/>
        <w:jc w:val="left"/>
        <w:rPr>
          <w:rFonts w:ascii="宋体" w:hAnsi="宋体"/>
          <w:snapToGrid w:val="0"/>
          <w:kern w:val="0"/>
        </w:rPr>
      </w:pPr>
      <w:r>
        <w:rPr>
          <w:rFonts w:ascii="宋体" w:hAnsi="宋体"/>
          <w:snapToGrid w:val="0"/>
          <w:kern w:val="0"/>
        </w:rPr>
        <w:t>投标人资格条件不符合国家</w:t>
      </w:r>
      <w:r>
        <w:rPr>
          <w:rFonts w:hint="eastAsia" w:ascii="宋体" w:hAnsi="宋体"/>
          <w:snapToGrid w:val="0"/>
          <w:kern w:val="0"/>
        </w:rPr>
        <w:t>有关</w:t>
      </w:r>
      <w:r>
        <w:rPr>
          <w:rFonts w:ascii="宋体" w:hAnsi="宋体"/>
          <w:snapToGrid w:val="0"/>
          <w:kern w:val="0"/>
        </w:rPr>
        <w:t>规定和招标文件要求的</w:t>
      </w:r>
      <w:r>
        <w:rPr>
          <w:rFonts w:hint="eastAsia" w:ascii="宋体" w:hAnsi="宋体"/>
          <w:snapToGrid w:val="0"/>
          <w:kern w:val="0"/>
        </w:rPr>
        <w:t>；</w:t>
      </w:r>
    </w:p>
    <w:p>
      <w:pPr>
        <w:pStyle w:val="263"/>
        <w:widowControl w:val="0"/>
        <w:numPr>
          <w:ilvl w:val="2"/>
          <w:numId w:val="4"/>
        </w:numPr>
        <w:autoSpaceDE w:val="0"/>
        <w:autoSpaceDN w:val="0"/>
        <w:adjustRightInd w:val="0"/>
        <w:snapToGrid w:val="0"/>
        <w:ind w:firstLineChars="0"/>
        <w:jc w:val="left"/>
        <w:rPr>
          <w:rFonts w:ascii="宋体" w:hAnsi="宋体"/>
        </w:rPr>
      </w:pPr>
      <w:r>
        <w:rPr>
          <w:rFonts w:ascii="宋体" w:hAnsi="宋体"/>
        </w:rPr>
        <w:t>投标人递交两份或多份内容不同的投标文件，或在一份投标文件中，有两个或多个报价且</w:t>
      </w:r>
      <w:r>
        <w:rPr>
          <w:rFonts w:hint="eastAsia" w:ascii="宋体" w:hAnsi="宋体"/>
        </w:rPr>
        <w:t>根据招标文件评定标办法规定的修正原则无法确定</w:t>
      </w:r>
      <w:r>
        <w:rPr>
          <w:rFonts w:ascii="宋体" w:hAnsi="宋体"/>
        </w:rPr>
        <w:t>哪一个有效的</w:t>
      </w:r>
      <w:r>
        <w:rPr>
          <w:rFonts w:hint="eastAsia" w:ascii="宋体" w:hAnsi="宋体"/>
        </w:rPr>
        <w:t>。</w:t>
      </w:r>
      <w:r>
        <w:rPr>
          <w:rFonts w:ascii="宋体" w:hAnsi="宋体"/>
        </w:rPr>
        <w:t>按招标文件规定提供可选择性方案报价的除外；</w:t>
      </w:r>
    </w:p>
    <w:p>
      <w:pPr>
        <w:pStyle w:val="263"/>
        <w:widowControl w:val="0"/>
        <w:numPr>
          <w:ilvl w:val="2"/>
          <w:numId w:val="4"/>
        </w:numPr>
        <w:autoSpaceDE w:val="0"/>
        <w:autoSpaceDN w:val="0"/>
        <w:adjustRightInd w:val="0"/>
        <w:snapToGrid w:val="0"/>
        <w:ind w:firstLineChars="0"/>
        <w:jc w:val="left"/>
        <w:rPr>
          <w:rFonts w:ascii="宋体" w:hAnsi="宋体"/>
        </w:rPr>
      </w:pPr>
      <w:r>
        <w:rPr>
          <w:rFonts w:ascii="宋体" w:hAnsi="宋体"/>
        </w:rPr>
        <w:t>对招标文件提出的实质性要求和条件未作出响应的</w:t>
      </w:r>
      <w:r>
        <w:rPr>
          <w:rFonts w:hint="eastAsia" w:ascii="宋体" w:hAnsi="宋体"/>
        </w:rPr>
        <w:t>或不满足的，对招标文件实质性条款为招标文件中所有标注“★”号的条款以及初步评审表要求的内容未作出响应的或不满足的</w:t>
      </w:r>
      <w:r>
        <w:rPr>
          <w:rFonts w:ascii="宋体" w:hAnsi="宋体"/>
        </w:rPr>
        <w:t xml:space="preserve">； </w:t>
      </w:r>
    </w:p>
    <w:p>
      <w:pPr>
        <w:pStyle w:val="263"/>
        <w:widowControl w:val="0"/>
        <w:numPr>
          <w:ilvl w:val="2"/>
          <w:numId w:val="4"/>
        </w:numPr>
        <w:autoSpaceDE w:val="0"/>
        <w:autoSpaceDN w:val="0"/>
        <w:adjustRightInd w:val="0"/>
        <w:snapToGrid w:val="0"/>
        <w:ind w:firstLineChars="0"/>
        <w:jc w:val="left"/>
        <w:rPr>
          <w:rFonts w:ascii="宋体" w:hAnsi="宋体"/>
        </w:rPr>
      </w:pPr>
      <w:r>
        <w:rPr>
          <w:rFonts w:ascii="宋体" w:hAnsi="宋体"/>
        </w:rPr>
        <w:t>投标人未能按照评标委员会要求，对其投标文件进行澄清、说明和补正的</w:t>
      </w:r>
      <w:r>
        <w:rPr>
          <w:rFonts w:hint="eastAsia" w:ascii="宋体" w:hAnsi="宋体"/>
        </w:rPr>
        <w:t>，或投标人不接受根据招标文件规定对投标报价进行算术修正的；</w:t>
      </w:r>
    </w:p>
    <w:p>
      <w:pPr>
        <w:pStyle w:val="263"/>
        <w:widowControl w:val="0"/>
        <w:numPr>
          <w:ilvl w:val="2"/>
          <w:numId w:val="4"/>
        </w:numPr>
        <w:autoSpaceDE w:val="0"/>
        <w:autoSpaceDN w:val="0"/>
        <w:adjustRightInd w:val="0"/>
        <w:snapToGrid w:val="0"/>
        <w:ind w:firstLineChars="0"/>
        <w:jc w:val="left"/>
        <w:rPr>
          <w:rFonts w:ascii="宋体" w:hAnsi="宋体"/>
        </w:rPr>
      </w:pPr>
      <w:r>
        <w:rPr>
          <w:rFonts w:hint="eastAsia" w:ascii="宋体" w:hAnsi="宋体"/>
        </w:rPr>
        <w:t>单位负责人为同一人或者存在控股、管理关系的不同单位，参加同一标段投标或者未划分标段的同一招标项目投标；</w:t>
      </w:r>
    </w:p>
    <w:p>
      <w:pPr>
        <w:pStyle w:val="263"/>
        <w:widowControl w:val="0"/>
        <w:numPr>
          <w:ilvl w:val="2"/>
          <w:numId w:val="4"/>
        </w:numPr>
        <w:autoSpaceDE w:val="0"/>
        <w:autoSpaceDN w:val="0"/>
        <w:adjustRightInd w:val="0"/>
        <w:snapToGrid w:val="0"/>
        <w:ind w:firstLineChars="0"/>
        <w:jc w:val="left"/>
        <w:rPr>
          <w:rFonts w:ascii="宋体" w:hAnsi="宋体"/>
          <w:snapToGrid w:val="0"/>
          <w:kern w:val="0"/>
        </w:rPr>
      </w:pPr>
      <w:r>
        <w:rPr>
          <w:rFonts w:hint="eastAsia" w:ascii="宋体" w:hAnsi="宋体"/>
          <w:snapToGrid w:val="0"/>
          <w:kern w:val="0"/>
        </w:rPr>
        <w:t>若出现投标人的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并否决其投标。</w:t>
      </w:r>
    </w:p>
    <w:p>
      <w:pPr>
        <w:pStyle w:val="263"/>
        <w:widowControl w:val="0"/>
        <w:numPr>
          <w:ilvl w:val="2"/>
          <w:numId w:val="4"/>
        </w:numPr>
        <w:autoSpaceDE w:val="0"/>
        <w:autoSpaceDN w:val="0"/>
        <w:adjustRightInd w:val="0"/>
        <w:snapToGrid w:val="0"/>
        <w:ind w:firstLineChars="0"/>
        <w:jc w:val="left"/>
        <w:rPr>
          <w:rFonts w:ascii="宋体" w:hAnsi="宋体"/>
          <w:snapToGrid w:val="0"/>
          <w:kern w:val="0"/>
        </w:rPr>
      </w:pPr>
      <w:r>
        <w:rPr>
          <w:rFonts w:hint="eastAsia" w:ascii="宋体" w:hAnsi="宋体"/>
        </w:rPr>
        <w:t>符合法律法规或主管部门规范性文件规定废标情形的。</w:t>
      </w:r>
    </w:p>
    <w:p>
      <w:pPr>
        <w:widowControl w:val="0"/>
        <w:autoSpaceDE w:val="0"/>
        <w:autoSpaceDN w:val="0"/>
        <w:adjustRightInd w:val="0"/>
        <w:snapToGrid w:val="0"/>
        <w:ind w:firstLine="0" w:firstLineChars="0"/>
        <w:jc w:val="left"/>
        <w:rPr>
          <w:rFonts w:ascii="宋体" w:hAnsi="宋体"/>
        </w:rPr>
      </w:pPr>
      <w:r>
        <w:rPr>
          <w:rFonts w:hint="eastAsia" w:ascii="宋体" w:hAnsi="宋体"/>
          <w:b/>
        </w:rPr>
        <w:t>注：</w:t>
      </w:r>
      <w:r>
        <w:rPr>
          <w:rFonts w:hint="eastAsia" w:ascii="宋体" w:hAnsi="宋体"/>
        </w:rPr>
        <w:t>招标人对上述内容有修改或补充的，以下述条款为准。</w:t>
      </w:r>
    </w:p>
    <w:p>
      <w:pPr>
        <w:widowControl w:val="0"/>
        <w:autoSpaceDE w:val="0"/>
        <w:autoSpaceDN w:val="0"/>
        <w:adjustRightInd w:val="0"/>
        <w:snapToGrid w:val="0"/>
        <w:ind w:firstLine="0" w:firstLineChars="0"/>
        <w:jc w:val="left"/>
        <w:rPr>
          <w:rFonts w:ascii="宋体" w:hAnsi="宋体"/>
        </w:rPr>
      </w:pPr>
    </w:p>
    <w:p>
      <w:pPr>
        <w:pStyle w:val="263"/>
        <w:widowControl w:val="0"/>
        <w:numPr>
          <w:ilvl w:val="0"/>
          <w:numId w:val="4"/>
        </w:numPr>
        <w:autoSpaceDE w:val="0"/>
        <w:autoSpaceDN w:val="0"/>
        <w:adjustRightInd w:val="0"/>
        <w:snapToGrid w:val="0"/>
        <w:ind w:firstLineChars="0"/>
        <w:jc w:val="left"/>
        <w:rPr>
          <w:rFonts w:ascii="宋体" w:hAnsi="宋体"/>
          <w:b/>
          <w:szCs w:val="21"/>
        </w:rPr>
      </w:pPr>
      <w:r>
        <w:rPr>
          <w:rFonts w:hint="eastAsia" w:ascii="宋体" w:hAnsi="宋体"/>
          <w:b/>
          <w:szCs w:val="21"/>
        </w:rPr>
        <w:t>招标人修改或补充的投标文件不予受理的情形：</w:t>
      </w:r>
      <w:r>
        <w:rPr>
          <w:rFonts w:hint="eastAsia" w:ascii="宋体" w:hAnsi="宋体"/>
          <w:b/>
          <w:szCs w:val="21"/>
          <w:u w:val="single"/>
        </w:rPr>
        <w:t xml:space="preserve"> </w:t>
      </w:r>
      <w:r>
        <w:rPr>
          <w:rFonts w:ascii="宋体" w:hAnsi="宋体"/>
          <w:b/>
          <w:szCs w:val="21"/>
          <w:u w:val="single"/>
        </w:rPr>
        <w:t xml:space="preserve">                                    </w:t>
      </w:r>
    </w:p>
    <w:p>
      <w:pPr>
        <w:widowControl w:val="0"/>
        <w:autoSpaceDE w:val="0"/>
        <w:autoSpaceDN w:val="0"/>
        <w:adjustRightInd w:val="0"/>
        <w:snapToGrid w:val="0"/>
        <w:ind w:firstLine="0" w:firstLineChars="0"/>
        <w:jc w:val="left"/>
        <w:rPr>
          <w:rFonts w:ascii="宋体" w:hAnsi="宋体"/>
          <w:b/>
          <w:szCs w:val="21"/>
        </w:rPr>
      </w:pPr>
    </w:p>
    <w:p>
      <w:pPr>
        <w:pStyle w:val="263"/>
        <w:widowControl w:val="0"/>
        <w:numPr>
          <w:ilvl w:val="0"/>
          <w:numId w:val="4"/>
        </w:numPr>
        <w:autoSpaceDE w:val="0"/>
        <w:autoSpaceDN w:val="0"/>
        <w:adjustRightInd w:val="0"/>
        <w:snapToGrid w:val="0"/>
        <w:ind w:firstLineChars="0"/>
        <w:jc w:val="left"/>
        <w:rPr>
          <w:rFonts w:ascii="宋体" w:hAnsi="宋体"/>
          <w:b/>
          <w:szCs w:val="21"/>
        </w:rPr>
      </w:pPr>
      <w:r>
        <w:rPr>
          <w:rFonts w:hint="eastAsia" w:ascii="宋体" w:hAnsi="宋体"/>
          <w:b/>
          <w:szCs w:val="21"/>
        </w:rPr>
        <w:t>招标人修改或补充的废标情形：</w:t>
      </w:r>
      <w:r>
        <w:rPr>
          <w:rFonts w:hint="eastAsia" w:ascii="宋体" w:hAnsi="宋体"/>
          <w:b/>
          <w:szCs w:val="21"/>
          <w:u w:val="single"/>
        </w:rPr>
        <w:t xml:space="preserve"> </w:t>
      </w:r>
      <w:r>
        <w:rPr>
          <w:rFonts w:ascii="宋体" w:hAnsi="宋体"/>
          <w:b/>
          <w:szCs w:val="21"/>
          <w:u w:val="single"/>
        </w:rPr>
        <w:t xml:space="preserve">                                    </w:t>
      </w:r>
    </w:p>
    <w:p>
      <w:pPr>
        <w:widowControl w:val="0"/>
        <w:autoSpaceDE w:val="0"/>
        <w:autoSpaceDN w:val="0"/>
        <w:adjustRightInd w:val="0"/>
        <w:snapToGrid w:val="0"/>
        <w:ind w:firstLine="0" w:firstLineChars="0"/>
        <w:jc w:val="center"/>
        <w:outlineLvl w:val="1"/>
        <w:rPr>
          <w:rFonts w:ascii="宋体" w:hAnsi="宋体"/>
          <w:b/>
          <w:bCs/>
          <w:sz w:val="28"/>
          <w:szCs w:val="32"/>
        </w:rPr>
      </w:pPr>
      <w:r>
        <w:rPr>
          <w:rFonts w:ascii="宋体" w:hAnsi="宋体"/>
          <w:b/>
          <w:sz w:val="32"/>
          <w:szCs w:val="32"/>
        </w:rPr>
        <w:br w:type="page"/>
      </w:r>
      <w:bookmarkStart w:id="52" w:name="_Toc49247156"/>
      <w:r>
        <w:rPr>
          <w:rFonts w:hint="eastAsia" w:ascii="宋体" w:hAnsi="宋体"/>
          <w:b/>
          <w:sz w:val="32"/>
          <w:szCs w:val="32"/>
        </w:rPr>
        <w:t>第三节 总则</w:t>
      </w:r>
      <w:bookmarkEnd w:id="45"/>
      <w:bookmarkEnd w:id="46"/>
      <w:bookmarkEnd w:id="47"/>
      <w:bookmarkEnd w:id="52"/>
    </w:p>
    <w:p>
      <w:pPr>
        <w:pStyle w:val="263"/>
        <w:widowControl w:val="0"/>
        <w:numPr>
          <w:ilvl w:val="0"/>
          <w:numId w:val="5"/>
        </w:numPr>
        <w:autoSpaceDE w:val="0"/>
        <w:autoSpaceDN w:val="0"/>
        <w:adjustRightInd w:val="0"/>
        <w:snapToGrid w:val="0"/>
        <w:ind w:firstLineChars="0"/>
        <w:jc w:val="left"/>
        <w:rPr>
          <w:rFonts w:ascii="宋体" w:hAnsi="宋体"/>
          <w:b/>
          <w:szCs w:val="21"/>
        </w:rPr>
      </w:pPr>
      <w:bookmarkStart w:id="53" w:name="_Hlk532141677"/>
      <w:r>
        <w:rPr>
          <w:rFonts w:hint="eastAsia" w:ascii="宋体" w:hAnsi="宋体"/>
          <w:b/>
          <w:szCs w:val="21"/>
        </w:rPr>
        <w:t>说明</w:t>
      </w:r>
    </w:p>
    <w:p>
      <w:pPr>
        <w:pStyle w:val="263"/>
        <w:widowControl w:val="0"/>
        <w:numPr>
          <w:ilvl w:val="2"/>
          <w:numId w:val="5"/>
        </w:numPr>
        <w:autoSpaceDE w:val="0"/>
        <w:autoSpaceDN w:val="0"/>
        <w:adjustRightInd w:val="0"/>
        <w:snapToGrid w:val="0"/>
        <w:ind w:firstLineChars="0"/>
        <w:jc w:val="left"/>
        <w:rPr>
          <w:rFonts w:hint="eastAsia" w:ascii="宋体" w:hAnsi="宋体" w:eastAsia="宋体"/>
          <w:szCs w:val="21"/>
        </w:rPr>
      </w:pPr>
      <w:bookmarkStart w:id="54" w:name="_Toc144974498"/>
      <w:bookmarkStart w:id="55" w:name="_Toc332121715"/>
      <w:bookmarkStart w:id="56" w:name="_Toc152042306"/>
      <w:bookmarkStart w:id="57" w:name="_Toc403513495"/>
      <w:bookmarkStart w:id="58" w:name="_Toc152045530"/>
      <w:bookmarkStart w:id="59" w:name="_Toc330213947"/>
      <w:r>
        <w:rPr>
          <w:rFonts w:hint="eastAsia" w:ascii="宋体" w:hAnsi="宋体" w:eastAsia="宋体"/>
          <w:szCs w:val="21"/>
        </w:rPr>
        <w:t>项目概况</w:t>
      </w:r>
      <w:bookmarkEnd w:id="54"/>
      <w:bookmarkEnd w:id="55"/>
      <w:bookmarkEnd w:id="56"/>
      <w:bookmarkEnd w:id="57"/>
      <w:bookmarkEnd w:id="58"/>
      <w:bookmarkEnd w:id="59"/>
    </w:p>
    <w:p>
      <w:pPr>
        <w:pStyle w:val="263"/>
        <w:widowControl w:val="0"/>
        <w:numPr>
          <w:ilvl w:val="2"/>
          <w:numId w:val="5"/>
        </w:numPr>
        <w:autoSpaceDE w:val="0"/>
        <w:autoSpaceDN w:val="0"/>
        <w:adjustRightInd w:val="0"/>
        <w:snapToGrid w:val="0"/>
        <w:ind w:firstLineChars="0"/>
        <w:jc w:val="left"/>
        <w:rPr>
          <w:rFonts w:hint="eastAsia" w:ascii="宋体" w:hAnsi="宋体" w:eastAsia="宋体"/>
          <w:szCs w:val="21"/>
        </w:rPr>
      </w:pPr>
      <w:r>
        <w:rPr>
          <w:rFonts w:hint="eastAsia" w:ascii="宋体" w:hAnsi="宋体" w:eastAsia="宋体"/>
          <w:szCs w:val="21"/>
          <w:lang w:eastAsia="zh-CN"/>
        </w:rPr>
        <w:t>本项目为企业采购项目，参照</w:t>
      </w:r>
      <w:r>
        <w:rPr>
          <w:rFonts w:hint="eastAsia" w:ascii="宋体" w:hAnsi="宋体" w:eastAsia="宋体"/>
          <w:szCs w:val="21"/>
        </w:rPr>
        <w:t>《中华人民共和国招标投标法》</w:t>
      </w:r>
      <w:r>
        <w:rPr>
          <w:rFonts w:hint="eastAsia" w:ascii="宋体" w:hAnsi="宋体" w:eastAsia="宋体"/>
          <w:szCs w:val="21"/>
          <w:lang w:eastAsia="zh-CN"/>
        </w:rPr>
        <w:t>、</w:t>
      </w:r>
      <w:r>
        <w:rPr>
          <w:rFonts w:hint="eastAsia" w:ascii="宋体" w:hAnsi="宋体" w:eastAsia="宋体"/>
          <w:szCs w:val="21"/>
        </w:rPr>
        <w:t>《深圳经济特区政府采购条例》</w:t>
      </w:r>
      <w:r>
        <w:rPr>
          <w:rFonts w:hint="eastAsia" w:ascii="宋体" w:hAnsi="宋体" w:eastAsia="宋体"/>
          <w:szCs w:val="21"/>
          <w:lang w:eastAsia="zh-CN"/>
        </w:rPr>
        <w:t>、《</w:t>
      </w:r>
      <w:r>
        <w:rPr>
          <w:rFonts w:hint="eastAsia" w:ascii="宋体" w:hAnsi="宋体" w:eastAsia="宋体"/>
          <w:szCs w:val="21"/>
          <w:lang w:val="en-US" w:eastAsia="zh-CN"/>
        </w:rPr>
        <w:t>龙华区国有企业采购管理办法</w:t>
      </w:r>
      <w:r>
        <w:rPr>
          <w:rFonts w:hint="eastAsia" w:ascii="宋体" w:hAnsi="宋体" w:eastAsia="宋体"/>
          <w:szCs w:val="21"/>
          <w:lang w:eastAsia="zh-CN"/>
        </w:rPr>
        <w:t>》</w:t>
      </w:r>
      <w:r>
        <w:rPr>
          <w:rFonts w:hint="eastAsia" w:ascii="宋体" w:hAnsi="宋体" w:eastAsia="宋体"/>
          <w:szCs w:val="21"/>
          <w:lang w:val="en-US" w:eastAsia="zh-CN"/>
        </w:rPr>
        <w:t>及《深圳市龙华环境有限公司招标和采购管理办法》</w:t>
      </w:r>
      <w:r>
        <w:rPr>
          <w:rFonts w:hint="eastAsia" w:ascii="宋体" w:hAnsi="宋体" w:eastAsia="宋体"/>
          <w:szCs w:val="21"/>
        </w:rPr>
        <w:t>等有关法律、法规和规章的规定，本招标项目已具备招标条件，现对本项目进行招标。</w:t>
      </w:r>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招标人：见投标人须知前附表。</w:t>
      </w:r>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招标代理：见投标人须知前附表。</w:t>
      </w:r>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项目编号及项目名称：见投标人须知前附表。</w:t>
      </w:r>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其他概况：见投标人须知前附表。</w:t>
      </w:r>
    </w:p>
    <w:p>
      <w:pPr>
        <w:pStyle w:val="263"/>
        <w:widowControl w:val="0"/>
        <w:numPr>
          <w:ilvl w:val="1"/>
          <w:numId w:val="5"/>
        </w:numPr>
        <w:autoSpaceDE w:val="0"/>
        <w:autoSpaceDN w:val="0"/>
        <w:adjustRightInd w:val="0"/>
        <w:snapToGrid w:val="0"/>
        <w:ind w:firstLineChars="0"/>
        <w:jc w:val="left"/>
        <w:rPr>
          <w:rFonts w:ascii="宋体" w:hAnsi="宋体"/>
          <w:b/>
          <w:szCs w:val="21"/>
        </w:rPr>
      </w:pPr>
      <w:bookmarkStart w:id="60" w:name="_Toc152045531"/>
      <w:bookmarkStart w:id="61" w:name="_Toc403513496"/>
      <w:bookmarkStart w:id="62" w:name="_Toc152042307"/>
      <w:bookmarkStart w:id="63" w:name="_Toc330213948"/>
      <w:bookmarkStart w:id="64" w:name="_Toc144974499"/>
      <w:bookmarkStart w:id="65" w:name="_Toc332121716"/>
      <w:r>
        <w:rPr>
          <w:rFonts w:hint="eastAsia" w:ascii="宋体" w:hAnsi="宋体"/>
          <w:b/>
          <w:szCs w:val="21"/>
        </w:rPr>
        <w:t>资金来源和落实情况</w:t>
      </w:r>
      <w:bookmarkEnd w:id="60"/>
      <w:bookmarkEnd w:id="61"/>
      <w:bookmarkEnd w:id="62"/>
      <w:bookmarkEnd w:id="63"/>
      <w:bookmarkEnd w:id="64"/>
      <w:bookmarkEnd w:id="65"/>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资金来源：见投标人须知前附表。</w:t>
      </w:r>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出资比例：见投标人须知前附表。</w:t>
      </w:r>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资金落实情况：见投标人须知前附表。</w:t>
      </w:r>
    </w:p>
    <w:p>
      <w:pPr>
        <w:pStyle w:val="263"/>
        <w:widowControl w:val="0"/>
        <w:numPr>
          <w:ilvl w:val="1"/>
          <w:numId w:val="5"/>
        </w:numPr>
        <w:autoSpaceDE w:val="0"/>
        <w:autoSpaceDN w:val="0"/>
        <w:adjustRightInd w:val="0"/>
        <w:snapToGrid w:val="0"/>
        <w:ind w:firstLineChars="0"/>
        <w:jc w:val="left"/>
        <w:rPr>
          <w:rFonts w:ascii="宋体" w:hAnsi="宋体"/>
          <w:b/>
          <w:szCs w:val="21"/>
        </w:rPr>
      </w:pPr>
      <w:bookmarkStart w:id="66" w:name="_Toc144974500"/>
      <w:bookmarkStart w:id="67" w:name="_Toc332121717"/>
      <w:bookmarkStart w:id="68" w:name="_Toc152045532"/>
      <w:bookmarkStart w:id="69" w:name="_Toc330213949"/>
      <w:bookmarkStart w:id="70" w:name="_Toc403513497"/>
      <w:bookmarkStart w:id="71" w:name="_Toc152042308"/>
      <w:r>
        <w:rPr>
          <w:rFonts w:hint="eastAsia" w:ascii="宋体" w:hAnsi="宋体"/>
          <w:b/>
          <w:szCs w:val="21"/>
        </w:rPr>
        <w:t>招标范围及项目概况、服务期和服务地点</w:t>
      </w:r>
      <w:bookmarkEnd w:id="66"/>
      <w:bookmarkEnd w:id="67"/>
      <w:bookmarkEnd w:id="68"/>
      <w:bookmarkEnd w:id="69"/>
      <w:bookmarkEnd w:id="70"/>
      <w:bookmarkEnd w:id="71"/>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招标范围和</w:t>
      </w:r>
      <w:r>
        <w:rPr>
          <w:rFonts w:ascii="宋体" w:hAnsi="宋体"/>
          <w:szCs w:val="21"/>
        </w:rPr>
        <w:t>项目</w:t>
      </w:r>
      <w:r>
        <w:rPr>
          <w:rFonts w:hint="eastAsia" w:ascii="宋体" w:hAnsi="宋体"/>
          <w:szCs w:val="21"/>
        </w:rPr>
        <w:t>概况：见投标人须知前附表。</w:t>
      </w:r>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服务期：见投标人须知前附表。</w:t>
      </w:r>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服务地点：见投标人须知前附表。</w:t>
      </w:r>
      <w:bookmarkStart w:id="72" w:name="_Toc403513498"/>
      <w:bookmarkStart w:id="73" w:name="_Toc144974502"/>
      <w:bookmarkStart w:id="74" w:name="_Toc152045534"/>
      <w:bookmarkStart w:id="75" w:name="_Toc152042310"/>
      <w:bookmarkStart w:id="76" w:name="_Toc332121718"/>
      <w:bookmarkStart w:id="77" w:name="_Toc330213950"/>
    </w:p>
    <w:p>
      <w:pPr>
        <w:pStyle w:val="263"/>
        <w:widowControl w:val="0"/>
        <w:numPr>
          <w:ilvl w:val="1"/>
          <w:numId w:val="5"/>
        </w:numPr>
        <w:autoSpaceDE w:val="0"/>
        <w:autoSpaceDN w:val="0"/>
        <w:adjustRightInd w:val="0"/>
        <w:snapToGrid w:val="0"/>
        <w:ind w:firstLineChars="0"/>
        <w:jc w:val="left"/>
        <w:rPr>
          <w:rFonts w:ascii="宋体" w:hAnsi="宋体"/>
          <w:b/>
          <w:szCs w:val="21"/>
        </w:rPr>
      </w:pPr>
      <w:r>
        <w:rPr>
          <w:rFonts w:hint="eastAsia" w:ascii="宋体" w:hAnsi="宋体"/>
          <w:b/>
          <w:szCs w:val="21"/>
        </w:rPr>
        <w:t>投标人资格要求</w:t>
      </w:r>
      <w:bookmarkEnd w:id="72"/>
      <w:bookmarkEnd w:id="73"/>
      <w:bookmarkEnd w:id="74"/>
      <w:bookmarkEnd w:id="75"/>
      <w:bookmarkEnd w:id="76"/>
      <w:bookmarkEnd w:id="77"/>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投标人应具备承担本次招标项目的资质条件、能力和信誉。</w:t>
      </w:r>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资格条件：见投标人须知前附表。</w:t>
      </w:r>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其他要求：见投标人须知前附表。</w:t>
      </w:r>
    </w:p>
    <w:p>
      <w:pPr>
        <w:pStyle w:val="263"/>
        <w:widowControl w:val="0"/>
        <w:numPr>
          <w:ilvl w:val="0"/>
          <w:numId w:val="0"/>
        </w:numPr>
        <w:autoSpaceDE w:val="0"/>
        <w:autoSpaceDN w:val="0"/>
        <w:adjustRightInd w:val="0"/>
        <w:snapToGrid w:val="0"/>
        <w:ind w:leftChars="0"/>
        <w:jc w:val="left"/>
        <w:rPr>
          <w:rFonts w:ascii="宋体" w:hAnsi="宋体"/>
          <w:szCs w:val="21"/>
        </w:rPr>
      </w:pPr>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投标人不得存在下列情形之一：</w:t>
      </w:r>
    </w:p>
    <w:p>
      <w:pPr>
        <w:pStyle w:val="263"/>
        <w:widowControl w:val="0"/>
        <w:numPr>
          <w:ilvl w:val="3"/>
          <w:numId w:val="5"/>
        </w:numPr>
        <w:autoSpaceDE w:val="0"/>
        <w:autoSpaceDN w:val="0"/>
        <w:adjustRightInd w:val="0"/>
        <w:snapToGrid w:val="0"/>
        <w:ind w:firstLineChars="0"/>
        <w:jc w:val="left"/>
        <w:rPr>
          <w:rFonts w:ascii="宋体" w:hAnsi="宋体"/>
          <w:szCs w:val="21"/>
        </w:rPr>
      </w:pPr>
      <w:r>
        <w:rPr>
          <w:rFonts w:hint="eastAsia" w:ascii="宋体" w:hAnsi="宋体"/>
          <w:szCs w:val="21"/>
        </w:rPr>
        <w:t>与招标人存在利害关系且可能影响招标公正性；</w:t>
      </w:r>
    </w:p>
    <w:p>
      <w:pPr>
        <w:pStyle w:val="263"/>
        <w:widowControl w:val="0"/>
        <w:numPr>
          <w:ilvl w:val="3"/>
          <w:numId w:val="5"/>
        </w:numPr>
        <w:autoSpaceDE w:val="0"/>
        <w:autoSpaceDN w:val="0"/>
        <w:adjustRightInd w:val="0"/>
        <w:snapToGrid w:val="0"/>
        <w:ind w:firstLineChars="0"/>
        <w:jc w:val="left"/>
        <w:rPr>
          <w:rFonts w:ascii="宋体" w:hAnsi="宋体"/>
          <w:szCs w:val="21"/>
        </w:rPr>
      </w:pPr>
      <w:r>
        <w:rPr>
          <w:rFonts w:hint="eastAsia" w:ascii="宋体" w:hAnsi="宋体"/>
          <w:szCs w:val="21"/>
        </w:rPr>
        <w:t>与本次招标项目的其他投标人为同一个单位负责人；</w:t>
      </w:r>
    </w:p>
    <w:p>
      <w:pPr>
        <w:pStyle w:val="263"/>
        <w:widowControl w:val="0"/>
        <w:numPr>
          <w:ilvl w:val="3"/>
          <w:numId w:val="5"/>
        </w:numPr>
        <w:autoSpaceDE w:val="0"/>
        <w:autoSpaceDN w:val="0"/>
        <w:adjustRightInd w:val="0"/>
        <w:snapToGrid w:val="0"/>
        <w:ind w:firstLineChars="0"/>
        <w:jc w:val="left"/>
        <w:rPr>
          <w:rFonts w:ascii="宋体" w:hAnsi="宋体"/>
          <w:szCs w:val="21"/>
        </w:rPr>
      </w:pPr>
      <w:r>
        <w:rPr>
          <w:rFonts w:hint="eastAsia" w:ascii="宋体" w:hAnsi="宋体"/>
          <w:szCs w:val="21"/>
        </w:rPr>
        <w:t>与本次招标项目的其他投标人存在控股、管理关系；</w:t>
      </w:r>
    </w:p>
    <w:p>
      <w:pPr>
        <w:pStyle w:val="263"/>
        <w:widowControl w:val="0"/>
        <w:numPr>
          <w:ilvl w:val="3"/>
          <w:numId w:val="5"/>
        </w:numPr>
        <w:autoSpaceDE w:val="0"/>
        <w:autoSpaceDN w:val="0"/>
        <w:adjustRightInd w:val="0"/>
        <w:snapToGrid w:val="0"/>
        <w:ind w:firstLineChars="0"/>
        <w:jc w:val="left"/>
        <w:rPr>
          <w:rFonts w:hint="eastAsia" w:ascii="宋体" w:hAnsi="宋体"/>
          <w:szCs w:val="21"/>
        </w:rPr>
      </w:pPr>
      <w:r>
        <w:rPr>
          <w:rFonts w:hint="eastAsia" w:ascii="宋体" w:hAnsi="宋体"/>
          <w:szCs w:val="21"/>
        </w:rPr>
        <w:t>投标人须知前附表规定的其他情形。</w:t>
      </w:r>
    </w:p>
    <w:p>
      <w:pPr>
        <w:pStyle w:val="263"/>
        <w:widowControl w:val="0"/>
        <w:numPr>
          <w:ilvl w:val="1"/>
          <w:numId w:val="5"/>
        </w:numPr>
        <w:autoSpaceDE w:val="0"/>
        <w:autoSpaceDN w:val="0"/>
        <w:adjustRightInd w:val="0"/>
        <w:snapToGrid w:val="0"/>
        <w:ind w:firstLineChars="0"/>
        <w:jc w:val="left"/>
        <w:rPr>
          <w:rFonts w:ascii="宋体" w:hAnsi="宋体"/>
          <w:b/>
          <w:szCs w:val="21"/>
        </w:rPr>
      </w:pPr>
      <w:bookmarkStart w:id="78" w:name="_Toc152045535"/>
      <w:bookmarkStart w:id="79" w:name="_Toc330213951"/>
      <w:bookmarkStart w:id="80" w:name="_Toc403513499"/>
      <w:bookmarkStart w:id="81" w:name="_Toc152042311"/>
      <w:bookmarkStart w:id="82" w:name="_Toc332121719"/>
      <w:bookmarkStart w:id="83" w:name="_Toc144974503"/>
      <w:r>
        <w:rPr>
          <w:rFonts w:hint="eastAsia" w:ascii="宋体" w:hAnsi="宋体"/>
          <w:b/>
          <w:szCs w:val="21"/>
        </w:rPr>
        <w:t>费用承担</w:t>
      </w:r>
      <w:bookmarkEnd w:id="78"/>
      <w:bookmarkEnd w:id="79"/>
      <w:bookmarkEnd w:id="80"/>
      <w:bookmarkEnd w:id="81"/>
      <w:bookmarkEnd w:id="82"/>
      <w:bookmarkEnd w:id="83"/>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投标人准备和参加投标活动发生的费用自理。</w:t>
      </w:r>
    </w:p>
    <w:p>
      <w:pPr>
        <w:pStyle w:val="263"/>
        <w:widowControl w:val="0"/>
        <w:numPr>
          <w:ilvl w:val="1"/>
          <w:numId w:val="5"/>
        </w:numPr>
        <w:autoSpaceDE w:val="0"/>
        <w:autoSpaceDN w:val="0"/>
        <w:adjustRightInd w:val="0"/>
        <w:snapToGrid w:val="0"/>
        <w:ind w:firstLineChars="0"/>
        <w:jc w:val="left"/>
        <w:rPr>
          <w:rFonts w:ascii="宋体" w:hAnsi="宋体"/>
          <w:b/>
          <w:szCs w:val="21"/>
        </w:rPr>
      </w:pPr>
      <w:bookmarkStart w:id="84" w:name="_Toc152042312"/>
      <w:bookmarkStart w:id="85" w:name="_Toc330213952"/>
      <w:bookmarkStart w:id="86" w:name="_Toc152045536"/>
      <w:bookmarkStart w:id="87" w:name="_Toc332121720"/>
      <w:bookmarkStart w:id="88" w:name="_Toc144974504"/>
      <w:bookmarkStart w:id="89" w:name="_Toc403513500"/>
      <w:r>
        <w:rPr>
          <w:rFonts w:hint="eastAsia" w:ascii="宋体" w:hAnsi="宋体"/>
          <w:b/>
          <w:szCs w:val="21"/>
        </w:rPr>
        <w:t>保密</w:t>
      </w:r>
      <w:bookmarkEnd w:id="84"/>
      <w:bookmarkEnd w:id="85"/>
      <w:bookmarkEnd w:id="86"/>
      <w:bookmarkEnd w:id="87"/>
      <w:bookmarkEnd w:id="88"/>
      <w:bookmarkEnd w:id="89"/>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参与招标投标活动的各方应对招标文件和投标文件中的商业和技术等秘密保密，违者应对由此造成的后果承担法律责任。</w:t>
      </w:r>
    </w:p>
    <w:p>
      <w:pPr>
        <w:pStyle w:val="263"/>
        <w:widowControl w:val="0"/>
        <w:numPr>
          <w:ilvl w:val="1"/>
          <w:numId w:val="5"/>
        </w:numPr>
        <w:autoSpaceDE w:val="0"/>
        <w:autoSpaceDN w:val="0"/>
        <w:adjustRightInd w:val="0"/>
        <w:snapToGrid w:val="0"/>
        <w:ind w:firstLineChars="0"/>
        <w:jc w:val="left"/>
        <w:rPr>
          <w:rFonts w:ascii="宋体" w:hAnsi="宋体"/>
          <w:b/>
          <w:szCs w:val="21"/>
        </w:rPr>
      </w:pPr>
      <w:bookmarkStart w:id="90" w:name="_Toc144974505"/>
      <w:bookmarkStart w:id="91" w:name="_Toc330213953"/>
      <w:bookmarkStart w:id="92" w:name="_Toc403513501"/>
      <w:bookmarkStart w:id="93" w:name="_Toc152042313"/>
      <w:bookmarkStart w:id="94" w:name="_Toc332121721"/>
      <w:bookmarkStart w:id="95" w:name="_Toc152045537"/>
      <w:r>
        <w:rPr>
          <w:rFonts w:hint="eastAsia" w:ascii="宋体" w:hAnsi="宋体"/>
          <w:b/>
          <w:szCs w:val="21"/>
        </w:rPr>
        <w:t>语言</w:t>
      </w:r>
      <w:bookmarkEnd w:id="90"/>
      <w:r>
        <w:rPr>
          <w:rFonts w:hint="eastAsia" w:ascii="宋体" w:hAnsi="宋体"/>
          <w:b/>
          <w:szCs w:val="21"/>
        </w:rPr>
        <w:t>文字</w:t>
      </w:r>
      <w:bookmarkEnd w:id="91"/>
      <w:bookmarkEnd w:id="92"/>
      <w:bookmarkEnd w:id="93"/>
      <w:bookmarkEnd w:id="94"/>
      <w:bookmarkEnd w:id="95"/>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除专用术语外，与招标投标有关的语言均使用中文。必要时专用术语应附有中文注释。</w:t>
      </w:r>
    </w:p>
    <w:p>
      <w:pPr>
        <w:pStyle w:val="263"/>
        <w:widowControl w:val="0"/>
        <w:numPr>
          <w:ilvl w:val="1"/>
          <w:numId w:val="5"/>
        </w:numPr>
        <w:autoSpaceDE w:val="0"/>
        <w:autoSpaceDN w:val="0"/>
        <w:adjustRightInd w:val="0"/>
        <w:snapToGrid w:val="0"/>
        <w:ind w:firstLineChars="0"/>
        <w:jc w:val="left"/>
        <w:rPr>
          <w:rFonts w:ascii="宋体" w:hAnsi="宋体"/>
          <w:b/>
          <w:szCs w:val="21"/>
        </w:rPr>
      </w:pPr>
      <w:bookmarkStart w:id="96" w:name="_Toc403513502"/>
      <w:bookmarkStart w:id="97" w:name="_Toc332121722"/>
      <w:bookmarkStart w:id="98" w:name="_Toc152042314"/>
      <w:bookmarkStart w:id="99" w:name="_Toc330213954"/>
      <w:bookmarkStart w:id="100" w:name="_Toc144974506"/>
      <w:bookmarkStart w:id="101" w:name="_Toc152045538"/>
      <w:r>
        <w:rPr>
          <w:rFonts w:hint="eastAsia" w:ascii="宋体" w:hAnsi="宋体"/>
          <w:b/>
          <w:szCs w:val="21"/>
        </w:rPr>
        <w:t>计量单位</w:t>
      </w:r>
      <w:bookmarkEnd w:id="96"/>
      <w:bookmarkEnd w:id="97"/>
      <w:bookmarkEnd w:id="98"/>
      <w:bookmarkEnd w:id="99"/>
      <w:bookmarkEnd w:id="100"/>
      <w:bookmarkEnd w:id="101"/>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所有计量均采用中华人民共和国法定计量单位。</w:t>
      </w:r>
    </w:p>
    <w:p>
      <w:pPr>
        <w:pStyle w:val="263"/>
        <w:widowControl w:val="0"/>
        <w:numPr>
          <w:ilvl w:val="1"/>
          <w:numId w:val="5"/>
        </w:numPr>
        <w:autoSpaceDE w:val="0"/>
        <w:autoSpaceDN w:val="0"/>
        <w:adjustRightInd w:val="0"/>
        <w:snapToGrid w:val="0"/>
        <w:ind w:firstLineChars="0"/>
        <w:jc w:val="left"/>
        <w:rPr>
          <w:rFonts w:ascii="宋体" w:hAnsi="宋体"/>
          <w:b/>
          <w:szCs w:val="21"/>
        </w:rPr>
      </w:pPr>
      <w:bookmarkStart w:id="102" w:name="_Toc330213955"/>
      <w:bookmarkStart w:id="103" w:name="_Toc152042315"/>
      <w:bookmarkStart w:id="104" w:name="_Toc152045539"/>
      <w:bookmarkStart w:id="105" w:name="_Toc332121723"/>
      <w:bookmarkStart w:id="106" w:name="_Toc403513503"/>
      <w:bookmarkStart w:id="107" w:name="_Toc144974507"/>
      <w:r>
        <w:rPr>
          <w:rFonts w:hint="eastAsia" w:ascii="宋体" w:hAnsi="宋体"/>
          <w:b/>
          <w:szCs w:val="21"/>
        </w:rPr>
        <w:t>踏勘现场</w:t>
      </w:r>
      <w:bookmarkEnd w:id="102"/>
      <w:bookmarkEnd w:id="103"/>
      <w:bookmarkEnd w:id="104"/>
      <w:bookmarkEnd w:id="105"/>
      <w:bookmarkEnd w:id="106"/>
      <w:bookmarkEnd w:id="107"/>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投标人须知前附表规定组织踏勘现场的，招标人按投标人须知前附表规定的时间、地点组织投标人踏勘项目现场。</w:t>
      </w:r>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投标人踏勘现场发生的费用自理。</w:t>
      </w:r>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除招标人的原因外，投标人自行负责在踏勘现场中所发生的人员伤亡和财产损失。</w:t>
      </w:r>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招标人在踏勘现场中介绍的使用场地和相关的周边环境情况，供投标人在编制投标文件时参考，招标人不对投标人据此作出的判断和决策负责。</w:t>
      </w:r>
    </w:p>
    <w:p>
      <w:pPr>
        <w:pStyle w:val="263"/>
        <w:widowControl w:val="0"/>
        <w:numPr>
          <w:ilvl w:val="1"/>
          <w:numId w:val="5"/>
        </w:numPr>
        <w:autoSpaceDE w:val="0"/>
        <w:autoSpaceDN w:val="0"/>
        <w:adjustRightInd w:val="0"/>
        <w:snapToGrid w:val="0"/>
        <w:ind w:firstLineChars="0"/>
        <w:jc w:val="left"/>
        <w:rPr>
          <w:rFonts w:ascii="宋体" w:hAnsi="宋体"/>
          <w:b/>
          <w:szCs w:val="21"/>
        </w:rPr>
      </w:pPr>
      <w:bookmarkStart w:id="108" w:name="_Toc332121724"/>
      <w:bookmarkStart w:id="109" w:name="_Toc152042316"/>
      <w:bookmarkStart w:id="110" w:name="_Toc144974508"/>
      <w:bookmarkStart w:id="111" w:name="_Toc152045540"/>
      <w:bookmarkStart w:id="112" w:name="_Toc403513504"/>
      <w:bookmarkStart w:id="113" w:name="_Toc330213956"/>
      <w:r>
        <w:rPr>
          <w:rFonts w:hint="eastAsia" w:ascii="宋体" w:hAnsi="宋体"/>
          <w:b/>
          <w:szCs w:val="21"/>
        </w:rPr>
        <w:t>投标预备会</w:t>
      </w:r>
      <w:bookmarkEnd w:id="108"/>
      <w:bookmarkEnd w:id="109"/>
      <w:bookmarkEnd w:id="110"/>
      <w:bookmarkEnd w:id="111"/>
      <w:bookmarkEnd w:id="112"/>
      <w:bookmarkEnd w:id="113"/>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投标人</w:t>
      </w:r>
      <w:r>
        <w:rPr>
          <w:rFonts w:hint="eastAsia" w:ascii="宋体" w:hAnsi="宋体"/>
          <w:szCs w:val="21"/>
          <w:lang w:val="en-US" w:eastAsia="zh-CN"/>
        </w:rPr>
        <w:t>不组织</w:t>
      </w:r>
      <w:r>
        <w:rPr>
          <w:rFonts w:hint="eastAsia" w:ascii="宋体" w:hAnsi="宋体"/>
          <w:szCs w:val="21"/>
        </w:rPr>
        <w:t>召开投标预备会。</w:t>
      </w:r>
    </w:p>
    <w:p>
      <w:pPr>
        <w:pStyle w:val="263"/>
        <w:widowControl w:val="0"/>
        <w:numPr>
          <w:ilvl w:val="1"/>
          <w:numId w:val="5"/>
        </w:numPr>
        <w:autoSpaceDE w:val="0"/>
        <w:autoSpaceDN w:val="0"/>
        <w:adjustRightInd w:val="0"/>
        <w:snapToGrid w:val="0"/>
        <w:ind w:firstLineChars="0"/>
        <w:jc w:val="left"/>
        <w:rPr>
          <w:rFonts w:ascii="宋体" w:hAnsi="宋体"/>
          <w:b/>
          <w:szCs w:val="21"/>
        </w:rPr>
      </w:pPr>
      <w:r>
        <w:rPr>
          <w:rFonts w:hint="eastAsia" w:ascii="宋体" w:hAnsi="宋体"/>
          <w:b/>
          <w:szCs w:val="21"/>
        </w:rPr>
        <w:t>分包</w:t>
      </w:r>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中标人应当按照合同约定履行义务，完成中标项目。中标人不得向他人转让中标项目，也不得将中标项目肢解后分别向他人转让。</w:t>
      </w:r>
    </w:p>
    <w:p>
      <w:pPr>
        <w:pStyle w:val="263"/>
        <w:widowControl w:val="0"/>
        <w:numPr>
          <w:ilvl w:val="1"/>
          <w:numId w:val="5"/>
        </w:numPr>
        <w:autoSpaceDE w:val="0"/>
        <w:autoSpaceDN w:val="0"/>
        <w:adjustRightInd w:val="0"/>
        <w:snapToGrid w:val="0"/>
        <w:ind w:firstLineChars="0"/>
        <w:jc w:val="left"/>
        <w:rPr>
          <w:rFonts w:ascii="宋体" w:hAnsi="宋体"/>
          <w:b/>
          <w:szCs w:val="21"/>
        </w:rPr>
      </w:pPr>
      <w:r>
        <w:rPr>
          <w:rFonts w:hint="eastAsia" w:ascii="宋体" w:hAnsi="宋体"/>
          <w:b/>
          <w:szCs w:val="21"/>
        </w:rPr>
        <w:t>响应和偏离</w:t>
      </w:r>
    </w:p>
    <w:p>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投标文件应当对招标文件的实质性要求和条件作出满足性或更有利于招标人的响应，否则，投标人的投标将被否决。</w:t>
      </w:r>
      <w:r>
        <w:rPr>
          <w:rFonts w:hint="eastAsia" w:ascii="宋体" w:hAnsi="宋体"/>
          <w:szCs w:val="21"/>
        </w:rPr>
        <w:t>响应和</w:t>
      </w:r>
      <w:r>
        <w:rPr>
          <w:rFonts w:ascii="宋体" w:hAnsi="宋体"/>
          <w:szCs w:val="21"/>
        </w:rPr>
        <w:t>偏离的</w:t>
      </w:r>
      <w:r>
        <w:rPr>
          <w:rFonts w:hint="eastAsia" w:ascii="宋体" w:hAnsi="宋体"/>
          <w:szCs w:val="21"/>
        </w:rPr>
        <w:t>说明</w:t>
      </w:r>
      <w:r>
        <w:rPr>
          <w:rFonts w:ascii="宋体" w:hAnsi="宋体"/>
          <w:szCs w:val="21"/>
        </w:rPr>
        <w:t>详见投标人须知前附表。</w:t>
      </w:r>
    </w:p>
    <w:p>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投标人应根据招标文件的要求提供投标</w:t>
      </w:r>
      <w:r>
        <w:rPr>
          <w:rFonts w:hint="eastAsia" w:ascii="宋体" w:hAnsi="宋体"/>
          <w:szCs w:val="21"/>
        </w:rPr>
        <w:t>服务</w:t>
      </w:r>
      <w:r>
        <w:rPr>
          <w:rFonts w:ascii="宋体" w:hAnsi="宋体"/>
          <w:szCs w:val="21"/>
        </w:rPr>
        <w:t>指标的详细描述、技术支持资料及技术服务和质保期</w:t>
      </w:r>
      <w:r>
        <w:rPr>
          <w:rFonts w:hint="eastAsia" w:ascii="宋体" w:hAnsi="宋体"/>
          <w:szCs w:val="21"/>
        </w:rPr>
        <w:t>、</w:t>
      </w:r>
      <w:r>
        <w:rPr>
          <w:rFonts w:ascii="宋体" w:hAnsi="宋体"/>
          <w:szCs w:val="21"/>
        </w:rPr>
        <w:t>服务计划等内容以对招标文件作出响应。</w:t>
      </w:r>
    </w:p>
    <w:p>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投标文件中应针对实质性要求和条件中列明的技术要求提供技术支持资料。技术支</w:t>
      </w:r>
      <w:r>
        <w:rPr>
          <w:rFonts w:ascii="宋体" w:hAnsi="宋体"/>
          <w:spacing w:val="-1"/>
          <w:szCs w:val="21"/>
        </w:rPr>
        <w:t>持资料以制造商公开发布的印刷资料，或检测机构出具的检测报告或投标人须知前附表允许的</w:t>
      </w:r>
      <w:r>
        <w:rPr>
          <w:rFonts w:ascii="宋体" w:hAnsi="宋体"/>
          <w:szCs w:val="21"/>
        </w:rPr>
        <w:t>其他形式为准，不符合前述要求的，视为无技术支持资料。</w:t>
      </w:r>
    </w:p>
    <w:p>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投标文件对招标文件的全部偏离，均应在投标文件中列明，除列明的内容外，视为投标人响应招标文件的全部要求</w:t>
      </w:r>
      <w:r>
        <w:rPr>
          <w:rFonts w:hint="eastAsia" w:ascii="宋体" w:hAnsi="宋体"/>
          <w:szCs w:val="21"/>
        </w:rPr>
        <w:t>。</w:t>
      </w:r>
    </w:p>
    <w:p>
      <w:pPr>
        <w:pStyle w:val="263"/>
        <w:widowControl w:val="0"/>
        <w:autoSpaceDE w:val="0"/>
        <w:autoSpaceDN w:val="0"/>
        <w:adjustRightInd w:val="0"/>
        <w:snapToGrid w:val="0"/>
        <w:ind w:firstLine="0" w:firstLineChars="0"/>
        <w:jc w:val="left"/>
        <w:rPr>
          <w:rFonts w:ascii="宋体" w:hAnsi="宋体"/>
          <w:szCs w:val="21"/>
        </w:rPr>
      </w:pPr>
    </w:p>
    <w:p>
      <w:pPr>
        <w:pStyle w:val="263"/>
        <w:widowControl w:val="0"/>
        <w:numPr>
          <w:ilvl w:val="0"/>
          <w:numId w:val="5"/>
        </w:numPr>
        <w:autoSpaceDE w:val="0"/>
        <w:autoSpaceDN w:val="0"/>
        <w:adjustRightInd w:val="0"/>
        <w:snapToGrid w:val="0"/>
        <w:ind w:firstLineChars="0"/>
        <w:jc w:val="left"/>
        <w:rPr>
          <w:rFonts w:ascii="宋体" w:hAnsi="宋体"/>
          <w:b/>
          <w:szCs w:val="21"/>
        </w:rPr>
      </w:pPr>
      <w:bookmarkStart w:id="114" w:name="_Toc144974510"/>
      <w:bookmarkStart w:id="115" w:name="_Toc152042318"/>
      <w:bookmarkStart w:id="116" w:name="_Toc152045542"/>
      <w:r>
        <w:rPr>
          <w:rFonts w:hint="eastAsia" w:ascii="宋体" w:hAnsi="宋体"/>
          <w:b/>
          <w:szCs w:val="21"/>
        </w:rPr>
        <w:t>招标文件</w:t>
      </w:r>
      <w:bookmarkEnd w:id="114"/>
      <w:bookmarkEnd w:id="115"/>
      <w:bookmarkEnd w:id="116"/>
    </w:p>
    <w:p>
      <w:pPr>
        <w:pStyle w:val="263"/>
        <w:widowControl w:val="0"/>
        <w:numPr>
          <w:ilvl w:val="1"/>
          <w:numId w:val="5"/>
        </w:numPr>
        <w:autoSpaceDE w:val="0"/>
        <w:autoSpaceDN w:val="0"/>
        <w:adjustRightInd w:val="0"/>
        <w:snapToGrid w:val="0"/>
        <w:ind w:firstLineChars="0"/>
        <w:jc w:val="left"/>
        <w:rPr>
          <w:rFonts w:ascii="宋体" w:hAnsi="宋体"/>
          <w:b/>
          <w:szCs w:val="21"/>
        </w:rPr>
      </w:pPr>
      <w:bookmarkStart w:id="117" w:name="_Toc330213959"/>
      <w:bookmarkStart w:id="118" w:name="_Toc152042319"/>
      <w:bookmarkStart w:id="119" w:name="_Toc152045543"/>
      <w:bookmarkStart w:id="120" w:name="_Toc332121727"/>
      <w:bookmarkStart w:id="121" w:name="_Toc403513506"/>
      <w:bookmarkStart w:id="122" w:name="_Toc144974511"/>
      <w:r>
        <w:rPr>
          <w:rFonts w:hint="eastAsia" w:ascii="宋体" w:hAnsi="宋体"/>
          <w:b/>
          <w:szCs w:val="21"/>
        </w:rPr>
        <w:t>招标文件的组成</w:t>
      </w:r>
      <w:bookmarkEnd w:id="117"/>
      <w:bookmarkEnd w:id="118"/>
      <w:bookmarkEnd w:id="119"/>
      <w:bookmarkEnd w:id="120"/>
      <w:bookmarkEnd w:id="121"/>
      <w:bookmarkEnd w:id="122"/>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本招标文件包括：</w:t>
      </w:r>
    </w:p>
    <w:p>
      <w:pPr>
        <w:pStyle w:val="263"/>
        <w:widowControl w:val="0"/>
        <w:numPr>
          <w:ilvl w:val="3"/>
          <w:numId w:val="5"/>
        </w:numPr>
        <w:autoSpaceDE w:val="0"/>
        <w:autoSpaceDN w:val="0"/>
        <w:adjustRightInd w:val="0"/>
        <w:snapToGrid w:val="0"/>
        <w:ind w:firstLineChars="0"/>
        <w:jc w:val="left"/>
        <w:rPr>
          <w:rFonts w:ascii="宋体" w:hAnsi="宋体"/>
          <w:szCs w:val="21"/>
        </w:rPr>
      </w:pPr>
      <w:r>
        <w:rPr>
          <w:rFonts w:hint="eastAsia" w:ascii="宋体" w:hAnsi="宋体"/>
          <w:szCs w:val="21"/>
        </w:rPr>
        <w:t>投标人须知；</w:t>
      </w:r>
    </w:p>
    <w:p>
      <w:pPr>
        <w:pStyle w:val="263"/>
        <w:widowControl w:val="0"/>
        <w:numPr>
          <w:ilvl w:val="3"/>
          <w:numId w:val="5"/>
        </w:numPr>
        <w:autoSpaceDE w:val="0"/>
        <w:autoSpaceDN w:val="0"/>
        <w:adjustRightInd w:val="0"/>
        <w:snapToGrid w:val="0"/>
        <w:ind w:firstLineChars="0"/>
        <w:jc w:val="left"/>
        <w:rPr>
          <w:rFonts w:ascii="宋体" w:hAnsi="宋体"/>
          <w:szCs w:val="21"/>
        </w:rPr>
      </w:pPr>
      <w:r>
        <w:rPr>
          <w:rFonts w:hint="eastAsia" w:ascii="宋体" w:hAnsi="宋体"/>
          <w:szCs w:val="21"/>
        </w:rPr>
        <w:t>评定标办法；</w:t>
      </w:r>
    </w:p>
    <w:p>
      <w:pPr>
        <w:pStyle w:val="263"/>
        <w:widowControl w:val="0"/>
        <w:numPr>
          <w:ilvl w:val="3"/>
          <w:numId w:val="5"/>
        </w:numPr>
        <w:autoSpaceDE w:val="0"/>
        <w:autoSpaceDN w:val="0"/>
        <w:adjustRightInd w:val="0"/>
        <w:snapToGrid w:val="0"/>
        <w:ind w:firstLineChars="0"/>
        <w:jc w:val="left"/>
        <w:rPr>
          <w:rFonts w:ascii="宋体" w:hAnsi="宋体"/>
          <w:szCs w:val="21"/>
        </w:rPr>
      </w:pPr>
      <w:r>
        <w:rPr>
          <w:rFonts w:hint="eastAsia" w:ascii="宋体" w:hAnsi="宋体"/>
          <w:szCs w:val="21"/>
        </w:rPr>
        <w:t>合同条款及格式；</w:t>
      </w:r>
    </w:p>
    <w:p>
      <w:pPr>
        <w:pStyle w:val="263"/>
        <w:widowControl w:val="0"/>
        <w:numPr>
          <w:ilvl w:val="3"/>
          <w:numId w:val="5"/>
        </w:numPr>
        <w:autoSpaceDE w:val="0"/>
        <w:autoSpaceDN w:val="0"/>
        <w:adjustRightInd w:val="0"/>
        <w:snapToGrid w:val="0"/>
        <w:ind w:firstLineChars="0"/>
        <w:jc w:val="left"/>
        <w:rPr>
          <w:rFonts w:ascii="宋体" w:hAnsi="宋体"/>
          <w:szCs w:val="21"/>
        </w:rPr>
      </w:pPr>
      <w:r>
        <w:rPr>
          <w:rFonts w:hint="eastAsia" w:ascii="宋体" w:hAnsi="宋体"/>
          <w:szCs w:val="21"/>
        </w:rPr>
        <w:t>项目需求；</w:t>
      </w:r>
    </w:p>
    <w:p>
      <w:pPr>
        <w:pStyle w:val="263"/>
        <w:widowControl w:val="0"/>
        <w:numPr>
          <w:ilvl w:val="3"/>
          <w:numId w:val="5"/>
        </w:numPr>
        <w:autoSpaceDE w:val="0"/>
        <w:autoSpaceDN w:val="0"/>
        <w:adjustRightInd w:val="0"/>
        <w:snapToGrid w:val="0"/>
        <w:ind w:firstLineChars="0"/>
        <w:jc w:val="left"/>
        <w:rPr>
          <w:rFonts w:ascii="宋体" w:hAnsi="宋体"/>
          <w:szCs w:val="21"/>
        </w:rPr>
      </w:pPr>
      <w:r>
        <w:rPr>
          <w:rFonts w:hint="eastAsia" w:ascii="宋体" w:hAnsi="宋体"/>
          <w:szCs w:val="21"/>
        </w:rPr>
        <w:t>投标文件格式。</w:t>
      </w:r>
    </w:p>
    <w:p>
      <w:pPr>
        <w:pStyle w:val="263"/>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注：根据本章第1.10款、第2.2款和第2.3款对招标文件所作的澄清、修改，构成招标文件的组成部分。</w:t>
      </w:r>
    </w:p>
    <w:p>
      <w:pPr>
        <w:pStyle w:val="263"/>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2.1.2</w:t>
      </w:r>
      <w:r>
        <w:rPr>
          <w:rFonts w:hint="eastAsia" w:ascii="宋体" w:hAnsi="宋体"/>
          <w:szCs w:val="21"/>
        </w:rPr>
        <w:tab/>
      </w:r>
      <w:r>
        <w:rPr>
          <w:rFonts w:hint="eastAsia" w:ascii="宋体" w:hAnsi="宋体"/>
          <w:szCs w:val="21"/>
        </w:rPr>
        <w:t>招标文件获取时间及方式：见投标人须知前附表。</w:t>
      </w:r>
    </w:p>
    <w:p>
      <w:pPr>
        <w:pStyle w:val="263"/>
        <w:widowControl w:val="0"/>
        <w:numPr>
          <w:ilvl w:val="1"/>
          <w:numId w:val="5"/>
        </w:numPr>
        <w:autoSpaceDE w:val="0"/>
        <w:autoSpaceDN w:val="0"/>
        <w:adjustRightInd w:val="0"/>
        <w:snapToGrid w:val="0"/>
        <w:ind w:firstLineChars="0"/>
        <w:jc w:val="left"/>
        <w:rPr>
          <w:rFonts w:ascii="宋体" w:hAnsi="宋体"/>
          <w:b/>
          <w:szCs w:val="21"/>
        </w:rPr>
      </w:pPr>
      <w:bookmarkStart w:id="123" w:name="_Toc152042320"/>
      <w:bookmarkStart w:id="124" w:name="_Toc330213960"/>
      <w:bookmarkStart w:id="125" w:name="_Toc144974512"/>
      <w:bookmarkStart w:id="126" w:name="_Toc403513507"/>
      <w:bookmarkStart w:id="127" w:name="_Toc332121728"/>
      <w:bookmarkStart w:id="128" w:name="_Toc152045544"/>
      <w:r>
        <w:rPr>
          <w:rFonts w:hint="eastAsia" w:ascii="宋体" w:hAnsi="宋体"/>
          <w:b/>
          <w:szCs w:val="21"/>
        </w:rPr>
        <w:t>招标文件的澄清</w:t>
      </w:r>
      <w:bookmarkEnd w:id="123"/>
      <w:bookmarkEnd w:id="124"/>
      <w:bookmarkEnd w:id="125"/>
      <w:bookmarkEnd w:id="126"/>
      <w:bookmarkEnd w:id="127"/>
      <w:bookmarkEnd w:id="128"/>
    </w:p>
    <w:p>
      <w:pPr>
        <w:pStyle w:val="263"/>
        <w:widowControl w:val="0"/>
        <w:numPr>
          <w:ilvl w:val="2"/>
          <w:numId w:val="5"/>
        </w:numPr>
        <w:autoSpaceDE w:val="0"/>
        <w:autoSpaceDN w:val="0"/>
        <w:adjustRightInd w:val="0"/>
        <w:snapToGrid w:val="0"/>
        <w:ind w:firstLineChars="0"/>
        <w:jc w:val="left"/>
        <w:rPr>
          <w:rFonts w:ascii="宋体" w:hAnsi="宋体" w:cs="宋体"/>
          <w:kern w:val="0"/>
          <w:szCs w:val="21"/>
        </w:rPr>
      </w:pPr>
      <w:bookmarkStart w:id="129" w:name="_Toc403513508"/>
      <w:bookmarkStart w:id="130" w:name="_Toc332121729"/>
      <w:bookmarkStart w:id="131" w:name="_Toc152045545"/>
      <w:bookmarkStart w:id="132" w:name="_Toc152042321"/>
      <w:bookmarkStart w:id="133" w:name="_Toc330213961"/>
      <w:bookmarkStart w:id="134" w:name="_Toc144974513"/>
      <w:r>
        <w:rPr>
          <w:rFonts w:ascii="宋体" w:hAnsi="宋体"/>
          <w:szCs w:val="21"/>
        </w:rPr>
        <w:t>投标人应仔细阅读和检查招标文件的全部内容。如发现缺页或附件不全，应及时向招标人提出，以便补齐。如有</w:t>
      </w:r>
      <w:r>
        <w:rPr>
          <w:rFonts w:hint="eastAsia" w:ascii="宋体" w:hAnsi="宋体"/>
          <w:szCs w:val="21"/>
        </w:rPr>
        <w:t>质疑</w:t>
      </w:r>
      <w:r>
        <w:rPr>
          <w:rFonts w:ascii="宋体" w:hAnsi="宋体"/>
          <w:szCs w:val="21"/>
        </w:rPr>
        <w:t>，投标人</w:t>
      </w:r>
      <w:r>
        <w:rPr>
          <w:rFonts w:hint="eastAsia" w:ascii="宋体" w:hAnsi="宋体"/>
          <w:szCs w:val="21"/>
        </w:rPr>
        <w:t>应</w:t>
      </w:r>
      <w:r>
        <w:rPr>
          <w:rFonts w:ascii="宋体" w:hAnsi="宋体"/>
          <w:szCs w:val="21"/>
        </w:rPr>
        <w:t>在投标人须知前附表规定的时间</w:t>
      </w:r>
      <w:r>
        <w:rPr>
          <w:rFonts w:hint="eastAsia" w:ascii="宋体" w:hAnsi="宋体"/>
          <w:szCs w:val="21"/>
        </w:rPr>
        <w:t>内</w:t>
      </w:r>
      <w:r>
        <w:rPr>
          <w:rFonts w:hint="eastAsia" w:ascii="宋体" w:hAnsi="宋体"/>
          <w:szCs w:val="21"/>
          <w:lang w:val="en-US" w:eastAsia="zh-CN"/>
        </w:rPr>
        <w:t>通过书面告知的形式</w:t>
      </w:r>
      <w:r>
        <w:rPr>
          <w:rFonts w:ascii="宋体" w:hAnsi="宋体"/>
          <w:szCs w:val="21"/>
        </w:rPr>
        <w:t>要求招标人对招标文件予以澄清。</w:t>
      </w:r>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招标文件的澄清将在投标人须知前附表规定的时间内以</w:t>
      </w:r>
      <w:r>
        <w:rPr>
          <w:rFonts w:hint="eastAsia" w:ascii="宋体" w:hAnsi="宋体"/>
          <w:szCs w:val="21"/>
          <w:lang w:val="en-US" w:eastAsia="zh-CN"/>
        </w:rPr>
        <w:t>书面</w:t>
      </w:r>
      <w:r>
        <w:rPr>
          <w:rFonts w:hint="eastAsia" w:ascii="宋体" w:hAnsi="宋体"/>
          <w:szCs w:val="21"/>
        </w:rPr>
        <w:t>形式发给所有获取招标文件的投标人。如果澄清发出的时间和内容明显影响投标文件编制的，应当相应延长投标截止时间。</w:t>
      </w:r>
    </w:p>
    <w:p>
      <w:pPr>
        <w:pStyle w:val="263"/>
        <w:widowControl w:val="0"/>
        <w:numPr>
          <w:ilvl w:val="1"/>
          <w:numId w:val="5"/>
        </w:numPr>
        <w:autoSpaceDE w:val="0"/>
        <w:autoSpaceDN w:val="0"/>
        <w:adjustRightInd w:val="0"/>
        <w:snapToGrid w:val="0"/>
        <w:ind w:firstLineChars="0"/>
        <w:jc w:val="left"/>
        <w:rPr>
          <w:rFonts w:ascii="宋体" w:hAnsi="宋体"/>
          <w:b/>
          <w:szCs w:val="21"/>
        </w:rPr>
      </w:pPr>
      <w:r>
        <w:rPr>
          <w:rFonts w:hint="eastAsia" w:ascii="宋体" w:hAnsi="宋体"/>
          <w:b/>
          <w:szCs w:val="21"/>
        </w:rPr>
        <w:t>招标文件的修改</w:t>
      </w:r>
      <w:bookmarkEnd w:id="129"/>
      <w:bookmarkEnd w:id="130"/>
      <w:bookmarkEnd w:id="131"/>
      <w:bookmarkEnd w:id="132"/>
      <w:bookmarkEnd w:id="133"/>
      <w:bookmarkEnd w:id="134"/>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在投标截止时间3日前，招标人可以数据电文（或书面形式）修改招标文件，并通知所有已获取招标文件的投标人。如未在规定时间内发出澄清的或澄清内容明显影响投标文件编制的，将应当相应延长投标截止时间。</w:t>
      </w:r>
    </w:p>
    <w:p>
      <w:pPr>
        <w:pStyle w:val="263"/>
        <w:widowControl w:val="0"/>
        <w:numPr>
          <w:ilvl w:val="0"/>
          <w:numId w:val="5"/>
        </w:numPr>
        <w:autoSpaceDE w:val="0"/>
        <w:autoSpaceDN w:val="0"/>
        <w:adjustRightInd w:val="0"/>
        <w:snapToGrid w:val="0"/>
        <w:ind w:firstLineChars="0"/>
        <w:jc w:val="left"/>
        <w:rPr>
          <w:rFonts w:ascii="宋体" w:hAnsi="宋体"/>
          <w:b/>
          <w:szCs w:val="21"/>
        </w:rPr>
      </w:pPr>
      <w:bookmarkStart w:id="135" w:name="_Toc152045546"/>
      <w:bookmarkStart w:id="136" w:name="_Toc152042322"/>
      <w:bookmarkStart w:id="137" w:name="_Toc144974514"/>
      <w:r>
        <w:rPr>
          <w:rFonts w:hint="eastAsia" w:ascii="宋体" w:hAnsi="宋体"/>
          <w:b/>
          <w:szCs w:val="21"/>
        </w:rPr>
        <w:t>投标文件</w:t>
      </w:r>
      <w:bookmarkEnd w:id="135"/>
      <w:bookmarkEnd w:id="136"/>
      <w:bookmarkEnd w:id="137"/>
    </w:p>
    <w:p>
      <w:pPr>
        <w:pStyle w:val="263"/>
        <w:widowControl w:val="0"/>
        <w:numPr>
          <w:ilvl w:val="1"/>
          <w:numId w:val="5"/>
        </w:numPr>
        <w:autoSpaceDE w:val="0"/>
        <w:autoSpaceDN w:val="0"/>
        <w:adjustRightInd w:val="0"/>
        <w:snapToGrid w:val="0"/>
        <w:ind w:firstLineChars="0"/>
        <w:jc w:val="left"/>
        <w:rPr>
          <w:rFonts w:ascii="宋体" w:hAnsi="宋体"/>
          <w:b/>
          <w:szCs w:val="21"/>
        </w:rPr>
      </w:pPr>
      <w:bookmarkStart w:id="138" w:name="_Toc152042323"/>
      <w:bookmarkStart w:id="139" w:name="_Toc152045547"/>
      <w:bookmarkStart w:id="140" w:name="_Toc330213963"/>
      <w:bookmarkStart w:id="141" w:name="_Toc144974515"/>
      <w:bookmarkStart w:id="142" w:name="_Toc332121731"/>
      <w:bookmarkStart w:id="143" w:name="_Toc403513510"/>
      <w:r>
        <w:rPr>
          <w:rFonts w:hint="eastAsia" w:ascii="宋体" w:hAnsi="宋体"/>
          <w:b/>
          <w:szCs w:val="21"/>
        </w:rPr>
        <w:t>投标文件的组成</w:t>
      </w:r>
      <w:bookmarkEnd w:id="138"/>
      <w:bookmarkEnd w:id="139"/>
      <w:bookmarkEnd w:id="140"/>
      <w:bookmarkEnd w:id="141"/>
      <w:bookmarkEnd w:id="142"/>
      <w:bookmarkEnd w:id="143"/>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投标文件组成及格式见本招标文件第五章和投标人须知前附表三。</w:t>
      </w:r>
      <w:r>
        <w:rPr>
          <w:rFonts w:ascii="宋体" w:hAnsi="宋体"/>
          <w:spacing w:val="-1"/>
          <w:szCs w:val="21"/>
        </w:rPr>
        <w:t>投标人在评标过程中作出的符合法律法规和招标文件规定的澄清确认，构成投标文件的组</w:t>
      </w:r>
      <w:r>
        <w:rPr>
          <w:rFonts w:ascii="宋体" w:hAnsi="宋体"/>
          <w:szCs w:val="21"/>
        </w:rPr>
        <w:t>成部分。</w:t>
      </w:r>
    </w:p>
    <w:p>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投标人须知前附表规定不接受联合体投标的，或投标人没有组成联合体的，投标文件不包括</w:t>
      </w:r>
      <w:r>
        <w:rPr>
          <w:rFonts w:hint="eastAsia" w:ascii="宋体" w:hAnsi="宋体"/>
          <w:szCs w:val="21"/>
        </w:rPr>
        <w:t>投标人须知前附表</w:t>
      </w:r>
      <w:r>
        <w:rPr>
          <w:rFonts w:ascii="宋体" w:hAnsi="宋体"/>
          <w:szCs w:val="21"/>
        </w:rPr>
        <w:t>所指的联合体协议书。</w:t>
      </w:r>
    </w:p>
    <w:p>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投标人须知前附表未要求提交投标保证金的，投标文件不包括</w:t>
      </w:r>
      <w:r>
        <w:rPr>
          <w:rFonts w:hint="eastAsia" w:ascii="宋体" w:hAnsi="宋体"/>
          <w:szCs w:val="21"/>
        </w:rPr>
        <w:t>投标人须知前附表</w:t>
      </w:r>
      <w:r>
        <w:rPr>
          <w:rFonts w:ascii="宋体" w:hAnsi="宋体"/>
          <w:szCs w:val="21"/>
        </w:rPr>
        <w:t>所指的投标保证金。</w:t>
      </w:r>
    </w:p>
    <w:p>
      <w:pPr>
        <w:pStyle w:val="263"/>
        <w:widowControl w:val="0"/>
        <w:numPr>
          <w:ilvl w:val="1"/>
          <w:numId w:val="5"/>
        </w:numPr>
        <w:autoSpaceDE w:val="0"/>
        <w:autoSpaceDN w:val="0"/>
        <w:adjustRightInd w:val="0"/>
        <w:snapToGrid w:val="0"/>
        <w:ind w:firstLineChars="0"/>
        <w:jc w:val="left"/>
        <w:rPr>
          <w:rFonts w:ascii="宋体" w:hAnsi="宋体"/>
          <w:b/>
          <w:szCs w:val="21"/>
        </w:rPr>
      </w:pPr>
      <w:bookmarkStart w:id="144" w:name="_Toc152045548"/>
      <w:bookmarkStart w:id="145" w:name="_Toc152042324"/>
      <w:bookmarkStart w:id="146" w:name="_Toc403513511"/>
      <w:bookmarkStart w:id="147" w:name="_Toc144974516"/>
      <w:bookmarkStart w:id="148" w:name="_Toc332121732"/>
      <w:bookmarkStart w:id="149" w:name="_Toc330213964"/>
      <w:r>
        <w:rPr>
          <w:rFonts w:hint="eastAsia" w:ascii="宋体" w:hAnsi="宋体"/>
          <w:b/>
          <w:szCs w:val="21"/>
        </w:rPr>
        <w:t>投标报价</w:t>
      </w:r>
      <w:bookmarkEnd w:id="144"/>
      <w:bookmarkEnd w:id="145"/>
      <w:bookmarkEnd w:id="146"/>
      <w:bookmarkEnd w:id="147"/>
      <w:bookmarkEnd w:id="148"/>
      <w:bookmarkEnd w:id="149"/>
    </w:p>
    <w:p>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pacing w:val="-4"/>
          <w:szCs w:val="21"/>
        </w:rPr>
        <w:t>投标报价应包括国家规定的增值税税金，除投标人须知前附表另有规定外，增值税税</w:t>
      </w:r>
      <w:r>
        <w:rPr>
          <w:rFonts w:ascii="宋体" w:hAnsi="宋体"/>
          <w:szCs w:val="21"/>
        </w:rPr>
        <w:t>金按一般计税方法计算。</w:t>
      </w:r>
    </w:p>
    <w:p>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投标人应充分了解该项目的总体情况以及影响投标报价的其他要素。</w:t>
      </w:r>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投标报价算术修正原则详见第二章评定标办法。</w:t>
      </w:r>
    </w:p>
    <w:p>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pacing w:val="-4"/>
          <w:szCs w:val="21"/>
        </w:rPr>
        <w:t>招标人设有最高投标限价的，投标人的投标报价不得超过最高投标限价，最高投标限</w:t>
      </w:r>
      <w:r>
        <w:rPr>
          <w:rFonts w:ascii="宋体" w:hAnsi="宋体"/>
          <w:szCs w:val="21"/>
        </w:rPr>
        <w:t>价在投标人须知前附表中载明。</w:t>
      </w:r>
    </w:p>
    <w:p>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投标报价的其他要求见投标人须知前附表。</w:t>
      </w:r>
      <w:r>
        <w:rPr>
          <w:rFonts w:hint="eastAsia" w:ascii="宋体" w:hAnsi="宋体"/>
          <w:szCs w:val="21"/>
        </w:rPr>
        <w:t>　</w:t>
      </w:r>
    </w:p>
    <w:p>
      <w:pPr>
        <w:pStyle w:val="263"/>
        <w:widowControl w:val="0"/>
        <w:numPr>
          <w:ilvl w:val="1"/>
          <w:numId w:val="5"/>
        </w:numPr>
        <w:autoSpaceDE w:val="0"/>
        <w:autoSpaceDN w:val="0"/>
        <w:adjustRightInd w:val="0"/>
        <w:snapToGrid w:val="0"/>
        <w:ind w:firstLineChars="0"/>
        <w:jc w:val="left"/>
        <w:rPr>
          <w:rFonts w:ascii="宋体" w:hAnsi="宋体"/>
          <w:b/>
          <w:szCs w:val="21"/>
        </w:rPr>
      </w:pPr>
      <w:bookmarkStart w:id="150" w:name="_Toc330213965"/>
      <w:bookmarkStart w:id="151" w:name="_Toc152042325"/>
      <w:bookmarkStart w:id="152" w:name="_Toc152045549"/>
      <w:bookmarkStart w:id="153" w:name="_Toc332121733"/>
      <w:bookmarkStart w:id="154" w:name="_Toc144974517"/>
      <w:bookmarkStart w:id="155" w:name="_Toc403513512"/>
      <w:r>
        <w:rPr>
          <w:rFonts w:hint="eastAsia" w:ascii="宋体" w:hAnsi="宋体"/>
          <w:b/>
          <w:szCs w:val="21"/>
        </w:rPr>
        <w:t>投标有效期</w:t>
      </w:r>
      <w:bookmarkEnd w:id="150"/>
      <w:bookmarkEnd w:id="151"/>
      <w:bookmarkEnd w:id="152"/>
      <w:bookmarkEnd w:id="153"/>
      <w:bookmarkEnd w:id="154"/>
      <w:bookmarkEnd w:id="155"/>
    </w:p>
    <w:p>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除投标人须知前附表另有规定外，投标有效期为</w:t>
      </w:r>
      <w:r>
        <w:rPr>
          <w:rFonts w:hint="eastAsia" w:ascii="宋体" w:hAnsi="宋体"/>
          <w:szCs w:val="21"/>
        </w:rPr>
        <w:t>1</w:t>
      </w:r>
      <w:r>
        <w:rPr>
          <w:rFonts w:ascii="宋体" w:hAnsi="宋体"/>
          <w:szCs w:val="21"/>
        </w:rPr>
        <w:t>20</w:t>
      </w:r>
      <w:r>
        <w:rPr>
          <w:rFonts w:hint="eastAsia" w:ascii="宋体" w:hAnsi="宋体"/>
          <w:szCs w:val="21"/>
        </w:rPr>
        <w:t>个日历日</w:t>
      </w:r>
      <w:r>
        <w:rPr>
          <w:rFonts w:ascii="宋体" w:hAnsi="宋体"/>
          <w:szCs w:val="21"/>
        </w:rPr>
        <w:t>。</w:t>
      </w:r>
    </w:p>
    <w:p>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在投标有效期内，投标人撤销</w:t>
      </w:r>
      <w:r>
        <w:rPr>
          <w:rFonts w:hint="eastAsia" w:ascii="宋体" w:hAnsi="宋体"/>
          <w:szCs w:val="21"/>
        </w:rPr>
        <w:t>或修改</w:t>
      </w:r>
      <w:r>
        <w:rPr>
          <w:rFonts w:ascii="宋体" w:hAnsi="宋体"/>
          <w:szCs w:val="21"/>
        </w:rPr>
        <w:t>投标文件的，应承担招标文件和法律规定的责任。</w:t>
      </w:r>
    </w:p>
    <w:p>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pacing w:val="-4"/>
          <w:szCs w:val="21"/>
        </w:rPr>
        <w:t>出现特殊情况需要延长投标有效期的，招标人以</w:t>
      </w:r>
      <w:r>
        <w:rPr>
          <w:rFonts w:hint="eastAsia" w:ascii="宋体" w:hAnsi="宋体"/>
          <w:spacing w:val="-4"/>
          <w:szCs w:val="21"/>
        </w:rPr>
        <w:t>数据</w:t>
      </w:r>
      <w:r>
        <w:rPr>
          <w:rFonts w:ascii="宋体" w:hAnsi="宋体"/>
          <w:spacing w:val="-4"/>
          <w:szCs w:val="21"/>
        </w:rPr>
        <w:t>电文形式</w:t>
      </w:r>
      <w:r>
        <w:rPr>
          <w:rFonts w:hint="eastAsia" w:ascii="宋体" w:hAnsi="宋体"/>
          <w:spacing w:val="-4"/>
          <w:szCs w:val="21"/>
        </w:rPr>
        <w:t>（或书面形式）</w:t>
      </w:r>
      <w:r>
        <w:rPr>
          <w:rFonts w:ascii="宋体" w:hAnsi="宋体"/>
          <w:spacing w:val="-4"/>
          <w:szCs w:val="21"/>
        </w:rPr>
        <w:t>通知所有投标人延长投标有</w:t>
      </w:r>
      <w:r>
        <w:rPr>
          <w:rFonts w:ascii="宋体" w:hAnsi="宋体"/>
          <w:spacing w:val="-1"/>
          <w:szCs w:val="21"/>
        </w:rPr>
        <w:t>效期。投标人应予以书面答复，同意延长的，应相应延长其投标保证金的有效期，但不得要求或被允许</w:t>
      </w:r>
      <w:r>
        <w:rPr>
          <w:rFonts w:hint="eastAsia" w:ascii="宋体" w:hAnsi="宋体"/>
          <w:spacing w:val="-1"/>
          <w:szCs w:val="21"/>
        </w:rPr>
        <w:t>撤销或</w:t>
      </w:r>
      <w:r>
        <w:rPr>
          <w:rFonts w:ascii="宋体" w:hAnsi="宋体"/>
          <w:spacing w:val="-1"/>
          <w:szCs w:val="21"/>
        </w:rPr>
        <w:t>修改其投标文件；投标人拒绝延长的，其投标失效，但投标人有权收回其投标保证金</w:t>
      </w:r>
      <w:r>
        <w:rPr>
          <w:rFonts w:ascii="宋体" w:hAnsi="宋体"/>
          <w:szCs w:val="21"/>
        </w:rPr>
        <w:t>。</w:t>
      </w:r>
    </w:p>
    <w:p>
      <w:pPr>
        <w:pStyle w:val="263"/>
        <w:widowControl w:val="0"/>
        <w:numPr>
          <w:ilvl w:val="1"/>
          <w:numId w:val="5"/>
        </w:numPr>
        <w:autoSpaceDE w:val="0"/>
        <w:autoSpaceDN w:val="0"/>
        <w:adjustRightInd w:val="0"/>
        <w:snapToGrid w:val="0"/>
        <w:ind w:firstLineChars="0"/>
        <w:jc w:val="left"/>
        <w:rPr>
          <w:rFonts w:ascii="宋体" w:hAnsi="宋体"/>
          <w:b/>
          <w:szCs w:val="21"/>
        </w:rPr>
      </w:pPr>
      <w:bookmarkStart w:id="156" w:name="_Toc152045550"/>
      <w:bookmarkStart w:id="157" w:name="_Toc152042326"/>
      <w:bookmarkStart w:id="158" w:name="_Toc144974518"/>
      <w:bookmarkStart w:id="159" w:name="_Toc403513513"/>
      <w:bookmarkStart w:id="160" w:name="_Toc332121734"/>
      <w:bookmarkStart w:id="161" w:name="_Toc330213966"/>
      <w:r>
        <w:rPr>
          <w:rFonts w:hint="eastAsia" w:ascii="宋体" w:hAnsi="宋体"/>
          <w:b/>
          <w:szCs w:val="21"/>
        </w:rPr>
        <w:t>投标保证金</w:t>
      </w:r>
      <w:bookmarkEnd w:id="156"/>
      <w:bookmarkEnd w:id="157"/>
      <w:bookmarkEnd w:id="158"/>
      <w:bookmarkEnd w:id="159"/>
      <w:bookmarkEnd w:id="160"/>
      <w:bookmarkEnd w:id="161"/>
    </w:p>
    <w:p>
      <w:pPr>
        <w:pStyle w:val="263"/>
        <w:widowControl w:val="0"/>
        <w:numPr>
          <w:ilvl w:val="0"/>
          <w:numId w:val="0"/>
        </w:numPr>
        <w:autoSpaceDE w:val="0"/>
        <w:autoSpaceDN w:val="0"/>
        <w:adjustRightInd w:val="0"/>
        <w:snapToGrid w:val="0"/>
        <w:ind w:leftChars="0"/>
        <w:jc w:val="left"/>
        <w:rPr>
          <w:rFonts w:hint="default" w:ascii="宋体" w:hAnsi="宋体" w:eastAsia="宋体"/>
          <w:szCs w:val="21"/>
          <w:lang w:val="en-US" w:eastAsia="zh-CN"/>
        </w:rPr>
      </w:pPr>
      <w:bookmarkStart w:id="162" w:name="_Toc330213967"/>
      <w:bookmarkStart w:id="163" w:name="_Toc152045552"/>
      <w:bookmarkStart w:id="164" w:name="_Toc152042328"/>
      <w:bookmarkStart w:id="165" w:name="_Toc144974520"/>
      <w:bookmarkStart w:id="166" w:name="_Toc403513514"/>
      <w:bookmarkStart w:id="167" w:name="_Toc332121735"/>
      <w:r>
        <w:rPr>
          <w:rFonts w:hint="eastAsia" w:ascii="宋体" w:hAnsi="宋体"/>
          <w:szCs w:val="21"/>
          <w:lang w:val="en-US" w:eastAsia="zh-CN"/>
        </w:rPr>
        <w:t>本次招标不收取投标保证金</w:t>
      </w:r>
    </w:p>
    <w:p>
      <w:pPr>
        <w:pStyle w:val="263"/>
        <w:widowControl w:val="0"/>
        <w:numPr>
          <w:ilvl w:val="1"/>
          <w:numId w:val="5"/>
        </w:numPr>
        <w:autoSpaceDE w:val="0"/>
        <w:autoSpaceDN w:val="0"/>
        <w:adjustRightInd w:val="0"/>
        <w:snapToGrid w:val="0"/>
        <w:ind w:firstLineChars="0"/>
        <w:jc w:val="left"/>
        <w:rPr>
          <w:rFonts w:ascii="宋体" w:hAnsi="宋体"/>
          <w:b/>
          <w:szCs w:val="21"/>
        </w:rPr>
      </w:pPr>
      <w:r>
        <w:rPr>
          <w:rFonts w:hint="eastAsia" w:ascii="宋体" w:hAnsi="宋体"/>
          <w:b/>
          <w:szCs w:val="21"/>
        </w:rPr>
        <w:t>资格审查资料</w:t>
      </w:r>
      <w:bookmarkEnd w:id="162"/>
      <w:bookmarkEnd w:id="163"/>
      <w:bookmarkEnd w:id="164"/>
      <w:bookmarkEnd w:id="165"/>
      <w:bookmarkEnd w:id="166"/>
      <w:bookmarkEnd w:id="167"/>
      <w:r>
        <w:rPr>
          <w:rFonts w:hint="eastAsia" w:ascii="宋体" w:hAnsi="宋体"/>
          <w:b/>
          <w:szCs w:val="21"/>
        </w:rPr>
        <w:t>（适用于资格后审的）</w:t>
      </w:r>
    </w:p>
    <w:p>
      <w:pPr>
        <w:pStyle w:val="263"/>
        <w:widowControl w:val="0"/>
        <w:numPr>
          <w:ilvl w:val="2"/>
          <w:numId w:val="5"/>
        </w:numPr>
        <w:autoSpaceDE w:val="0"/>
        <w:autoSpaceDN w:val="0"/>
        <w:adjustRightInd w:val="0"/>
        <w:snapToGrid w:val="0"/>
        <w:ind w:firstLineChars="0"/>
        <w:jc w:val="left"/>
        <w:rPr>
          <w:rFonts w:ascii="宋体" w:hAnsi="宋体"/>
          <w:szCs w:val="21"/>
        </w:rPr>
      </w:pPr>
      <w:bookmarkStart w:id="168" w:name="_Toc330213968"/>
      <w:bookmarkStart w:id="169" w:name="_Toc403513515"/>
      <w:bookmarkStart w:id="170" w:name="_Toc152045553"/>
      <w:bookmarkStart w:id="171" w:name="_Toc152042329"/>
      <w:bookmarkStart w:id="172" w:name="_Toc332121736"/>
      <w:bookmarkStart w:id="173" w:name="_Toc144974521"/>
      <w:r>
        <w:rPr>
          <w:rFonts w:ascii="宋体" w:hAnsi="宋体"/>
          <w:szCs w:val="21"/>
        </w:rPr>
        <w:t>除投标人须知前附表另有规定外，投标人应按下列规定提供资格审查资料，以证明其满足本章第 1.4 款规定的要求。</w:t>
      </w:r>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 xml:space="preserve"> “</w:t>
      </w:r>
      <w:r>
        <w:rPr>
          <w:rFonts w:ascii="宋体" w:hAnsi="宋体"/>
          <w:szCs w:val="21"/>
        </w:rPr>
        <w:t>投标人基本情况表</w:t>
      </w:r>
      <w:r>
        <w:rPr>
          <w:rFonts w:hint="eastAsia" w:ascii="宋体" w:hAnsi="宋体"/>
          <w:szCs w:val="21"/>
        </w:rPr>
        <w:t>”</w:t>
      </w:r>
      <w:r>
        <w:rPr>
          <w:rFonts w:ascii="宋体" w:hAnsi="宋体"/>
          <w:szCs w:val="21"/>
        </w:rPr>
        <w:t>应附</w:t>
      </w:r>
      <w:r>
        <w:rPr>
          <w:rFonts w:hint="eastAsia" w:ascii="宋体" w:hAnsi="宋体"/>
          <w:szCs w:val="21"/>
        </w:rPr>
        <w:t>以下证明材料：</w:t>
      </w:r>
    </w:p>
    <w:p>
      <w:pPr>
        <w:pStyle w:val="263"/>
        <w:widowControl w:val="0"/>
        <w:numPr>
          <w:ilvl w:val="3"/>
          <w:numId w:val="5"/>
        </w:numPr>
        <w:autoSpaceDE w:val="0"/>
        <w:autoSpaceDN w:val="0"/>
        <w:adjustRightInd w:val="0"/>
        <w:snapToGrid w:val="0"/>
        <w:ind w:firstLineChars="0"/>
        <w:jc w:val="left"/>
        <w:rPr>
          <w:rFonts w:ascii="宋体" w:hAnsi="宋体"/>
          <w:szCs w:val="21"/>
        </w:rPr>
      </w:pPr>
      <w:r>
        <w:rPr>
          <w:rFonts w:ascii="宋体" w:hAnsi="宋体"/>
          <w:szCs w:val="21"/>
        </w:rPr>
        <w:t>投标人为企业的，应提交营业执照和组织机构代码证的复印件（按照“三证合一”或“五证合一”登记制度进行登记的，可仅提供营业执照复印件）</w:t>
      </w:r>
      <w:r>
        <w:rPr>
          <w:rFonts w:hint="eastAsia" w:ascii="宋体" w:hAnsi="宋体"/>
          <w:szCs w:val="21"/>
        </w:rPr>
        <w:t>。</w:t>
      </w:r>
    </w:p>
    <w:p>
      <w:pPr>
        <w:pStyle w:val="263"/>
        <w:widowControl w:val="0"/>
        <w:numPr>
          <w:ilvl w:val="3"/>
          <w:numId w:val="5"/>
        </w:numPr>
        <w:autoSpaceDE w:val="0"/>
        <w:autoSpaceDN w:val="0"/>
        <w:adjustRightInd w:val="0"/>
        <w:snapToGrid w:val="0"/>
        <w:ind w:firstLineChars="0"/>
        <w:jc w:val="left"/>
        <w:rPr>
          <w:rFonts w:ascii="宋体" w:hAnsi="宋体"/>
          <w:szCs w:val="21"/>
        </w:rPr>
      </w:pPr>
      <w:r>
        <w:rPr>
          <w:rFonts w:ascii="宋体" w:hAnsi="宋体"/>
          <w:szCs w:val="21"/>
        </w:rPr>
        <w:t>投标人为依法允许经营的事业单位的，应提交事业单位法人证书和组织机构代码证的复印件。</w:t>
      </w:r>
    </w:p>
    <w:p>
      <w:pPr>
        <w:pStyle w:val="263"/>
        <w:widowControl w:val="0"/>
        <w:numPr>
          <w:ilvl w:val="3"/>
          <w:numId w:val="5"/>
        </w:numPr>
        <w:autoSpaceDE w:val="0"/>
        <w:autoSpaceDN w:val="0"/>
        <w:adjustRightInd w:val="0"/>
        <w:snapToGrid w:val="0"/>
        <w:ind w:firstLineChars="0"/>
        <w:jc w:val="left"/>
        <w:rPr>
          <w:rFonts w:ascii="宋体" w:hAnsi="宋体"/>
          <w:szCs w:val="21"/>
        </w:rPr>
      </w:pPr>
      <w:r>
        <w:rPr>
          <w:rFonts w:hint="eastAsia" w:ascii="宋体" w:hAnsi="宋体"/>
          <w:szCs w:val="21"/>
        </w:rPr>
        <w:t>投标人须知前附表要求的其他证明材料。</w:t>
      </w:r>
    </w:p>
    <w:p>
      <w:pPr>
        <w:pStyle w:val="263"/>
        <w:widowControl w:val="0"/>
        <w:numPr>
          <w:ilvl w:val="1"/>
          <w:numId w:val="5"/>
        </w:numPr>
        <w:autoSpaceDE w:val="0"/>
        <w:autoSpaceDN w:val="0"/>
        <w:adjustRightInd w:val="0"/>
        <w:snapToGrid w:val="0"/>
        <w:ind w:firstLineChars="0"/>
        <w:jc w:val="left"/>
        <w:rPr>
          <w:rFonts w:ascii="宋体" w:hAnsi="宋体"/>
          <w:b/>
          <w:szCs w:val="21"/>
        </w:rPr>
      </w:pPr>
      <w:r>
        <w:rPr>
          <w:rFonts w:hint="eastAsia" w:ascii="宋体" w:hAnsi="宋体"/>
          <w:b/>
          <w:szCs w:val="21"/>
        </w:rPr>
        <w:t>备选投标方案</w:t>
      </w:r>
    </w:p>
    <w:p>
      <w:pPr>
        <w:pStyle w:val="263"/>
        <w:widowControl w:val="0"/>
        <w:numPr>
          <w:ilvl w:val="2"/>
          <w:numId w:val="5"/>
        </w:numPr>
        <w:autoSpaceDE w:val="0"/>
        <w:autoSpaceDN w:val="0"/>
        <w:adjustRightInd w:val="0"/>
        <w:snapToGrid w:val="0"/>
        <w:ind w:firstLineChars="0"/>
        <w:jc w:val="left"/>
        <w:rPr>
          <w:rFonts w:ascii="宋体" w:hAnsi="宋体"/>
          <w:szCs w:val="21"/>
        </w:rPr>
      </w:pPr>
      <w:bookmarkStart w:id="174" w:name="_Toc332121737"/>
      <w:bookmarkStart w:id="175" w:name="_Toc330213969"/>
      <w:bookmarkStart w:id="176" w:name="_Toc152042330"/>
      <w:bookmarkStart w:id="177" w:name="_Toc152045554"/>
      <w:bookmarkStart w:id="178" w:name="_Toc144974522"/>
      <w:bookmarkStart w:id="179" w:name="_Toc403513516"/>
      <w:r>
        <w:rPr>
          <w:rFonts w:ascii="宋体" w:hAnsi="宋体"/>
          <w:szCs w:val="21"/>
        </w:rPr>
        <w:t>除投标人须知前附表规定允许外，投标人不得递交备选投标方案，否则其投标将被否决。</w:t>
      </w:r>
    </w:p>
    <w:p>
      <w:pPr>
        <w:pStyle w:val="263"/>
        <w:widowControl w:val="0"/>
        <w:numPr>
          <w:ilvl w:val="1"/>
          <w:numId w:val="5"/>
        </w:numPr>
        <w:autoSpaceDE w:val="0"/>
        <w:autoSpaceDN w:val="0"/>
        <w:adjustRightInd w:val="0"/>
        <w:snapToGrid w:val="0"/>
        <w:ind w:firstLineChars="0"/>
        <w:jc w:val="left"/>
        <w:rPr>
          <w:rFonts w:ascii="宋体" w:hAnsi="宋体"/>
          <w:b/>
          <w:szCs w:val="21"/>
        </w:rPr>
      </w:pPr>
      <w:r>
        <w:rPr>
          <w:rFonts w:hint="eastAsia" w:ascii="宋体" w:hAnsi="宋体"/>
          <w:b/>
          <w:szCs w:val="21"/>
        </w:rPr>
        <w:t>投标文件的编制</w:t>
      </w:r>
      <w:bookmarkEnd w:id="174"/>
      <w:bookmarkEnd w:id="175"/>
      <w:bookmarkEnd w:id="176"/>
      <w:bookmarkEnd w:id="177"/>
      <w:bookmarkEnd w:id="178"/>
      <w:bookmarkEnd w:id="179"/>
    </w:p>
    <w:p>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投标文件应按第</w:t>
      </w:r>
      <w:r>
        <w:rPr>
          <w:rFonts w:hint="eastAsia" w:ascii="宋体" w:hAnsi="宋体"/>
          <w:szCs w:val="21"/>
        </w:rPr>
        <w:t>五</w:t>
      </w:r>
      <w:r>
        <w:rPr>
          <w:rFonts w:ascii="宋体" w:hAnsi="宋体"/>
          <w:szCs w:val="21"/>
        </w:rPr>
        <w:t>章“投标文件格式”进行编写，如有必要，可以增加附页，作为投标文件的组成部分。</w:t>
      </w:r>
      <w:r>
        <w:rPr>
          <w:rFonts w:hint="eastAsia" w:ascii="宋体" w:hAnsi="宋体"/>
          <w:szCs w:val="21"/>
        </w:rPr>
        <w:t>其中，投标函在满足招标文件实质性要求的基础上，可以提出比招标文件要求更有利于招标人的承诺。</w:t>
      </w:r>
    </w:p>
    <w:p>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投标文件应当对招标文件</w:t>
      </w:r>
      <w:r>
        <w:rPr>
          <w:rFonts w:hint="eastAsia" w:ascii="宋体" w:hAnsi="宋体"/>
          <w:szCs w:val="21"/>
        </w:rPr>
        <w:t>中的</w:t>
      </w:r>
      <w:r>
        <w:rPr>
          <w:rFonts w:ascii="宋体" w:hAnsi="宋体"/>
          <w:szCs w:val="21"/>
        </w:rPr>
        <w:t>有关</w:t>
      </w:r>
      <w:r>
        <w:rPr>
          <w:rFonts w:hint="eastAsia" w:ascii="宋体" w:hAnsi="宋体"/>
          <w:szCs w:val="21"/>
        </w:rPr>
        <w:t>服务</w:t>
      </w:r>
      <w:r>
        <w:rPr>
          <w:rFonts w:ascii="宋体" w:hAnsi="宋体"/>
          <w:szCs w:val="21"/>
        </w:rPr>
        <w:t>期、投标有效期、</w:t>
      </w:r>
      <w:r>
        <w:rPr>
          <w:rFonts w:hint="eastAsia" w:ascii="宋体" w:hAnsi="宋体"/>
          <w:szCs w:val="21"/>
        </w:rPr>
        <w:t>服务</w:t>
      </w:r>
      <w:r>
        <w:rPr>
          <w:rFonts w:ascii="宋体" w:hAnsi="宋体"/>
          <w:szCs w:val="21"/>
        </w:rPr>
        <w:t>要求、招标范围</w:t>
      </w:r>
      <w:r>
        <w:rPr>
          <w:rFonts w:hint="eastAsia" w:ascii="宋体" w:hAnsi="宋体"/>
          <w:szCs w:val="21"/>
        </w:rPr>
        <w:t>等或带“</w:t>
      </w:r>
      <w:r>
        <w:rPr>
          <w:rFonts w:ascii="Wingdings 2" w:hAnsi="Wingdings 2"/>
          <w:szCs w:val="21"/>
        </w:rPr>
        <w:sym w:font="Wingdings 2" w:char="F0EA"/>
      </w:r>
      <w:r>
        <w:rPr>
          <w:rFonts w:hint="eastAsia" w:ascii="宋体" w:hAnsi="宋体"/>
          <w:szCs w:val="21"/>
        </w:rPr>
        <w:t>”的相关商务、技术条款</w:t>
      </w:r>
      <w:r>
        <w:rPr>
          <w:rFonts w:ascii="宋体" w:hAnsi="宋体"/>
          <w:szCs w:val="21"/>
        </w:rPr>
        <w:t>等实质性内容作出响应。投标文件在满足招标文件实质性要求的基础上，可以提出比招标文件要求更有利于招标人的承诺。</w:t>
      </w:r>
    </w:p>
    <w:p>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投标人应当按照招标文件要求</w:t>
      </w:r>
      <w:r>
        <w:rPr>
          <w:rFonts w:hint="eastAsia" w:ascii="宋体" w:hAnsi="宋体"/>
          <w:szCs w:val="21"/>
        </w:rPr>
        <w:t>编制</w:t>
      </w:r>
      <w:r>
        <w:rPr>
          <w:rFonts w:ascii="宋体" w:hAnsi="宋体"/>
          <w:szCs w:val="21"/>
        </w:rPr>
        <w:t>投标文件，具体要求见投标人须知前附表。</w:t>
      </w:r>
    </w:p>
    <w:p>
      <w:pPr>
        <w:pStyle w:val="263"/>
        <w:widowControl w:val="0"/>
        <w:autoSpaceDE w:val="0"/>
        <w:autoSpaceDN w:val="0"/>
        <w:adjustRightInd w:val="0"/>
        <w:snapToGrid w:val="0"/>
        <w:ind w:firstLine="0" w:firstLineChars="0"/>
        <w:jc w:val="left"/>
        <w:rPr>
          <w:rFonts w:ascii="宋体" w:hAnsi="宋体"/>
          <w:szCs w:val="21"/>
        </w:rPr>
      </w:pPr>
    </w:p>
    <w:p>
      <w:pPr>
        <w:pStyle w:val="263"/>
        <w:widowControl w:val="0"/>
        <w:numPr>
          <w:ilvl w:val="0"/>
          <w:numId w:val="5"/>
        </w:numPr>
        <w:autoSpaceDE w:val="0"/>
        <w:autoSpaceDN w:val="0"/>
        <w:adjustRightInd w:val="0"/>
        <w:snapToGrid w:val="0"/>
        <w:ind w:firstLineChars="0"/>
        <w:jc w:val="left"/>
        <w:rPr>
          <w:rFonts w:ascii="宋体" w:hAnsi="宋体"/>
          <w:b/>
          <w:szCs w:val="21"/>
        </w:rPr>
      </w:pPr>
      <w:bookmarkStart w:id="180" w:name="_Toc152042331"/>
      <w:bookmarkStart w:id="181" w:name="_Toc152045555"/>
      <w:bookmarkStart w:id="182" w:name="_Toc144974523"/>
      <w:r>
        <w:rPr>
          <w:rFonts w:hint="eastAsia" w:ascii="宋体" w:hAnsi="宋体"/>
          <w:b/>
          <w:szCs w:val="21"/>
        </w:rPr>
        <w:t>投标</w:t>
      </w:r>
      <w:bookmarkEnd w:id="180"/>
      <w:bookmarkEnd w:id="181"/>
      <w:bookmarkEnd w:id="182"/>
    </w:p>
    <w:p>
      <w:pPr>
        <w:pStyle w:val="263"/>
        <w:widowControl w:val="0"/>
        <w:numPr>
          <w:ilvl w:val="1"/>
          <w:numId w:val="5"/>
        </w:numPr>
        <w:autoSpaceDE w:val="0"/>
        <w:autoSpaceDN w:val="0"/>
        <w:adjustRightInd w:val="0"/>
        <w:snapToGrid w:val="0"/>
        <w:ind w:firstLineChars="0"/>
        <w:jc w:val="left"/>
        <w:rPr>
          <w:rFonts w:ascii="宋体" w:hAnsi="宋体"/>
          <w:b/>
          <w:szCs w:val="21"/>
        </w:rPr>
      </w:pPr>
      <w:bookmarkStart w:id="183" w:name="_Toc152042332"/>
      <w:bookmarkStart w:id="184" w:name="_Toc152045556"/>
      <w:bookmarkStart w:id="185" w:name="_Toc403513518"/>
      <w:bookmarkStart w:id="186" w:name="_Toc332121739"/>
      <w:bookmarkStart w:id="187" w:name="_Toc330213971"/>
      <w:bookmarkStart w:id="188" w:name="_Toc144974524"/>
      <w:bookmarkStart w:id="189" w:name="_Toc144974527"/>
      <w:bookmarkStart w:id="190" w:name="_Toc152042335"/>
      <w:bookmarkStart w:id="191" w:name="_Toc152045559"/>
      <w:r>
        <w:rPr>
          <w:rFonts w:hint="eastAsia" w:ascii="宋体" w:hAnsi="宋体"/>
          <w:b/>
          <w:szCs w:val="21"/>
        </w:rPr>
        <w:t>投标文件的</w:t>
      </w:r>
      <w:bookmarkEnd w:id="183"/>
      <w:bookmarkEnd w:id="184"/>
      <w:bookmarkEnd w:id="185"/>
      <w:bookmarkEnd w:id="186"/>
      <w:bookmarkEnd w:id="187"/>
      <w:bookmarkEnd w:id="188"/>
      <w:r>
        <w:rPr>
          <w:rFonts w:hint="eastAsia" w:ascii="宋体" w:hAnsi="宋体"/>
          <w:b/>
          <w:szCs w:val="21"/>
        </w:rPr>
        <w:t>加密</w:t>
      </w:r>
    </w:p>
    <w:p>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投标人应当按照招标文件要求</w:t>
      </w:r>
      <w:r>
        <w:rPr>
          <w:rFonts w:hint="eastAsia" w:ascii="宋体" w:hAnsi="宋体"/>
          <w:szCs w:val="21"/>
          <w:lang w:val="en-US" w:eastAsia="zh-CN"/>
        </w:rPr>
        <w:t>密封</w:t>
      </w:r>
      <w:r>
        <w:rPr>
          <w:rFonts w:ascii="宋体" w:hAnsi="宋体"/>
          <w:szCs w:val="21"/>
        </w:rPr>
        <w:t>投标文件，具体要求见投标人须知前附表。</w:t>
      </w:r>
    </w:p>
    <w:p>
      <w:pPr>
        <w:pStyle w:val="263"/>
        <w:widowControl w:val="0"/>
        <w:numPr>
          <w:ilvl w:val="1"/>
          <w:numId w:val="5"/>
        </w:numPr>
        <w:autoSpaceDE w:val="0"/>
        <w:autoSpaceDN w:val="0"/>
        <w:adjustRightInd w:val="0"/>
        <w:snapToGrid w:val="0"/>
        <w:ind w:firstLineChars="0"/>
        <w:jc w:val="left"/>
        <w:rPr>
          <w:rFonts w:ascii="宋体" w:hAnsi="宋体"/>
          <w:b/>
          <w:szCs w:val="21"/>
        </w:rPr>
      </w:pPr>
      <w:bookmarkStart w:id="192" w:name="_Toc152045557"/>
      <w:bookmarkStart w:id="193" w:name="_Toc332121740"/>
      <w:bookmarkStart w:id="194" w:name="_Toc152042333"/>
      <w:bookmarkStart w:id="195" w:name="_Toc330213972"/>
      <w:bookmarkStart w:id="196" w:name="_Toc403513519"/>
      <w:bookmarkStart w:id="197" w:name="_Toc144974525"/>
      <w:r>
        <w:rPr>
          <w:rFonts w:hint="eastAsia" w:ascii="宋体" w:hAnsi="宋体"/>
          <w:b/>
          <w:szCs w:val="21"/>
        </w:rPr>
        <w:t>投标文件的递交</w:t>
      </w:r>
      <w:bookmarkEnd w:id="192"/>
      <w:bookmarkEnd w:id="193"/>
      <w:bookmarkEnd w:id="194"/>
      <w:bookmarkEnd w:id="195"/>
      <w:bookmarkEnd w:id="196"/>
      <w:bookmarkEnd w:id="197"/>
    </w:p>
    <w:p>
      <w:pPr>
        <w:pStyle w:val="263"/>
        <w:widowControl w:val="0"/>
        <w:numPr>
          <w:ilvl w:val="2"/>
          <w:numId w:val="5"/>
        </w:numPr>
        <w:autoSpaceDE w:val="0"/>
        <w:autoSpaceDN w:val="0"/>
        <w:adjustRightInd w:val="0"/>
        <w:snapToGrid w:val="0"/>
        <w:ind w:firstLineChars="0"/>
        <w:jc w:val="left"/>
        <w:rPr>
          <w:rFonts w:ascii="宋体" w:hAnsi="宋体"/>
          <w:szCs w:val="21"/>
        </w:rPr>
      </w:pPr>
      <w:bookmarkStart w:id="198" w:name="_Toc330213973"/>
      <w:bookmarkStart w:id="199" w:name="_Toc152045558"/>
      <w:bookmarkStart w:id="200" w:name="_Toc332121741"/>
      <w:bookmarkStart w:id="201" w:name="_Toc403513520"/>
      <w:bookmarkStart w:id="202" w:name="_Toc152042334"/>
      <w:bookmarkStart w:id="203" w:name="_Toc144974526"/>
      <w:r>
        <w:rPr>
          <w:rFonts w:ascii="宋体" w:hAnsi="宋体"/>
          <w:szCs w:val="21"/>
        </w:rPr>
        <w:t>投标人应在投标人须知前附表规定的投标截止时间前递交投标文件。</w:t>
      </w:r>
    </w:p>
    <w:p>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除投标人须知前附表另有规定外，投标人所递交的投标文件不予退还。</w:t>
      </w:r>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投标截标时间后，不再接收任何投标文件上传。</w:t>
      </w:r>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具体</w:t>
      </w:r>
      <w:r>
        <w:rPr>
          <w:rFonts w:ascii="宋体" w:hAnsi="宋体"/>
          <w:szCs w:val="21"/>
        </w:rPr>
        <w:t>要求详见</w:t>
      </w:r>
      <w:r>
        <w:rPr>
          <w:rFonts w:hint="eastAsia" w:ascii="宋体" w:hAnsi="宋体"/>
          <w:szCs w:val="21"/>
        </w:rPr>
        <w:t>投标人须知前附表。</w:t>
      </w:r>
    </w:p>
    <w:p>
      <w:pPr>
        <w:pStyle w:val="263"/>
        <w:widowControl w:val="0"/>
        <w:numPr>
          <w:ilvl w:val="1"/>
          <w:numId w:val="5"/>
        </w:numPr>
        <w:autoSpaceDE w:val="0"/>
        <w:autoSpaceDN w:val="0"/>
        <w:adjustRightInd w:val="0"/>
        <w:snapToGrid w:val="0"/>
        <w:ind w:firstLineChars="0"/>
        <w:jc w:val="left"/>
        <w:rPr>
          <w:rFonts w:ascii="宋体" w:hAnsi="宋体"/>
          <w:b/>
          <w:szCs w:val="21"/>
        </w:rPr>
      </w:pPr>
      <w:r>
        <w:rPr>
          <w:rFonts w:hint="eastAsia" w:ascii="宋体" w:hAnsi="宋体"/>
          <w:b/>
          <w:szCs w:val="21"/>
        </w:rPr>
        <w:t>投标文件的修改与撤回</w:t>
      </w:r>
      <w:bookmarkEnd w:id="198"/>
      <w:bookmarkEnd w:id="199"/>
      <w:bookmarkEnd w:id="200"/>
      <w:bookmarkEnd w:id="201"/>
      <w:bookmarkEnd w:id="202"/>
      <w:bookmarkEnd w:id="203"/>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lang w:val="en-US" w:eastAsia="zh-CN"/>
        </w:rPr>
        <w:t>投标人提交投标文件后，不允许</w:t>
      </w:r>
      <w:r>
        <w:rPr>
          <w:rFonts w:ascii="宋体" w:hAnsi="宋体"/>
          <w:szCs w:val="21"/>
        </w:rPr>
        <w:t>再修改已递交的投标文件。</w:t>
      </w:r>
    </w:p>
    <w:p>
      <w:pPr>
        <w:pStyle w:val="263"/>
        <w:widowControl w:val="0"/>
        <w:autoSpaceDE w:val="0"/>
        <w:autoSpaceDN w:val="0"/>
        <w:adjustRightInd w:val="0"/>
        <w:snapToGrid w:val="0"/>
        <w:ind w:firstLine="0" w:firstLineChars="0"/>
        <w:jc w:val="left"/>
        <w:rPr>
          <w:rFonts w:hint="eastAsia" w:ascii="宋体" w:hAnsi="宋体"/>
          <w:szCs w:val="21"/>
        </w:rPr>
      </w:pPr>
    </w:p>
    <w:p>
      <w:pPr>
        <w:pStyle w:val="263"/>
        <w:widowControl w:val="0"/>
        <w:numPr>
          <w:ilvl w:val="0"/>
          <w:numId w:val="5"/>
        </w:numPr>
        <w:autoSpaceDE w:val="0"/>
        <w:autoSpaceDN w:val="0"/>
        <w:adjustRightInd w:val="0"/>
        <w:snapToGrid w:val="0"/>
        <w:ind w:firstLineChars="0"/>
        <w:jc w:val="left"/>
        <w:rPr>
          <w:rFonts w:ascii="宋体" w:hAnsi="宋体"/>
          <w:b/>
          <w:szCs w:val="21"/>
        </w:rPr>
      </w:pPr>
      <w:r>
        <w:rPr>
          <w:rFonts w:hint="eastAsia" w:ascii="宋体" w:hAnsi="宋体"/>
          <w:b/>
          <w:szCs w:val="21"/>
        </w:rPr>
        <w:t>开标</w:t>
      </w:r>
      <w:bookmarkEnd w:id="189"/>
      <w:bookmarkEnd w:id="190"/>
      <w:bookmarkEnd w:id="191"/>
    </w:p>
    <w:p>
      <w:pPr>
        <w:pStyle w:val="263"/>
        <w:widowControl w:val="0"/>
        <w:numPr>
          <w:ilvl w:val="1"/>
          <w:numId w:val="5"/>
        </w:numPr>
        <w:autoSpaceDE w:val="0"/>
        <w:autoSpaceDN w:val="0"/>
        <w:adjustRightInd w:val="0"/>
        <w:snapToGrid w:val="0"/>
        <w:ind w:firstLineChars="0"/>
        <w:jc w:val="left"/>
        <w:rPr>
          <w:rFonts w:ascii="宋体" w:hAnsi="宋体"/>
          <w:b/>
          <w:szCs w:val="21"/>
        </w:rPr>
      </w:pPr>
      <w:bookmarkStart w:id="204" w:name="_Toc144974528"/>
      <w:bookmarkStart w:id="205" w:name="_Toc152042336"/>
      <w:bookmarkStart w:id="206" w:name="_Toc403513522"/>
      <w:bookmarkStart w:id="207" w:name="_Toc152045560"/>
      <w:bookmarkStart w:id="208" w:name="_Toc332121743"/>
      <w:bookmarkStart w:id="209" w:name="_Toc330213975"/>
      <w:r>
        <w:rPr>
          <w:rFonts w:hint="eastAsia" w:ascii="宋体" w:hAnsi="宋体"/>
          <w:b/>
          <w:szCs w:val="21"/>
        </w:rPr>
        <w:t>开标时间和地点</w:t>
      </w:r>
      <w:bookmarkEnd w:id="204"/>
      <w:bookmarkEnd w:id="205"/>
      <w:bookmarkEnd w:id="206"/>
      <w:bookmarkEnd w:id="207"/>
      <w:bookmarkEnd w:id="208"/>
      <w:bookmarkEnd w:id="209"/>
    </w:p>
    <w:p>
      <w:pPr>
        <w:pStyle w:val="263"/>
        <w:widowControl w:val="0"/>
        <w:numPr>
          <w:ilvl w:val="2"/>
          <w:numId w:val="5"/>
        </w:numPr>
        <w:autoSpaceDE w:val="0"/>
        <w:autoSpaceDN w:val="0"/>
        <w:adjustRightInd w:val="0"/>
        <w:snapToGrid w:val="0"/>
        <w:ind w:firstLineChars="0"/>
        <w:jc w:val="left"/>
        <w:rPr>
          <w:rFonts w:ascii="宋体" w:hAnsi="宋体"/>
          <w:szCs w:val="21"/>
        </w:rPr>
      </w:pPr>
      <w:bookmarkStart w:id="210" w:name="_Toc152042337"/>
      <w:bookmarkStart w:id="211" w:name="_Toc403513523"/>
      <w:bookmarkStart w:id="212" w:name="_Toc332121744"/>
      <w:bookmarkStart w:id="213" w:name="_Toc330213976"/>
      <w:bookmarkStart w:id="214" w:name="_Toc144974529"/>
      <w:bookmarkStart w:id="215" w:name="_Toc152045561"/>
      <w:r>
        <w:rPr>
          <w:rFonts w:ascii="宋体" w:hAnsi="宋体"/>
          <w:szCs w:val="21"/>
        </w:rPr>
        <w:t>招标人在本章第4.2.1项规定的投标截止时间（开标时间）,</w:t>
      </w:r>
      <w:r>
        <w:rPr>
          <w:rFonts w:hint="eastAsia" w:ascii="宋体" w:hAnsi="宋体"/>
          <w:szCs w:val="21"/>
          <w:lang w:val="en-US" w:eastAsia="zh-CN"/>
        </w:rPr>
        <w:t>企业自行组织开标</w:t>
      </w:r>
      <w:r>
        <w:rPr>
          <w:rFonts w:ascii="宋体" w:hAnsi="宋体"/>
          <w:szCs w:val="21"/>
        </w:rPr>
        <w:t>。</w:t>
      </w:r>
    </w:p>
    <w:p>
      <w:pPr>
        <w:pStyle w:val="263"/>
        <w:widowControl w:val="0"/>
        <w:numPr>
          <w:ilvl w:val="1"/>
          <w:numId w:val="5"/>
        </w:numPr>
        <w:autoSpaceDE w:val="0"/>
        <w:autoSpaceDN w:val="0"/>
        <w:adjustRightInd w:val="0"/>
        <w:snapToGrid w:val="0"/>
        <w:ind w:firstLineChars="0"/>
        <w:jc w:val="left"/>
        <w:rPr>
          <w:rFonts w:ascii="宋体" w:hAnsi="宋体"/>
          <w:b/>
          <w:szCs w:val="21"/>
        </w:rPr>
      </w:pPr>
      <w:r>
        <w:rPr>
          <w:rFonts w:hint="eastAsia" w:ascii="宋体" w:hAnsi="宋体"/>
          <w:b/>
          <w:szCs w:val="21"/>
        </w:rPr>
        <w:t>开标程序</w:t>
      </w:r>
      <w:bookmarkEnd w:id="210"/>
      <w:bookmarkEnd w:id="211"/>
      <w:bookmarkEnd w:id="212"/>
      <w:bookmarkEnd w:id="213"/>
      <w:bookmarkEnd w:id="214"/>
      <w:bookmarkEnd w:id="215"/>
    </w:p>
    <w:p>
      <w:pPr>
        <w:pStyle w:val="263"/>
        <w:widowControl w:val="0"/>
        <w:autoSpaceDE w:val="0"/>
        <w:autoSpaceDN w:val="0"/>
        <w:adjustRightInd w:val="0"/>
        <w:snapToGrid w:val="0"/>
        <w:ind w:firstLine="0" w:firstLineChars="0"/>
        <w:jc w:val="left"/>
        <w:rPr>
          <w:rFonts w:ascii="宋体" w:hAnsi="宋体"/>
          <w:szCs w:val="21"/>
        </w:rPr>
      </w:pPr>
      <w:r>
        <w:rPr>
          <w:rFonts w:hint="eastAsia" w:ascii="宋体" w:hAnsi="宋体"/>
          <w:szCs w:val="21"/>
          <w:lang w:val="en-US" w:eastAsia="zh-CN"/>
        </w:rPr>
        <w:t>工作人员按投标文件递交顺序依次向评委展示密封的投标文件，然后逐一开标</w:t>
      </w:r>
      <w:r>
        <w:rPr>
          <w:rFonts w:hint="eastAsia" w:ascii="宋体" w:hAnsi="宋体"/>
          <w:szCs w:val="21"/>
        </w:rPr>
        <w:t>。</w:t>
      </w:r>
    </w:p>
    <w:p>
      <w:pPr>
        <w:pStyle w:val="263"/>
        <w:widowControl w:val="0"/>
        <w:numPr>
          <w:ilvl w:val="0"/>
          <w:numId w:val="5"/>
        </w:numPr>
        <w:autoSpaceDE w:val="0"/>
        <w:autoSpaceDN w:val="0"/>
        <w:adjustRightInd w:val="0"/>
        <w:snapToGrid w:val="0"/>
        <w:ind w:firstLineChars="0"/>
        <w:jc w:val="left"/>
        <w:rPr>
          <w:rFonts w:ascii="宋体" w:hAnsi="宋体"/>
          <w:b/>
          <w:szCs w:val="21"/>
        </w:rPr>
      </w:pPr>
      <w:bookmarkStart w:id="216" w:name="_Toc152045562"/>
      <w:bookmarkStart w:id="217" w:name="_Toc152042338"/>
      <w:bookmarkStart w:id="218" w:name="_Toc144974530"/>
      <w:r>
        <w:rPr>
          <w:rFonts w:hint="eastAsia" w:ascii="宋体" w:hAnsi="宋体"/>
          <w:b/>
          <w:szCs w:val="21"/>
        </w:rPr>
        <w:t>评标</w:t>
      </w:r>
      <w:bookmarkEnd w:id="216"/>
      <w:bookmarkEnd w:id="217"/>
      <w:bookmarkEnd w:id="218"/>
    </w:p>
    <w:p>
      <w:pPr>
        <w:pStyle w:val="263"/>
        <w:widowControl w:val="0"/>
        <w:numPr>
          <w:ilvl w:val="1"/>
          <w:numId w:val="5"/>
        </w:numPr>
        <w:autoSpaceDE w:val="0"/>
        <w:autoSpaceDN w:val="0"/>
        <w:adjustRightInd w:val="0"/>
        <w:snapToGrid w:val="0"/>
        <w:ind w:firstLineChars="0"/>
        <w:jc w:val="left"/>
        <w:rPr>
          <w:rFonts w:ascii="宋体" w:hAnsi="宋体"/>
          <w:b/>
          <w:szCs w:val="21"/>
        </w:rPr>
      </w:pPr>
      <w:bookmarkStart w:id="219" w:name="_Toc152042339"/>
      <w:bookmarkStart w:id="220" w:name="_Toc332121746"/>
      <w:bookmarkStart w:id="221" w:name="_Toc144974531"/>
      <w:bookmarkStart w:id="222" w:name="_Toc403513525"/>
      <w:bookmarkStart w:id="223" w:name="_Toc330213978"/>
      <w:bookmarkStart w:id="224" w:name="_Toc152045563"/>
      <w:r>
        <w:rPr>
          <w:rFonts w:hint="eastAsia" w:ascii="宋体" w:hAnsi="宋体"/>
          <w:b/>
          <w:szCs w:val="21"/>
        </w:rPr>
        <w:t>评标委员会</w:t>
      </w:r>
      <w:bookmarkEnd w:id="219"/>
      <w:bookmarkEnd w:id="220"/>
      <w:bookmarkEnd w:id="221"/>
      <w:bookmarkEnd w:id="222"/>
      <w:bookmarkEnd w:id="223"/>
      <w:bookmarkEnd w:id="224"/>
    </w:p>
    <w:p>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招标人</w:t>
      </w:r>
      <w:r>
        <w:rPr>
          <w:rFonts w:hint="eastAsia" w:ascii="宋体" w:hAnsi="宋体"/>
          <w:szCs w:val="21"/>
        </w:rPr>
        <w:t>将</w:t>
      </w:r>
      <w:r>
        <w:rPr>
          <w:rFonts w:ascii="宋体" w:hAnsi="宋体"/>
          <w:szCs w:val="21"/>
        </w:rPr>
        <w:t>依法组</w:t>
      </w:r>
      <w:r>
        <w:rPr>
          <w:rFonts w:hint="eastAsia" w:ascii="宋体" w:hAnsi="宋体"/>
          <w:szCs w:val="21"/>
        </w:rPr>
        <w:t>建</w:t>
      </w:r>
      <w:r>
        <w:rPr>
          <w:rFonts w:ascii="宋体" w:hAnsi="宋体"/>
          <w:szCs w:val="21"/>
        </w:rPr>
        <w:t>评标委员会，</w:t>
      </w:r>
      <w:r>
        <w:rPr>
          <w:rFonts w:hint="eastAsia" w:ascii="宋体" w:hAnsi="宋体"/>
          <w:szCs w:val="21"/>
        </w:rPr>
        <w:t>评标</w:t>
      </w:r>
      <w:r>
        <w:rPr>
          <w:rFonts w:hint="eastAsia" w:ascii="宋体" w:hAnsi="宋体"/>
          <w:szCs w:val="21"/>
          <w:lang w:val="en-US" w:eastAsia="zh-CN"/>
        </w:rPr>
        <w:t>小组</w:t>
      </w:r>
      <w:r>
        <w:rPr>
          <w:rFonts w:hint="eastAsia" w:ascii="宋体" w:hAnsi="宋体"/>
          <w:szCs w:val="21"/>
        </w:rPr>
        <w:t>由招标人</w:t>
      </w:r>
      <w:r>
        <w:rPr>
          <w:rFonts w:hint="eastAsia" w:ascii="宋体" w:hAnsi="宋体"/>
          <w:szCs w:val="21"/>
          <w:lang w:val="en-US" w:eastAsia="zh-CN"/>
        </w:rPr>
        <w:t>自行组织</w:t>
      </w:r>
      <w:r>
        <w:rPr>
          <w:rFonts w:ascii="宋体" w:hAnsi="宋体"/>
          <w:szCs w:val="21"/>
        </w:rPr>
        <w:t>，成员人数为</w:t>
      </w:r>
      <w:r>
        <w:rPr>
          <w:rFonts w:hint="eastAsia" w:ascii="宋体" w:hAnsi="宋体"/>
          <w:szCs w:val="21"/>
        </w:rPr>
        <w:t>五</w:t>
      </w:r>
      <w:r>
        <w:rPr>
          <w:rFonts w:ascii="宋体" w:hAnsi="宋体"/>
          <w:szCs w:val="21"/>
        </w:rPr>
        <w:t>人</w:t>
      </w:r>
      <w:r>
        <w:rPr>
          <w:rFonts w:hint="eastAsia" w:ascii="宋体" w:hAnsi="宋体"/>
          <w:szCs w:val="21"/>
        </w:rPr>
        <w:t>（含）以上单数</w:t>
      </w:r>
      <w:r>
        <w:rPr>
          <w:rFonts w:ascii="宋体" w:hAnsi="宋体"/>
          <w:szCs w:val="21"/>
        </w:rPr>
        <w:t>，</w:t>
      </w:r>
      <w:r>
        <w:rPr>
          <w:rFonts w:hint="eastAsia" w:ascii="宋体" w:hAnsi="宋体"/>
          <w:szCs w:val="21"/>
          <w:lang w:val="en-US" w:eastAsia="zh-CN"/>
        </w:rPr>
        <w:t>专业部门</w:t>
      </w:r>
      <w:r>
        <w:rPr>
          <w:rFonts w:hint="eastAsia" w:ascii="宋体" w:hAnsi="宋体"/>
          <w:szCs w:val="21"/>
        </w:rPr>
        <w:t>成员不得少于评标委员会成员总数的三分之二。</w:t>
      </w:r>
      <w:r>
        <w:rPr>
          <w:rFonts w:ascii="宋体" w:hAnsi="宋体"/>
          <w:szCs w:val="21"/>
        </w:rPr>
        <w:t>与投标人有利害关系的</w:t>
      </w:r>
      <w:r>
        <w:rPr>
          <w:rFonts w:hint="eastAsia" w:ascii="宋体" w:hAnsi="宋体"/>
          <w:szCs w:val="21"/>
        </w:rPr>
        <w:t>成员应当回避</w:t>
      </w:r>
      <w:r>
        <w:rPr>
          <w:rFonts w:ascii="宋体" w:hAnsi="宋体"/>
          <w:szCs w:val="21"/>
        </w:rPr>
        <w:t>。</w:t>
      </w:r>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评标</w:t>
      </w:r>
      <w:r>
        <w:rPr>
          <w:rFonts w:hint="eastAsia" w:ascii="宋体" w:hAnsi="宋体"/>
          <w:szCs w:val="21"/>
          <w:lang w:val="en-US" w:eastAsia="zh-CN"/>
        </w:rPr>
        <w:t>小组</w:t>
      </w:r>
      <w:r>
        <w:rPr>
          <w:rFonts w:hint="eastAsia" w:ascii="宋体" w:hAnsi="宋体"/>
          <w:szCs w:val="21"/>
        </w:rPr>
        <w:t>成员有下列情形之一的，应当回避：</w:t>
      </w:r>
    </w:p>
    <w:p>
      <w:pPr>
        <w:pStyle w:val="263"/>
        <w:widowControl w:val="0"/>
        <w:numPr>
          <w:ilvl w:val="3"/>
          <w:numId w:val="5"/>
        </w:numPr>
        <w:autoSpaceDE w:val="0"/>
        <w:autoSpaceDN w:val="0"/>
        <w:adjustRightInd w:val="0"/>
        <w:snapToGrid w:val="0"/>
        <w:ind w:firstLineChars="0"/>
        <w:jc w:val="left"/>
        <w:rPr>
          <w:rFonts w:ascii="宋体" w:hAnsi="宋体"/>
          <w:szCs w:val="21"/>
        </w:rPr>
      </w:pPr>
      <w:r>
        <w:rPr>
          <w:rFonts w:hint="eastAsia" w:ascii="宋体" w:hAnsi="宋体"/>
          <w:szCs w:val="21"/>
        </w:rPr>
        <w:t>招标人或投标人的主要负责人的近亲属；</w:t>
      </w:r>
    </w:p>
    <w:p>
      <w:pPr>
        <w:pStyle w:val="263"/>
        <w:widowControl w:val="0"/>
        <w:numPr>
          <w:ilvl w:val="3"/>
          <w:numId w:val="5"/>
        </w:numPr>
        <w:autoSpaceDE w:val="0"/>
        <w:autoSpaceDN w:val="0"/>
        <w:adjustRightInd w:val="0"/>
        <w:snapToGrid w:val="0"/>
        <w:ind w:firstLineChars="0"/>
        <w:jc w:val="left"/>
        <w:rPr>
          <w:rFonts w:ascii="宋体" w:hAnsi="宋体"/>
          <w:szCs w:val="21"/>
        </w:rPr>
      </w:pPr>
      <w:r>
        <w:rPr>
          <w:rFonts w:hint="eastAsia" w:ascii="宋体" w:hAnsi="宋体"/>
          <w:szCs w:val="21"/>
        </w:rPr>
        <w:t>项目主管部门或者行政监督部门的人员；</w:t>
      </w:r>
    </w:p>
    <w:p>
      <w:pPr>
        <w:pStyle w:val="263"/>
        <w:widowControl w:val="0"/>
        <w:numPr>
          <w:ilvl w:val="3"/>
          <w:numId w:val="5"/>
        </w:numPr>
        <w:autoSpaceDE w:val="0"/>
        <w:autoSpaceDN w:val="0"/>
        <w:adjustRightInd w:val="0"/>
        <w:snapToGrid w:val="0"/>
        <w:ind w:firstLineChars="0"/>
        <w:jc w:val="left"/>
        <w:rPr>
          <w:rFonts w:ascii="宋体" w:hAnsi="宋体"/>
          <w:szCs w:val="21"/>
        </w:rPr>
      </w:pPr>
      <w:r>
        <w:rPr>
          <w:rFonts w:hint="eastAsia" w:ascii="宋体" w:hAnsi="宋体"/>
          <w:szCs w:val="21"/>
        </w:rPr>
        <w:t>与投标人有经济利益关系，可能影响对投标公正评审的；</w:t>
      </w:r>
    </w:p>
    <w:p>
      <w:pPr>
        <w:pStyle w:val="263"/>
        <w:widowControl w:val="0"/>
        <w:numPr>
          <w:ilvl w:val="3"/>
          <w:numId w:val="5"/>
        </w:numPr>
        <w:autoSpaceDE w:val="0"/>
        <w:autoSpaceDN w:val="0"/>
        <w:adjustRightInd w:val="0"/>
        <w:snapToGrid w:val="0"/>
        <w:ind w:firstLineChars="0"/>
        <w:jc w:val="left"/>
        <w:rPr>
          <w:rFonts w:ascii="宋体" w:hAnsi="宋体"/>
          <w:szCs w:val="21"/>
        </w:rPr>
      </w:pPr>
      <w:r>
        <w:rPr>
          <w:rFonts w:hint="eastAsia" w:ascii="宋体" w:hAnsi="宋体"/>
          <w:szCs w:val="21"/>
        </w:rPr>
        <w:t>曾因在招标、评标以及其他与招标投标有关活动中从事违法行为而受过行政处罚或刑事处罚的；</w:t>
      </w:r>
    </w:p>
    <w:p>
      <w:pPr>
        <w:pStyle w:val="263"/>
        <w:widowControl w:val="0"/>
        <w:numPr>
          <w:ilvl w:val="3"/>
          <w:numId w:val="5"/>
        </w:numPr>
        <w:autoSpaceDE w:val="0"/>
        <w:autoSpaceDN w:val="0"/>
        <w:adjustRightInd w:val="0"/>
        <w:snapToGrid w:val="0"/>
        <w:ind w:firstLineChars="0"/>
        <w:jc w:val="left"/>
        <w:rPr>
          <w:rFonts w:ascii="宋体" w:hAnsi="宋体"/>
          <w:szCs w:val="21"/>
        </w:rPr>
      </w:pPr>
      <w:r>
        <w:rPr>
          <w:rFonts w:ascii="宋体" w:hAnsi="宋体"/>
          <w:szCs w:val="21"/>
        </w:rPr>
        <w:t>与投标人有其他利害关系。</w:t>
      </w:r>
    </w:p>
    <w:p>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pacing w:val="-4"/>
          <w:szCs w:val="21"/>
        </w:rPr>
        <w:t>评标过程中，</w:t>
      </w:r>
      <w:r>
        <w:rPr>
          <w:rFonts w:hint="eastAsia" w:ascii="宋体" w:hAnsi="宋体"/>
          <w:szCs w:val="21"/>
        </w:rPr>
        <w:t>评标</w:t>
      </w:r>
      <w:r>
        <w:rPr>
          <w:rFonts w:hint="eastAsia" w:ascii="宋体" w:hAnsi="宋体"/>
          <w:szCs w:val="21"/>
          <w:lang w:val="en-US" w:eastAsia="zh-CN"/>
        </w:rPr>
        <w:t>小组</w:t>
      </w:r>
      <w:r>
        <w:rPr>
          <w:rFonts w:ascii="宋体" w:hAnsi="宋体"/>
          <w:spacing w:val="-4"/>
          <w:szCs w:val="21"/>
        </w:rPr>
        <w:t>成员有回避事由、擅离职守或者因健康等原因不能继续评标</w:t>
      </w:r>
      <w:r>
        <w:rPr>
          <w:rFonts w:ascii="宋体" w:hAnsi="宋体"/>
          <w:spacing w:val="-1"/>
          <w:szCs w:val="21"/>
        </w:rPr>
        <w:t>的，招标人有权更换。被更换的</w:t>
      </w:r>
      <w:r>
        <w:rPr>
          <w:rFonts w:hint="eastAsia" w:ascii="宋体" w:hAnsi="宋体"/>
          <w:szCs w:val="21"/>
        </w:rPr>
        <w:t>评标</w:t>
      </w:r>
      <w:r>
        <w:rPr>
          <w:rFonts w:hint="eastAsia" w:ascii="宋体" w:hAnsi="宋体"/>
          <w:szCs w:val="21"/>
          <w:lang w:val="en-US" w:eastAsia="zh-CN"/>
        </w:rPr>
        <w:t>小组</w:t>
      </w:r>
      <w:r>
        <w:rPr>
          <w:rFonts w:ascii="宋体" w:hAnsi="宋体"/>
          <w:spacing w:val="-1"/>
          <w:szCs w:val="21"/>
        </w:rPr>
        <w:t>成员作出的评审结论无效，由更换后的</w:t>
      </w:r>
      <w:r>
        <w:rPr>
          <w:rFonts w:hint="eastAsia" w:ascii="宋体" w:hAnsi="宋体"/>
          <w:szCs w:val="21"/>
        </w:rPr>
        <w:t>评标</w:t>
      </w:r>
      <w:r>
        <w:rPr>
          <w:rFonts w:hint="eastAsia" w:ascii="宋体" w:hAnsi="宋体"/>
          <w:szCs w:val="21"/>
          <w:lang w:val="en-US" w:eastAsia="zh-CN"/>
        </w:rPr>
        <w:t>小组</w:t>
      </w:r>
      <w:r>
        <w:rPr>
          <w:rFonts w:ascii="宋体" w:hAnsi="宋体"/>
          <w:szCs w:val="21"/>
        </w:rPr>
        <w:t>成员重新进行评审。</w:t>
      </w:r>
    </w:p>
    <w:p>
      <w:pPr>
        <w:pStyle w:val="263"/>
        <w:widowControl w:val="0"/>
        <w:numPr>
          <w:ilvl w:val="1"/>
          <w:numId w:val="5"/>
        </w:numPr>
        <w:autoSpaceDE w:val="0"/>
        <w:autoSpaceDN w:val="0"/>
        <w:adjustRightInd w:val="0"/>
        <w:snapToGrid w:val="0"/>
        <w:ind w:firstLineChars="0"/>
        <w:jc w:val="left"/>
        <w:rPr>
          <w:rFonts w:ascii="宋体" w:hAnsi="宋体"/>
          <w:b/>
          <w:szCs w:val="21"/>
        </w:rPr>
      </w:pPr>
      <w:bookmarkStart w:id="225" w:name="_Toc330213979"/>
      <w:bookmarkStart w:id="226" w:name="_Toc332121747"/>
      <w:bookmarkStart w:id="227" w:name="_Toc144974532"/>
      <w:bookmarkStart w:id="228" w:name="_Toc152042340"/>
      <w:bookmarkStart w:id="229" w:name="_Toc403513526"/>
      <w:bookmarkStart w:id="230" w:name="_Toc152045564"/>
      <w:r>
        <w:rPr>
          <w:rFonts w:hint="eastAsia" w:ascii="宋体" w:hAnsi="宋体"/>
          <w:b/>
          <w:szCs w:val="21"/>
        </w:rPr>
        <w:t>评标原则</w:t>
      </w:r>
      <w:bookmarkEnd w:id="225"/>
      <w:bookmarkEnd w:id="226"/>
      <w:bookmarkEnd w:id="227"/>
      <w:bookmarkEnd w:id="228"/>
      <w:bookmarkEnd w:id="229"/>
      <w:bookmarkEnd w:id="230"/>
      <w:r>
        <w:rPr>
          <w:rFonts w:ascii="宋体" w:hAnsi="宋体"/>
          <w:b/>
          <w:szCs w:val="21"/>
        </w:rPr>
        <w:tab/>
      </w:r>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评标活动遵循公平、公正、科学和择优的原则。</w:t>
      </w:r>
    </w:p>
    <w:p>
      <w:pPr>
        <w:pStyle w:val="263"/>
        <w:widowControl w:val="0"/>
        <w:numPr>
          <w:ilvl w:val="1"/>
          <w:numId w:val="5"/>
        </w:numPr>
        <w:autoSpaceDE w:val="0"/>
        <w:autoSpaceDN w:val="0"/>
        <w:adjustRightInd w:val="0"/>
        <w:snapToGrid w:val="0"/>
        <w:ind w:firstLineChars="0"/>
        <w:jc w:val="left"/>
        <w:rPr>
          <w:rFonts w:ascii="宋体" w:hAnsi="宋体"/>
          <w:b/>
          <w:szCs w:val="21"/>
        </w:rPr>
      </w:pPr>
      <w:bookmarkStart w:id="231" w:name="_Toc152045565"/>
      <w:bookmarkStart w:id="232" w:name="_Toc330213980"/>
      <w:bookmarkStart w:id="233" w:name="_Toc332121748"/>
      <w:bookmarkStart w:id="234" w:name="_Toc152042341"/>
      <w:bookmarkStart w:id="235" w:name="_Toc144974533"/>
      <w:bookmarkStart w:id="236" w:name="_Toc403513527"/>
      <w:r>
        <w:rPr>
          <w:rFonts w:hint="eastAsia" w:ascii="宋体" w:hAnsi="宋体"/>
          <w:b/>
          <w:szCs w:val="21"/>
        </w:rPr>
        <w:t>评标</w:t>
      </w:r>
      <w:bookmarkEnd w:id="231"/>
      <w:bookmarkEnd w:id="232"/>
      <w:bookmarkEnd w:id="233"/>
      <w:bookmarkEnd w:id="234"/>
      <w:bookmarkEnd w:id="235"/>
      <w:bookmarkEnd w:id="236"/>
    </w:p>
    <w:p>
      <w:pPr>
        <w:pStyle w:val="263"/>
        <w:widowControl w:val="0"/>
        <w:numPr>
          <w:ilvl w:val="2"/>
          <w:numId w:val="5"/>
        </w:numPr>
        <w:autoSpaceDE w:val="0"/>
        <w:autoSpaceDN w:val="0"/>
        <w:adjustRightInd w:val="0"/>
        <w:snapToGrid w:val="0"/>
        <w:ind w:firstLineChars="0"/>
        <w:jc w:val="left"/>
        <w:rPr>
          <w:rFonts w:ascii="宋体" w:hAnsi="宋体"/>
          <w:spacing w:val="-2"/>
          <w:szCs w:val="21"/>
        </w:rPr>
      </w:pPr>
      <w:bookmarkStart w:id="237" w:name="_Toc152042342"/>
      <w:bookmarkStart w:id="238" w:name="_Toc144974534"/>
      <w:bookmarkStart w:id="239" w:name="_Toc152045566"/>
      <w:r>
        <w:rPr>
          <w:rFonts w:hint="eastAsia" w:ascii="宋体" w:hAnsi="宋体"/>
          <w:szCs w:val="21"/>
        </w:rPr>
        <w:t>评标</w:t>
      </w:r>
      <w:r>
        <w:rPr>
          <w:rFonts w:hint="eastAsia" w:ascii="宋体" w:hAnsi="宋体"/>
          <w:szCs w:val="21"/>
          <w:lang w:val="en-US" w:eastAsia="zh-CN"/>
        </w:rPr>
        <w:t>小组</w:t>
      </w:r>
      <w:r>
        <w:rPr>
          <w:rFonts w:ascii="宋体" w:hAnsi="宋体"/>
          <w:szCs w:val="21"/>
        </w:rPr>
        <w:t>按照投标人须知前附表</w:t>
      </w:r>
      <w:r>
        <w:rPr>
          <w:rFonts w:hint="eastAsia" w:ascii="宋体" w:hAnsi="宋体"/>
          <w:szCs w:val="21"/>
        </w:rPr>
        <w:t>和</w:t>
      </w:r>
      <w:r>
        <w:rPr>
          <w:rFonts w:ascii="宋体" w:hAnsi="宋体"/>
          <w:szCs w:val="21"/>
        </w:rPr>
        <w:t>第</w:t>
      </w:r>
      <w:r>
        <w:rPr>
          <w:rFonts w:hint="eastAsia" w:ascii="宋体" w:hAnsi="宋体"/>
          <w:szCs w:val="21"/>
        </w:rPr>
        <w:t>二</w:t>
      </w:r>
      <w:r>
        <w:rPr>
          <w:rFonts w:ascii="宋体" w:hAnsi="宋体"/>
          <w:szCs w:val="21"/>
        </w:rPr>
        <w:t>章“评</w:t>
      </w:r>
      <w:r>
        <w:rPr>
          <w:rFonts w:hint="eastAsia" w:ascii="宋体" w:hAnsi="宋体"/>
          <w:szCs w:val="21"/>
        </w:rPr>
        <w:t>定</w:t>
      </w:r>
      <w:r>
        <w:rPr>
          <w:rFonts w:ascii="宋体" w:hAnsi="宋体"/>
          <w:szCs w:val="21"/>
        </w:rPr>
        <w:t>标办法”规定的方法、评审因素、标准和程序对投标文</w:t>
      </w:r>
      <w:r>
        <w:rPr>
          <w:rFonts w:ascii="宋体" w:hAnsi="宋体"/>
          <w:spacing w:val="-2"/>
          <w:szCs w:val="21"/>
        </w:rPr>
        <w:t>件进行评审。第</w:t>
      </w:r>
      <w:r>
        <w:rPr>
          <w:rFonts w:hint="eastAsia" w:ascii="宋体" w:hAnsi="宋体"/>
          <w:spacing w:val="-2"/>
          <w:szCs w:val="21"/>
        </w:rPr>
        <w:t>二</w:t>
      </w:r>
      <w:r>
        <w:rPr>
          <w:rFonts w:ascii="宋体" w:hAnsi="宋体"/>
          <w:spacing w:val="-2"/>
          <w:szCs w:val="21"/>
        </w:rPr>
        <w:t>章“评</w:t>
      </w:r>
      <w:r>
        <w:rPr>
          <w:rFonts w:hint="eastAsia" w:ascii="宋体" w:hAnsi="宋体"/>
          <w:spacing w:val="-2"/>
          <w:szCs w:val="21"/>
        </w:rPr>
        <w:t>定</w:t>
      </w:r>
      <w:r>
        <w:rPr>
          <w:rFonts w:ascii="宋体" w:hAnsi="宋体"/>
          <w:spacing w:val="-2"/>
          <w:szCs w:val="21"/>
        </w:rPr>
        <w:t>标办法”没有规定的方法、评审因素和标准，不作为评标依据。</w:t>
      </w:r>
    </w:p>
    <w:p>
      <w:pPr>
        <w:pStyle w:val="263"/>
        <w:widowControl w:val="0"/>
        <w:numPr>
          <w:ilvl w:val="2"/>
          <w:numId w:val="5"/>
        </w:numPr>
        <w:autoSpaceDE w:val="0"/>
        <w:autoSpaceDN w:val="0"/>
        <w:adjustRightInd w:val="0"/>
        <w:snapToGrid w:val="0"/>
        <w:ind w:firstLineChars="0"/>
        <w:jc w:val="left"/>
        <w:rPr>
          <w:rFonts w:ascii="宋体" w:hAnsi="宋体"/>
          <w:spacing w:val="-2"/>
          <w:szCs w:val="21"/>
        </w:rPr>
      </w:pPr>
      <w:r>
        <w:rPr>
          <w:rFonts w:ascii="宋体" w:hAnsi="宋体"/>
          <w:szCs w:val="21"/>
        </w:rPr>
        <w:t>评标完成后，</w:t>
      </w:r>
      <w:r>
        <w:rPr>
          <w:rFonts w:hint="eastAsia" w:ascii="宋体" w:hAnsi="宋体"/>
          <w:szCs w:val="21"/>
        </w:rPr>
        <w:t>评标</w:t>
      </w:r>
      <w:r>
        <w:rPr>
          <w:rFonts w:hint="eastAsia" w:ascii="宋体" w:hAnsi="宋体"/>
          <w:szCs w:val="21"/>
          <w:lang w:val="en-US" w:eastAsia="zh-CN"/>
        </w:rPr>
        <w:t>小组</w:t>
      </w:r>
      <w:r>
        <w:rPr>
          <w:rFonts w:ascii="宋体" w:hAnsi="宋体"/>
          <w:szCs w:val="21"/>
        </w:rPr>
        <w:t>应当向招标人</w:t>
      </w:r>
      <w:r>
        <w:rPr>
          <w:rFonts w:hint="eastAsia" w:ascii="宋体" w:hAnsi="宋体"/>
          <w:szCs w:val="21"/>
        </w:rPr>
        <w:t>以书面形式</w:t>
      </w:r>
      <w:r>
        <w:rPr>
          <w:rFonts w:ascii="宋体" w:hAnsi="宋体"/>
          <w:szCs w:val="21"/>
        </w:rPr>
        <w:t>提交评标报告。</w:t>
      </w:r>
      <w:r>
        <w:rPr>
          <w:rFonts w:hint="eastAsia" w:ascii="宋体" w:hAnsi="宋体"/>
          <w:szCs w:val="21"/>
        </w:rPr>
        <w:t>评标</w:t>
      </w:r>
      <w:r>
        <w:rPr>
          <w:rFonts w:hint="eastAsia" w:ascii="宋体" w:hAnsi="宋体"/>
          <w:szCs w:val="21"/>
          <w:lang w:val="en-US" w:eastAsia="zh-CN"/>
        </w:rPr>
        <w:t>小组</w:t>
      </w:r>
      <w:r>
        <w:rPr>
          <w:rFonts w:ascii="宋体" w:hAnsi="宋体"/>
          <w:spacing w:val="-2"/>
          <w:szCs w:val="21"/>
        </w:rPr>
        <w:t>推荐中标候选人的人数见投标人须知前附表。</w:t>
      </w:r>
    </w:p>
    <w:bookmarkEnd w:id="237"/>
    <w:bookmarkEnd w:id="238"/>
    <w:bookmarkEnd w:id="239"/>
    <w:p>
      <w:pPr>
        <w:pStyle w:val="263"/>
        <w:widowControl w:val="0"/>
        <w:numPr>
          <w:ilvl w:val="0"/>
          <w:numId w:val="5"/>
        </w:numPr>
        <w:autoSpaceDE w:val="0"/>
        <w:autoSpaceDN w:val="0"/>
        <w:adjustRightInd w:val="0"/>
        <w:snapToGrid w:val="0"/>
        <w:ind w:firstLineChars="0"/>
        <w:jc w:val="left"/>
        <w:rPr>
          <w:rFonts w:ascii="宋体" w:hAnsi="宋体"/>
          <w:b/>
          <w:szCs w:val="21"/>
        </w:rPr>
      </w:pPr>
      <w:r>
        <w:rPr>
          <w:rFonts w:hint="eastAsia" w:ascii="宋体" w:hAnsi="宋体"/>
          <w:b/>
          <w:szCs w:val="21"/>
        </w:rPr>
        <w:t>定标</w:t>
      </w:r>
    </w:p>
    <w:p>
      <w:pPr>
        <w:pStyle w:val="263"/>
        <w:widowControl w:val="0"/>
        <w:numPr>
          <w:ilvl w:val="1"/>
          <w:numId w:val="5"/>
        </w:numPr>
        <w:autoSpaceDE w:val="0"/>
        <w:autoSpaceDN w:val="0"/>
        <w:adjustRightInd w:val="0"/>
        <w:snapToGrid w:val="0"/>
        <w:ind w:firstLineChars="0"/>
        <w:jc w:val="left"/>
        <w:rPr>
          <w:rFonts w:ascii="宋体" w:hAnsi="宋体"/>
          <w:b/>
          <w:szCs w:val="21"/>
        </w:rPr>
      </w:pPr>
      <w:bookmarkStart w:id="240" w:name="_Toc332121750"/>
      <w:bookmarkStart w:id="241" w:name="_Toc152042343"/>
      <w:bookmarkStart w:id="242" w:name="_Toc152045567"/>
      <w:bookmarkStart w:id="243" w:name="_Toc330213982"/>
      <w:bookmarkStart w:id="244" w:name="_Toc403513529"/>
      <w:bookmarkStart w:id="245" w:name="_Toc144974535"/>
      <w:r>
        <w:rPr>
          <w:rFonts w:hint="eastAsia" w:ascii="宋体" w:hAnsi="宋体"/>
          <w:b/>
          <w:szCs w:val="21"/>
        </w:rPr>
        <w:t>定标方式</w:t>
      </w:r>
      <w:bookmarkEnd w:id="240"/>
      <w:bookmarkEnd w:id="241"/>
      <w:bookmarkEnd w:id="242"/>
      <w:bookmarkEnd w:id="243"/>
      <w:bookmarkEnd w:id="244"/>
      <w:bookmarkEnd w:id="245"/>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除投标人须知前附表规定评标委员会直接确定中标人外，招标人依据评标委员会推荐的中标候选人确定中标人。定标方法及定标程序详见投标人须知前附表。</w:t>
      </w:r>
    </w:p>
    <w:p>
      <w:pPr>
        <w:pStyle w:val="263"/>
        <w:widowControl w:val="0"/>
        <w:numPr>
          <w:ilvl w:val="1"/>
          <w:numId w:val="5"/>
        </w:numPr>
        <w:autoSpaceDE w:val="0"/>
        <w:autoSpaceDN w:val="0"/>
        <w:adjustRightInd w:val="0"/>
        <w:snapToGrid w:val="0"/>
        <w:ind w:firstLineChars="0"/>
        <w:jc w:val="left"/>
        <w:rPr>
          <w:rFonts w:ascii="宋体" w:hAnsi="宋体"/>
          <w:b/>
          <w:szCs w:val="21"/>
        </w:rPr>
      </w:pPr>
      <w:r>
        <w:rPr>
          <w:rFonts w:hint="eastAsia" w:ascii="宋体" w:hAnsi="宋体"/>
          <w:b/>
          <w:szCs w:val="21"/>
        </w:rPr>
        <w:t>中标公示</w:t>
      </w:r>
    </w:p>
    <w:p>
      <w:pPr>
        <w:pStyle w:val="263"/>
        <w:widowControl w:val="0"/>
        <w:numPr>
          <w:ilvl w:val="2"/>
          <w:numId w:val="5"/>
        </w:numPr>
        <w:autoSpaceDE w:val="0"/>
        <w:autoSpaceDN w:val="0"/>
        <w:adjustRightInd w:val="0"/>
        <w:snapToGrid w:val="0"/>
        <w:ind w:firstLineChars="0"/>
        <w:jc w:val="left"/>
        <w:rPr>
          <w:rFonts w:hint="eastAsia" w:ascii="宋体" w:hAnsi="宋体"/>
          <w:szCs w:val="21"/>
        </w:rPr>
      </w:pPr>
      <w:r>
        <w:rPr>
          <w:rFonts w:hint="eastAsia" w:ascii="宋体" w:hAnsi="宋体"/>
          <w:szCs w:val="21"/>
        </w:rPr>
        <w:t>招标人在确定中标结果后，按照投标人须知前附表规定的媒介公示中标候选人，公示期不得少于3天。</w:t>
      </w:r>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中标候选人公示期满且无异议，按照投标人须知前附表规定的媒介公告中标结果。</w:t>
      </w:r>
    </w:p>
    <w:p>
      <w:pPr>
        <w:pStyle w:val="263"/>
        <w:widowControl w:val="0"/>
        <w:numPr>
          <w:ilvl w:val="1"/>
          <w:numId w:val="5"/>
        </w:numPr>
        <w:autoSpaceDE w:val="0"/>
        <w:autoSpaceDN w:val="0"/>
        <w:adjustRightInd w:val="0"/>
        <w:snapToGrid w:val="0"/>
        <w:ind w:firstLineChars="0"/>
        <w:jc w:val="left"/>
        <w:rPr>
          <w:rFonts w:ascii="宋体" w:hAnsi="宋体"/>
          <w:b/>
          <w:szCs w:val="21"/>
        </w:rPr>
      </w:pPr>
      <w:bookmarkStart w:id="246" w:name="_Toc152045568"/>
      <w:bookmarkStart w:id="247" w:name="_Toc152042344"/>
      <w:bookmarkStart w:id="248" w:name="_Toc144974536"/>
      <w:r>
        <w:rPr>
          <w:rFonts w:ascii="宋体" w:hAnsi="宋体"/>
          <w:b/>
          <w:szCs w:val="21"/>
        </w:rPr>
        <w:t>评标结果异议</w:t>
      </w:r>
    </w:p>
    <w:p>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投标人或者其他利害关系人对评</w:t>
      </w:r>
      <w:r>
        <w:rPr>
          <w:rFonts w:hint="eastAsia" w:ascii="宋体" w:hAnsi="宋体"/>
          <w:szCs w:val="21"/>
        </w:rPr>
        <w:t>标或定</w:t>
      </w:r>
      <w:r>
        <w:rPr>
          <w:rFonts w:ascii="宋体" w:hAnsi="宋体"/>
          <w:szCs w:val="21"/>
        </w:rPr>
        <w:t>标结果有异议的，应当在中标候选人公示期间提出。</w:t>
      </w:r>
    </w:p>
    <w:p>
      <w:pPr>
        <w:pStyle w:val="263"/>
        <w:widowControl w:val="0"/>
        <w:numPr>
          <w:ilvl w:val="0"/>
          <w:numId w:val="5"/>
        </w:numPr>
        <w:autoSpaceDE w:val="0"/>
        <w:autoSpaceDN w:val="0"/>
        <w:adjustRightInd w:val="0"/>
        <w:snapToGrid w:val="0"/>
        <w:ind w:firstLineChars="0"/>
        <w:jc w:val="left"/>
        <w:rPr>
          <w:rFonts w:ascii="宋体" w:hAnsi="宋体"/>
          <w:b/>
          <w:szCs w:val="21"/>
        </w:rPr>
      </w:pPr>
      <w:r>
        <w:rPr>
          <w:rFonts w:hint="eastAsia" w:ascii="宋体" w:hAnsi="宋体"/>
          <w:b/>
          <w:szCs w:val="21"/>
        </w:rPr>
        <w:t>合同授予</w:t>
      </w:r>
      <w:bookmarkStart w:id="249" w:name="_Toc332121751"/>
      <w:bookmarkStart w:id="250" w:name="_Toc403513530"/>
      <w:bookmarkStart w:id="251" w:name="_Toc330213983"/>
    </w:p>
    <w:p>
      <w:pPr>
        <w:pStyle w:val="263"/>
        <w:widowControl w:val="0"/>
        <w:numPr>
          <w:ilvl w:val="1"/>
          <w:numId w:val="5"/>
        </w:numPr>
        <w:autoSpaceDE w:val="0"/>
        <w:autoSpaceDN w:val="0"/>
        <w:adjustRightInd w:val="0"/>
        <w:snapToGrid w:val="0"/>
        <w:ind w:firstLineChars="0"/>
        <w:jc w:val="left"/>
        <w:rPr>
          <w:rFonts w:ascii="宋体" w:hAnsi="宋体"/>
          <w:b/>
          <w:szCs w:val="21"/>
        </w:rPr>
      </w:pPr>
      <w:r>
        <w:rPr>
          <w:rFonts w:hint="eastAsia" w:ascii="宋体" w:hAnsi="宋体"/>
          <w:b/>
          <w:szCs w:val="21"/>
        </w:rPr>
        <w:t>履约能力的审查</w:t>
      </w:r>
      <w:bookmarkEnd w:id="249"/>
      <w:bookmarkEnd w:id="250"/>
      <w:bookmarkEnd w:id="251"/>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招标人在发出中标通知书之前的任何时候，均有对中标候选人履约能力进行审查的权利，包括审查中标候选人资信情况的有关原件、经营状况、供货能力等招标人认为可能影响投标人履约的相关材料，投标人须无条件配合招标人的相关审查工作。审查不合格的或不配合审查的，原评标</w:t>
      </w:r>
      <w:r>
        <w:rPr>
          <w:rFonts w:hint="eastAsia" w:ascii="宋体" w:hAnsi="宋体"/>
          <w:szCs w:val="21"/>
          <w:lang w:val="en-US" w:eastAsia="zh-CN"/>
        </w:rPr>
        <w:t>小组</w:t>
      </w:r>
      <w:r>
        <w:rPr>
          <w:rFonts w:hint="eastAsia" w:ascii="宋体" w:hAnsi="宋体"/>
          <w:szCs w:val="21"/>
        </w:rPr>
        <w:t>将重新审查其中标候选人资格。</w:t>
      </w:r>
    </w:p>
    <w:p>
      <w:pPr>
        <w:pStyle w:val="263"/>
        <w:widowControl w:val="0"/>
        <w:numPr>
          <w:ilvl w:val="1"/>
          <w:numId w:val="5"/>
        </w:numPr>
        <w:autoSpaceDE w:val="0"/>
        <w:autoSpaceDN w:val="0"/>
        <w:adjustRightInd w:val="0"/>
        <w:snapToGrid w:val="0"/>
        <w:ind w:firstLineChars="0"/>
        <w:jc w:val="left"/>
        <w:rPr>
          <w:rFonts w:ascii="宋体" w:hAnsi="宋体"/>
          <w:b/>
          <w:szCs w:val="21"/>
        </w:rPr>
      </w:pPr>
      <w:bookmarkStart w:id="252" w:name="_Toc330213984"/>
      <w:bookmarkStart w:id="253" w:name="_Toc403513531"/>
      <w:bookmarkStart w:id="254" w:name="_Toc332121752"/>
      <w:r>
        <w:rPr>
          <w:rFonts w:hint="eastAsia" w:ascii="宋体" w:hAnsi="宋体"/>
          <w:b/>
          <w:szCs w:val="21"/>
        </w:rPr>
        <w:t>中标通知</w:t>
      </w:r>
      <w:bookmarkEnd w:id="246"/>
      <w:bookmarkEnd w:id="247"/>
      <w:bookmarkEnd w:id="248"/>
      <w:bookmarkEnd w:id="252"/>
      <w:bookmarkEnd w:id="253"/>
      <w:bookmarkEnd w:id="254"/>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在本章第3.3款规定的投标有效期内，招标人向中标人发出中标通知书，同时将中标结果通知未中标的投标人。</w:t>
      </w:r>
    </w:p>
    <w:p>
      <w:pPr>
        <w:pStyle w:val="263"/>
        <w:widowControl w:val="0"/>
        <w:numPr>
          <w:ilvl w:val="1"/>
          <w:numId w:val="5"/>
        </w:numPr>
        <w:autoSpaceDE w:val="0"/>
        <w:autoSpaceDN w:val="0"/>
        <w:adjustRightInd w:val="0"/>
        <w:snapToGrid w:val="0"/>
        <w:ind w:firstLineChars="0"/>
        <w:jc w:val="left"/>
        <w:rPr>
          <w:rFonts w:ascii="宋体" w:hAnsi="宋体"/>
          <w:b/>
          <w:szCs w:val="21"/>
        </w:rPr>
      </w:pPr>
      <w:bookmarkStart w:id="255" w:name="_Toc332121754"/>
      <w:bookmarkStart w:id="256" w:name="_Toc524169011"/>
      <w:bookmarkStart w:id="257" w:name="_Toc144974538"/>
      <w:bookmarkStart w:id="258" w:name="_Toc525476150"/>
      <w:bookmarkStart w:id="259" w:name="_Toc11464"/>
      <w:bookmarkStart w:id="260" w:name="_Toc330213986"/>
      <w:bookmarkStart w:id="261" w:name="_Toc403513533"/>
      <w:bookmarkStart w:id="262" w:name="_Toc152045570"/>
      <w:bookmarkStart w:id="263" w:name="_Toc152042346"/>
      <w:r>
        <w:rPr>
          <w:rFonts w:hint="eastAsia" w:ascii="宋体" w:hAnsi="宋体"/>
          <w:b/>
          <w:szCs w:val="21"/>
        </w:rPr>
        <w:t>签订合同</w:t>
      </w:r>
      <w:bookmarkEnd w:id="255"/>
      <w:bookmarkEnd w:id="256"/>
      <w:bookmarkEnd w:id="257"/>
      <w:bookmarkEnd w:id="258"/>
      <w:bookmarkEnd w:id="259"/>
      <w:bookmarkEnd w:id="260"/>
      <w:bookmarkEnd w:id="261"/>
      <w:bookmarkEnd w:id="262"/>
      <w:bookmarkEnd w:id="263"/>
    </w:p>
    <w:p>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招标人和中标人应当在中标通知书发出之日起30日内，根据招标文件和中标人的投标文件订立书面合同。中标人无正当理由</w:t>
      </w:r>
      <w:r>
        <w:rPr>
          <w:rFonts w:hint="eastAsia" w:ascii="宋体" w:hAnsi="宋体"/>
          <w:szCs w:val="21"/>
        </w:rPr>
        <w:t>不与招标人订立</w:t>
      </w:r>
      <w:r>
        <w:rPr>
          <w:rFonts w:ascii="宋体" w:hAnsi="宋体"/>
          <w:szCs w:val="21"/>
        </w:rPr>
        <w:t>合同，在签订合同时向招标人提出附加条件，招标人有权取消其中标资格；给招标人造成的</w:t>
      </w:r>
      <w:r>
        <w:rPr>
          <w:rFonts w:hint="eastAsia" w:ascii="宋体" w:hAnsi="宋体"/>
          <w:szCs w:val="21"/>
          <w:lang w:val="en-US" w:eastAsia="zh-CN"/>
        </w:rPr>
        <w:t>损失</w:t>
      </w:r>
      <w:r>
        <w:rPr>
          <w:rFonts w:ascii="宋体" w:hAnsi="宋体"/>
          <w:szCs w:val="21"/>
        </w:rPr>
        <w:t>，中标人应当予以赔偿。</w:t>
      </w:r>
    </w:p>
    <w:p>
      <w:pPr>
        <w:pStyle w:val="263"/>
        <w:widowControl w:val="0"/>
        <w:numPr>
          <w:ilvl w:val="0"/>
          <w:numId w:val="5"/>
        </w:numPr>
        <w:autoSpaceDE w:val="0"/>
        <w:autoSpaceDN w:val="0"/>
        <w:adjustRightInd w:val="0"/>
        <w:snapToGrid w:val="0"/>
        <w:ind w:firstLineChars="0"/>
        <w:jc w:val="left"/>
        <w:rPr>
          <w:rFonts w:ascii="宋体" w:hAnsi="宋体"/>
          <w:b/>
          <w:szCs w:val="21"/>
        </w:rPr>
      </w:pPr>
      <w:bookmarkStart w:id="264" w:name="_Hlk46483854"/>
      <w:r>
        <w:rPr>
          <w:rFonts w:hint="eastAsia" w:ascii="宋体" w:hAnsi="宋体"/>
          <w:b/>
          <w:szCs w:val="21"/>
        </w:rPr>
        <w:t>招标失败的情形</w:t>
      </w:r>
    </w:p>
    <w:p>
      <w:pPr>
        <w:pStyle w:val="263"/>
        <w:widowControl w:val="0"/>
        <w:autoSpaceDE w:val="0"/>
        <w:autoSpaceDN w:val="0"/>
        <w:adjustRightInd w:val="0"/>
        <w:snapToGrid w:val="0"/>
        <w:ind w:firstLine="0" w:firstLineChars="0"/>
        <w:jc w:val="left"/>
        <w:rPr>
          <w:rFonts w:ascii="宋体" w:hAnsi="宋体"/>
          <w:szCs w:val="21"/>
        </w:rPr>
      </w:pPr>
      <w:bookmarkStart w:id="265" w:name="_Toc152042350"/>
      <w:bookmarkStart w:id="266" w:name="_Toc152045574"/>
      <w:bookmarkStart w:id="267" w:name="_Toc144974542"/>
      <w:r>
        <w:rPr>
          <w:rFonts w:hint="eastAsia" w:ascii="宋体" w:hAnsi="宋体"/>
          <w:szCs w:val="21"/>
        </w:rPr>
        <w:t>发生以下情形的，招标人应当宣布本次招标失败：</w:t>
      </w:r>
    </w:p>
    <w:p>
      <w:pPr>
        <w:pStyle w:val="263"/>
        <w:widowControl w:val="0"/>
        <w:numPr>
          <w:ilvl w:val="1"/>
          <w:numId w:val="5"/>
        </w:numPr>
        <w:autoSpaceDE w:val="0"/>
        <w:autoSpaceDN w:val="0"/>
        <w:adjustRightInd w:val="0"/>
        <w:snapToGrid w:val="0"/>
        <w:ind w:firstLineChars="0"/>
        <w:jc w:val="left"/>
        <w:rPr>
          <w:rFonts w:ascii="宋体" w:hAnsi="宋体"/>
          <w:szCs w:val="21"/>
        </w:rPr>
      </w:pPr>
      <w:r>
        <w:rPr>
          <w:rFonts w:hint="eastAsia" w:ascii="宋体" w:hAnsi="宋体"/>
          <w:szCs w:val="21"/>
        </w:rPr>
        <w:t>因投标人数量不足三家未能达到开标条件的；</w:t>
      </w:r>
    </w:p>
    <w:p>
      <w:pPr>
        <w:pStyle w:val="263"/>
        <w:widowControl w:val="0"/>
        <w:numPr>
          <w:ilvl w:val="1"/>
          <w:numId w:val="5"/>
        </w:numPr>
        <w:autoSpaceDE w:val="0"/>
        <w:autoSpaceDN w:val="0"/>
        <w:adjustRightInd w:val="0"/>
        <w:snapToGrid w:val="0"/>
        <w:ind w:firstLineChars="0"/>
        <w:jc w:val="left"/>
        <w:rPr>
          <w:rFonts w:ascii="宋体" w:hAnsi="宋体"/>
          <w:szCs w:val="21"/>
        </w:rPr>
      </w:pPr>
      <w:r>
        <w:rPr>
          <w:rFonts w:hint="eastAsia" w:ascii="宋体" w:hAnsi="宋体"/>
          <w:szCs w:val="21"/>
        </w:rPr>
        <w:t>或者评标委员会否决所有投标的；</w:t>
      </w:r>
    </w:p>
    <w:p>
      <w:pPr>
        <w:pStyle w:val="263"/>
        <w:widowControl w:val="0"/>
        <w:numPr>
          <w:ilvl w:val="1"/>
          <w:numId w:val="5"/>
        </w:numPr>
        <w:autoSpaceDE w:val="0"/>
        <w:autoSpaceDN w:val="0"/>
        <w:adjustRightInd w:val="0"/>
        <w:snapToGrid w:val="0"/>
        <w:ind w:firstLineChars="0"/>
        <w:jc w:val="left"/>
        <w:rPr>
          <w:rFonts w:ascii="宋体" w:hAnsi="宋体"/>
          <w:szCs w:val="21"/>
        </w:rPr>
      </w:pPr>
      <w:r>
        <w:rPr>
          <w:rFonts w:hint="eastAsia" w:ascii="宋体" w:hAnsi="宋体"/>
          <w:szCs w:val="21"/>
        </w:rPr>
        <w:t>或者评标</w:t>
      </w:r>
      <w:r>
        <w:rPr>
          <w:rFonts w:hint="eastAsia" w:ascii="宋体" w:hAnsi="宋体"/>
          <w:szCs w:val="21"/>
          <w:lang w:val="en-US" w:eastAsia="zh-CN"/>
        </w:rPr>
        <w:t>小组</w:t>
      </w:r>
      <w:r>
        <w:rPr>
          <w:rFonts w:hint="eastAsia" w:ascii="宋体" w:hAnsi="宋体"/>
          <w:szCs w:val="21"/>
        </w:rPr>
        <w:t>否决一部分投标后其他有效投标不足三个使得投标明显缺乏竞争而否决所有投标的；</w:t>
      </w:r>
    </w:p>
    <w:p>
      <w:pPr>
        <w:pStyle w:val="263"/>
        <w:widowControl w:val="0"/>
        <w:numPr>
          <w:ilvl w:val="1"/>
          <w:numId w:val="5"/>
        </w:numPr>
        <w:autoSpaceDE w:val="0"/>
        <w:autoSpaceDN w:val="0"/>
        <w:adjustRightInd w:val="0"/>
        <w:snapToGrid w:val="0"/>
        <w:ind w:firstLineChars="0"/>
        <w:jc w:val="left"/>
        <w:rPr>
          <w:rFonts w:ascii="宋体" w:hAnsi="宋体"/>
          <w:szCs w:val="21"/>
        </w:rPr>
      </w:pPr>
      <w:r>
        <w:rPr>
          <w:rFonts w:hint="eastAsia" w:ascii="宋体" w:hAnsi="宋体"/>
          <w:szCs w:val="21"/>
        </w:rPr>
        <w:t>招标项目发生重大变化，招标人取消采购任务的；</w:t>
      </w:r>
    </w:p>
    <w:p>
      <w:pPr>
        <w:pStyle w:val="263"/>
        <w:widowControl w:val="0"/>
        <w:numPr>
          <w:ilvl w:val="1"/>
          <w:numId w:val="5"/>
        </w:numPr>
        <w:autoSpaceDE w:val="0"/>
        <w:autoSpaceDN w:val="0"/>
        <w:adjustRightInd w:val="0"/>
        <w:snapToGrid w:val="0"/>
        <w:ind w:firstLineChars="0"/>
        <w:jc w:val="left"/>
        <w:rPr>
          <w:rFonts w:ascii="宋体" w:hAnsi="宋体"/>
          <w:szCs w:val="21"/>
        </w:rPr>
      </w:pPr>
      <w:r>
        <w:rPr>
          <w:rFonts w:hint="eastAsia" w:ascii="宋体" w:hAnsi="宋体"/>
          <w:szCs w:val="21"/>
        </w:rPr>
        <w:t>投标人</w:t>
      </w:r>
      <w:r>
        <w:rPr>
          <w:rFonts w:ascii="宋体" w:hAnsi="宋体"/>
          <w:szCs w:val="21"/>
        </w:rPr>
        <w:t>须知</w:t>
      </w:r>
      <w:r>
        <w:rPr>
          <w:rFonts w:hint="eastAsia" w:ascii="宋体" w:hAnsi="宋体"/>
          <w:szCs w:val="21"/>
        </w:rPr>
        <w:t>前附表规定的其他情形。</w:t>
      </w:r>
      <w:bookmarkEnd w:id="264"/>
    </w:p>
    <w:p>
      <w:pPr>
        <w:pStyle w:val="263"/>
        <w:widowControl w:val="0"/>
        <w:autoSpaceDE w:val="0"/>
        <w:autoSpaceDN w:val="0"/>
        <w:adjustRightInd w:val="0"/>
        <w:snapToGrid w:val="0"/>
        <w:ind w:firstLine="0" w:firstLineChars="0"/>
        <w:jc w:val="left"/>
        <w:rPr>
          <w:rFonts w:ascii="宋体" w:hAnsi="宋体"/>
          <w:szCs w:val="21"/>
        </w:rPr>
      </w:pPr>
    </w:p>
    <w:p>
      <w:pPr>
        <w:pStyle w:val="263"/>
        <w:widowControl w:val="0"/>
        <w:numPr>
          <w:ilvl w:val="0"/>
          <w:numId w:val="5"/>
        </w:numPr>
        <w:autoSpaceDE w:val="0"/>
        <w:autoSpaceDN w:val="0"/>
        <w:adjustRightInd w:val="0"/>
        <w:snapToGrid w:val="0"/>
        <w:ind w:firstLineChars="0"/>
        <w:jc w:val="left"/>
        <w:rPr>
          <w:rFonts w:ascii="宋体" w:hAnsi="宋体"/>
          <w:b/>
          <w:szCs w:val="21"/>
        </w:rPr>
      </w:pPr>
      <w:r>
        <w:rPr>
          <w:rFonts w:hint="eastAsia" w:ascii="宋体" w:hAnsi="宋体"/>
          <w:b/>
          <w:szCs w:val="21"/>
        </w:rPr>
        <w:t>纪律和监督</w:t>
      </w:r>
      <w:bookmarkEnd w:id="265"/>
      <w:bookmarkEnd w:id="266"/>
      <w:bookmarkEnd w:id="267"/>
    </w:p>
    <w:p>
      <w:pPr>
        <w:pStyle w:val="263"/>
        <w:widowControl w:val="0"/>
        <w:numPr>
          <w:ilvl w:val="1"/>
          <w:numId w:val="5"/>
        </w:numPr>
        <w:autoSpaceDE w:val="0"/>
        <w:autoSpaceDN w:val="0"/>
        <w:adjustRightInd w:val="0"/>
        <w:snapToGrid w:val="0"/>
        <w:ind w:firstLineChars="0"/>
        <w:jc w:val="left"/>
        <w:rPr>
          <w:rFonts w:ascii="宋体" w:hAnsi="宋体"/>
          <w:b/>
          <w:szCs w:val="21"/>
        </w:rPr>
      </w:pPr>
      <w:bookmarkStart w:id="268" w:name="_Toc144974543"/>
      <w:bookmarkStart w:id="269" w:name="_Toc330213991"/>
      <w:bookmarkStart w:id="270" w:name="_Toc403513538"/>
      <w:bookmarkStart w:id="271" w:name="_Toc332121759"/>
      <w:bookmarkStart w:id="272" w:name="_Toc152045575"/>
      <w:bookmarkStart w:id="273" w:name="_Toc152042351"/>
      <w:r>
        <w:rPr>
          <w:rFonts w:hint="eastAsia" w:ascii="宋体" w:hAnsi="宋体"/>
          <w:b/>
          <w:szCs w:val="21"/>
        </w:rPr>
        <w:t>对招标人的纪律要求</w:t>
      </w:r>
      <w:bookmarkEnd w:id="268"/>
      <w:bookmarkEnd w:id="269"/>
      <w:bookmarkEnd w:id="270"/>
      <w:bookmarkEnd w:id="271"/>
      <w:bookmarkEnd w:id="272"/>
      <w:bookmarkEnd w:id="273"/>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招标人不得泄漏招标投标活动中应当保密的情况和资料，不得与投标人串通损害国家利益、社会公共利益或者他人合法权益。</w:t>
      </w:r>
    </w:p>
    <w:p>
      <w:pPr>
        <w:pStyle w:val="263"/>
        <w:widowControl w:val="0"/>
        <w:numPr>
          <w:ilvl w:val="1"/>
          <w:numId w:val="5"/>
        </w:numPr>
        <w:autoSpaceDE w:val="0"/>
        <w:autoSpaceDN w:val="0"/>
        <w:adjustRightInd w:val="0"/>
        <w:snapToGrid w:val="0"/>
        <w:ind w:firstLineChars="0"/>
        <w:jc w:val="left"/>
        <w:rPr>
          <w:rFonts w:ascii="宋体" w:hAnsi="宋体"/>
          <w:b/>
          <w:szCs w:val="21"/>
        </w:rPr>
      </w:pPr>
      <w:bookmarkStart w:id="274" w:name="_Toc152045576"/>
      <w:bookmarkStart w:id="275" w:name="_Toc330213992"/>
      <w:bookmarkStart w:id="276" w:name="_Toc332121760"/>
      <w:bookmarkStart w:id="277" w:name="_Toc152042352"/>
      <w:bookmarkStart w:id="278" w:name="_Toc144974544"/>
      <w:bookmarkStart w:id="279" w:name="_Toc403513539"/>
      <w:r>
        <w:rPr>
          <w:rFonts w:hint="eastAsia" w:ascii="宋体" w:hAnsi="宋体"/>
          <w:b/>
          <w:szCs w:val="21"/>
        </w:rPr>
        <w:t>对投标人的纪律要求</w:t>
      </w:r>
      <w:bookmarkEnd w:id="274"/>
      <w:bookmarkEnd w:id="275"/>
      <w:bookmarkEnd w:id="276"/>
      <w:bookmarkEnd w:id="277"/>
      <w:bookmarkEnd w:id="278"/>
      <w:bookmarkEnd w:id="279"/>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投标人不得相互串通投标或者与招标人串通投标，不得向招标人或者评评标</w:t>
      </w:r>
      <w:r>
        <w:rPr>
          <w:rFonts w:hint="eastAsia" w:ascii="宋体" w:hAnsi="宋体"/>
          <w:szCs w:val="21"/>
          <w:lang w:val="en-US" w:eastAsia="zh-CN"/>
        </w:rPr>
        <w:t>小组</w:t>
      </w:r>
      <w:r>
        <w:rPr>
          <w:rFonts w:hint="eastAsia" w:ascii="宋体" w:hAnsi="宋体"/>
          <w:szCs w:val="21"/>
        </w:rPr>
        <w:t>成员行贿谋取中标，不得以他人名义投标或者以其他方式弄虚作假骗取中标；投标人不得以任何方式干扰、影响评标工作。</w:t>
      </w:r>
    </w:p>
    <w:p>
      <w:pPr>
        <w:pStyle w:val="263"/>
        <w:widowControl w:val="0"/>
        <w:numPr>
          <w:ilvl w:val="1"/>
          <w:numId w:val="5"/>
        </w:numPr>
        <w:autoSpaceDE w:val="0"/>
        <w:autoSpaceDN w:val="0"/>
        <w:adjustRightInd w:val="0"/>
        <w:snapToGrid w:val="0"/>
        <w:ind w:firstLineChars="0"/>
        <w:jc w:val="left"/>
        <w:rPr>
          <w:rFonts w:ascii="宋体" w:hAnsi="宋体"/>
          <w:b/>
          <w:szCs w:val="21"/>
        </w:rPr>
      </w:pPr>
      <w:bookmarkStart w:id="280" w:name="_Toc330213993"/>
      <w:bookmarkStart w:id="281" w:name="_Toc152045577"/>
      <w:bookmarkStart w:id="282" w:name="_Toc332121761"/>
      <w:bookmarkStart w:id="283" w:name="_Toc144974545"/>
      <w:bookmarkStart w:id="284" w:name="_Toc403513540"/>
      <w:bookmarkStart w:id="285" w:name="_Toc152042353"/>
      <w:r>
        <w:rPr>
          <w:rFonts w:hint="eastAsia" w:ascii="宋体" w:hAnsi="宋体"/>
          <w:b/>
          <w:szCs w:val="21"/>
        </w:rPr>
        <w:t>对评标委员会成员的纪律要求</w:t>
      </w:r>
      <w:bookmarkEnd w:id="280"/>
      <w:bookmarkEnd w:id="281"/>
      <w:bookmarkEnd w:id="282"/>
      <w:bookmarkEnd w:id="283"/>
      <w:bookmarkEnd w:id="284"/>
      <w:bookmarkEnd w:id="285"/>
    </w:p>
    <w:p>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评标</w:t>
      </w:r>
      <w:r>
        <w:rPr>
          <w:rFonts w:hint="eastAsia" w:ascii="宋体" w:hAnsi="宋体"/>
          <w:szCs w:val="21"/>
          <w:lang w:val="en-US" w:eastAsia="zh-CN"/>
        </w:rPr>
        <w:t>小组</w:t>
      </w:r>
      <w:r>
        <w:rPr>
          <w:rFonts w:hint="eastAsia" w:ascii="宋体" w:hAnsi="宋体"/>
          <w:szCs w:val="21"/>
        </w:rPr>
        <w:t>成员不得收受他人的财物或者其他好处，不得向他人透露对投标文件的评审和比较、中标候选人的推荐情况以及与评标有关的其他情况。在评标活动中，评标</w:t>
      </w:r>
      <w:r>
        <w:rPr>
          <w:rFonts w:hint="eastAsia" w:ascii="宋体" w:hAnsi="宋体"/>
          <w:szCs w:val="21"/>
          <w:lang w:val="en-US" w:eastAsia="zh-CN"/>
        </w:rPr>
        <w:t>小组</w:t>
      </w:r>
      <w:r>
        <w:rPr>
          <w:rFonts w:hint="eastAsia" w:ascii="宋体" w:hAnsi="宋体"/>
          <w:szCs w:val="21"/>
        </w:rPr>
        <w:t>成员不得擅离职守，影响评标程序正常进行，不得使用第二章“评定标办法”没有规定的评审因素和标准进行评标。</w:t>
      </w:r>
    </w:p>
    <w:p>
      <w:pPr>
        <w:pStyle w:val="263"/>
        <w:widowControl w:val="0"/>
        <w:numPr>
          <w:ilvl w:val="1"/>
          <w:numId w:val="5"/>
        </w:numPr>
        <w:autoSpaceDE w:val="0"/>
        <w:autoSpaceDN w:val="0"/>
        <w:adjustRightInd w:val="0"/>
        <w:snapToGrid w:val="0"/>
        <w:ind w:firstLineChars="0"/>
        <w:jc w:val="left"/>
        <w:rPr>
          <w:rFonts w:ascii="宋体" w:hAnsi="宋体"/>
          <w:b/>
          <w:szCs w:val="21"/>
        </w:rPr>
      </w:pPr>
      <w:bookmarkStart w:id="286" w:name="_Toc332121762"/>
      <w:bookmarkStart w:id="287" w:name="_Toc152045578"/>
      <w:bookmarkStart w:id="288" w:name="_Toc152042354"/>
      <w:bookmarkStart w:id="289" w:name="_Toc403513541"/>
      <w:bookmarkStart w:id="290" w:name="_Toc330213994"/>
      <w:bookmarkStart w:id="291" w:name="_Toc144974546"/>
      <w:r>
        <w:rPr>
          <w:rFonts w:hint="eastAsia" w:ascii="宋体" w:hAnsi="宋体"/>
          <w:b/>
          <w:szCs w:val="21"/>
        </w:rPr>
        <w:t>对与评标活动有关的工作人员的纪律要求</w:t>
      </w:r>
      <w:bookmarkEnd w:id="286"/>
      <w:bookmarkEnd w:id="287"/>
      <w:bookmarkEnd w:id="288"/>
      <w:bookmarkEnd w:id="289"/>
      <w:bookmarkEnd w:id="290"/>
    </w:p>
    <w:p>
      <w:pPr>
        <w:pStyle w:val="263"/>
        <w:widowControl w:val="0"/>
        <w:numPr>
          <w:ilvl w:val="2"/>
          <w:numId w:val="5"/>
        </w:numPr>
        <w:autoSpaceDE w:val="0"/>
        <w:autoSpaceDN w:val="0"/>
        <w:adjustRightInd w:val="0"/>
        <w:snapToGrid w:val="0"/>
        <w:ind w:firstLineChars="0"/>
        <w:jc w:val="left"/>
        <w:rPr>
          <w:rFonts w:ascii="宋体" w:hAnsi="宋体"/>
          <w:szCs w:val="21"/>
        </w:rPr>
      </w:pPr>
      <w:bookmarkStart w:id="292" w:name="_Toc152042355"/>
      <w:r>
        <w:rPr>
          <w:rFonts w:hint="eastAsia" w:ascii="宋体" w:hAnsi="宋体"/>
          <w:szCs w:val="21"/>
        </w:rPr>
        <w:t>与评标活动有关的工作人员不得收受他人的财物或者其他好处，不得向他人透露对投标文件的评审和比较、中标候选人的推荐情况以及与评标有关的其他情况。在评标活动中，与评标活动有关的工作人员不得擅离职守，影响评标程序正常进行。</w:t>
      </w:r>
      <w:bookmarkEnd w:id="291"/>
      <w:bookmarkEnd w:id="292"/>
    </w:p>
    <w:p>
      <w:pPr>
        <w:pStyle w:val="263"/>
        <w:widowControl w:val="0"/>
        <w:numPr>
          <w:ilvl w:val="0"/>
          <w:numId w:val="5"/>
        </w:numPr>
        <w:autoSpaceDE w:val="0"/>
        <w:autoSpaceDN w:val="0"/>
        <w:adjustRightInd w:val="0"/>
        <w:snapToGrid w:val="0"/>
        <w:ind w:firstLineChars="0"/>
        <w:jc w:val="left"/>
        <w:rPr>
          <w:rFonts w:ascii="宋体" w:hAnsi="宋体"/>
          <w:b/>
          <w:szCs w:val="21"/>
        </w:rPr>
      </w:pPr>
      <w:r>
        <w:rPr>
          <w:rFonts w:hint="eastAsia" w:ascii="宋体" w:hAnsi="宋体"/>
          <w:b/>
          <w:szCs w:val="21"/>
        </w:rPr>
        <w:t>需要补充的其他内容</w:t>
      </w:r>
    </w:p>
    <w:p>
      <w:pPr>
        <w:pStyle w:val="263"/>
        <w:widowControl w:val="0"/>
        <w:numPr>
          <w:ilvl w:val="1"/>
          <w:numId w:val="5"/>
        </w:numPr>
        <w:autoSpaceDE w:val="0"/>
        <w:autoSpaceDN w:val="0"/>
        <w:adjustRightInd w:val="0"/>
        <w:snapToGrid w:val="0"/>
        <w:ind w:firstLineChars="0"/>
        <w:jc w:val="left"/>
        <w:rPr>
          <w:rFonts w:ascii="宋体" w:hAnsi="宋体"/>
          <w:szCs w:val="21"/>
          <w:shd w:val="clear" w:color="auto" w:fill="FFFF00"/>
        </w:rPr>
      </w:pPr>
      <w:r>
        <w:rPr>
          <w:rFonts w:hint="eastAsia" w:ascii="宋体" w:hAnsi="宋体"/>
          <w:szCs w:val="21"/>
        </w:rPr>
        <w:t>其他内容见投标人须知前附表。</w:t>
      </w:r>
    </w:p>
    <w:bookmarkEnd w:id="53"/>
    <w:p>
      <w:pPr>
        <w:widowControl w:val="0"/>
        <w:autoSpaceDE w:val="0"/>
        <w:autoSpaceDN w:val="0"/>
        <w:adjustRightInd w:val="0"/>
        <w:snapToGrid w:val="0"/>
        <w:ind w:firstLine="0" w:firstLineChars="0"/>
        <w:jc w:val="left"/>
        <w:rPr>
          <w:rFonts w:ascii="宋体" w:hAnsi="宋体"/>
          <w:szCs w:val="21"/>
        </w:rPr>
        <w:sectPr>
          <w:headerReference r:id="rId7" w:type="first"/>
          <w:footerReference r:id="rId10" w:type="first"/>
          <w:headerReference r:id="rId5" w:type="default"/>
          <w:footerReference r:id="rId8" w:type="default"/>
          <w:headerReference r:id="rId6" w:type="even"/>
          <w:footerReference r:id="rId9" w:type="even"/>
          <w:pgSz w:w="12240" w:h="15840"/>
          <w:pgMar w:top="1440" w:right="1800" w:bottom="1440" w:left="1800" w:header="567" w:footer="567" w:gutter="0"/>
          <w:cols w:space="720" w:num="1"/>
          <w:docGrid w:linePitch="286" w:charSpace="0"/>
        </w:sectPr>
      </w:pPr>
    </w:p>
    <w:bookmarkEnd w:id="168"/>
    <w:bookmarkEnd w:id="169"/>
    <w:bookmarkEnd w:id="170"/>
    <w:bookmarkEnd w:id="171"/>
    <w:bookmarkEnd w:id="172"/>
    <w:bookmarkEnd w:id="173"/>
    <w:p>
      <w:pPr>
        <w:widowControl w:val="0"/>
        <w:autoSpaceDE w:val="0"/>
        <w:autoSpaceDN w:val="0"/>
        <w:adjustRightInd w:val="0"/>
        <w:snapToGrid w:val="0"/>
        <w:ind w:firstLine="0" w:firstLineChars="0"/>
        <w:jc w:val="left"/>
        <w:rPr>
          <w:rFonts w:ascii="宋体" w:hAnsi="宋体"/>
          <w:sz w:val="84"/>
          <w:szCs w:val="84"/>
        </w:rPr>
      </w:pPr>
      <w:bookmarkStart w:id="293" w:name="_Toc152045598"/>
      <w:bookmarkStart w:id="294" w:name="_Toc152042375"/>
      <w:bookmarkStart w:id="295" w:name="_Toc144974565"/>
      <w:bookmarkStart w:id="296" w:name="_Hlk532142035"/>
    </w:p>
    <w:p>
      <w:pPr>
        <w:widowControl w:val="0"/>
        <w:autoSpaceDE w:val="0"/>
        <w:autoSpaceDN w:val="0"/>
        <w:adjustRightInd w:val="0"/>
        <w:snapToGrid w:val="0"/>
        <w:ind w:firstLine="0" w:firstLineChars="0"/>
        <w:jc w:val="left"/>
        <w:rPr>
          <w:rFonts w:ascii="宋体" w:hAnsi="宋体"/>
          <w:sz w:val="84"/>
          <w:szCs w:val="84"/>
        </w:rPr>
      </w:pPr>
    </w:p>
    <w:p>
      <w:pPr>
        <w:widowControl w:val="0"/>
        <w:autoSpaceDE w:val="0"/>
        <w:autoSpaceDN w:val="0"/>
        <w:adjustRightInd w:val="0"/>
        <w:snapToGrid w:val="0"/>
        <w:ind w:firstLine="0" w:firstLineChars="0"/>
        <w:jc w:val="left"/>
        <w:rPr>
          <w:rFonts w:ascii="宋体" w:hAnsi="宋体"/>
          <w:sz w:val="84"/>
          <w:szCs w:val="84"/>
        </w:rPr>
      </w:pPr>
    </w:p>
    <w:p>
      <w:pPr>
        <w:widowControl w:val="0"/>
        <w:autoSpaceDE w:val="0"/>
        <w:autoSpaceDN w:val="0"/>
        <w:adjustRightInd w:val="0"/>
        <w:snapToGrid w:val="0"/>
        <w:ind w:firstLine="0" w:firstLineChars="0"/>
        <w:jc w:val="center"/>
        <w:outlineLvl w:val="0"/>
        <w:rPr>
          <w:rFonts w:hint="eastAsia" w:ascii="宋体" w:hAnsi="宋体"/>
          <w:sz w:val="52"/>
          <w:szCs w:val="52"/>
        </w:rPr>
      </w:pPr>
      <w:bookmarkStart w:id="297" w:name="_Toc49247157"/>
      <w:r>
        <w:rPr>
          <w:rFonts w:hint="eastAsia" w:ascii="宋体" w:hAnsi="宋体"/>
          <w:b/>
          <w:bCs/>
          <w:sz w:val="48"/>
          <w:szCs w:val="48"/>
        </w:rPr>
        <w:t>第二章 评定标办法（</w:t>
      </w:r>
      <w:r>
        <w:rPr>
          <w:rFonts w:hint="eastAsia" w:ascii="宋体" w:hAnsi="宋体"/>
          <w:b/>
          <w:bCs/>
          <w:sz w:val="48"/>
          <w:szCs w:val="48"/>
          <w:u w:val="none"/>
          <w:lang w:eastAsia="zh-CN"/>
        </w:rPr>
        <w:t>综合评审</w:t>
      </w:r>
      <w:r>
        <w:rPr>
          <w:rFonts w:hint="eastAsia" w:ascii="宋体" w:hAnsi="宋体"/>
          <w:b/>
          <w:bCs/>
          <w:sz w:val="48"/>
          <w:szCs w:val="48"/>
          <w:u w:val="none"/>
        </w:rPr>
        <w:t>法</w:t>
      </w:r>
      <w:r>
        <w:rPr>
          <w:rFonts w:hint="eastAsia" w:ascii="宋体" w:hAnsi="宋体"/>
          <w:b/>
          <w:bCs/>
          <w:sz w:val="48"/>
          <w:szCs w:val="48"/>
        </w:rPr>
        <w:t>）</w:t>
      </w:r>
      <w:bookmarkEnd w:id="293"/>
      <w:bookmarkEnd w:id="294"/>
      <w:bookmarkEnd w:id="295"/>
      <w:bookmarkEnd w:id="297"/>
      <w:bookmarkStart w:id="298" w:name="_Toc144974567"/>
      <w:bookmarkStart w:id="299" w:name="_Toc152042377"/>
      <w:bookmarkStart w:id="300" w:name="_Toc379581361"/>
      <w:bookmarkStart w:id="301" w:name="_Toc152045600"/>
      <w:bookmarkStart w:id="302" w:name="_Toc330213998"/>
    </w:p>
    <w:p>
      <w:pPr>
        <w:widowControl w:val="0"/>
        <w:autoSpaceDE w:val="0"/>
        <w:autoSpaceDN w:val="0"/>
        <w:adjustRightInd w:val="0"/>
        <w:snapToGrid w:val="0"/>
        <w:ind w:firstLine="0" w:firstLineChars="0"/>
        <w:jc w:val="center"/>
        <w:outlineLvl w:val="1"/>
        <w:rPr>
          <w:rFonts w:ascii="宋体" w:hAnsi="宋体"/>
          <w:b/>
          <w:sz w:val="32"/>
          <w:szCs w:val="32"/>
        </w:rPr>
      </w:pPr>
      <w:r>
        <w:rPr>
          <w:rFonts w:ascii="宋体" w:hAnsi="宋体"/>
        </w:rPr>
        <w:br w:type="page"/>
      </w:r>
      <w:bookmarkStart w:id="303" w:name="_Toc49247158"/>
      <w:r>
        <w:rPr>
          <w:rFonts w:hint="eastAsia" w:ascii="宋体" w:hAnsi="宋体"/>
          <w:b/>
          <w:sz w:val="32"/>
          <w:szCs w:val="32"/>
        </w:rPr>
        <w:t>一、评标须知</w:t>
      </w:r>
      <w:bookmarkEnd w:id="303"/>
    </w:p>
    <w:p>
      <w:pPr>
        <w:widowControl w:val="0"/>
        <w:numPr>
          <w:ilvl w:val="0"/>
          <w:numId w:val="6"/>
        </w:numPr>
        <w:autoSpaceDE w:val="0"/>
        <w:autoSpaceDN w:val="0"/>
        <w:adjustRightInd w:val="0"/>
        <w:snapToGrid w:val="0"/>
        <w:ind w:firstLineChars="0"/>
        <w:jc w:val="left"/>
        <w:rPr>
          <w:rFonts w:ascii="宋体" w:hAnsi="宋体"/>
          <w:b/>
        </w:rPr>
      </w:pPr>
      <w:bookmarkStart w:id="304" w:name="_Toc290992890"/>
      <w:bookmarkStart w:id="305" w:name="_Toc523252722"/>
      <w:bookmarkStart w:id="306" w:name="_Toc350872398"/>
      <w:bookmarkStart w:id="307" w:name="_Toc351032830"/>
      <w:bookmarkStart w:id="308" w:name="_Toc291178114"/>
      <w:bookmarkStart w:id="309" w:name="_Toc361737575"/>
      <w:r>
        <w:rPr>
          <w:rFonts w:hint="eastAsia" w:ascii="宋体" w:hAnsi="宋体"/>
          <w:b/>
        </w:rPr>
        <w:t>评标</w:t>
      </w:r>
      <w:bookmarkEnd w:id="304"/>
      <w:bookmarkEnd w:id="305"/>
      <w:bookmarkEnd w:id="306"/>
      <w:bookmarkEnd w:id="307"/>
      <w:bookmarkEnd w:id="308"/>
      <w:bookmarkEnd w:id="309"/>
      <w:r>
        <w:rPr>
          <w:rFonts w:hint="eastAsia" w:ascii="宋体" w:hAnsi="宋体"/>
          <w:b/>
          <w:lang w:val="en-US" w:eastAsia="zh-CN"/>
        </w:rPr>
        <w:t>小组</w:t>
      </w:r>
    </w:p>
    <w:p>
      <w:pPr>
        <w:widowControl w:val="0"/>
        <w:numPr>
          <w:ilvl w:val="1"/>
          <w:numId w:val="6"/>
        </w:numPr>
        <w:autoSpaceDE w:val="0"/>
        <w:autoSpaceDN w:val="0"/>
        <w:adjustRightInd w:val="0"/>
        <w:snapToGrid w:val="0"/>
        <w:ind w:firstLineChars="0"/>
        <w:jc w:val="left"/>
        <w:rPr>
          <w:rFonts w:ascii="宋体" w:hAnsi="宋体"/>
          <w:b/>
        </w:rPr>
      </w:pPr>
      <w:r>
        <w:rPr>
          <w:rFonts w:ascii="宋体" w:hAnsi="宋体"/>
        </w:rPr>
        <w:t>招标人</w:t>
      </w:r>
      <w:r>
        <w:rPr>
          <w:rFonts w:hint="eastAsia" w:ascii="宋体" w:hAnsi="宋体"/>
        </w:rPr>
        <w:t>将</w:t>
      </w:r>
      <w:r>
        <w:rPr>
          <w:rFonts w:ascii="宋体" w:hAnsi="宋体"/>
        </w:rPr>
        <w:t>依法组</w:t>
      </w:r>
      <w:r>
        <w:rPr>
          <w:rFonts w:hint="eastAsia" w:ascii="宋体" w:hAnsi="宋体"/>
        </w:rPr>
        <w:t>建</w:t>
      </w:r>
      <w:r>
        <w:rPr>
          <w:rFonts w:ascii="宋体" w:hAnsi="宋体"/>
        </w:rPr>
        <w:t>评标</w:t>
      </w:r>
      <w:r>
        <w:rPr>
          <w:rFonts w:hint="eastAsia" w:ascii="宋体" w:hAnsi="宋体"/>
          <w:lang w:val="en-US" w:eastAsia="zh-CN"/>
        </w:rPr>
        <w:t>小组</w:t>
      </w:r>
      <w:r>
        <w:rPr>
          <w:rFonts w:ascii="宋体" w:hAnsi="宋体"/>
        </w:rPr>
        <w:t>，评标</w:t>
      </w:r>
      <w:r>
        <w:rPr>
          <w:rFonts w:hint="eastAsia" w:ascii="宋体" w:hAnsi="宋体"/>
          <w:lang w:val="en-US" w:eastAsia="zh-CN"/>
        </w:rPr>
        <w:t>小组</w:t>
      </w:r>
      <w:r>
        <w:rPr>
          <w:rFonts w:hint="eastAsia" w:ascii="宋体" w:hAnsi="宋体"/>
        </w:rPr>
        <w:t>由招标人</w:t>
      </w:r>
      <w:r>
        <w:rPr>
          <w:rFonts w:hint="eastAsia" w:ascii="宋体" w:hAnsi="宋体"/>
          <w:lang w:val="en-US" w:eastAsia="zh-CN"/>
        </w:rPr>
        <w:t>根据需要自行组织</w:t>
      </w:r>
      <w:r>
        <w:rPr>
          <w:rFonts w:ascii="宋体" w:hAnsi="宋体"/>
        </w:rPr>
        <w:t>，成员人数为</w:t>
      </w:r>
      <w:r>
        <w:rPr>
          <w:rFonts w:hint="eastAsia" w:ascii="宋体" w:hAnsi="宋体"/>
        </w:rPr>
        <w:t>五</w:t>
      </w:r>
      <w:r>
        <w:rPr>
          <w:rFonts w:ascii="宋体" w:hAnsi="宋体"/>
        </w:rPr>
        <w:t>人</w:t>
      </w:r>
      <w:r>
        <w:rPr>
          <w:rFonts w:hint="eastAsia" w:ascii="宋体" w:hAnsi="宋体"/>
        </w:rPr>
        <w:t>（含）以上单数。</w:t>
      </w:r>
      <w:r>
        <w:rPr>
          <w:rFonts w:ascii="宋体" w:hAnsi="宋体"/>
        </w:rPr>
        <w:t>与投标人有利害关系的</w:t>
      </w:r>
      <w:r>
        <w:rPr>
          <w:rFonts w:hint="eastAsia" w:ascii="宋体" w:hAnsi="宋体"/>
        </w:rPr>
        <w:t>成员应当回避</w:t>
      </w:r>
      <w:r>
        <w:rPr>
          <w:rFonts w:ascii="宋体" w:hAnsi="宋体"/>
          <w:szCs w:val="21"/>
        </w:rPr>
        <w:t>。</w:t>
      </w:r>
    </w:p>
    <w:p>
      <w:pPr>
        <w:widowControl w:val="0"/>
        <w:numPr>
          <w:ilvl w:val="0"/>
          <w:numId w:val="6"/>
        </w:numPr>
        <w:autoSpaceDE w:val="0"/>
        <w:autoSpaceDN w:val="0"/>
        <w:adjustRightInd w:val="0"/>
        <w:snapToGrid w:val="0"/>
        <w:ind w:firstLineChars="0"/>
        <w:jc w:val="left"/>
        <w:rPr>
          <w:rFonts w:ascii="宋体" w:hAnsi="宋体"/>
          <w:b/>
        </w:rPr>
      </w:pPr>
      <w:bookmarkStart w:id="310" w:name="_Toc290992891"/>
      <w:bookmarkStart w:id="311" w:name="_Toc523252723"/>
      <w:bookmarkStart w:id="312" w:name="_Toc350872399"/>
      <w:bookmarkStart w:id="313" w:name="_Toc361737576"/>
      <w:bookmarkStart w:id="314" w:name="_Toc351032831"/>
      <w:bookmarkStart w:id="315" w:name="_Toc291178115"/>
      <w:r>
        <w:rPr>
          <w:rFonts w:hint="eastAsia" w:ascii="宋体" w:hAnsi="宋体"/>
          <w:b/>
        </w:rPr>
        <w:t>评标人员守则</w:t>
      </w:r>
      <w:bookmarkEnd w:id="310"/>
      <w:bookmarkEnd w:id="311"/>
      <w:bookmarkEnd w:id="312"/>
      <w:bookmarkEnd w:id="313"/>
      <w:bookmarkEnd w:id="314"/>
      <w:bookmarkEnd w:id="315"/>
    </w:p>
    <w:p>
      <w:pPr>
        <w:widowControl w:val="0"/>
        <w:numPr>
          <w:ilvl w:val="1"/>
          <w:numId w:val="6"/>
        </w:numPr>
        <w:autoSpaceDE w:val="0"/>
        <w:autoSpaceDN w:val="0"/>
        <w:adjustRightInd w:val="0"/>
        <w:snapToGrid w:val="0"/>
        <w:ind w:firstLineChars="0"/>
        <w:jc w:val="left"/>
        <w:rPr>
          <w:rFonts w:ascii="宋体" w:hAnsi="宋体"/>
          <w:b/>
        </w:rPr>
      </w:pPr>
      <w:r>
        <w:rPr>
          <w:rFonts w:hint="eastAsia" w:ascii="宋体" w:hAnsi="宋体"/>
        </w:rPr>
        <w:t>所有参加评标人员必须遵守国家及有关地方制定的有关招标投标的法则、规定，遵守有关货物采购招标投标的保密制度；如果发现评委徇私，违反纪律，则招标人有权取消其评标资格，并报直管部门或有关监督部门备案；情节严重，构成犯罪的，由司法机关依法追究其刑事责任。</w:t>
      </w:r>
    </w:p>
    <w:p>
      <w:pPr>
        <w:widowControl w:val="0"/>
        <w:numPr>
          <w:ilvl w:val="1"/>
          <w:numId w:val="6"/>
        </w:numPr>
        <w:autoSpaceDE w:val="0"/>
        <w:autoSpaceDN w:val="0"/>
        <w:adjustRightInd w:val="0"/>
        <w:snapToGrid w:val="0"/>
        <w:ind w:firstLineChars="0"/>
        <w:jc w:val="left"/>
        <w:rPr>
          <w:rFonts w:ascii="宋体" w:hAnsi="宋体"/>
          <w:b/>
        </w:rPr>
      </w:pPr>
      <w:r>
        <w:rPr>
          <w:rFonts w:hint="eastAsia" w:ascii="宋体" w:hAnsi="宋体"/>
        </w:rPr>
        <w:t>全体参与评标人员：</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必须遵守评标纪律、不得泄密；</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必须公正、不得</w:t>
      </w:r>
      <w:r>
        <w:rPr>
          <w:rFonts w:hint="eastAsia" w:ascii="宋体" w:hAnsi="宋体"/>
        </w:rPr>
        <w:t>徇</w:t>
      </w:r>
      <w:r>
        <w:rPr>
          <w:rFonts w:hint="eastAsia" w:ascii="宋体" w:hAnsi="宋体"/>
          <w:szCs w:val="21"/>
        </w:rPr>
        <w:t>私；</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必须科学、不得草率；</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必须客观、不得带有成见；</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必须平等、不得强加于人；</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必须严谨、不得随意马虎。</w:t>
      </w:r>
    </w:p>
    <w:p>
      <w:pPr>
        <w:widowControl w:val="0"/>
        <w:numPr>
          <w:ilvl w:val="0"/>
          <w:numId w:val="6"/>
        </w:numPr>
        <w:autoSpaceDE w:val="0"/>
        <w:autoSpaceDN w:val="0"/>
        <w:adjustRightInd w:val="0"/>
        <w:snapToGrid w:val="0"/>
        <w:ind w:firstLineChars="0"/>
        <w:jc w:val="left"/>
        <w:rPr>
          <w:rFonts w:ascii="宋体" w:hAnsi="宋体"/>
          <w:b/>
        </w:rPr>
      </w:pPr>
      <w:r>
        <w:rPr>
          <w:rFonts w:hint="eastAsia" w:ascii="宋体" w:hAnsi="宋体"/>
          <w:b/>
        </w:rPr>
        <w:t>评标步骤</w:t>
      </w:r>
    </w:p>
    <w:p>
      <w:pPr>
        <w:widowControl w:val="0"/>
        <w:numPr>
          <w:ilvl w:val="1"/>
          <w:numId w:val="6"/>
        </w:numPr>
        <w:autoSpaceDE w:val="0"/>
        <w:autoSpaceDN w:val="0"/>
        <w:adjustRightInd w:val="0"/>
        <w:snapToGrid w:val="0"/>
        <w:ind w:firstLineChars="0"/>
        <w:jc w:val="left"/>
        <w:rPr>
          <w:rFonts w:ascii="宋体" w:hAnsi="宋体"/>
          <w:b/>
        </w:rPr>
      </w:pPr>
      <w:r>
        <w:rPr>
          <w:rFonts w:hint="eastAsia" w:ascii="宋体" w:hAnsi="宋体"/>
        </w:rPr>
        <w:t>全部评标过程将按以下步骤进行：</w:t>
      </w:r>
    </w:p>
    <w:p>
      <w:pPr>
        <w:widowControl w:val="0"/>
        <w:numPr>
          <w:ilvl w:val="2"/>
          <w:numId w:val="6"/>
        </w:numPr>
        <w:autoSpaceDE w:val="0"/>
        <w:autoSpaceDN w:val="0"/>
        <w:adjustRightInd w:val="0"/>
        <w:snapToGrid w:val="0"/>
        <w:ind w:firstLineChars="0"/>
        <w:jc w:val="left"/>
        <w:rPr>
          <w:rFonts w:ascii="宋体" w:hAnsi="宋体"/>
          <w:szCs w:val="21"/>
        </w:rPr>
      </w:pPr>
      <w:r>
        <w:rPr>
          <w:rFonts w:ascii="宋体" w:hAnsi="宋体"/>
          <w:szCs w:val="21"/>
        </w:rPr>
        <w:t>评标准备</w:t>
      </w:r>
      <w:r>
        <w:rPr>
          <w:rFonts w:hint="eastAsia" w:ascii="宋体" w:hAnsi="宋体"/>
          <w:szCs w:val="21"/>
        </w:rPr>
        <w:t>；</w:t>
      </w:r>
    </w:p>
    <w:p>
      <w:pPr>
        <w:widowControl w:val="0"/>
        <w:numPr>
          <w:ilvl w:val="2"/>
          <w:numId w:val="6"/>
        </w:numPr>
        <w:autoSpaceDE w:val="0"/>
        <w:autoSpaceDN w:val="0"/>
        <w:adjustRightInd w:val="0"/>
        <w:snapToGrid w:val="0"/>
        <w:ind w:firstLineChars="0"/>
        <w:jc w:val="left"/>
        <w:rPr>
          <w:rFonts w:ascii="宋体" w:hAnsi="宋体"/>
          <w:bCs/>
        </w:rPr>
      </w:pPr>
      <w:r>
        <w:rPr>
          <w:rFonts w:hint="eastAsia" w:ascii="宋体" w:hAnsi="宋体"/>
          <w:bCs/>
        </w:rPr>
        <w:t>否决性评审</w:t>
      </w:r>
      <w:r>
        <w:rPr>
          <w:rFonts w:ascii="宋体" w:hAnsi="宋体"/>
          <w:bCs/>
        </w:rPr>
        <w:t>；</w:t>
      </w:r>
    </w:p>
    <w:p>
      <w:pPr>
        <w:widowControl w:val="0"/>
        <w:numPr>
          <w:ilvl w:val="2"/>
          <w:numId w:val="6"/>
        </w:numPr>
        <w:autoSpaceDE w:val="0"/>
        <w:autoSpaceDN w:val="0"/>
        <w:adjustRightInd w:val="0"/>
        <w:snapToGrid w:val="0"/>
        <w:ind w:firstLineChars="0"/>
        <w:jc w:val="left"/>
        <w:rPr>
          <w:rFonts w:ascii="宋体" w:hAnsi="宋体"/>
          <w:szCs w:val="21"/>
        </w:rPr>
      </w:pPr>
      <w:r>
        <w:rPr>
          <w:rFonts w:hint="eastAsia" w:ascii="宋体" w:hAnsi="宋体"/>
          <w:szCs w:val="21"/>
        </w:rPr>
        <w:t>初步评审；</w:t>
      </w:r>
    </w:p>
    <w:p>
      <w:pPr>
        <w:widowControl w:val="0"/>
        <w:numPr>
          <w:ilvl w:val="2"/>
          <w:numId w:val="6"/>
        </w:numPr>
        <w:autoSpaceDE w:val="0"/>
        <w:autoSpaceDN w:val="0"/>
        <w:adjustRightInd w:val="0"/>
        <w:snapToGrid w:val="0"/>
        <w:ind w:firstLineChars="0"/>
        <w:jc w:val="left"/>
        <w:rPr>
          <w:rFonts w:ascii="宋体" w:hAnsi="宋体"/>
          <w:szCs w:val="21"/>
        </w:rPr>
      </w:pPr>
      <w:r>
        <w:rPr>
          <w:rFonts w:hint="eastAsia" w:ascii="宋体" w:hAnsi="宋体"/>
          <w:szCs w:val="21"/>
        </w:rPr>
        <w:t>详细评审；</w:t>
      </w:r>
    </w:p>
    <w:p>
      <w:pPr>
        <w:widowControl w:val="0"/>
        <w:numPr>
          <w:ilvl w:val="2"/>
          <w:numId w:val="6"/>
        </w:numPr>
        <w:autoSpaceDE w:val="0"/>
        <w:autoSpaceDN w:val="0"/>
        <w:adjustRightInd w:val="0"/>
        <w:snapToGrid w:val="0"/>
        <w:ind w:firstLineChars="0"/>
        <w:jc w:val="left"/>
        <w:rPr>
          <w:rFonts w:ascii="宋体" w:hAnsi="宋体"/>
          <w:szCs w:val="21"/>
        </w:rPr>
      </w:pPr>
      <w:r>
        <w:rPr>
          <w:rFonts w:ascii="宋体" w:hAnsi="宋体"/>
          <w:szCs w:val="21"/>
        </w:rPr>
        <w:t>评标报告</w:t>
      </w:r>
      <w:r>
        <w:rPr>
          <w:rFonts w:hint="eastAsia" w:ascii="宋体" w:hAnsi="宋体"/>
          <w:szCs w:val="21"/>
        </w:rPr>
        <w:t>。</w:t>
      </w:r>
    </w:p>
    <w:p>
      <w:pPr>
        <w:widowControl w:val="0"/>
        <w:numPr>
          <w:ilvl w:val="0"/>
          <w:numId w:val="6"/>
        </w:numPr>
        <w:autoSpaceDE w:val="0"/>
        <w:autoSpaceDN w:val="0"/>
        <w:adjustRightInd w:val="0"/>
        <w:snapToGrid w:val="0"/>
        <w:ind w:firstLineChars="0"/>
        <w:jc w:val="left"/>
        <w:rPr>
          <w:rFonts w:ascii="宋体" w:hAnsi="宋体"/>
          <w:b/>
        </w:rPr>
      </w:pPr>
      <w:bookmarkStart w:id="316" w:name="_Toc523252725"/>
      <w:r>
        <w:rPr>
          <w:rFonts w:ascii="宋体" w:hAnsi="宋体"/>
          <w:b/>
        </w:rPr>
        <w:t>评标准备</w:t>
      </w:r>
      <w:bookmarkEnd w:id="316"/>
    </w:p>
    <w:p>
      <w:pPr>
        <w:widowControl w:val="0"/>
        <w:numPr>
          <w:ilvl w:val="1"/>
          <w:numId w:val="6"/>
        </w:numPr>
        <w:autoSpaceDE w:val="0"/>
        <w:autoSpaceDN w:val="0"/>
        <w:adjustRightInd w:val="0"/>
        <w:snapToGrid w:val="0"/>
        <w:ind w:firstLineChars="0"/>
        <w:jc w:val="left"/>
        <w:rPr>
          <w:rFonts w:ascii="宋体" w:hAnsi="宋体"/>
          <w:b/>
        </w:rPr>
      </w:pPr>
      <w:r>
        <w:rPr>
          <w:rFonts w:hint="eastAsia" w:ascii="宋体" w:hAnsi="宋体"/>
        </w:rPr>
        <w:t>评标</w:t>
      </w:r>
      <w:r>
        <w:rPr>
          <w:rFonts w:hint="eastAsia" w:ascii="宋体" w:hAnsi="宋体"/>
          <w:lang w:val="en-US" w:eastAsia="zh-CN"/>
        </w:rPr>
        <w:t>小组</w:t>
      </w:r>
      <w:r>
        <w:rPr>
          <w:rFonts w:hint="eastAsia" w:ascii="宋体" w:hAnsi="宋体"/>
        </w:rPr>
        <w:t>人员</w:t>
      </w:r>
      <w:r>
        <w:rPr>
          <w:rFonts w:ascii="宋体" w:hAnsi="宋体"/>
        </w:rPr>
        <w:t>进入评标室后，首先推选</w:t>
      </w:r>
      <w:r>
        <w:rPr>
          <w:rFonts w:hint="eastAsia" w:ascii="宋体" w:hAnsi="宋体"/>
        </w:rPr>
        <w:t>一名</w:t>
      </w:r>
      <w:r>
        <w:rPr>
          <w:rFonts w:hint="eastAsia" w:ascii="宋体" w:hAnsi="宋体"/>
          <w:lang w:val="en-US" w:eastAsia="zh-CN"/>
        </w:rPr>
        <w:t>成员</w:t>
      </w:r>
      <w:r>
        <w:rPr>
          <w:rFonts w:hint="eastAsia" w:ascii="宋体" w:hAnsi="宋体"/>
        </w:rPr>
        <w:t>担任</w:t>
      </w:r>
      <w:r>
        <w:rPr>
          <w:rFonts w:ascii="宋体" w:hAnsi="宋体"/>
        </w:rPr>
        <w:t>评标委员会</w:t>
      </w:r>
      <w:r>
        <w:rPr>
          <w:rFonts w:hint="eastAsia" w:ascii="宋体" w:hAnsi="宋体"/>
        </w:rPr>
        <w:t>组长</w:t>
      </w:r>
      <w:r>
        <w:rPr>
          <w:rFonts w:ascii="宋体" w:hAnsi="宋体"/>
        </w:rPr>
        <w:t>。评标委员会</w:t>
      </w:r>
      <w:r>
        <w:rPr>
          <w:rFonts w:hint="eastAsia" w:ascii="宋体" w:hAnsi="宋体"/>
        </w:rPr>
        <w:t>组长</w:t>
      </w:r>
      <w:r>
        <w:rPr>
          <w:rFonts w:ascii="宋体" w:hAnsi="宋体"/>
        </w:rPr>
        <w:t>负责评标过程中的组织工作，引导评标</w:t>
      </w:r>
      <w:r>
        <w:rPr>
          <w:rFonts w:hint="eastAsia" w:ascii="宋体" w:hAnsi="宋体"/>
          <w:lang w:val="en-US" w:eastAsia="zh-CN"/>
        </w:rPr>
        <w:t>小组</w:t>
      </w:r>
      <w:r>
        <w:rPr>
          <w:rFonts w:ascii="宋体" w:hAnsi="宋体"/>
        </w:rPr>
        <w:t>按约定的程序</w:t>
      </w:r>
      <w:r>
        <w:rPr>
          <w:rFonts w:hint="eastAsia" w:ascii="宋体" w:hAnsi="宋体"/>
        </w:rPr>
        <w:t>进行</w:t>
      </w:r>
      <w:r>
        <w:rPr>
          <w:rFonts w:ascii="宋体" w:hAnsi="宋体"/>
        </w:rPr>
        <w:t>评标。</w:t>
      </w:r>
    </w:p>
    <w:p>
      <w:pPr>
        <w:widowControl w:val="0"/>
        <w:numPr>
          <w:ilvl w:val="1"/>
          <w:numId w:val="6"/>
        </w:numPr>
        <w:autoSpaceDE w:val="0"/>
        <w:autoSpaceDN w:val="0"/>
        <w:adjustRightInd w:val="0"/>
        <w:snapToGrid w:val="0"/>
        <w:ind w:firstLineChars="0"/>
        <w:jc w:val="left"/>
        <w:rPr>
          <w:rFonts w:ascii="宋体" w:hAnsi="宋体"/>
          <w:b/>
        </w:rPr>
      </w:pPr>
      <w:r>
        <w:rPr>
          <w:rFonts w:hint="eastAsia" w:ascii="宋体" w:hAnsi="宋体"/>
        </w:rPr>
        <w:t>评标</w:t>
      </w:r>
      <w:r>
        <w:rPr>
          <w:rFonts w:hint="eastAsia" w:ascii="宋体" w:hAnsi="宋体"/>
          <w:lang w:val="en-US" w:eastAsia="zh-CN"/>
        </w:rPr>
        <w:t>小组</w:t>
      </w:r>
      <w:r>
        <w:rPr>
          <w:rFonts w:hint="eastAsia" w:ascii="宋体" w:hAnsi="宋体"/>
        </w:rPr>
        <w:t>人员应当</w:t>
      </w:r>
      <w:r>
        <w:rPr>
          <w:rFonts w:ascii="宋体" w:hAnsi="宋体"/>
        </w:rPr>
        <w:t>熟悉</w:t>
      </w:r>
      <w:r>
        <w:rPr>
          <w:rFonts w:hint="eastAsia" w:ascii="宋体" w:hAnsi="宋体"/>
        </w:rPr>
        <w:t>招标文件、评标方法等有关文件，</w:t>
      </w:r>
      <w:r>
        <w:rPr>
          <w:rFonts w:ascii="宋体" w:hAnsi="宋体"/>
        </w:rPr>
        <w:t>包括</w:t>
      </w:r>
      <w:r>
        <w:rPr>
          <w:rFonts w:hint="eastAsia" w:ascii="宋体" w:hAnsi="宋体"/>
        </w:rPr>
        <w:t>项目概</w:t>
      </w:r>
      <w:r>
        <w:rPr>
          <w:rFonts w:ascii="宋体" w:hAnsi="宋体"/>
        </w:rPr>
        <w:t>况</w:t>
      </w:r>
      <w:r>
        <w:rPr>
          <w:rFonts w:hint="eastAsia" w:ascii="宋体" w:hAnsi="宋体"/>
        </w:rPr>
        <w:t>、</w:t>
      </w:r>
      <w:r>
        <w:rPr>
          <w:rFonts w:ascii="宋体" w:hAnsi="宋体"/>
        </w:rPr>
        <w:t>招标范围</w:t>
      </w:r>
      <w:r>
        <w:rPr>
          <w:rFonts w:hint="eastAsia" w:ascii="宋体" w:hAnsi="宋体"/>
        </w:rPr>
        <w:t>、</w:t>
      </w:r>
      <w:r>
        <w:rPr>
          <w:rFonts w:ascii="宋体" w:hAnsi="宋体"/>
        </w:rPr>
        <w:t>招标目的</w:t>
      </w:r>
      <w:r>
        <w:rPr>
          <w:rFonts w:hint="eastAsia" w:ascii="宋体" w:hAnsi="宋体"/>
        </w:rPr>
        <w:t>、</w:t>
      </w:r>
      <w:r>
        <w:rPr>
          <w:rFonts w:ascii="宋体" w:hAnsi="宋体"/>
        </w:rPr>
        <w:t>评标方法</w:t>
      </w:r>
      <w:r>
        <w:rPr>
          <w:rFonts w:hint="eastAsia" w:ascii="宋体" w:hAnsi="宋体"/>
        </w:rPr>
        <w:t>、</w:t>
      </w:r>
      <w:r>
        <w:rPr>
          <w:rFonts w:ascii="宋体" w:hAnsi="宋体"/>
        </w:rPr>
        <w:t>评标</w:t>
      </w:r>
      <w:r>
        <w:rPr>
          <w:rFonts w:hint="eastAsia" w:ascii="宋体" w:hAnsi="宋体"/>
        </w:rPr>
        <w:t>所</w:t>
      </w:r>
      <w:r>
        <w:rPr>
          <w:rFonts w:ascii="宋体" w:hAnsi="宋体"/>
        </w:rPr>
        <w:t>用表格等。</w:t>
      </w:r>
    </w:p>
    <w:p>
      <w:pPr>
        <w:widowControl w:val="0"/>
        <w:numPr>
          <w:ilvl w:val="0"/>
          <w:numId w:val="6"/>
        </w:numPr>
        <w:autoSpaceDE w:val="0"/>
        <w:autoSpaceDN w:val="0"/>
        <w:adjustRightInd w:val="0"/>
        <w:snapToGrid w:val="0"/>
        <w:ind w:firstLineChars="0"/>
        <w:jc w:val="left"/>
        <w:rPr>
          <w:rFonts w:ascii="宋体" w:hAnsi="宋体"/>
          <w:b/>
        </w:rPr>
      </w:pPr>
      <w:r>
        <w:rPr>
          <w:rFonts w:hint="eastAsia" w:ascii="宋体" w:hAnsi="宋体"/>
          <w:b/>
        </w:rPr>
        <w:t>否决性评审</w:t>
      </w:r>
    </w:p>
    <w:p>
      <w:pPr>
        <w:widowControl w:val="0"/>
        <w:numPr>
          <w:ilvl w:val="1"/>
          <w:numId w:val="6"/>
        </w:numPr>
        <w:autoSpaceDE w:val="0"/>
        <w:autoSpaceDN w:val="0"/>
        <w:adjustRightInd w:val="0"/>
        <w:snapToGrid w:val="0"/>
        <w:ind w:firstLineChars="0"/>
        <w:jc w:val="left"/>
        <w:rPr>
          <w:rFonts w:hint="eastAsia" w:ascii="宋体" w:hAnsi="宋体"/>
          <w:b/>
        </w:rPr>
      </w:pPr>
      <w:r>
        <w:rPr>
          <w:rFonts w:hint="eastAsia" w:ascii="宋体" w:hAnsi="宋体"/>
        </w:rPr>
        <w:t>检查不同投标人的投标文件是否由同一单位或者个人编制；</w:t>
      </w:r>
    </w:p>
    <w:p>
      <w:pPr>
        <w:widowControl w:val="0"/>
        <w:numPr>
          <w:ilvl w:val="1"/>
          <w:numId w:val="6"/>
        </w:numPr>
        <w:autoSpaceDE w:val="0"/>
        <w:autoSpaceDN w:val="0"/>
        <w:adjustRightInd w:val="0"/>
        <w:snapToGrid w:val="0"/>
        <w:ind w:firstLineChars="0"/>
        <w:jc w:val="left"/>
        <w:rPr>
          <w:rFonts w:ascii="宋体" w:hAnsi="宋体"/>
          <w:b/>
        </w:rPr>
      </w:pPr>
      <w:r>
        <w:rPr>
          <w:rFonts w:hint="eastAsia" w:ascii="宋体" w:hAnsi="宋体"/>
        </w:rPr>
        <w:t>检查</w:t>
      </w:r>
      <w:r>
        <w:rPr>
          <w:rFonts w:hint="eastAsia" w:ascii="宋体" w:hAnsi="宋体"/>
          <w:snapToGrid w:val="0"/>
          <w:kern w:val="0"/>
        </w:rPr>
        <w:t>投标文件是否</w:t>
      </w:r>
      <w:r>
        <w:rPr>
          <w:rFonts w:hint="eastAsia" w:ascii="宋体" w:hAnsi="宋体"/>
          <w:snapToGrid w:val="0"/>
          <w:kern w:val="0"/>
          <w:lang w:val="en-US" w:eastAsia="zh-CN"/>
        </w:rPr>
        <w:t>对应招标文件编制需求</w:t>
      </w:r>
      <w:r>
        <w:rPr>
          <w:rFonts w:hint="eastAsia" w:ascii="宋体" w:hAnsi="宋体"/>
        </w:rPr>
        <w:t>。</w:t>
      </w:r>
    </w:p>
    <w:p>
      <w:pPr>
        <w:widowControl w:val="0"/>
        <w:numPr>
          <w:ilvl w:val="0"/>
          <w:numId w:val="6"/>
        </w:numPr>
        <w:autoSpaceDE w:val="0"/>
        <w:autoSpaceDN w:val="0"/>
        <w:adjustRightInd w:val="0"/>
        <w:snapToGrid w:val="0"/>
        <w:ind w:firstLineChars="0"/>
        <w:jc w:val="left"/>
        <w:rPr>
          <w:rFonts w:ascii="宋体" w:hAnsi="宋体"/>
          <w:b/>
        </w:rPr>
      </w:pPr>
      <w:r>
        <w:rPr>
          <w:rFonts w:ascii="宋体" w:hAnsi="宋体"/>
          <w:b/>
        </w:rPr>
        <w:t>废标条件</w:t>
      </w:r>
    </w:p>
    <w:p>
      <w:pPr>
        <w:widowControl w:val="0"/>
        <w:numPr>
          <w:ilvl w:val="1"/>
          <w:numId w:val="6"/>
        </w:numPr>
        <w:autoSpaceDE w:val="0"/>
        <w:autoSpaceDN w:val="0"/>
        <w:adjustRightInd w:val="0"/>
        <w:snapToGrid w:val="0"/>
        <w:ind w:firstLineChars="0"/>
        <w:jc w:val="left"/>
        <w:rPr>
          <w:rFonts w:ascii="宋体" w:hAnsi="宋体"/>
          <w:b/>
        </w:rPr>
      </w:pPr>
      <w:r>
        <w:rPr>
          <w:rFonts w:hint="eastAsia" w:ascii="宋体" w:hAnsi="宋体"/>
          <w:szCs w:val="21"/>
        </w:rPr>
        <w:t>详见投标人须知：否决性条款摘要。</w:t>
      </w:r>
    </w:p>
    <w:p>
      <w:pPr>
        <w:widowControl w:val="0"/>
        <w:numPr>
          <w:ilvl w:val="0"/>
          <w:numId w:val="6"/>
        </w:numPr>
        <w:autoSpaceDE w:val="0"/>
        <w:autoSpaceDN w:val="0"/>
        <w:adjustRightInd w:val="0"/>
        <w:snapToGrid w:val="0"/>
        <w:ind w:firstLineChars="0"/>
        <w:jc w:val="left"/>
        <w:rPr>
          <w:rFonts w:ascii="宋体" w:hAnsi="宋体"/>
          <w:b/>
        </w:rPr>
      </w:pPr>
      <w:bookmarkStart w:id="317" w:name="_Toc290992893"/>
      <w:bookmarkStart w:id="318" w:name="_Toc523252730"/>
      <w:bookmarkStart w:id="319" w:name="_Toc351032833"/>
      <w:bookmarkStart w:id="320" w:name="_Toc350872401"/>
      <w:bookmarkStart w:id="321" w:name="_Toc291178117"/>
      <w:bookmarkStart w:id="322" w:name="_Toc361737578"/>
      <w:r>
        <w:rPr>
          <w:rFonts w:hint="eastAsia" w:ascii="宋体" w:hAnsi="宋体"/>
          <w:b/>
        </w:rPr>
        <w:t>附则</w:t>
      </w:r>
      <w:bookmarkEnd w:id="317"/>
      <w:bookmarkEnd w:id="318"/>
      <w:bookmarkEnd w:id="319"/>
      <w:bookmarkEnd w:id="320"/>
      <w:bookmarkEnd w:id="321"/>
      <w:bookmarkEnd w:id="322"/>
    </w:p>
    <w:p>
      <w:pPr>
        <w:widowControl w:val="0"/>
        <w:numPr>
          <w:ilvl w:val="1"/>
          <w:numId w:val="6"/>
        </w:numPr>
        <w:autoSpaceDE w:val="0"/>
        <w:autoSpaceDN w:val="0"/>
        <w:adjustRightInd w:val="0"/>
        <w:snapToGrid w:val="0"/>
        <w:ind w:firstLineChars="0"/>
        <w:jc w:val="left"/>
        <w:rPr>
          <w:rFonts w:ascii="宋体" w:hAnsi="宋体"/>
          <w:b/>
        </w:rPr>
      </w:pPr>
      <w:r>
        <w:rPr>
          <w:rFonts w:ascii="宋体" w:hAnsi="宋体"/>
          <w:szCs w:val="21"/>
        </w:rPr>
        <w:t>本评</w:t>
      </w:r>
      <w:r>
        <w:rPr>
          <w:rFonts w:hint="eastAsia" w:ascii="宋体" w:hAnsi="宋体"/>
          <w:szCs w:val="21"/>
        </w:rPr>
        <w:t>定</w:t>
      </w:r>
      <w:r>
        <w:rPr>
          <w:rFonts w:ascii="宋体" w:hAnsi="宋体"/>
          <w:szCs w:val="21"/>
        </w:rPr>
        <w:t>标办法由</w:t>
      </w:r>
      <w:r>
        <w:rPr>
          <w:rFonts w:hint="eastAsia" w:ascii="宋体" w:hAnsi="宋体"/>
          <w:szCs w:val="21"/>
        </w:rPr>
        <w:t>招标人</w:t>
      </w:r>
      <w:r>
        <w:rPr>
          <w:rFonts w:ascii="宋体" w:hAnsi="宋体"/>
          <w:szCs w:val="21"/>
        </w:rPr>
        <w:t>负责解释。</w:t>
      </w:r>
    </w:p>
    <w:p>
      <w:pPr>
        <w:widowControl w:val="0"/>
        <w:numPr>
          <w:ilvl w:val="0"/>
          <w:numId w:val="6"/>
        </w:numPr>
        <w:autoSpaceDE w:val="0"/>
        <w:autoSpaceDN w:val="0"/>
        <w:adjustRightInd w:val="0"/>
        <w:snapToGrid w:val="0"/>
        <w:ind w:firstLineChars="0"/>
        <w:jc w:val="left"/>
        <w:rPr>
          <w:rFonts w:hint="eastAsia" w:ascii="宋体" w:hAnsi="宋体"/>
          <w:b/>
        </w:rPr>
      </w:pPr>
      <w:r>
        <w:rPr>
          <w:rFonts w:hint="eastAsia" w:ascii="宋体" w:hAnsi="宋体"/>
          <w:b/>
        </w:rPr>
        <w:t>附件一</w:t>
      </w:r>
    </w:p>
    <w:tbl>
      <w:tblPr>
        <w:tblStyle w:val="49"/>
        <w:tblW w:w="85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1"/>
        <w:gridCol w:w="1111"/>
        <w:gridCol w:w="1519"/>
        <w:gridCol w:w="3843"/>
        <w:gridCol w:w="15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3" w:type="dxa"/>
            <w:gridSpan w:val="5"/>
            <w:shd w:val="clear" w:color="auto" w:fill="D9E2F3"/>
            <w:noWrap w:val="0"/>
            <w:vAlign w:val="center"/>
          </w:tcPr>
          <w:p>
            <w:pPr>
              <w:widowControl w:val="0"/>
              <w:autoSpaceDE w:val="0"/>
              <w:autoSpaceDN w:val="0"/>
              <w:adjustRightInd w:val="0"/>
              <w:snapToGrid w:val="0"/>
              <w:ind w:firstLine="0" w:firstLineChars="0"/>
              <w:jc w:val="center"/>
              <w:rPr>
                <w:rFonts w:hint="eastAsia" w:ascii="宋体" w:hAnsi="宋体" w:cs="宋体"/>
                <w:b/>
                <w:sz w:val="32"/>
                <w:szCs w:val="32"/>
              </w:rPr>
            </w:pPr>
            <w:r>
              <w:rPr>
                <w:rFonts w:hint="eastAsia" w:ascii="宋体" w:hAnsi="宋体" w:cs="宋体"/>
                <w:b/>
                <w:sz w:val="32"/>
                <w:szCs w:val="32"/>
                <w:highlight w:val="none"/>
              </w:rPr>
              <w:t>《初步评审审查标准》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42" w:type="dxa"/>
            <w:gridSpan w:val="2"/>
            <w:noWrap w:val="0"/>
            <w:vAlign w:val="center"/>
          </w:tcPr>
          <w:p>
            <w:pPr>
              <w:widowControl w:val="0"/>
              <w:autoSpaceDE w:val="0"/>
              <w:autoSpaceDN w:val="0"/>
              <w:adjustRightInd w:val="0"/>
              <w:snapToGrid w:val="0"/>
              <w:ind w:firstLine="0" w:firstLineChars="0"/>
              <w:jc w:val="center"/>
              <w:rPr>
                <w:rFonts w:ascii="宋体" w:hAnsi="宋体" w:cs="宋体"/>
                <w:b/>
                <w:sz w:val="24"/>
              </w:rPr>
            </w:pPr>
            <w:r>
              <w:rPr>
                <w:rFonts w:ascii="宋体" w:hAnsi="宋体" w:cs="宋体"/>
                <w:b/>
                <w:sz w:val="24"/>
              </w:rPr>
              <w:t>条款号</w:t>
            </w:r>
          </w:p>
        </w:tc>
        <w:tc>
          <w:tcPr>
            <w:tcW w:w="1519" w:type="dxa"/>
            <w:noWrap w:val="0"/>
            <w:vAlign w:val="center"/>
          </w:tcPr>
          <w:p>
            <w:pPr>
              <w:widowControl w:val="0"/>
              <w:autoSpaceDE w:val="0"/>
              <w:autoSpaceDN w:val="0"/>
              <w:adjustRightInd w:val="0"/>
              <w:snapToGrid w:val="0"/>
              <w:ind w:firstLine="0" w:firstLineChars="0"/>
              <w:jc w:val="center"/>
              <w:rPr>
                <w:rFonts w:ascii="宋体" w:hAnsi="宋体" w:cs="宋体"/>
                <w:b/>
                <w:sz w:val="24"/>
              </w:rPr>
            </w:pPr>
            <w:r>
              <w:rPr>
                <w:rFonts w:ascii="宋体" w:hAnsi="宋体" w:cs="宋体"/>
                <w:b/>
                <w:sz w:val="24"/>
              </w:rPr>
              <w:t>评审因素</w:t>
            </w:r>
          </w:p>
        </w:tc>
        <w:tc>
          <w:tcPr>
            <w:tcW w:w="3843" w:type="dxa"/>
            <w:noWrap w:val="0"/>
            <w:vAlign w:val="center"/>
          </w:tcPr>
          <w:p>
            <w:pPr>
              <w:widowControl w:val="0"/>
              <w:autoSpaceDE w:val="0"/>
              <w:autoSpaceDN w:val="0"/>
              <w:adjustRightInd w:val="0"/>
              <w:snapToGrid w:val="0"/>
              <w:ind w:firstLine="0" w:firstLineChars="0"/>
              <w:jc w:val="center"/>
              <w:rPr>
                <w:rFonts w:ascii="宋体" w:hAnsi="宋体" w:cs="宋体"/>
                <w:b/>
                <w:sz w:val="24"/>
              </w:rPr>
            </w:pPr>
            <w:r>
              <w:rPr>
                <w:rFonts w:ascii="宋体" w:hAnsi="宋体" w:cs="宋体"/>
                <w:b/>
                <w:sz w:val="24"/>
              </w:rPr>
              <w:t>评审</w:t>
            </w:r>
            <w:r>
              <w:rPr>
                <w:rFonts w:hint="eastAsia" w:ascii="宋体" w:hAnsi="宋体" w:cs="宋体"/>
                <w:b/>
                <w:sz w:val="24"/>
              </w:rPr>
              <w:t>内容</w:t>
            </w:r>
          </w:p>
        </w:tc>
        <w:tc>
          <w:tcPr>
            <w:tcW w:w="1519" w:type="dxa"/>
            <w:noWrap w:val="0"/>
            <w:vAlign w:val="center"/>
          </w:tcPr>
          <w:p>
            <w:pPr>
              <w:widowControl w:val="0"/>
              <w:autoSpaceDE w:val="0"/>
              <w:autoSpaceDN w:val="0"/>
              <w:adjustRightInd w:val="0"/>
              <w:snapToGrid w:val="0"/>
              <w:ind w:firstLine="0" w:firstLineChars="0"/>
              <w:jc w:val="center"/>
              <w:rPr>
                <w:rFonts w:ascii="宋体" w:hAnsi="宋体" w:cs="宋体"/>
                <w:b/>
                <w:sz w:val="24"/>
              </w:rPr>
            </w:pPr>
            <w:r>
              <w:rPr>
                <w:rFonts w:hint="eastAsia" w:ascii="宋体" w:hAnsi="宋体" w:cs="宋体"/>
                <w:b/>
                <w:sz w:val="24"/>
              </w:rPr>
              <w:t>审查标准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restart"/>
            <w:noWrap w:val="0"/>
            <w:vAlign w:val="center"/>
          </w:tcPr>
          <w:p>
            <w:pPr>
              <w:widowControl w:val="0"/>
              <w:autoSpaceDE w:val="0"/>
              <w:autoSpaceDN w:val="0"/>
              <w:adjustRightInd w:val="0"/>
              <w:snapToGrid w:val="0"/>
              <w:ind w:firstLine="0" w:firstLineChars="0"/>
              <w:jc w:val="center"/>
              <w:rPr>
                <w:rFonts w:ascii="宋体" w:hAnsi="宋体"/>
              </w:rPr>
            </w:pPr>
            <w:r>
              <w:rPr>
                <w:rFonts w:hint="eastAsia" w:ascii="宋体" w:hAnsi="宋体"/>
              </w:rPr>
              <w:t>1</w:t>
            </w:r>
          </w:p>
        </w:tc>
        <w:tc>
          <w:tcPr>
            <w:tcW w:w="1111" w:type="dxa"/>
            <w:vMerge w:val="restart"/>
            <w:noWrap w:val="0"/>
            <w:vAlign w:val="center"/>
          </w:tcPr>
          <w:p>
            <w:pPr>
              <w:widowControl w:val="0"/>
              <w:autoSpaceDE w:val="0"/>
              <w:autoSpaceDN w:val="0"/>
              <w:adjustRightInd w:val="0"/>
              <w:snapToGrid w:val="0"/>
              <w:ind w:firstLine="0" w:firstLineChars="0"/>
              <w:jc w:val="center"/>
              <w:rPr>
                <w:rFonts w:ascii="宋体" w:hAnsi="宋体"/>
              </w:rPr>
            </w:pPr>
            <w:r>
              <w:rPr>
                <w:rFonts w:hint="eastAsia" w:ascii="宋体" w:hAnsi="宋体"/>
              </w:rPr>
              <w:t>形式评审标准</w:t>
            </w:r>
          </w:p>
        </w:tc>
        <w:tc>
          <w:tcPr>
            <w:tcW w:w="1519" w:type="dxa"/>
            <w:noWrap w:val="0"/>
            <w:vAlign w:val="center"/>
          </w:tcPr>
          <w:p>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投标人名称</w:t>
            </w:r>
          </w:p>
        </w:tc>
        <w:tc>
          <w:tcPr>
            <w:tcW w:w="3843" w:type="dxa"/>
            <w:noWrap w:val="0"/>
            <w:vAlign w:val="center"/>
          </w:tcPr>
          <w:p>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与营业执照</w:t>
            </w:r>
            <w:r>
              <w:rPr>
                <w:rFonts w:hint="eastAsia" w:ascii="宋体" w:hAnsi="宋体" w:cs="宋体"/>
                <w:szCs w:val="21"/>
              </w:rPr>
              <w:t>（事业单位法人证书或其他主体开办证明）</w:t>
            </w:r>
            <w:r>
              <w:rPr>
                <w:rFonts w:ascii="宋体" w:hAnsi="宋体" w:cs="宋体"/>
                <w:szCs w:val="21"/>
              </w:rPr>
              <w:t>、资质证书一致</w:t>
            </w:r>
          </w:p>
        </w:tc>
        <w:tc>
          <w:tcPr>
            <w:tcW w:w="1519" w:type="dxa"/>
            <w:noWrap w:val="0"/>
            <w:vAlign w:val="center"/>
          </w:tcPr>
          <w:p>
            <w:pPr>
              <w:widowControl w:val="0"/>
              <w:autoSpaceDE w:val="0"/>
              <w:autoSpaceDN w:val="0"/>
              <w:adjustRightInd w:val="0"/>
              <w:snapToGrid w:val="0"/>
              <w:ind w:firstLine="0" w:firstLineChars="0"/>
              <w:jc w:val="left"/>
              <w:rPr>
                <w:rFonts w:ascii="宋体" w:hAnsi="宋体"/>
              </w:rPr>
            </w:pPr>
            <w:r>
              <w:rPr>
                <w:rFonts w:hint="eastAsia" w:ascii="宋体" w:hAnsi="宋体"/>
              </w:rPr>
              <w:t>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noWrap w:val="0"/>
            <w:vAlign w:val="top"/>
          </w:tcPr>
          <w:p>
            <w:pPr>
              <w:widowControl w:val="0"/>
              <w:autoSpaceDE w:val="0"/>
              <w:autoSpaceDN w:val="0"/>
              <w:adjustRightInd w:val="0"/>
              <w:snapToGrid w:val="0"/>
              <w:ind w:firstLine="0" w:firstLineChars="0"/>
              <w:jc w:val="center"/>
              <w:rPr>
                <w:rFonts w:ascii="宋体" w:hAnsi="宋体"/>
              </w:rPr>
            </w:pPr>
          </w:p>
        </w:tc>
        <w:tc>
          <w:tcPr>
            <w:tcW w:w="1111" w:type="dxa"/>
            <w:vMerge w:val="continue"/>
            <w:noWrap w:val="0"/>
            <w:vAlign w:val="center"/>
          </w:tcPr>
          <w:p>
            <w:pPr>
              <w:widowControl w:val="0"/>
              <w:autoSpaceDE w:val="0"/>
              <w:autoSpaceDN w:val="0"/>
              <w:adjustRightInd w:val="0"/>
              <w:snapToGrid w:val="0"/>
              <w:ind w:firstLine="0" w:firstLineChars="0"/>
              <w:jc w:val="center"/>
              <w:rPr>
                <w:rFonts w:ascii="宋体" w:hAnsi="宋体"/>
              </w:rPr>
            </w:pPr>
          </w:p>
        </w:tc>
        <w:tc>
          <w:tcPr>
            <w:tcW w:w="1519" w:type="dxa"/>
            <w:noWrap w:val="0"/>
            <w:vAlign w:val="center"/>
          </w:tcPr>
          <w:p>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投标文件格式</w:t>
            </w:r>
          </w:p>
        </w:tc>
        <w:tc>
          <w:tcPr>
            <w:tcW w:w="3843" w:type="dxa"/>
            <w:noWrap w:val="0"/>
            <w:vAlign w:val="center"/>
          </w:tcPr>
          <w:p>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符合第</w:t>
            </w:r>
            <w:r>
              <w:rPr>
                <w:rFonts w:hint="eastAsia" w:ascii="宋体" w:hAnsi="宋体" w:cs="宋体"/>
                <w:szCs w:val="21"/>
              </w:rPr>
              <w:t>五</w:t>
            </w:r>
            <w:r>
              <w:rPr>
                <w:rFonts w:ascii="宋体" w:hAnsi="宋体" w:cs="宋体"/>
                <w:szCs w:val="21"/>
              </w:rPr>
              <w:t>章</w:t>
            </w:r>
            <w:r>
              <w:rPr>
                <w:rFonts w:ascii="宋体" w:hAnsi="宋体"/>
                <w:szCs w:val="21"/>
              </w:rPr>
              <w:t>“</w:t>
            </w:r>
            <w:r>
              <w:rPr>
                <w:rFonts w:ascii="宋体" w:hAnsi="宋体" w:cs="宋体"/>
                <w:szCs w:val="21"/>
              </w:rPr>
              <w:t>投标文件格式</w:t>
            </w:r>
            <w:r>
              <w:rPr>
                <w:rFonts w:ascii="宋体" w:hAnsi="宋体"/>
                <w:szCs w:val="21"/>
              </w:rPr>
              <w:t>”</w:t>
            </w:r>
            <w:r>
              <w:rPr>
                <w:rFonts w:ascii="宋体" w:hAnsi="宋体" w:cs="宋体"/>
                <w:szCs w:val="21"/>
              </w:rPr>
              <w:t>的</w:t>
            </w:r>
            <w:r>
              <w:rPr>
                <w:rFonts w:hint="eastAsia" w:ascii="宋体" w:hAnsi="宋体" w:cs="宋体"/>
                <w:szCs w:val="21"/>
              </w:rPr>
              <w:t>要求</w:t>
            </w:r>
          </w:p>
        </w:tc>
        <w:tc>
          <w:tcPr>
            <w:tcW w:w="1519" w:type="dxa"/>
            <w:noWrap w:val="0"/>
            <w:vAlign w:val="center"/>
          </w:tcPr>
          <w:p>
            <w:pPr>
              <w:widowControl w:val="0"/>
              <w:autoSpaceDE w:val="0"/>
              <w:autoSpaceDN w:val="0"/>
              <w:adjustRightInd w:val="0"/>
              <w:snapToGrid w:val="0"/>
              <w:ind w:firstLine="0" w:firstLineChars="0"/>
              <w:jc w:val="left"/>
              <w:rPr>
                <w:rFonts w:ascii="宋体" w:hAnsi="宋体"/>
              </w:rPr>
            </w:pPr>
            <w:r>
              <w:rPr>
                <w:rFonts w:hint="eastAsia" w:ascii="宋体" w:hAnsi="宋体"/>
              </w:rPr>
              <w:t>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noWrap w:val="0"/>
            <w:vAlign w:val="top"/>
          </w:tcPr>
          <w:p>
            <w:pPr>
              <w:widowControl w:val="0"/>
              <w:autoSpaceDE w:val="0"/>
              <w:autoSpaceDN w:val="0"/>
              <w:adjustRightInd w:val="0"/>
              <w:snapToGrid w:val="0"/>
              <w:ind w:firstLine="0" w:firstLineChars="0"/>
              <w:jc w:val="center"/>
              <w:rPr>
                <w:rFonts w:ascii="宋体" w:hAnsi="宋体"/>
              </w:rPr>
            </w:pPr>
          </w:p>
        </w:tc>
        <w:tc>
          <w:tcPr>
            <w:tcW w:w="1111" w:type="dxa"/>
            <w:vMerge w:val="continue"/>
            <w:noWrap w:val="0"/>
            <w:vAlign w:val="center"/>
          </w:tcPr>
          <w:p>
            <w:pPr>
              <w:widowControl w:val="0"/>
              <w:autoSpaceDE w:val="0"/>
              <w:autoSpaceDN w:val="0"/>
              <w:adjustRightInd w:val="0"/>
              <w:snapToGrid w:val="0"/>
              <w:ind w:firstLine="0" w:firstLineChars="0"/>
              <w:jc w:val="center"/>
              <w:rPr>
                <w:rFonts w:ascii="宋体" w:hAnsi="宋体"/>
              </w:rPr>
            </w:pPr>
          </w:p>
        </w:tc>
        <w:tc>
          <w:tcPr>
            <w:tcW w:w="1519" w:type="dxa"/>
            <w:noWrap w:val="0"/>
            <w:vAlign w:val="center"/>
          </w:tcPr>
          <w:p>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报价唯一</w:t>
            </w:r>
          </w:p>
        </w:tc>
        <w:tc>
          <w:tcPr>
            <w:tcW w:w="3843" w:type="dxa"/>
            <w:noWrap w:val="0"/>
            <w:vAlign w:val="center"/>
          </w:tcPr>
          <w:p>
            <w:pPr>
              <w:widowControl w:val="0"/>
              <w:autoSpaceDE w:val="0"/>
              <w:autoSpaceDN w:val="0"/>
              <w:adjustRightInd w:val="0"/>
              <w:snapToGrid w:val="0"/>
              <w:ind w:firstLine="0" w:firstLineChars="0"/>
              <w:jc w:val="left"/>
              <w:rPr>
                <w:rFonts w:ascii="宋体" w:hAnsi="宋体" w:cs="宋体"/>
                <w:szCs w:val="21"/>
              </w:rPr>
            </w:pPr>
            <w:r>
              <w:rPr>
                <w:rFonts w:ascii="宋体" w:hAnsi="宋体"/>
                <w:szCs w:val="21"/>
              </w:rPr>
              <w:t>只能有一个有效报价</w:t>
            </w:r>
          </w:p>
        </w:tc>
        <w:tc>
          <w:tcPr>
            <w:tcW w:w="1519" w:type="dxa"/>
            <w:noWrap w:val="0"/>
            <w:vAlign w:val="center"/>
          </w:tcPr>
          <w:p>
            <w:pPr>
              <w:widowControl w:val="0"/>
              <w:autoSpaceDE w:val="0"/>
              <w:autoSpaceDN w:val="0"/>
              <w:adjustRightInd w:val="0"/>
              <w:snapToGrid w:val="0"/>
              <w:ind w:firstLine="0" w:firstLineChars="0"/>
              <w:jc w:val="left"/>
              <w:rPr>
                <w:rFonts w:ascii="宋体" w:hAnsi="宋体"/>
              </w:rPr>
            </w:pPr>
            <w:r>
              <w:rPr>
                <w:rFonts w:hint="eastAsia" w:ascii="宋体" w:hAnsi="宋体"/>
              </w:rPr>
              <w:t>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noWrap w:val="0"/>
            <w:vAlign w:val="top"/>
          </w:tcPr>
          <w:p>
            <w:pPr>
              <w:widowControl w:val="0"/>
              <w:autoSpaceDE w:val="0"/>
              <w:autoSpaceDN w:val="0"/>
              <w:adjustRightInd w:val="0"/>
              <w:snapToGrid w:val="0"/>
              <w:ind w:firstLine="0" w:firstLineChars="0"/>
              <w:jc w:val="center"/>
              <w:rPr>
                <w:rFonts w:ascii="宋体" w:hAnsi="宋体"/>
              </w:rPr>
            </w:pPr>
          </w:p>
        </w:tc>
        <w:tc>
          <w:tcPr>
            <w:tcW w:w="1111" w:type="dxa"/>
            <w:vMerge w:val="continue"/>
            <w:noWrap w:val="0"/>
            <w:vAlign w:val="top"/>
          </w:tcPr>
          <w:p>
            <w:pPr>
              <w:widowControl w:val="0"/>
              <w:autoSpaceDE w:val="0"/>
              <w:autoSpaceDN w:val="0"/>
              <w:adjustRightInd w:val="0"/>
              <w:snapToGrid w:val="0"/>
              <w:ind w:firstLine="0" w:firstLineChars="0"/>
              <w:jc w:val="center"/>
              <w:rPr>
                <w:rFonts w:ascii="宋体" w:hAnsi="宋体"/>
              </w:rPr>
            </w:pPr>
          </w:p>
        </w:tc>
        <w:tc>
          <w:tcPr>
            <w:tcW w:w="1519" w:type="dxa"/>
            <w:noWrap w:val="0"/>
            <w:vAlign w:val="center"/>
          </w:tcPr>
          <w:p>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否决性条款判定</w:t>
            </w:r>
          </w:p>
        </w:tc>
        <w:tc>
          <w:tcPr>
            <w:tcW w:w="3843" w:type="dxa"/>
            <w:noWrap w:val="0"/>
            <w:vAlign w:val="center"/>
          </w:tcPr>
          <w:p>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招标文件否决性条款摘要中列明的情形</w:t>
            </w:r>
          </w:p>
        </w:tc>
        <w:tc>
          <w:tcPr>
            <w:tcW w:w="1519" w:type="dxa"/>
            <w:noWrap w:val="0"/>
            <w:vAlign w:val="center"/>
          </w:tcPr>
          <w:p>
            <w:pPr>
              <w:widowControl w:val="0"/>
              <w:autoSpaceDE w:val="0"/>
              <w:autoSpaceDN w:val="0"/>
              <w:adjustRightInd w:val="0"/>
              <w:snapToGrid w:val="0"/>
              <w:ind w:firstLine="0" w:firstLineChars="0"/>
              <w:jc w:val="left"/>
              <w:rPr>
                <w:rFonts w:ascii="宋体" w:hAnsi="宋体"/>
              </w:rPr>
            </w:pPr>
            <w:r>
              <w:rPr>
                <w:rFonts w:hint="eastAsia" w:ascii="宋体" w:hAnsi="宋体"/>
              </w:rPr>
              <w:t>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restart"/>
            <w:noWrap w:val="0"/>
            <w:vAlign w:val="center"/>
          </w:tcPr>
          <w:p>
            <w:pPr>
              <w:widowControl w:val="0"/>
              <w:autoSpaceDE w:val="0"/>
              <w:autoSpaceDN w:val="0"/>
              <w:adjustRightInd w:val="0"/>
              <w:snapToGrid w:val="0"/>
              <w:ind w:firstLine="0" w:firstLineChars="0"/>
              <w:jc w:val="center"/>
              <w:rPr>
                <w:rFonts w:ascii="宋体" w:hAnsi="宋体"/>
              </w:rPr>
            </w:pPr>
            <w:r>
              <w:rPr>
                <w:rFonts w:hint="eastAsia" w:ascii="宋体" w:hAnsi="宋体"/>
              </w:rPr>
              <w:t>2</w:t>
            </w:r>
          </w:p>
        </w:tc>
        <w:tc>
          <w:tcPr>
            <w:tcW w:w="1111" w:type="dxa"/>
            <w:vMerge w:val="restart"/>
            <w:noWrap w:val="0"/>
            <w:vAlign w:val="center"/>
          </w:tcPr>
          <w:p>
            <w:pPr>
              <w:widowControl w:val="0"/>
              <w:autoSpaceDE w:val="0"/>
              <w:autoSpaceDN w:val="0"/>
              <w:adjustRightInd w:val="0"/>
              <w:snapToGrid w:val="0"/>
              <w:ind w:firstLine="0" w:firstLineChars="0"/>
              <w:jc w:val="center"/>
              <w:rPr>
                <w:rFonts w:ascii="宋体" w:hAnsi="宋体"/>
              </w:rPr>
            </w:pPr>
            <w:r>
              <w:rPr>
                <w:rFonts w:hint="eastAsia" w:ascii="宋体" w:hAnsi="宋体"/>
              </w:rPr>
              <w:t>资格评审标准</w:t>
            </w:r>
          </w:p>
        </w:tc>
        <w:tc>
          <w:tcPr>
            <w:tcW w:w="1519" w:type="dxa"/>
            <w:noWrap w:val="0"/>
            <w:vAlign w:val="center"/>
          </w:tcPr>
          <w:p>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营业执照</w:t>
            </w:r>
          </w:p>
        </w:tc>
        <w:tc>
          <w:tcPr>
            <w:tcW w:w="3843" w:type="dxa"/>
            <w:noWrap w:val="0"/>
            <w:vAlign w:val="center"/>
          </w:tcPr>
          <w:p>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具备有效的营业执照（事业单位法人证书或其他主体开办证明）</w:t>
            </w:r>
          </w:p>
        </w:tc>
        <w:tc>
          <w:tcPr>
            <w:tcW w:w="1519" w:type="dxa"/>
            <w:noWrap w:val="0"/>
            <w:vAlign w:val="center"/>
          </w:tcPr>
          <w:p>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noWrap w:val="0"/>
            <w:vAlign w:val="center"/>
          </w:tcPr>
          <w:p>
            <w:pPr>
              <w:widowControl w:val="0"/>
              <w:autoSpaceDE w:val="0"/>
              <w:autoSpaceDN w:val="0"/>
              <w:adjustRightInd w:val="0"/>
              <w:snapToGrid w:val="0"/>
              <w:ind w:firstLine="0" w:firstLineChars="0"/>
              <w:jc w:val="center"/>
              <w:rPr>
                <w:rFonts w:hint="eastAsia" w:ascii="宋体" w:hAnsi="宋体"/>
              </w:rPr>
            </w:pPr>
          </w:p>
        </w:tc>
        <w:tc>
          <w:tcPr>
            <w:tcW w:w="1111" w:type="dxa"/>
            <w:vMerge w:val="continue"/>
            <w:noWrap w:val="0"/>
            <w:vAlign w:val="center"/>
          </w:tcPr>
          <w:p>
            <w:pPr>
              <w:widowControl w:val="0"/>
              <w:autoSpaceDE w:val="0"/>
              <w:autoSpaceDN w:val="0"/>
              <w:adjustRightInd w:val="0"/>
              <w:snapToGrid w:val="0"/>
              <w:ind w:firstLine="0" w:firstLineChars="0"/>
              <w:jc w:val="center"/>
              <w:rPr>
                <w:rFonts w:hint="eastAsia" w:ascii="宋体" w:hAnsi="宋体"/>
              </w:rPr>
            </w:pPr>
          </w:p>
        </w:tc>
        <w:tc>
          <w:tcPr>
            <w:tcW w:w="1519" w:type="dxa"/>
            <w:noWrap w:val="0"/>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其他资格要求</w:t>
            </w:r>
          </w:p>
        </w:tc>
        <w:tc>
          <w:tcPr>
            <w:tcW w:w="3843" w:type="dxa"/>
            <w:noWrap w:val="0"/>
            <w:vAlign w:val="center"/>
          </w:tcPr>
          <w:p>
            <w:pPr>
              <w:widowControl w:val="0"/>
              <w:autoSpaceDE w:val="0"/>
              <w:autoSpaceDN w:val="0"/>
              <w:adjustRightInd w:val="0"/>
              <w:snapToGrid w:val="0"/>
              <w:ind w:firstLine="0" w:firstLineChars="0"/>
              <w:jc w:val="left"/>
              <w:rPr>
                <w:rFonts w:ascii="宋体" w:hAnsi="宋体"/>
                <w:szCs w:val="21"/>
              </w:rPr>
            </w:pPr>
            <w:r>
              <w:rPr>
                <w:rFonts w:ascii="宋体" w:hAnsi="宋体"/>
                <w:szCs w:val="21"/>
              </w:rPr>
              <w:t>符合</w:t>
            </w:r>
            <w:r>
              <w:rPr>
                <w:rFonts w:hint="eastAsia" w:ascii="宋体" w:hAnsi="宋体"/>
                <w:szCs w:val="21"/>
              </w:rPr>
              <w:t>招标文件要求</w:t>
            </w:r>
          </w:p>
        </w:tc>
        <w:tc>
          <w:tcPr>
            <w:tcW w:w="1519" w:type="dxa"/>
            <w:noWrap w:val="0"/>
            <w:vAlign w:val="center"/>
          </w:tcPr>
          <w:p>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noWrap w:val="0"/>
            <w:vAlign w:val="top"/>
          </w:tcPr>
          <w:p>
            <w:pPr>
              <w:widowControl w:val="0"/>
              <w:autoSpaceDE w:val="0"/>
              <w:autoSpaceDN w:val="0"/>
              <w:adjustRightInd w:val="0"/>
              <w:snapToGrid w:val="0"/>
              <w:ind w:firstLine="0" w:firstLineChars="0"/>
              <w:jc w:val="center"/>
              <w:rPr>
                <w:rFonts w:ascii="宋体" w:hAnsi="宋体"/>
              </w:rPr>
            </w:pPr>
          </w:p>
        </w:tc>
        <w:tc>
          <w:tcPr>
            <w:tcW w:w="1111" w:type="dxa"/>
            <w:vMerge w:val="continue"/>
            <w:noWrap w:val="0"/>
            <w:vAlign w:val="center"/>
          </w:tcPr>
          <w:p>
            <w:pPr>
              <w:widowControl w:val="0"/>
              <w:autoSpaceDE w:val="0"/>
              <w:autoSpaceDN w:val="0"/>
              <w:adjustRightInd w:val="0"/>
              <w:snapToGrid w:val="0"/>
              <w:ind w:firstLine="0" w:firstLineChars="0"/>
              <w:jc w:val="center"/>
              <w:rPr>
                <w:rFonts w:ascii="宋体" w:hAnsi="宋体"/>
              </w:rPr>
            </w:pPr>
          </w:p>
        </w:tc>
        <w:tc>
          <w:tcPr>
            <w:tcW w:w="1519" w:type="dxa"/>
            <w:noWrap w:val="0"/>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不存在禁止投标的情形</w:t>
            </w:r>
          </w:p>
        </w:tc>
        <w:tc>
          <w:tcPr>
            <w:tcW w:w="3843" w:type="dxa"/>
            <w:noWrap w:val="0"/>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不存在第一章“投标人须知”</w:t>
            </w:r>
            <w:r>
              <w:rPr>
                <w:rFonts w:hint="eastAsia" w:ascii="宋体" w:hAnsi="宋体"/>
                <w:szCs w:val="21"/>
                <w:lang w:eastAsia="zh-CN"/>
              </w:rPr>
              <w:t>第三节“总则”中</w:t>
            </w:r>
            <w:r>
              <w:rPr>
                <w:rFonts w:hint="eastAsia" w:ascii="宋体" w:hAnsi="宋体"/>
                <w:szCs w:val="21"/>
              </w:rPr>
              <w:t>1.4.</w:t>
            </w:r>
            <w:r>
              <w:rPr>
                <w:rFonts w:ascii="宋体" w:hAnsi="宋体"/>
                <w:szCs w:val="21"/>
              </w:rPr>
              <w:t>5</w:t>
            </w:r>
            <w:r>
              <w:rPr>
                <w:rFonts w:hint="eastAsia" w:ascii="宋体" w:hAnsi="宋体"/>
                <w:szCs w:val="21"/>
              </w:rPr>
              <w:t>规定的任何一种情形</w:t>
            </w:r>
          </w:p>
        </w:tc>
        <w:tc>
          <w:tcPr>
            <w:tcW w:w="1519" w:type="dxa"/>
            <w:noWrap w:val="0"/>
            <w:vAlign w:val="center"/>
          </w:tcPr>
          <w:p>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restart"/>
            <w:noWrap w:val="0"/>
            <w:vAlign w:val="center"/>
          </w:tcPr>
          <w:p>
            <w:pPr>
              <w:widowControl w:val="0"/>
              <w:autoSpaceDE w:val="0"/>
              <w:autoSpaceDN w:val="0"/>
              <w:adjustRightInd w:val="0"/>
              <w:snapToGrid w:val="0"/>
              <w:ind w:firstLine="0" w:firstLineChars="0"/>
              <w:jc w:val="center"/>
              <w:rPr>
                <w:rFonts w:ascii="宋体" w:hAnsi="宋体"/>
              </w:rPr>
            </w:pPr>
            <w:r>
              <w:rPr>
                <w:rFonts w:hint="eastAsia" w:ascii="宋体" w:hAnsi="宋体"/>
              </w:rPr>
              <w:t>3</w:t>
            </w:r>
          </w:p>
        </w:tc>
        <w:tc>
          <w:tcPr>
            <w:tcW w:w="1111" w:type="dxa"/>
            <w:vMerge w:val="restart"/>
            <w:noWrap w:val="0"/>
            <w:vAlign w:val="center"/>
          </w:tcPr>
          <w:p>
            <w:pPr>
              <w:widowControl w:val="0"/>
              <w:autoSpaceDE w:val="0"/>
              <w:autoSpaceDN w:val="0"/>
              <w:adjustRightInd w:val="0"/>
              <w:snapToGrid w:val="0"/>
              <w:ind w:firstLine="0" w:firstLineChars="0"/>
              <w:jc w:val="center"/>
              <w:rPr>
                <w:rFonts w:ascii="宋体" w:hAnsi="宋体"/>
              </w:rPr>
            </w:pPr>
            <w:r>
              <w:rPr>
                <w:rFonts w:hint="eastAsia" w:ascii="宋体" w:hAnsi="宋体"/>
              </w:rPr>
              <w:t>响应性评审标准</w:t>
            </w:r>
          </w:p>
        </w:tc>
        <w:tc>
          <w:tcPr>
            <w:tcW w:w="1519" w:type="dxa"/>
            <w:noWrap w:val="0"/>
            <w:vAlign w:val="center"/>
          </w:tcPr>
          <w:p>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投标报价</w:t>
            </w:r>
          </w:p>
        </w:tc>
        <w:tc>
          <w:tcPr>
            <w:tcW w:w="3843" w:type="dxa"/>
            <w:noWrap w:val="0"/>
            <w:vAlign w:val="center"/>
          </w:tcPr>
          <w:p>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投标报价未高于最高限价</w:t>
            </w:r>
          </w:p>
        </w:tc>
        <w:tc>
          <w:tcPr>
            <w:tcW w:w="1519" w:type="dxa"/>
            <w:noWrap w:val="0"/>
            <w:vAlign w:val="center"/>
          </w:tcPr>
          <w:p>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noWrap w:val="0"/>
            <w:vAlign w:val="top"/>
          </w:tcPr>
          <w:p>
            <w:pPr>
              <w:widowControl w:val="0"/>
              <w:autoSpaceDE w:val="0"/>
              <w:autoSpaceDN w:val="0"/>
              <w:adjustRightInd w:val="0"/>
              <w:snapToGrid w:val="0"/>
              <w:ind w:firstLine="0" w:firstLineChars="0"/>
              <w:jc w:val="left"/>
              <w:rPr>
                <w:rFonts w:ascii="宋体" w:hAnsi="宋体"/>
              </w:rPr>
            </w:pPr>
          </w:p>
        </w:tc>
        <w:tc>
          <w:tcPr>
            <w:tcW w:w="1111" w:type="dxa"/>
            <w:vMerge w:val="continue"/>
            <w:noWrap w:val="0"/>
            <w:vAlign w:val="center"/>
          </w:tcPr>
          <w:p>
            <w:pPr>
              <w:widowControl w:val="0"/>
              <w:autoSpaceDE w:val="0"/>
              <w:autoSpaceDN w:val="0"/>
              <w:adjustRightInd w:val="0"/>
              <w:snapToGrid w:val="0"/>
              <w:ind w:firstLine="0" w:firstLineChars="0"/>
              <w:jc w:val="left"/>
              <w:rPr>
                <w:rFonts w:ascii="宋体" w:hAnsi="宋体"/>
              </w:rPr>
            </w:pPr>
          </w:p>
        </w:tc>
        <w:tc>
          <w:tcPr>
            <w:tcW w:w="1519" w:type="dxa"/>
            <w:noWrap w:val="0"/>
            <w:vAlign w:val="center"/>
          </w:tcPr>
          <w:p>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投标内容</w:t>
            </w:r>
          </w:p>
        </w:tc>
        <w:tc>
          <w:tcPr>
            <w:tcW w:w="3843" w:type="dxa"/>
            <w:noWrap w:val="0"/>
            <w:vAlign w:val="center"/>
          </w:tcPr>
          <w:p>
            <w:pPr>
              <w:widowControl w:val="0"/>
              <w:autoSpaceDE w:val="0"/>
              <w:autoSpaceDN w:val="0"/>
              <w:adjustRightInd w:val="0"/>
              <w:snapToGrid w:val="0"/>
              <w:ind w:firstLine="0" w:firstLineChars="0"/>
              <w:jc w:val="left"/>
              <w:rPr>
                <w:rFonts w:ascii="宋体" w:hAnsi="宋体" w:cs="宋体"/>
                <w:szCs w:val="21"/>
              </w:rPr>
            </w:pPr>
            <w:r>
              <w:rPr>
                <w:rFonts w:ascii="宋体" w:hAnsi="宋体"/>
                <w:szCs w:val="21"/>
              </w:rPr>
              <w:t>符合</w:t>
            </w:r>
            <w:r>
              <w:rPr>
                <w:rFonts w:hint="eastAsia" w:ascii="宋体" w:hAnsi="宋体"/>
                <w:szCs w:val="21"/>
              </w:rPr>
              <w:t>招标文件要求</w:t>
            </w:r>
          </w:p>
        </w:tc>
        <w:tc>
          <w:tcPr>
            <w:tcW w:w="1519" w:type="dxa"/>
            <w:noWrap w:val="0"/>
            <w:vAlign w:val="center"/>
          </w:tcPr>
          <w:p>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noWrap w:val="0"/>
            <w:vAlign w:val="top"/>
          </w:tcPr>
          <w:p>
            <w:pPr>
              <w:widowControl w:val="0"/>
              <w:autoSpaceDE w:val="0"/>
              <w:autoSpaceDN w:val="0"/>
              <w:adjustRightInd w:val="0"/>
              <w:snapToGrid w:val="0"/>
              <w:ind w:firstLine="0" w:firstLineChars="0"/>
              <w:jc w:val="left"/>
              <w:rPr>
                <w:rFonts w:ascii="宋体" w:hAnsi="宋体"/>
              </w:rPr>
            </w:pPr>
          </w:p>
        </w:tc>
        <w:tc>
          <w:tcPr>
            <w:tcW w:w="1111" w:type="dxa"/>
            <w:vMerge w:val="continue"/>
            <w:noWrap w:val="0"/>
            <w:vAlign w:val="center"/>
          </w:tcPr>
          <w:p>
            <w:pPr>
              <w:widowControl w:val="0"/>
              <w:autoSpaceDE w:val="0"/>
              <w:autoSpaceDN w:val="0"/>
              <w:adjustRightInd w:val="0"/>
              <w:snapToGrid w:val="0"/>
              <w:ind w:firstLine="0" w:firstLineChars="0"/>
              <w:jc w:val="left"/>
              <w:rPr>
                <w:rFonts w:ascii="宋体" w:hAnsi="宋体"/>
              </w:rPr>
            </w:pPr>
          </w:p>
        </w:tc>
        <w:tc>
          <w:tcPr>
            <w:tcW w:w="1519" w:type="dxa"/>
            <w:noWrap w:val="0"/>
            <w:vAlign w:val="center"/>
          </w:tcPr>
          <w:p>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投标有效期</w:t>
            </w:r>
          </w:p>
        </w:tc>
        <w:tc>
          <w:tcPr>
            <w:tcW w:w="3843" w:type="dxa"/>
            <w:noWrap w:val="0"/>
            <w:vAlign w:val="center"/>
          </w:tcPr>
          <w:p>
            <w:pPr>
              <w:widowControl w:val="0"/>
              <w:autoSpaceDE w:val="0"/>
              <w:autoSpaceDN w:val="0"/>
              <w:adjustRightInd w:val="0"/>
              <w:snapToGrid w:val="0"/>
              <w:ind w:firstLine="0" w:firstLineChars="0"/>
              <w:jc w:val="left"/>
              <w:rPr>
                <w:rFonts w:ascii="宋体" w:hAnsi="宋体" w:cs="宋体"/>
                <w:szCs w:val="21"/>
              </w:rPr>
            </w:pPr>
            <w:r>
              <w:rPr>
                <w:rFonts w:ascii="宋体" w:hAnsi="宋体"/>
                <w:szCs w:val="21"/>
              </w:rPr>
              <w:t>符合</w:t>
            </w:r>
            <w:r>
              <w:rPr>
                <w:rFonts w:hint="eastAsia" w:ascii="宋体" w:hAnsi="宋体"/>
                <w:szCs w:val="21"/>
              </w:rPr>
              <w:t>招标文件要求</w:t>
            </w:r>
          </w:p>
        </w:tc>
        <w:tc>
          <w:tcPr>
            <w:tcW w:w="1519" w:type="dxa"/>
            <w:noWrap w:val="0"/>
            <w:vAlign w:val="center"/>
          </w:tcPr>
          <w:p>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noWrap w:val="0"/>
            <w:vAlign w:val="top"/>
          </w:tcPr>
          <w:p>
            <w:pPr>
              <w:widowControl w:val="0"/>
              <w:autoSpaceDE w:val="0"/>
              <w:autoSpaceDN w:val="0"/>
              <w:adjustRightInd w:val="0"/>
              <w:snapToGrid w:val="0"/>
              <w:ind w:firstLine="0" w:firstLineChars="0"/>
              <w:jc w:val="left"/>
              <w:rPr>
                <w:rFonts w:ascii="宋体" w:hAnsi="宋体"/>
              </w:rPr>
            </w:pPr>
          </w:p>
        </w:tc>
        <w:tc>
          <w:tcPr>
            <w:tcW w:w="1111" w:type="dxa"/>
            <w:vMerge w:val="continue"/>
            <w:noWrap w:val="0"/>
            <w:vAlign w:val="center"/>
          </w:tcPr>
          <w:p>
            <w:pPr>
              <w:widowControl w:val="0"/>
              <w:autoSpaceDE w:val="0"/>
              <w:autoSpaceDN w:val="0"/>
              <w:adjustRightInd w:val="0"/>
              <w:snapToGrid w:val="0"/>
              <w:ind w:firstLine="0" w:firstLineChars="0"/>
              <w:jc w:val="left"/>
              <w:rPr>
                <w:rFonts w:ascii="宋体" w:hAnsi="宋体"/>
              </w:rPr>
            </w:pPr>
          </w:p>
        </w:tc>
        <w:tc>
          <w:tcPr>
            <w:tcW w:w="1519" w:type="dxa"/>
            <w:noWrap w:val="0"/>
            <w:vAlign w:val="center"/>
          </w:tcPr>
          <w:p>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服务期</w:t>
            </w:r>
          </w:p>
        </w:tc>
        <w:tc>
          <w:tcPr>
            <w:tcW w:w="3843" w:type="dxa"/>
            <w:noWrap w:val="0"/>
            <w:vAlign w:val="center"/>
          </w:tcPr>
          <w:p>
            <w:pPr>
              <w:widowControl w:val="0"/>
              <w:autoSpaceDE w:val="0"/>
              <w:autoSpaceDN w:val="0"/>
              <w:adjustRightInd w:val="0"/>
              <w:snapToGrid w:val="0"/>
              <w:ind w:firstLine="0" w:firstLineChars="0"/>
              <w:jc w:val="left"/>
              <w:rPr>
                <w:rFonts w:ascii="宋体" w:hAnsi="宋体" w:cs="宋体"/>
                <w:szCs w:val="21"/>
              </w:rPr>
            </w:pPr>
            <w:r>
              <w:rPr>
                <w:rFonts w:ascii="宋体" w:hAnsi="宋体"/>
                <w:szCs w:val="21"/>
              </w:rPr>
              <w:t>符合</w:t>
            </w:r>
            <w:r>
              <w:rPr>
                <w:rFonts w:hint="eastAsia" w:ascii="宋体" w:hAnsi="宋体"/>
                <w:szCs w:val="21"/>
              </w:rPr>
              <w:t>招标文件要求</w:t>
            </w:r>
          </w:p>
        </w:tc>
        <w:tc>
          <w:tcPr>
            <w:tcW w:w="1519" w:type="dxa"/>
            <w:noWrap w:val="0"/>
            <w:vAlign w:val="center"/>
          </w:tcPr>
          <w:p>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noWrap w:val="0"/>
            <w:vAlign w:val="top"/>
          </w:tcPr>
          <w:p>
            <w:pPr>
              <w:widowControl w:val="0"/>
              <w:autoSpaceDE w:val="0"/>
              <w:autoSpaceDN w:val="0"/>
              <w:adjustRightInd w:val="0"/>
              <w:snapToGrid w:val="0"/>
              <w:ind w:firstLine="0" w:firstLineChars="0"/>
              <w:jc w:val="left"/>
              <w:rPr>
                <w:rFonts w:ascii="宋体" w:hAnsi="宋体"/>
              </w:rPr>
            </w:pPr>
          </w:p>
        </w:tc>
        <w:tc>
          <w:tcPr>
            <w:tcW w:w="1111" w:type="dxa"/>
            <w:vMerge w:val="continue"/>
            <w:noWrap w:val="0"/>
            <w:vAlign w:val="center"/>
          </w:tcPr>
          <w:p>
            <w:pPr>
              <w:widowControl w:val="0"/>
              <w:autoSpaceDE w:val="0"/>
              <w:autoSpaceDN w:val="0"/>
              <w:adjustRightInd w:val="0"/>
              <w:snapToGrid w:val="0"/>
              <w:ind w:firstLine="0" w:firstLineChars="0"/>
              <w:jc w:val="left"/>
              <w:rPr>
                <w:rFonts w:ascii="宋体" w:hAnsi="宋体"/>
              </w:rPr>
            </w:pPr>
          </w:p>
        </w:tc>
        <w:tc>
          <w:tcPr>
            <w:tcW w:w="1519" w:type="dxa"/>
            <w:noWrap w:val="0"/>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投标文件响应情况</w:t>
            </w:r>
          </w:p>
        </w:tc>
        <w:tc>
          <w:tcPr>
            <w:tcW w:w="3843" w:type="dxa"/>
            <w:noWrap w:val="0"/>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商务、技术不可偏离项（“★”）完全响应招标文件要求</w:t>
            </w:r>
          </w:p>
        </w:tc>
        <w:tc>
          <w:tcPr>
            <w:tcW w:w="1519" w:type="dxa"/>
            <w:noWrap w:val="0"/>
            <w:vAlign w:val="center"/>
          </w:tcPr>
          <w:p>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bl>
    <w:p>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注：以上初步评审审查标准中如出现一处不符合要求，其投标文件将作废标处理。</w:t>
      </w:r>
    </w:p>
    <w:p>
      <w:pPr>
        <w:widowControl w:val="0"/>
        <w:autoSpaceDE w:val="0"/>
        <w:autoSpaceDN w:val="0"/>
        <w:adjustRightInd w:val="0"/>
        <w:snapToGrid w:val="0"/>
        <w:ind w:firstLine="0" w:firstLineChars="0"/>
        <w:jc w:val="center"/>
        <w:outlineLvl w:val="1"/>
        <w:rPr>
          <w:rFonts w:hint="eastAsia" w:ascii="宋体" w:hAnsi="宋体"/>
          <w:szCs w:val="21"/>
        </w:rPr>
      </w:pPr>
      <w:r>
        <w:rPr>
          <w:rFonts w:ascii="宋体" w:hAnsi="宋体"/>
          <w:szCs w:val="21"/>
        </w:rPr>
        <w:br w:type="page"/>
      </w:r>
      <w:bookmarkStart w:id="323" w:name="_Toc49247159"/>
      <w:r>
        <w:rPr>
          <w:rFonts w:hint="eastAsia" w:ascii="宋体" w:hAnsi="宋体"/>
          <w:b/>
          <w:sz w:val="32"/>
        </w:rPr>
        <w:t>二、评标方法</w:t>
      </w:r>
      <w:bookmarkEnd w:id="323"/>
    </w:p>
    <w:p>
      <w:pPr>
        <w:widowControl w:val="0"/>
        <w:autoSpaceDE w:val="0"/>
        <w:autoSpaceDN w:val="0"/>
        <w:adjustRightInd w:val="0"/>
        <w:snapToGrid w:val="0"/>
        <w:ind w:firstLine="0" w:firstLineChars="0"/>
        <w:jc w:val="center"/>
        <w:rPr>
          <w:rFonts w:ascii="宋体" w:hAnsi="宋体"/>
          <w:b/>
          <w:sz w:val="32"/>
        </w:rPr>
      </w:pPr>
      <w:r>
        <w:rPr>
          <w:rFonts w:hint="eastAsia" w:ascii="宋体" w:hAnsi="宋体"/>
          <w:b/>
          <w:sz w:val="32"/>
        </w:rPr>
        <w:t>（综合评分法）</w:t>
      </w:r>
    </w:p>
    <w:p>
      <w:pPr>
        <w:widowControl w:val="0"/>
        <w:autoSpaceDE w:val="0"/>
        <w:autoSpaceDN w:val="0"/>
        <w:adjustRightInd w:val="0"/>
        <w:snapToGrid w:val="0"/>
        <w:ind w:firstLine="0" w:firstLineChars="0"/>
        <w:jc w:val="left"/>
        <w:rPr>
          <w:rFonts w:ascii="宋体" w:hAnsi="宋体"/>
        </w:rPr>
      </w:pPr>
      <w:bookmarkStart w:id="324" w:name="_bookmark91"/>
      <w:bookmarkEnd w:id="324"/>
      <w:bookmarkStart w:id="325" w:name="_bookmark90"/>
      <w:bookmarkEnd w:id="325"/>
      <w:bookmarkStart w:id="326" w:name="_Toc229236501"/>
      <w:bookmarkStart w:id="327" w:name="_Toc209869262"/>
      <w:bookmarkStart w:id="328" w:name="_Toc177546571"/>
      <w:r>
        <w:rPr>
          <w:rFonts w:hint="eastAsia" w:ascii="宋体" w:hAnsi="宋体"/>
        </w:rPr>
        <w:t>本项目采用综合评分法，是指在最大限度地满足招标文件实质性要求前提下，按照招标文件规定的评审标准进行评审，按评审因素的量化指标评审，排序靠前的为中标候选人。</w:t>
      </w:r>
    </w:p>
    <w:p>
      <w:pPr>
        <w:widowControl w:val="0"/>
        <w:numPr>
          <w:ilvl w:val="0"/>
          <w:numId w:val="7"/>
        </w:numPr>
        <w:autoSpaceDE w:val="0"/>
        <w:autoSpaceDN w:val="0"/>
        <w:adjustRightInd w:val="0"/>
        <w:snapToGrid w:val="0"/>
        <w:ind w:firstLineChars="0"/>
        <w:jc w:val="left"/>
        <w:rPr>
          <w:rFonts w:ascii="宋体" w:hAnsi="宋体"/>
          <w:b/>
        </w:rPr>
      </w:pPr>
      <w:bookmarkStart w:id="329" w:name="_Toc523252726"/>
      <w:r>
        <w:rPr>
          <w:rFonts w:hint="eastAsia" w:ascii="宋体" w:hAnsi="宋体"/>
          <w:b/>
        </w:rPr>
        <w:t>评标程序</w:t>
      </w:r>
      <w:bookmarkEnd w:id="329"/>
    </w:p>
    <w:p>
      <w:pPr>
        <w:widowControl w:val="0"/>
        <w:numPr>
          <w:ilvl w:val="1"/>
          <w:numId w:val="7"/>
        </w:numPr>
        <w:autoSpaceDE w:val="0"/>
        <w:autoSpaceDN w:val="0"/>
        <w:adjustRightInd w:val="0"/>
        <w:snapToGrid w:val="0"/>
        <w:ind w:firstLineChars="0"/>
        <w:jc w:val="left"/>
        <w:rPr>
          <w:rFonts w:ascii="宋体" w:hAnsi="宋体"/>
          <w:b/>
        </w:rPr>
      </w:pPr>
      <w:r>
        <w:rPr>
          <w:rFonts w:ascii="宋体" w:hAnsi="宋体"/>
        </w:rPr>
        <w:t>初步评审</w:t>
      </w:r>
    </w:p>
    <w:p>
      <w:pPr>
        <w:widowControl w:val="0"/>
        <w:numPr>
          <w:ilvl w:val="2"/>
          <w:numId w:val="7"/>
        </w:numPr>
        <w:autoSpaceDE w:val="0"/>
        <w:autoSpaceDN w:val="0"/>
        <w:adjustRightInd w:val="0"/>
        <w:snapToGrid w:val="0"/>
        <w:ind w:firstLineChars="0"/>
        <w:jc w:val="left"/>
        <w:rPr>
          <w:rFonts w:ascii="宋体" w:hAnsi="宋体"/>
          <w:b/>
        </w:rPr>
      </w:pPr>
      <w:r>
        <w:rPr>
          <w:rFonts w:ascii="宋体" w:hAnsi="宋体"/>
        </w:rPr>
        <w:t>评标</w:t>
      </w:r>
      <w:r>
        <w:rPr>
          <w:rFonts w:hint="eastAsia" w:ascii="宋体" w:hAnsi="宋体"/>
          <w:lang w:val="en-US" w:eastAsia="zh-CN"/>
        </w:rPr>
        <w:t>小组</w:t>
      </w:r>
      <w:r>
        <w:rPr>
          <w:rFonts w:ascii="宋体" w:hAnsi="宋体"/>
        </w:rPr>
        <w:t>可以要求投标人提交第</w:t>
      </w:r>
      <w:r>
        <w:rPr>
          <w:rFonts w:hint="eastAsia" w:ascii="宋体" w:hAnsi="宋体"/>
        </w:rPr>
        <w:t>一</w:t>
      </w:r>
      <w:r>
        <w:rPr>
          <w:rFonts w:ascii="宋体" w:hAnsi="宋体"/>
        </w:rPr>
        <w:t>章“投标人须知”规定的有关证明和证件的原件，以便核验。评标</w:t>
      </w:r>
      <w:r>
        <w:rPr>
          <w:rFonts w:hint="eastAsia" w:ascii="宋体" w:hAnsi="宋体"/>
          <w:lang w:val="en-US" w:eastAsia="zh-CN"/>
        </w:rPr>
        <w:t>小组</w:t>
      </w:r>
      <w:r>
        <w:rPr>
          <w:rFonts w:ascii="宋体" w:hAnsi="宋体"/>
        </w:rPr>
        <w:t>依据本章规定的标准对投标文件进行初步评审</w:t>
      </w:r>
      <w:r>
        <w:rPr>
          <w:rFonts w:hint="eastAsia" w:ascii="宋体" w:hAnsi="宋体"/>
        </w:rPr>
        <w:t>，</w:t>
      </w:r>
      <w:r>
        <w:rPr>
          <w:rFonts w:ascii="宋体" w:hAnsi="宋体"/>
        </w:rPr>
        <w:t>有一项不符合评审标准的，评标</w:t>
      </w:r>
      <w:r>
        <w:rPr>
          <w:rFonts w:hint="eastAsia" w:ascii="宋体" w:hAnsi="宋体"/>
          <w:lang w:val="en-US" w:eastAsia="zh-CN"/>
        </w:rPr>
        <w:t>小组</w:t>
      </w:r>
      <w:r>
        <w:rPr>
          <w:rFonts w:ascii="宋体" w:hAnsi="宋体"/>
        </w:rPr>
        <w:t>应当否决其投标。初步评审的结论是“通过”或“不通过”，只有</w:t>
      </w:r>
      <w:r>
        <w:rPr>
          <w:rFonts w:hint="eastAsia" w:ascii="宋体" w:hAnsi="宋体"/>
        </w:rPr>
        <w:t>结论为</w:t>
      </w:r>
      <w:r>
        <w:rPr>
          <w:rFonts w:ascii="宋体" w:hAnsi="宋体"/>
        </w:rPr>
        <w:t>“通过”的投标方能进入下一阶段的评标，否则其投标将按</w:t>
      </w:r>
      <w:r>
        <w:rPr>
          <w:rFonts w:hint="eastAsia" w:ascii="宋体" w:hAnsi="宋体"/>
        </w:rPr>
        <w:t>废</w:t>
      </w:r>
      <w:r>
        <w:rPr>
          <w:rFonts w:ascii="宋体" w:hAnsi="宋体"/>
        </w:rPr>
        <w:t>标处理。</w:t>
      </w:r>
    </w:p>
    <w:p>
      <w:pPr>
        <w:widowControl w:val="0"/>
        <w:numPr>
          <w:ilvl w:val="1"/>
          <w:numId w:val="7"/>
        </w:numPr>
        <w:autoSpaceDE w:val="0"/>
        <w:autoSpaceDN w:val="0"/>
        <w:adjustRightInd w:val="0"/>
        <w:snapToGrid w:val="0"/>
        <w:ind w:firstLineChars="0"/>
        <w:jc w:val="left"/>
        <w:rPr>
          <w:rFonts w:ascii="宋体" w:hAnsi="宋体"/>
        </w:rPr>
      </w:pPr>
      <w:bookmarkStart w:id="330" w:name="_bookmark89"/>
      <w:bookmarkEnd w:id="330"/>
      <w:r>
        <w:rPr>
          <w:rFonts w:ascii="宋体" w:hAnsi="宋体"/>
        </w:rPr>
        <w:t>详细评审</w:t>
      </w:r>
    </w:p>
    <w:p>
      <w:pPr>
        <w:widowControl w:val="0"/>
        <w:numPr>
          <w:ilvl w:val="2"/>
          <w:numId w:val="7"/>
        </w:numPr>
        <w:autoSpaceDE w:val="0"/>
        <w:autoSpaceDN w:val="0"/>
        <w:adjustRightInd w:val="0"/>
        <w:snapToGrid w:val="0"/>
        <w:ind w:firstLineChars="0"/>
        <w:jc w:val="left"/>
        <w:rPr>
          <w:rFonts w:ascii="宋体" w:hAnsi="宋体"/>
        </w:rPr>
      </w:pPr>
      <w:r>
        <w:rPr>
          <w:rFonts w:ascii="宋体" w:hAnsi="宋体"/>
        </w:rPr>
        <w:t>评标</w:t>
      </w:r>
      <w:r>
        <w:rPr>
          <w:rFonts w:hint="eastAsia" w:ascii="宋体" w:hAnsi="宋体"/>
          <w:lang w:val="en-US" w:eastAsia="zh-CN"/>
        </w:rPr>
        <w:t>小组</w:t>
      </w:r>
      <w:r>
        <w:rPr>
          <w:rFonts w:ascii="宋体" w:hAnsi="宋体"/>
          <w:spacing w:val="-3"/>
        </w:rPr>
        <w:t>按</w:t>
      </w:r>
      <w:r>
        <w:rPr>
          <w:rFonts w:ascii="宋体" w:hAnsi="宋体"/>
        </w:rPr>
        <w:t>本</w:t>
      </w:r>
      <w:r>
        <w:rPr>
          <w:rFonts w:ascii="宋体" w:hAnsi="宋体"/>
          <w:spacing w:val="-3"/>
        </w:rPr>
        <w:t>章</w:t>
      </w:r>
      <w:r>
        <w:rPr>
          <w:rFonts w:ascii="宋体" w:hAnsi="宋体"/>
        </w:rPr>
        <w:t>规</w:t>
      </w:r>
      <w:r>
        <w:rPr>
          <w:rFonts w:ascii="宋体" w:hAnsi="宋体"/>
          <w:spacing w:val="-3"/>
        </w:rPr>
        <w:t>定</w:t>
      </w:r>
      <w:r>
        <w:rPr>
          <w:rFonts w:ascii="宋体" w:hAnsi="宋体"/>
        </w:rPr>
        <w:t>的</w:t>
      </w:r>
      <w:r>
        <w:rPr>
          <w:rFonts w:ascii="宋体" w:hAnsi="宋体"/>
          <w:spacing w:val="-3"/>
        </w:rPr>
        <w:t>量</w:t>
      </w:r>
      <w:r>
        <w:rPr>
          <w:rFonts w:ascii="宋体" w:hAnsi="宋体"/>
        </w:rPr>
        <w:t>化</w:t>
      </w:r>
      <w:r>
        <w:rPr>
          <w:rFonts w:ascii="宋体" w:hAnsi="宋体"/>
          <w:spacing w:val="-3"/>
        </w:rPr>
        <w:t>因</w:t>
      </w:r>
      <w:r>
        <w:rPr>
          <w:rFonts w:ascii="宋体" w:hAnsi="宋体"/>
        </w:rPr>
        <w:t>素</w:t>
      </w:r>
      <w:r>
        <w:rPr>
          <w:rFonts w:ascii="宋体" w:hAnsi="宋体"/>
          <w:spacing w:val="-3"/>
        </w:rPr>
        <w:t>和</w:t>
      </w:r>
      <w:r>
        <w:rPr>
          <w:rFonts w:ascii="宋体" w:hAnsi="宋体"/>
        </w:rPr>
        <w:t>分值</w:t>
      </w:r>
      <w:r>
        <w:rPr>
          <w:rFonts w:ascii="宋体" w:hAnsi="宋体"/>
          <w:spacing w:val="-3"/>
        </w:rPr>
        <w:t>进</w:t>
      </w:r>
      <w:r>
        <w:rPr>
          <w:rFonts w:ascii="宋体" w:hAnsi="宋体"/>
        </w:rPr>
        <w:t>行</w:t>
      </w:r>
      <w:r>
        <w:rPr>
          <w:rFonts w:ascii="宋体" w:hAnsi="宋体"/>
          <w:spacing w:val="-3"/>
        </w:rPr>
        <w:t>打</w:t>
      </w:r>
      <w:r>
        <w:rPr>
          <w:rFonts w:ascii="宋体" w:hAnsi="宋体"/>
        </w:rPr>
        <w:t>分</w:t>
      </w:r>
      <w:r>
        <w:rPr>
          <w:rFonts w:hint="eastAsia" w:ascii="宋体" w:hAnsi="宋体"/>
        </w:rPr>
        <w:t>，</w:t>
      </w:r>
      <w:r>
        <w:rPr>
          <w:rFonts w:ascii="宋体" w:hAnsi="宋体"/>
        </w:rPr>
        <w:t>并</w:t>
      </w:r>
      <w:r>
        <w:rPr>
          <w:rFonts w:ascii="宋体" w:hAnsi="宋体"/>
          <w:spacing w:val="-3"/>
        </w:rPr>
        <w:t>计</w:t>
      </w:r>
      <w:r>
        <w:rPr>
          <w:rFonts w:ascii="宋体" w:hAnsi="宋体"/>
        </w:rPr>
        <w:t>算</w:t>
      </w:r>
      <w:r>
        <w:rPr>
          <w:rFonts w:ascii="宋体" w:hAnsi="宋体"/>
          <w:spacing w:val="-3"/>
        </w:rPr>
        <w:t>出综</w:t>
      </w:r>
      <w:r>
        <w:rPr>
          <w:rFonts w:ascii="宋体" w:hAnsi="宋体"/>
        </w:rPr>
        <w:t>合评</w:t>
      </w:r>
      <w:r>
        <w:rPr>
          <w:rFonts w:ascii="宋体" w:hAnsi="宋体"/>
          <w:spacing w:val="-3"/>
        </w:rPr>
        <w:t>估</w:t>
      </w:r>
      <w:r>
        <w:rPr>
          <w:rFonts w:ascii="宋体" w:hAnsi="宋体"/>
        </w:rPr>
        <w:t>得</w:t>
      </w:r>
      <w:r>
        <w:rPr>
          <w:rFonts w:ascii="宋体" w:hAnsi="宋体"/>
          <w:spacing w:val="-3"/>
        </w:rPr>
        <w:t>分</w:t>
      </w:r>
      <w:r>
        <w:rPr>
          <w:rFonts w:ascii="宋体" w:hAnsi="宋体"/>
        </w:rPr>
        <w:t>。</w:t>
      </w:r>
    </w:p>
    <w:p>
      <w:pPr>
        <w:widowControl w:val="0"/>
        <w:numPr>
          <w:ilvl w:val="3"/>
          <w:numId w:val="7"/>
        </w:numPr>
        <w:autoSpaceDE w:val="0"/>
        <w:autoSpaceDN w:val="0"/>
        <w:adjustRightInd w:val="0"/>
        <w:snapToGrid w:val="0"/>
        <w:ind w:firstLineChars="0"/>
        <w:jc w:val="left"/>
        <w:rPr>
          <w:rFonts w:ascii="宋体" w:hAnsi="宋体"/>
        </w:rPr>
      </w:pPr>
      <w:r>
        <w:rPr>
          <w:rFonts w:ascii="宋体" w:hAnsi="宋体"/>
        </w:rPr>
        <w:t>按本章商务</w:t>
      </w:r>
      <w:r>
        <w:rPr>
          <w:rFonts w:hint="eastAsia" w:ascii="宋体" w:hAnsi="宋体"/>
        </w:rPr>
        <w:t>标评审标准</w:t>
      </w:r>
      <w:r>
        <w:rPr>
          <w:rFonts w:ascii="宋体" w:hAnsi="宋体"/>
        </w:rPr>
        <w:t>规定的评审因素和分值对商务部分计算出得分A；</w:t>
      </w:r>
    </w:p>
    <w:p>
      <w:pPr>
        <w:widowControl w:val="0"/>
        <w:numPr>
          <w:ilvl w:val="3"/>
          <w:numId w:val="7"/>
        </w:numPr>
        <w:autoSpaceDE w:val="0"/>
        <w:autoSpaceDN w:val="0"/>
        <w:adjustRightInd w:val="0"/>
        <w:snapToGrid w:val="0"/>
        <w:ind w:firstLineChars="0"/>
        <w:jc w:val="left"/>
        <w:rPr>
          <w:rFonts w:ascii="宋体" w:hAnsi="宋体"/>
        </w:rPr>
      </w:pPr>
      <w:r>
        <w:rPr>
          <w:rFonts w:ascii="宋体" w:hAnsi="宋体"/>
        </w:rPr>
        <w:t>按本章技术</w:t>
      </w:r>
      <w:r>
        <w:rPr>
          <w:rFonts w:hint="eastAsia" w:ascii="宋体" w:hAnsi="宋体"/>
        </w:rPr>
        <w:t>标评审标准</w:t>
      </w:r>
      <w:r>
        <w:rPr>
          <w:rFonts w:ascii="宋体" w:hAnsi="宋体"/>
        </w:rPr>
        <w:t>规定的评审因素和分值对技术部分计算出得分B；</w:t>
      </w:r>
    </w:p>
    <w:p>
      <w:pPr>
        <w:widowControl w:val="0"/>
        <w:numPr>
          <w:ilvl w:val="3"/>
          <w:numId w:val="7"/>
        </w:numPr>
        <w:autoSpaceDE w:val="0"/>
        <w:autoSpaceDN w:val="0"/>
        <w:adjustRightInd w:val="0"/>
        <w:snapToGrid w:val="0"/>
        <w:ind w:firstLineChars="0"/>
        <w:jc w:val="left"/>
        <w:rPr>
          <w:rFonts w:ascii="宋体" w:hAnsi="宋体"/>
        </w:rPr>
      </w:pPr>
      <w:r>
        <w:rPr>
          <w:rFonts w:ascii="宋体" w:hAnsi="宋体"/>
        </w:rPr>
        <w:t>按本章</w:t>
      </w:r>
      <w:r>
        <w:rPr>
          <w:rFonts w:hint="eastAsia" w:ascii="宋体" w:hAnsi="宋体"/>
        </w:rPr>
        <w:t>价格标评审方法</w:t>
      </w:r>
      <w:r>
        <w:rPr>
          <w:rFonts w:ascii="宋体" w:hAnsi="宋体"/>
        </w:rPr>
        <w:t>规定的评审因素和分值对投标报价计算出得分C；</w:t>
      </w:r>
    </w:p>
    <w:p>
      <w:pPr>
        <w:widowControl w:val="0"/>
        <w:numPr>
          <w:ilvl w:val="3"/>
          <w:numId w:val="7"/>
        </w:numPr>
        <w:autoSpaceDE w:val="0"/>
        <w:autoSpaceDN w:val="0"/>
        <w:adjustRightInd w:val="0"/>
        <w:snapToGrid w:val="0"/>
        <w:ind w:firstLineChars="0"/>
        <w:jc w:val="left"/>
        <w:rPr>
          <w:rFonts w:ascii="宋体" w:hAnsi="宋体"/>
        </w:rPr>
      </w:pPr>
      <w:r>
        <w:rPr>
          <w:rFonts w:ascii="宋体" w:hAnsi="宋体"/>
        </w:rPr>
        <w:t>评分分值计算保留小数点后两位，小数点后第三位“四舍五入”。</w:t>
      </w:r>
    </w:p>
    <w:p>
      <w:pPr>
        <w:widowControl w:val="0"/>
        <w:numPr>
          <w:ilvl w:val="2"/>
          <w:numId w:val="7"/>
        </w:numPr>
        <w:autoSpaceDE w:val="0"/>
        <w:autoSpaceDN w:val="0"/>
        <w:adjustRightInd w:val="0"/>
        <w:snapToGrid w:val="0"/>
        <w:ind w:firstLineChars="0"/>
        <w:jc w:val="left"/>
        <w:rPr>
          <w:rFonts w:ascii="宋体" w:hAnsi="宋体"/>
        </w:rPr>
      </w:pPr>
      <w:r>
        <w:rPr>
          <w:rFonts w:ascii="宋体" w:hAnsi="宋体"/>
        </w:rPr>
        <w:t>投标人得分=A+B+C。</w:t>
      </w:r>
    </w:p>
    <w:p>
      <w:pPr>
        <w:widowControl w:val="0"/>
        <w:numPr>
          <w:ilvl w:val="2"/>
          <w:numId w:val="7"/>
        </w:numPr>
        <w:autoSpaceDE w:val="0"/>
        <w:autoSpaceDN w:val="0"/>
        <w:adjustRightInd w:val="0"/>
        <w:snapToGrid w:val="0"/>
        <w:ind w:firstLineChars="0"/>
        <w:jc w:val="left"/>
        <w:rPr>
          <w:rFonts w:ascii="宋体" w:hAnsi="宋体"/>
        </w:rPr>
      </w:pPr>
      <w:r>
        <w:rPr>
          <w:rFonts w:ascii="宋体" w:hAnsi="宋体"/>
        </w:rPr>
        <w:t>评标</w:t>
      </w:r>
      <w:r>
        <w:rPr>
          <w:rFonts w:hint="eastAsia" w:ascii="宋体" w:hAnsi="宋体"/>
          <w:lang w:val="en-US" w:eastAsia="zh-CN"/>
        </w:rPr>
        <w:t>小组</w:t>
      </w:r>
      <w:r>
        <w:rPr>
          <w:rFonts w:ascii="宋体" w:hAnsi="宋体"/>
          <w:spacing w:val="-4"/>
        </w:rPr>
        <w:t>发现投标人的报价明显低于其他投标报价，使得其投标报价可能低于其</w:t>
      </w:r>
      <w:r>
        <w:rPr>
          <w:rFonts w:ascii="宋体" w:hAnsi="宋体"/>
          <w:spacing w:val="-1"/>
        </w:rPr>
        <w:t>成本的，应当要求该投标人作出书面说明并提供相应的证明材料。投标人不能合理说明或者</w:t>
      </w:r>
      <w:r>
        <w:rPr>
          <w:rFonts w:ascii="宋体" w:hAnsi="宋体"/>
          <w:spacing w:val="-6"/>
        </w:rPr>
        <w:t>不能提供相应证明材料的，</w:t>
      </w:r>
      <w:r>
        <w:rPr>
          <w:rFonts w:hint="eastAsia" w:ascii="宋体" w:hAnsi="宋体"/>
          <w:spacing w:val="-6"/>
        </w:rPr>
        <w:t>由</w:t>
      </w:r>
      <w:r>
        <w:rPr>
          <w:rFonts w:ascii="宋体" w:hAnsi="宋体"/>
        </w:rPr>
        <w:t>评标</w:t>
      </w:r>
      <w:r>
        <w:rPr>
          <w:rFonts w:hint="eastAsia" w:ascii="宋体" w:hAnsi="宋体"/>
          <w:lang w:val="en-US" w:eastAsia="zh-CN"/>
        </w:rPr>
        <w:t>小组</w:t>
      </w:r>
      <w:r>
        <w:rPr>
          <w:rFonts w:ascii="宋体" w:hAnsi="宋体"/>
          <w:spacing w:val="-6"/>
        </w:rPr>
        <w:t>认定该投标人以低于成本报价竞标，并否决其投标。</w:t>
      </w:r>
    </w:p>
    <w:p>
      <w:pPr>
        <w:widowControl w:val="0"/>
        <w:numPr>
          <w:ilvl w:val="1"/>
          <w:numId w:val="7"/>
        </w:numPr>
        <w:autoSpaceDE w:val="0"/>
        <w:autoSpaceDN w:val="0"/>
        <w:adjustRightInd w:val="0"/>
        <w:snapToGrid w:val="0"/>
        <w:ind w:firstLineChars="0"/>
        <w:jc w:val="left"/>
        <w:rPr>
          <w:rFonts w:ascii="宋体" w:hAnsi="宋体"/>
        </w:rPr>
      </w:pPr>
      <w:r>
        <w:rPr>
          <w:rFonts w:ascii="宋体" w:hAnsi="宋体"/>
        </w:rPr>
        <w:t>投标文件的澄清</w:t>
      </w:r>
    </w:p>
    <w:p>
      <w:pPr>
        <w:widowControl w:val="0"/>
        <w:numPr>
          <w:ilvl w:val="2"/>
          <w:numId w:val="7"/>
        </w:numPr>
        <w:autoSpaceDE w:val="0"/>
        <w:autoSpaceDN w:val="0"/>
        <w:adjustRightInd w:val="0"/>
        <w:snapToGrid w:val="0"/>
        <w:ind w:firstLineChars="0"/>
        <w:jc w:val="left"/>
        <w:rPr>
          <w:rFonts w:ascii="宋体" w:hAnsi="宋体"/>
        </w:rPr>
      </w:pPr>
      <w:r>
        <w:rPr>
          <w:rFonts w:ascii="宋体" w:hAnsi="宋体"/>
          <w:spacing w:val="-4"/>
        </w:rPr>
        <w:t>在评标过程中，</w:t>
      </w:r>
      <w:r>
        <w:rPr>
          <w:rFonts w:ascii="宋体" w:hAnsi="宋体"/>
        </w:rPr>
        <w:t>评标</w:t>
      </w:r>
      <w:r>
        <w:rPr>
          <w:rFonts w:hint="eastAsia" w:ascii="宋体" w:hAnsi="宋体"/>
          <w:lang w:val="en-US" w:eastAsia="zh-CN"/>
        </w:rPr>
        <w:t>小组</w:t>
      </w:r>
      <w:r>
        <w:rPr>
          <w:rFonts w:ascii="宋体" w:hAnsi="宋体"/>
          <w:spacing w:val="-4"/>
        </w:rPr>
        <w:t>可以书面形式要求投标人对投标文件中含义不明确、对同</w:t>
      </w:r>
      <w:r>
        <w:rPr>
          <w:rFonts w:ascii="宋体" w:hAnsi="宋体"/>
          <w:spacing w:val="-1"/>
        </w:rPr>
        <w:t>类问题表述不一致或者有明显文字和计算错误的内容作必要的澄清、说明或补正。澄清、说明</w:t>
      </w:r>
      <w:r>
        <w:rPr>
          <w:rFonts w:ascii="宋体" w:hAnsi="宋体"/>
        </w:rPr>
        <w:t>或补正应以</w:t>
      </w:r>
      <w:r>
        <w:rPr>
          <w:rFonts w:hint="eastAsia" w:ascii="宋体" w:hAnsi="宋体"/>
        </w:rPr>
        <w:t>书面方式</w:t>
      </w:r>
      <w:r>
        <w:rPr>
          <w:rFonts w:ascii="宋体" w:hAnsi="宋体"/>
        </w:rPr>
        <w:t>进行。评标</w:t>
      </w:r>
      <w:r>
        <w:rPr>
          <w:rFonts w:hint="eastAsia" w:ascii="宋体" w:hAnsi="宋体"/>
          <w:lang w:val="en-US" w:eastAsia="zh-CN"/>
        </w:rPr>
        <w:t>小组</w:t>
      </w:r>
      <w:r>
        <w:rPr>
          <w:rFonts w:ascii="宋体" w:hAnsi="宋体"/>
        </w:rPr>
        <w:t>不接受投标人主动提出的澄清、说明或补正。</w:t>
      </w:r>
    </w:p>
    <w:p>
      <w:pPr>
        <w:widowControl w:val="0"/>
        <w:numPr>
          <w:ilvl w:val="2"/>
          <w:numId w:val="7"/>
        </w:numPr>
        <w:autoSpaceDE w:val="0"/>
        <w:autoSpaceDN w:val="0"/>
        <w:adjustRightInd w:val="0"/>
        <w:snapToGrid w:val="0"/>
        <w:ind w:firstLineChars="0"/>
        <w:jc w:val="left"/>
        <w:rPr>
          <w:rFonts w:ascii="宋体" w:hAnsi="宋体"/>
        </w:rPr>
      </w:pPr>
      <w:r>
        <w:rPr>
          <w:rFonts w:ascii="宋体" w:hAnsi="宋体"/>
          <w:spacing w:val="-4"/>
        </w:rPr>
        <w:t>澄清、说明或补正不得超出投标文件的范围且不得改变投标文件的实质性内容，并构</w:t>
      </w:r>
      <w:r>
        <w:rPr>
          <w:rFonts w:ascii="宋体" w:hAnsi="宋体"/>
        </w:rPr>
        <w:t>成投标文件的组成部分。</w:t>
      </w:r>
    </w:p>
    <w:p>
      <w:pPr>
        <w:widowControl w:val="0"/>
        <w:numPr>
          <w:ilvl w:val="2"/>
          <w:numId w:val="7"/>
        </w:numPr>
        <w:autoSpaceDE w:val="0"/>
        <w:autoSpaceDN w:val="0"/>
        <w:adjustRightInd w:val="0"/>
        <w:snapToGrid w:val="0"/>
        <w:ind w:firstLineChars="0"/>
        <w:jc w:val="left"/>
        <w:rPr>
          <w:rFonts w:ascii="宋体" w:hAnsi="宋体"/>
        </w:rPr>
      </w:pPr>
      <w:r>
        <w:rPr>
          <w:rFonts w:ascii="宋体" w:hAnsi="宋体"/>
        </w:rPr>
        <w:t>评标</w:t>
      </w:r>
      <w:r>
        <w:rPr>
          <w:rFonts w:hint="eastAsia" w:ascii="宋体" w:hAnsi="宋体"/>
          <w:lang w:val="en-US" w:eastAsia="zh-CN"/>
        </w:rPr>
        <w:t>小组</w:t>
      </w:r>
      <w:r>
        <w:rPr>
          <w:rFonts w:ascii="宋体" w:hAnsi="宋体"/>
          <w:spacing w:val="-7"/>
        </w:rPr>
        <w:t>对投标人提交的澄清、说明或补正有疑问的，可以要求投标人进一步澄清、</w:t>
      </w:r>
      <w:r>
        <w:rPr>
          <w:rFonts w:ascii="宋体" w:hAnsi="宋体"/>
        </w:rPr>
        <w:t>说明或补正，直至满足评标委员会的要求。</w:t>
      </w:r>
    </w:p>
    <w:p>
      <w:pPr>
        <w:widowControl w:val="0"/>
        <w:numPr>
          <w:ilvl w:val="2"/>
          <w:numId w:val="7"/>
        </w:numPr>
        <w:autoSpaceDE w:val="0"/>
        <w:autoSpaceDN w:val="0"/>
        <w:adjustRightInd w:val="0"/>
        <w:snapToGrid w:val="0"/>
        <w:ind w:firstLineChars="0"/>
        <w:jc w:val="left"/>
        <w:rPr>
          <w:rFonts w:ascii="宋体" w:hAnsi="宋体"/>
        </w:rPr>
      </w:pPr>
      <w:r>
        <w:rPr>
          <w:rFonts w:hint="eastAsia" w:ascii="宋体" w:hAnsi="宋体"/>
        </w:rPr>
        <w:t>投标文件存在投标报价问题的，</w:t>
      </w:r>
      <w:r>
        <w:rPr>
          <w:rFonts w:ascii="宋体" w:hAnsi="宋体"/>
        </w:rPr>
        <w:t>评标</w:t>
      </w:r>
      <w:r>
        <w:rPr>
          <w:rFonts w:hint="eastAsia" w:ascii="宋体" w:hAnsi="宋体"/>
          <w:lang w:val="en-US" w:eastAsia="zh-CN"/>
        </w:rPr>
        <w:t>小组</w:t>
      </w:r>
      <w:r>
        <w:rPr>
          <w:rFonts w:hint="eastAsia" w:ascii="宋体" w:hAnsi="宋体"/>
        </w:rPr>
        <w:t>可以进行投标报价的算术修正，投标报价算术修正按有利于招标人的原则进行，具体修正原则详见本章《价格标评审方法》。修正后的投标报价经投标人同意后，对投标人起约束作用。如果投标人不接受修正后的报价，其投标将被拒绝。</w:t>
      </w:r>
    </w:p>
    <w:p>
      <w:pPr>
        <w:widowControl w:val="0"/>
        <w:numPr>
          <w:ilvl w:val="1"/>
          <w:numId w:val="7"/>
        </w:numPr>
        <w:autoSpaceDE w:val="0"/>
        <w:autoSpaceDN w:val="0"/>
        <w:adjustRightInd w:val="0"/>
        <w:snapToGrid w:val="0"/>
        <w:ind w:firstLineChars="0"/>
        <w:jc w:val="left"/>
        <w:rPr>
          <w:rFonts w:ascii="宋体" w:hAnsi="宋体"/>
        </w:rPr>
      </w:pPr>
      <w:r>
        <w:rPr>
          <w:rFonts w:ascii="宋体" w:hAnsi="宋体"/>
        </w:rPr>
        <w:t>评标结果</w:t>
      </w:r>
    </w:p>
    <w:p>
      <w:pPr>
        <w:widowControl w:val="0"/>
        <w:numPr>
          <w:ilvl w:val="2"/>
          <w:numId w:val="7"/>
        </w:numPr>
        <w:autoSpaceDE w:val="0"/>
        <w:autoSpaceDN w:val="0"/>
        <w:adjustRightInd w:val="0"/>
        <w:snapToGrid w:val="0"/>
        <w:ind w:firstLineChars="0"/>
        <w:jc w:val="left"/>
        <w:rPr>
          <w:rFonts w:ascii="宋体" w:hAnsi="宋体"/>
        </w:rPr>
      </w:pPr>
      <w:r>
        <w:rPr>
          <w:rFonts w:ascii="宋体" w:hAnsi="宋体"/>
        </w:rPr>
        <w:t>除第</w:t>
      </w:r>
      <w:r>
        <w:rPr>
          <w:rFonts w:hint="eastAsia" w:ascii="宋体" w:hAnsi="宋体"/>
        </w:rPr>
        <w:t>一</w:t>
      </w:r>
      <w:r>
        <w:rPr>
          <w:rFonts w:ascii="宋体" w:hAnsi="宋体"/>
        </w:rPr>
        <w:t>章</w:t>
      </w:r>
      <w:r>
        <w:rPr>
          <w:rFonts w:ascii="宋体" w:hAnsi="宋体"/>
          <w:iCs/>
        </w:rPr>
        <w:t>“投标人须知”</w:t>
      </w:r>
      <w:r>
        <w:rPr>
          <w:rFonts w:ascii="宋体" w:hAnsi="宋体"/>
        </w:rPr>
        <w:t>前附表授权直接确定中标人外，评标</w:t>
      </w:r>
      <w:r>
        <w:rPr>
          <w:rFonts w:hint="eastAsia" w:ascii="宋体" w:hAnsi="宋体"/>
          <w:lang w:val="en-US" w:eastAsia="zh-CN"/>
        </w:rPr>
        <w:t>小组</w:t>
      </w:r>
      <w:r>
        <w:rPr>
          <w:rFonts w:ascii="宋体" w:hAnsi="宋体"/>
        </w:rPr>
        <w:t>按照得分由高到低的顺序推荐中标人，并标明排序。</w:t>
      </w:r>
    </w:p>
    <w:p>
      <w:pPr>
        <w:widowControl w:val="0"/>
        <w:numPr>
          <w:ilvl w:val="2"/>
          <w:numId w:val="7"/>
        </w:numPr>
        <w:autoSpaceDE w:val="0"/>
        <w:autoSpaceDN w:val="0"/>
        <w:adjustRightInd w:val="0"/>
        <w:snapToGrid w:val="0"/>
        <w:ind w:firstLineChars="0"/>
        <w:jc w:val="left"/>
        <w:rPr>
          <w:rFonts w:ascii="宋体" w:hAnsi="宋体"/>
        </w:rPr>
      </w:pPr>
      <w:r>
        <w:rPr>
          <w:rFonts w:ascii="宋体" w:hAnsi="宋体"/>
        </w:rPr>
        <w:t>评标委员会完成评标后，应当向招标人提交书面评标报告和中标人名单。</w:t>
      </w:r>
    </w:p>
    <w:p>
      <w:pPr>
        <w:widowControl w:val="0"/>
        <w:autoSpaceDE w:val="0"/>
        <w:autoSpaceDN w:val="0"/>
        <w:adjustRightInd w:val="0"/>
        <w:snapToGrid w:val="0"/>
        <w:ind w:firstLine="0" w:firstLineChars="0"/>
        <w:jc w:val="left"/>
        <w:rPr>
          <w:rFonts w:hint="eastAsia" w:ascii="宋体" w:hAnsi="宋体"/>
        </w:rPr>
      </w:pPr>
    </w:p>
    <w:p>
      <w:pPr>
        <w:widowControl w:val="0"/>
        <w:numPr>
          <w:ilvl w:val="0"/>
          <w:numId w:val="7"/>
        </w:numPr>
        <w:autoSpaceDE w:val="0"/>
        <w:autoSpaceDN w:val="0"/>
        <w:adjustRightInd w:val="0"/>
        <w:snapToGrid w:val="0"/>
        <w:ind w:firstLineChars="0"/>
        <w:jc w:val="left"/>
        <w:rPr>
          <w:rFonts w:ascii="宋体" w:hAnsi="宋体"/>
          <w:b/>
          <w:szCs w:val="21"/>
        </w:rPr>
      </w:pPr>
      <w:r>
        <w:rPr>
          <w:rFonts w:hint="eastAsia" w:ascii="宋体" w:hAnsi="宋体"/>
          <w:b/>
          <w:szCs w:val="21"/>
        </w:rPr>
        <w:t>中标人的</w:t>
      </w:r>
      <w:r>
        <w:rPr>
          <w:rFonts w:hint="eastAsia" w:ascii="宋体" w:hAnsi="宋体"/>
          <w:b/>
          <w:szCs w:val="21"/>
          <w:lang w:val="en-US" w:eastAsia="zh-CN"/>
        </w:rPr>
        <w:t>确定</w:t>
      </w:r>
    </w:p>
    <w:p>
      <w:pPr>
        <w:widowControl w:val="0"/>
        <w:numPr>
          <w:ilvl w:val="1"/>
          <w:numId w:val="7"/>
        </w:numPr>
        <w:autoSpaceDE w:val="0"/>
        <w:autoSpaceDN w:val="0"/>
        <w:adjustRightInd w:val="0"/>
        <w:snapToGrid w:val="0"/>
        <w:ind w:firstLineChars="0"/>
        <w:jc w:val="left"/>
        <w:rPr>
          <w:rFonts w:ascii="宋体" w:hAnsi="宋体"/>
          <w:b/>
          <w:szCs w:val="21"/>
        </w:rPr>
      </w:pPr>
      <w:r>
        <w:rPr>
          <w:rFonts w:hint="eastAsia" w:ascii="宋体" w:hAnsi="宋体"/>
          <w:szCs w:val="21"/>
        </w:rPr>
        <w:t>按评审综合得分从高至低的顺序进行排序，总得分排名第一的</w:t>
      </w:r>
      <w:r>
        <w:rPr>
          <w:rFonts w:hint="eastAsia" w:ascii="宋体" w:hAnsi="宋体"/>
          <w:szCs w:val="21"/>
          <w:lang w:val="en-US" w:eastAsia="zh-CN"/>
        </w:rPr>
        <w:t>为</w:t>
      </w:r>
      <w:r>
        <w:rPr>
          <w:rFonts w:hint="eastAsia" w:ascii="宋体" w:hAnsi="宋体"/>
          <w:szCs w:val="21"/>
        </w:rPr>
        <w:t>中标候选人，</w:t>
      </w:r>
      <w:r>
        <w:rPr>
          <w:rFonts w:hint="eastAsia" w:ascii="宋体" w:hAnsi="宋体"/>
          <w:szCs w:val="21"/>
          <w:lang w:val="en-US" w:eastAsia="zh-CN"/>
        </w:rPr>
        <w:t>经评审小组集体表决后，</w:t>
      </w:r>
      <w:r>
        <w:rPr>
          <w:rFonts w:hint="eastAsia" w:ascii="宋体" w:hAnsi="宋体"/>
          <w:szCs w:val="21"/>
        </w:rPr>
        <w:t>形成评标报告。</w:t>
      </w:r>
    </w:p>
    <w:p>
      <w:pPr>
        <w:widowControl w:val="0"/>
        <w:numPr>
          <w:ilvl w:val="1"/>
          <w:numId w:val="7"/>
        </w:numPr>
        <w:autoSpaceDE w:val="0"/>
        <w:autoSpaceDN w:val="0"/>
        <w:adjustRightInd w:val="0"/>
        <w:snapToGrid w:val="0"/>
        <w:ind w:firstLineChars="0"/>
        <w:jc w:val="left"/>
        <w:rPr>
          <w:rFonts w:ascii="宋体" w:hAnsi="宋体"/>
          <w:szCs w:val="21"/>
        </w:rPr>
      </w:pPr>
      <w:r>
        <w:rPr>
          <w:rFonts w:hint="eastAsia" w:ascii="宋体" w:hAnsi="宋体"/>
          <w:szCs w:val="21"/>
        </w:rPr>
        <w:t>评审得分相同的，由</w:t>
      </w:r>
      <w:r>
        <w:rPr>
          <w:rFonts w:ascii="宋体" w:hAnsi="宋体"/>
        </w:rPr>
        <w:t>评标</w:t>
      </w:r>
      <w:r>
        <w:rPr>
          <w:rFonts w:hint="eastAsia" w:ascii="宋体" w:hAnsi="宋体"/>
          <w:lang w:val="en-US" w:eastAsia="zh-CN"/>
        </w:rPr>
        <w:t>小组按照</w:t>
      </w:r>
      <w:r>
        <w:rPr>
          <w:rFonts w:hint="eastAsia" w:hAnsi="宋体" w:eastAsia="宋体" w:cs="宋体"/>
          <w:bCs/>
          <w:color w:val="595959" w:themeColor="text1" w:themeTint="A6"/>
          <w:highlight w:val="none"/>
          <w14:textFill>
            <w14:solidFill>
              <w14:schemeClr w14:val="tx1">
                <w14:lumMod w14:val="65000"/>
                <w14:lumOff w14:val="35000"/>
              </w14:schemeClr>
            </w14:solidFill>
          </w14:textFill>
        </w:rPr>
        <w:t>商务得分高者优先选择，商务得分也相同的，报价低者优先选择，若价格也相同，则抽签</w:t>
      </w:r>
      <w:r>
        <w:rPr>
          <w:rFonts w:hint="eastAsia" w:ascii="宋体" w:hAnsi="宋体"/>
          <w:szCs w:val="21"/>
          <w:lang w:val="en-US" w:eastAsia="zh-CN"/>
        </w:rPr>
        <w:t>确定中标</w:t>
      </w:r>
      <w:r>
        <w:rPr>
          <w:rFonts w:hint="eastAsia" w:ascii="宋体" w:hAnsi="宋体"/>
          <w:szCs w:val="21"/>
        </w:rPr>
        <w:t>人。</w:t>
      </w:r>
    </w:p>
    <w:p>
      <w:pPr>
        <w:widowControl w:val="0"/>
        <w:autoSpaceDE w:val="0"/>
        <w:autoSpaceDN w:val="0"/>
        <w:adjustRightInd w:val="0"/>
        <w:snapToGrid w:val="0"/>
        <w:ind w:firstLine="0" w:firstLineChars="0"/>
        <w:jc w:val="left"/>
        <w:rPr>
          <w:rFonts w:hint="eastAsia" w:ascii="宋体" w:hAnsi="宋体"/>
          <w:szCs w:val="21"/>
        </w:rPr>
      </w:pPr>
    </w:p>
    <w:p>
      <w:pPr>
        <w:widowControl w:val="0"/>
        <w:numPr>
          <w:ilvl w:val="0"/>
          <w:numId w:val="7"/>
        </w:numPr>
        <w:autoSpaceDE w:val="0"/>
        <w:autoSpaceDN w:val="0"/>
        <w:adjustRightInd w:val="0"/>
        <w:snapToGrid w:val="0"/>
        <w:ind w:firstLineChars="0"/>
        <w:jc w:val="left"/>
        <w:rPr>
          <w:rFonts w:ascii="宋体" w:hAnsi="宋体"/>
          <w:b/>
          <w:szCs w:val="21"/>
        </w:rPr>
      </w:pPr>
      <w:r>
        <w:rPr>
          <w:rFonts w:hint="eastAsia" w:ascii="宋体" w:hAnsi="宋体"/>
          <w:b/>
          <w:szCs w:val="21"/>
        </w:rPr>
        <w:t>附表</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附表1-1《商务标评审标准》</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附表2-1《技术标评审标准》</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附表3-1《价格标评审方法》</w:t>
      </w:r>
    </w:p>
    <w:p>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附表4-1《商务标、技术标、价格标权重表和综合得分汇总》</w:t>
      </w:r>
    </w:p>
    <w:bookmarkEnd w:id="326"/>
    <w:bookmarkEnd w:id="327"/>
    <w:bookmarkEnd w:id="328"/>
    <w:p>
      <w:pPr>
        <w:widowControl w:val="0"/>
        <w:autoSpaceDE w:val="0"/>
        <w:autoSpaceDN w:val="0"/>
        <w:adjustRightInd w:val="0"/>
        <w:snapToGrid w:val="0"/>
        <w:ind w:firstLine="0" w:firstLineChars="0"/>
        <w:jc w:val="left"/>
        <w:rPr>
          <w:rFonts w:hint="eastAsia" w:ascii="宋体" w:hAnsi="宋体"/>
          <w:b/>
          <w:sz w:val="22"/>
        </w:rPr>
      </w:pPr>
      <w:r>
        <w:rPr>
          <w:rFonts w:ascii="宋体" w:hAnsi="宋体"/>
        </w:rPr>
        <w:br w:type="page"/>
      </w:r>
      <w:r>
        <w:rPr>
          <w:rFonts w:hint="eastAsia" w:ascii="宋体" w:hAnsi="宋体"/>
          <w:b/>
          <w:sz w:val="22"/>
        </w:rPr>
        <w:t>附表1-1 《商务标评审标准》</w:t>
      </w:r>
      <w:r>
        <w:rPr>
          <w:rFonts w:ascii="宋体" w:hAnsi="宋体"/>
          <w:b/>
          <w:sz w:val="22"/>
        </w:rPr>
        <w:tab/>
      </w:r>
    </w:p>
    <w:tbl>
      <w:tblPr>
        <w:tblStyle w:val="49"/>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6154"/>
        <w:gridCol w:w="802"/>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772" w:type="dxa"/>
            <w:gridSpan w:val="5"/>
            <w:shd w:val="clear" w:color="auto" w:fill="D9E2F3"/>
            <w:vAlign w:val="center"/>
          </w:tcPr>
          <w:p>
            <w:pPr>
              <w:adjustRightInd w:val="0"/>
              <w:snapToGrid w:val="0"/>
              <w:spacing w:line="360" w:lineRule="exact"/>
              <w:jc w:val="center"/>
              <w:rPr>
                <w:rFonts w:ascii="宋体" w:hAnsi="宋体" w:eastAsia="宋体" w:cs="Times New Roman"/>
                <w:b/>
                <w:color w:val="595959"/>
                <w:sz w:val="32"/>
                <w:szCs w:val="32"/>
              </w:rPr>
            </w:pPr>
            <w:r>
              <w:rPr>
                <w:rFonts w:hint="eastAsia" w:ascii="宋体" w:hAnsi="宋体" w:eastAsia="宋体" w:cs="Times New Roman"/>
                <w:b/>
                <w:color w:val="595959"/>
                <w:sz w:val="32"/>
                <w:szCs w:val="32"/>
              </w:rPr>
              <w:t>《商务评审标准》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tblHeader/>
          <w:jc w:val="center"/>
        </w:trPr>
        <w:tc>
          <w:tcPr>
            <w:tcW w:w="675" w:type="dxa"/>
            <w:vAlign w:val="center"/>
          </w:tcPr>
          <w:p>
            <w:pPr>
              <w:adjustRightInd w:val="0"/>
              <w:snapToGrid w:val="0"/>
              <w:spacing w:line="360" w:lineRule="exact"/>
              <w:ind w:left="0" w:leftChars="0" w:firstLine="0" w:firstLineChars="0"/>
              <w:jc w:val="both"/>
              <w:rPr>
                <w:rFonts w:ascii="宋体" w:hAnsi="宋体" w:eastAsia="宋体" w:cs="Times New Roman"/>
                <w:b/>
                <w:color w:val="595959"/>
                <w:szCs w:val="21"/>
              </w:rPr>
            </w:pPr>
            <w:r>
              <w:rPr>
                <w:rFonts w:hint="eastAsia" w:ascii="宋体" w:hAnsi="宋体" w:eastAsia="宋体" w:cs="Times New Roman"/>
                <w:b/>
                <w:color w:val="595959"/>
                <w:szCs w:val="21"/>
              </w:rPr>
              <w:t>序号</w:t>
            </w:r>
          </w:p>
        </w:tc>
        <w:tc>
          <w:tcPr>
            <w:tcW w:w="1134" w:type="dxa"/>
            <w:vAlign w:val="center"/>
          </w:tcPr>
          <w:p>
            <w:pPr>
              <w:adjustRightInd w:val="0"/>
              <w:snapToGrid w:val="0"/>
              <w:spacing w:line="360" w:lineRule="exact"/>
              <w:jc w:val="center"/>
              <w:rPr>
                <w:rFonts w:ascii="宋体" w:hAnsi="宋体" w:eastAsia="宋体" w:cs="Times New Roman"/>
                <w:b/>
                <w:color w:val="595959"/>
                <w:szCs w:val="21"/>
              </w:rPr>
            </w:pPr>
            <w:r>
              <w:rPr>
                <w:rFonts w:hint="eastAsia" w:ascii="宋体" w:hAnsi="宋体" w:eastAsia="宋体" w:cs="Times New Roman"/>
                <w:b/>
                <w:color w:val="595959"/>
                <w:szCs w:val="21"/>
              </w:rPr>
              <w:t>评审项目</w:t>
            </w:r>
          </w:p>
        </w:tc>
        <w:tc>
          <w:tcPr>
            <w:tcW w:w="6154" w:type="dxa"/>
            <w:vAlign w:val="center"/>
          </w:tcPr>
          <w:p>
            <w:pPr>
              <w:adjustRightInd w:val="0"/>
              <w:snapToGrid w:val="0"/>
              <w:spacing w:line="360" w:lineRule="exact"/>
              <w:jc w:val="center"/>
              <w:rPr>
                <w:rFonts w:ascii="宋体" w:hAnsi="宋体" w:eastAsia="宋体" w:cs="Times New Roman"/>
                <w:b/>
                <w:color w:val="595959"/>
                <w:szCs w:val="21"/>
              </w:rPr>
            </w:pPr>
            <w:r>
              <w:rPr>
                <w:rFonts w:hint="eastAsia" w:ascii="宋体" w:hAnsi="宋体" w:eastAsia="宋体" w:cs="Times New Roman"/>
                <w:b/>
                <w:color w:val="595959"/>
                <w:szCs w:val="21"/>
              </w:rPr>
              <w:t>评审标准及证明材料</w:t>
            </w:r>
          </w:p>
        </w:tc>
        <w:tc>
          <w:tcPr>
            <w:tcW w:w="802" w:type="dxa"/>
            <w:vAlign w:val="center"/>
          </w:tcPr>
          <w:p>
            <w:pPr>
              <w:adjustRightInd w:val="0"/>
              <w:snapToGrid w:val="0"/>
              <w:spacing w:line="360" w:lineRule="exact"/>
              <w:ind w:left="0" w:leftChars="0" w:firstLine="0" w:firstLineChars="0"/>
              <w:jc w:val="both"/>
              <w:rPr>
                <w:rFonts w:ascii="宋体" w:hAnsi="宋体" w:eastAsia="宋体" w:cs="Times New Roman"/>
                <w:b/>
                <w:color w:val="595959"/>
                <w:szCs w:val="21"/>
              </w:rPr>
            </w:pPr>
            <w:r>
              <w:rPr>
                <w:rFonts w:hint="eastAsia" w:ascii="宋体" w:hAnsi="宋体" w:eastAsia="宋体" w:cs="Times New Roman"/>
                <w:b/>
                <w:color w:val="595959"/>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34" w:hRule="atLeast"/>
          <w:jc w:val="center"/>
        </w:trPr>
        <w:tc>
          <w:tcPr>
            <w:tcW w:w="675" w:type="dxa"/>
            <w:vMerge w:val="restart"/>
            <w:vAlign w:val="center"/>
          </w:tcPr>
          <w:p>
            <w:pPr>
              <w:adjustRightInd w:val="0"/>
              <w:snapToGrid w:val="0"/>
              <w:spacing w:line="360" w:lineRule="exact"/>
              <w:jc w:val="center"/>
              <w:rPr>
                <w:rFonts w:ascii="宋体" w:hAnsi="宋体" w:eastAsia="宋体" w:cs="宋体"/>
                <w:b/>
                <w:color w:val="595959"/>
                <w:szCs w:val="21"/>
              </w:rPr>
            </w:pPr>
            <w:r>
              <w:rPr>
                <w:rFonts w:ascii="宋体" w:hAnsi="宋体" w:eastAsia="宋体" w:cs="宋体"/>
                <w:color w:val="595959"/>
                <w:szCs w:val="21"/>
              </w:rPr>
              <w:t>1</w:t>
            </w:r>
          </w:p>
        </w:tc>
        <w:tc>
          <w:tcPr>
            <w:tcW w:w="1134" w:type="dxa"/>
            <w:vMerge w:val="restart"/>
            <w:vAlign w:val="center"/>
          </w:tcPr>
          <w:p>
            <w:pPr>
              <w:widowControl/>
              <w:jc w:val="center"/>
              <w:rPr>
                <w:rFonts w:ascii="宋体" w:hAnsi="宋体" w:eastAsia="宋体" w:cs="Times New Roman"/>
                <w:color w:val="595959"/>
                <w:sz w:val="22"/>
              </w:rPr>
            </w:pPr>
            <w:r>
              <w:rPr>
                <w:rFonts w:hint="eastAsia" w:ascii="宋体" w:hAnsi="宋体" w:eastAsia="宋体" w:cs="Times New Roman"/>
                <w:color w:val="595959"/>
                <w:sz w:val="22"/>
              </w:rPr>
              <w:t>投标人通过相关认证情况</w:t>
            </w:r>
          </w:p>
        </w:tc>
        <w:tc>
          <w:tcPr>
            <w:tcW w:w="6154" w:type="dxa"/>
            <w:vAlign w:val="center"/>
          </w:tcPr>
          <w:p>
            <w:pPr>
              <w:wordWrap w:val="0"/>
              <w:spacing w:line="360" w:lineRule="exact"/>
              <w:rPr>
                <w:rFonts w:ascii="宋体" w:hAnsi="宋体" w:eastAsia="宋体" w:cs="宋体"/>
                <w:color w:val="595959"/>
                <w:szCs w:val="21"/>
              </w:rPr>
            </w:pPr>
            <w:r>
              <w:rPr>
                <w:rFonts w:hint="eastAsia" w:ascii="宋体" w:hAnsi="宋体" w:eastAsia="宋体" w:cs="宋体"/>
                <w:b/>
                <w:bCs/>
                <w:color w:val="595959"/>
                <w:szCs w:val="21"/>
              </w:rPr>
              <w:t>考察内容：</w:t>
            </w:r>
          </w:p>
          <w:p>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投标人在具备以下证书:</w:t>
            </w:r>
          </w:p>
          <w:p>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1.质量管理体系认证证书得35%分:</w:t>
            </w:r>
          </w:p>
          <w:p>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2.职业健康安全管理体系认证证书得 35%分:</w:t>
            </w:r>
          </w:p>
          <w:p>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3.环境管理体系认证证书得35%分:</w:t>
            </w:r>
          </w:p>
          <w:p>
            <w:pPr>
              <w:rPr>
                <w:rFonts w:ascii="宋体" w:hAnsi="宋体" w:eastAsia="宋体" w:cs="Times New Roman"/>
                <w:szCs w:val="21"/>
              </w:rPr>
            </w:pPr>
            <w:r>
              <w:rPr>
                <w:rFonts w:hint="eastAsia" w:ascii="宋体" w:hAnsi="宋体" w:eastAsia="宋体" w:cs="宋体"/>
                <w:bCs/>
                <w:color w:val="595959"/>
                <w:szCs w:val="21"/>
              </w:rPr>
              <w:t>本项最高得10</w:t>
            </w:r>
            <w:r>
              <w:rPr>
                <w:rFonts w:ascii="宋体" w:hAnsi="宋体" w:eastAsia="宋体" w:cs="宋体"/>
                <w:bCs/>
                <w:color w:val="595959"/>
                <w:szCs w:val="21"/>
              </w:rPr>
              <w:t>0</w:t>
            </w:r>
            <w:r>
              <w:rPr>
                <w:rFonts w:hint="eastAsia" w:ascii="宋体" w:hAnsi="宋体" w:eastAsia="宋体" w:cs="宋体"/>
                <w:color w:val="595959"/>
                <w:szCs w:val="21"/>
              </w:rPr>
              <w:t>%</w:t>
            </w:r>
            <w:r>
              <w:rPr>
                <w:rFonts w:hint="eastAsia" w:ascii="宋体" w:hAnsi="宋体" w:eastAsia="宋体" w:cs="宋体"/>
                <w:bCs/>
                <w:color w:val="595959"/>
                <w:szCs w:val="21"/>
              </w:rPr>
              <w:t>分</w:t>
            </w:r>
          </w:p>
        </w:tc>
        <w:tc>
          <w:tcPr>
            <w:tcW w:w="802" w:type="dxa"/>
            <w:vMerge w:val="restart"/>
            <w:vAlign w:val="center"/>
          </w:tcPr>
          <w:p>
            <w:pPr>
              <w:adjustRightInd w:val="0"/>
              <w:snapToGrid w:val="0"/>
              <w:spacing w:line="360" w:lineRule="exact"/>
              <w:ind w:left="0" w:leftChars="0" w:firstLine="0" w:firstLineChars="0"/>
              <w:jc w:val="both"/>
              <w:rPr>
                <w:rFonts w:ascii="宋体" w:hAnsi="宋体" w:eastAsia="宋体" w:cs="宋体"/>
                <w:color w:val="595959"/>
                <w:szCs w:val="21"/>
              </w:rPr>
            </w:pPr>
            <w:r>
              <w:rPr>
                <w:rFonts w:ascii="宋体" w:hAnsi="宋体" w:eastAsia="宋体" w:cs="宋体"/>
                <w:color w:val="595959"/>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jc w:val="center"/>
        </w:trPr>
        <w:tc>
          <w:tcPr>
            <w:tcW w:w="675" w:type="dxa"/>
            <w:vMerge w:val="continue"/>
            <w:vAlign w:val="center"/>
          </w:tcPr>
          <w:p>
            <w:pPr>
              <w:adjustRightInd w:val="0"/>
              <w:snapToGrid w:val="0"/>
              <w:spacing w:line="360" w:lineRule="exact"/>
              <w:jc w:val="center"/>
              <w:rPr>
                <w:rFonts w:ascii="宋体" w:hAnsi="宋体" w:eastAsia="宋体" w:cs="宋体"/>
                <w:b/>
                <w:color w:val="595959"/>
                <w:szCs w:val="21"/>
              </w:rPr>
            </w:pPr>
          </w:p>
        </w:tc>
        <w:tc>
          <w:tcPr>
            <w:tcW w:w="1134" w:type="dxa"/>
            <w:vMerge w:val="continue"/>
            <w:vAlign w:val="center"/>
          </w:tcPr>
          <w:p>
            <w:pPr>
              <w:adjustRightInd w:val="0"/>
              <w:snapToGrid w:val="0"/>
              <w:spacing w:line="360" w:lineRule="exact"/>
              <w:jc w:val="center"/>
              <w:rPr>
                <w:rFonts w:ascii="宋体" w:hAnsi="宋体" w:eastAsia="宋体" w:cs="宋体"/>
                <w:b/>
                <w:color w:val="595959"/>
                <w:szCs w:val="21"/>
              </w:rPr>
            </w:pPr>
          </w:p>
        </w:tc>
        <w:tc>
          <w:tcPr>
            <w:tcW w:w="6154" w:type="dxa"/>
            <w:vAlign w:val="center"/>
          </w:tcPr>
          <w:p>
            <w:pPr>
              <w:wordWrap w:val="0"/>
              <w:spacing w:line="360" w:lineRule="exact"/>
              <w:rPr>
                <w:rFonts w:ascii="宋体" w:hAnsi="宋体" w:eastAsia="宋体" w:cs="宋体"/>
                <w:b/>
                <w:bCs/>
                <w:color w:val="595959"/>
                <w:szCs w:val="21"/>
              </w:rPr>
            </w:pPr>
            <w:r>
              <w:rPr>
                <w:rFonts w:hint="eastAsia" w:ascii="宋体" w:hAnsi="宋体" w:eastAsia="宋体" w:cs="宋体"/>
                <w:b/>
                <w:bCs/>
                <w:color w:val="595959"/>
                <w:szCs w:val="21"/>
              </w:rPr>
              <w:t>证明材料：</w:t>
            </w:r>
          </w:p>
          <w:p>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1.以上认证证书均需在有效期内。</w:t>
            </w:r>
          </w:p>
          <w:p>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2.提供在有效期内的相关证明文件扫描件及国家认监委网站【全国认证认可信息公共服务平台（http://cx.cnca.cn/CertECloud/index/index/page）】认证信息查询截图（截图需显示证书状态为有效）未提供或提供的资料无法判断是否有效的均不得分。</w:t>
            </w:r>
          </w:p>
        </w:tc>
        <w:tc>
          <w:tcPr>
            <w:tcW w:w="802" w:type="dxa"/>
            <w:vMerge w:val="continue"/>
            <w:vAlign w:val="center"/>
          </w:tcPr>
          <w:p>
            <w:pPr>
              <w:wordWrap w:val="0"/>
              <w:adjustRightInd w:val="0"/>
              <w:snapToGrid w:val="0"/>
              <w:spacing w:line="360" w:lineRule="exact"/>
              <w:rPr>
                <w:rFonts w:ascii="宋体" w:hAnsi="宋体" w:eastAsia="宋体" w:cs="宋体"/>
                <w:color w:val="59595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jc w:val="center"/>
        </w:trPr>
        <w:tc>
          <w:tcPr>
            <w:tcW w:w="675" w:type="dxa"/>
            <w:vMerge w:val="restart"/>
            <w:vAlign w:val="center"/>
          </w:tcPr>
          <w:p>
            <w:pPr>
              <w:adjustRightInd w:val="0"/>
              <w:snapToGrid w:val="0"/>
              <w:spacing w:line="360" w:lineRule="exact"/>
              <w:jc w:val="center"/>
              <w:rPr>
                <w:rFonts w:ascii="宋体" w:hAnsi="宋体" w:eastAsia="宋体" w:cs="宋体"/>
                <w:bCs/>
                <w:color w:val="595959"/>
                <w:szCs w:val="21"/>
              </w:rPr>
            </w:pPr>
            <w:r>
              <w:rPr>
                <w:rFonts w:ascii="宋体" w:hAnsi="宋体" w:eastAsia="宋体" w:cs="宋体"/>
                <w:bCs/>
                <w:color w:val="595959"/>
                <w:szCs w:val="21"/>
              </w:rPr>
              <w:t>2</w:t>
            </w:r>
          </w:p>
        </w:tc>
        <w:tc>
          <w:tcPr>
            <w:tcW w:w="1134" w:type="dxa"/>
            <w:vMerge w:val="restart"/>
            <w:vAlign w:val="center"/>
          </w:tcPr>
          <w:p>
            <w:pPr>
              <w:widowControl/>
              <w:jc w:val="center"/>
              <w:rPr>
                <w:rFonts w:ascii="宋体" w:hAnsi="宋体" w:eastAsia="宋体" w:cs="Times New Roman"/>
                <w:color w:val="595959"/>
                <w:sz w:val="22"/>
              </w:rPr>
            </w:pPr>
            <w:r>
              <w:rPr>
                <w:rFonts w:hint="eastAsia" w:ascii="宋体" w:hAnsi="宋体" w:eastAsia="宋体" w:cs="Times New Roman"/>
                <w:color w:val="595959"/>
                <w:sz w:val="22"/>
              </w:rPr>
              <w:t xml:space="preserve"> 获奖情况</w:t>
            </w:r>
          </w:p>
        </w:tc>
        <w:tc>
          <w:tcPr>
            <w:tcW w:w="6154" w:type="dxa"/>
            <w:vAlign w:val="center"/>
          </w:tcPr>
          <w:p>
            <w:pPr>
              <w:wordWrap w:val="0"/>
              <w:spacing w:line="360" w:lineRule="exact"/>
              <w:rPr>
                <w:rFonts w:ascii="宋体" w:hAnsi="宋体" w:eastAsia="宋体" w:cs="宋体"/>
                <w:color w:val="595959"/>
                <w:szCs w:val="21"/>
              </w:rPr>
            </w:pPr>
            <w:r>
              <w:rPr>
                <w:rFonts w:hint="eastAsia" w:ascii="宋体" w:hAnsi="宋体" w:eastAsia="宋体" w:cs="宋体"/>
                <w:b/>
                <w:bCs/>
                <w:color w:val="595959"/>
                <w:szCs w:val="21"/>
              </w:rPr>
              <w:t>考察内容：</w:t>
            </w:r>
          </w:p>
          <w:p>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1.投标人近五年内（2018年1月1日至本项目招标公告日期前）获得由</w:t>
            </w:r>
            <w:r>
              <w:rPr>
                <w:rFonts w:hint="eastAsia" w:ascii="宋体" w:hAnsi="宋体" w:eastAsia="宋体" w:cs="宋体"/>
                <w:color w:val="595959"/>
                <w:szCs w:val="21"/>
                <w:highlight w:val="none"/>
              </w:rPr>
              <w:t>地级市或</w:t>
            </w:r>
            <w:r>
              <w:rPr>
                <w:rFonts w:ascii="宋体" w:hAnsi="宋体" w:eastAsia="宋体" w:cs="宋体"/>
                <w:color w:val="595959"/>
                <w:szCs w:val="21"/>
                <w:highlight w:val="none"/>
              </w:rPr>
              <w:t>协会</w:t>
            </w:r>
            <w:r>
              <w:rPr>
                <w:rFonts w:hint="eastAsia" w:ascii="宋体" w:hAnsi="宋体" w:eastAsia="宋体" w:cs="宋体"/>
                <w:color w:val="595959"/>
                <w:szCs w:val="21"/>
                <w:highlight w:val="none"/>
              </w:rPr>
              <w:t>以上单位颁发的路灯</w:t>
            </w:r>
            <w:r>
              <w:rPr>
                <w:rFonts w:ascii="宋体" w:hAnsi="宋体" w:eastAsia="宋体" w:cs="宋体"/>
                <w:color w:val="595959"/>
                <w:szCs w:val="21"/>
                <w:highlight w:val="none"/>
              </w:rPr>
              <w:t>改造或运维</w:t>
            </w:r>
            <w:r>
              <w:rPr>
                <w:rFonts w:hint="eastAsia" w:ascii="宋体" w:hAnsi="宋体" w:eastAsia="宋体" w:cs="宋体"/>
                <w:color w:val="595959"/>
                <w:szCs w:val="21"/>
                <w:highlight w:val="none"/>
              </w:rPr>
              <w:t>奖项，</w:t>
            </w:r>
            <w:r>
              <w:rPr>
                <w:rFonts w:hint="eastAsia" w:ascii="宋体" w:hAnsi="宋体" w:eastAsia="宋体" w:cs="宋体"/>
                <w:color w:val="595959"/>
                <w:szCs w:val="21"/>
              </w:rPr>
              <w:t>得100%分；本项最高得100%分。</w:t>
            </w:r>
          </w:p>
        </w:tc>
        <w:tc>
          <w:tcPr>
            <w:tcW w:w="802" w:type="dxa"/>
            <w:vMerge w:val="restart"/>
            <w:vAlign w:val="center"/>
          </w:tcPr>
          <w:p>
            <w:pPr>
              <w:adjustRightInd w:val="0"/>
              <w:snapToGrid w:val="0"/>
              <w:spacing w:line="360" w:lineRule="exact"/>
              <w:ind w:left="0" w:leftChars="0" w:firstLine="0" w:firstLineChars="0"/>
              <w:jc w:val="both"/>
              <w:rPr>
                <w:rFonts w:ascii="宋体" w:hAnsi="宋体" w:eastAsia="宋体" w:cs="宋体"/>
                <w:color w:val="595959"/>
                <w:szCs w:val="21"/>
              </w:rPr>
            </w:pPr>
            <w:r>
              <w:rPr>
                <w:rFonts w:hint="eastAsia" w:ascii="宋体" w:hAnsi="宋体" w:eastAsia="宋体" w:cs="宋体"/>
                <w:color w:val="595959"/>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jc w:val="center"/>
        </w:trPr>
        <w:tc>
          <w:tcPr>
            <w:tcW w:w="675" w:type="dxa"/>
            <w:vMerge w:val="continue"/>
            <w:vAlign w:val="center"/>
          </w:tcPr>
          <w:p>
            <w:pPr>
              <w:adjustRightInd w:val="0"/>
              <w:snapToGrid w:val="0"/>
              <w:spacing w:line="360" w:lineRule="exact"/>
              <w:jc w:val="center"/>
              <w:rPr>
                <w:rFonts w:ascii="宋体" w:hAnsi="宋体" w:eastAsia="宋体" w:cs="宋体"/>
                <w:bCs/>
                <w:color w:val="595959"/>
                <w:szCs w:val="21"/>
              </w:rPr>
            </w:pPr>
          </w:p>
        </w:tc>
        <w:tc>
          <w:tcPr>
            <w:tcW w:w="1134" w:type="dxa"/>
            <w:vMerge w:val="continue"/>
            <w:vAlign w:val="center"/>
          </w:tcPr>
          <w:p>
            <w:pPr>
              <w:adjustRightInd w:val="0"/>
              <w:snapToGrid w:val="0"/>
              <w:spacing w:line="360" w:lineRule="exact"/>
              <w:jc w:val="center"/>
              <w:rPr>
                <w:rFonts w:ascii="宋体" w:hAnsi="宋体" w:eastAsia="宋体" w:cs="宋体"/>
                <w:bCs/>
                <w:color w:val="595959"/>
                <w:szCs w:val="21"/>
              </w:rPr>
            </w:pPr>
          </w:p>
        </w:tc>
        <w:tc>
          <w:tcPr>
            <w:tcW w:w="6154" w:type="dxa"/>
            <w:vAlign w:val="center"/>
          </w:tcPr>
          <w:p>
            <w:pPr>
              <w:wordWrap w:val="0"/>
              <w:spacing w:line="360" w:lineRule="exact"/>
              <w:rPr>
                <w:rFonts w:ascii="宋体" w:hAnsi="宋体" w:eastAsia="宋体" w:cs="宋体"/>
                <w:b/>
                <w:bCs/>
                <w:color w:val="595959"/>
                <w:szCs w:val="21"/>
              </w:rPr>
            </w:pPr>
            <w:r>
              <w:rPr>
                <w:rFonts w:hint="eastAsia" w:ascii="宋体" w:hAnsi="宋体" w:eastAsia="宋体" w:cs="宋体"/>
                <w:b/>
                <w:bCs/>
                <w:color w:val="595959"/>
                <w:szCs w:val="21"/>
              </w:rPr>
              <w:t>证明材料：</w:t>
            </w:r>
          </w:p>
          <w:p>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1.提供相关证明文件扫描件作为得分依据。</w:t>
            </w:r>
          </w:p>
          <w:p>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2.以上资料原件备查。评分中出现无证明资料或专家无法凭所提供资料判断是否得分的情况，一律作不得分处理。</w:t>
            </w:r>
          </w:p>
        </w:tc>
        <w:tc>
          <w:tcPr>
            <w:tcW w:w="802" w:type="dxa"/>
            <w:vMerge w:val="continue"/>
            <w:vAlign w:val="center"/>
          </w:tcPr>
          <w:p>
            <w:pPr>
              <w:adjustRightInd w:val="0"/>
              <w:snapToGrid w:val="0"/>
              <w:spacing w:line="360" w:lineRule="exact"/>
              <w:jc w:val="center"/>
              <w:rPr>
                <w:rFonts w:ascii="宋体" w:hAnsi="宋体" w:eastAsia="宋体" w:cs="宋体"/>
                <w:color w:val="59595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285" w:hRule="atLeast"/>
          <w:jc w:val="center"/>
        </w:trPr>
        <w:tc>
          <w:tcPr>
            <w:tcW w:w="675" w:type="dxa"/>
            <w:vMerge w:val="restart"/>
            <w:vAlign w:val="center"/>
          </w:tcPr>
          <w:p>
            <w:pPr>
              <w:adjustRightInd w:val="0"/>
              <w:snapToGrid w:val="0"/>
              <w:spacing w:line="360" w:lineRule="exact"/>
              <w:jc w:val="center"/>
              <w:rPr>
                <w:rFonts w:ascii="宋体" w:hAnsi="宋体" w:eastAsia="宋体" w:cs="宋体"/>
                <w:bCs/>
                <w:color w:val="595959"/>
                <w:szCs w:val="21"/>
              </w:rPr>
            </w:pPr>
            <w:r>
              <w:rPr>
                <w:rFonts w:ascii="宋体" w:hAnsi="宋体" w:eastAsia="宋体" w:cs="宋体"/>
                <w:bCs/>
                <w:color w:val="595959"/>
                <w:szCs w:val="21"/>
              </w:rPr>
              <w:t>3</w:t>
            </w:r>
          </w:p>
        </w:tc>
        <w:tc>
          <w:tcPr>
            <w:tcW w:w="1134" w:type="dxa"/>
            <w:vMerge w:val="restart"/>
            <w:vAlign w:val="center"/>
          </w:tcPr>
          <w:p>
            <w:pPr>
              <w:widowControl/>
              <w:jc w:val="center"/>
              <w:rPr>
                <w:rFonts w:ascii="宋体" w:hAnsi="宋体" w:eastAsia="宋体" w:cs="Times New Roman"/>
                <w:color w:val="595959"/>
                <w:sz w:val="22"/>
              </w:rPr>
            </w:pPr>
            <w:r>
              <w:rPr>
                <w:rFonts w:hint="eastAsia" w:ascii="宋体" w:hAnsi="宋体" w:eastAsia="宋体" w:cs="宋体"/>
                <w:bCs/>
                <w:color w:val="595959"/>
                <w:szCs w:val="21"/>
              </w:rPr>
              <w:t>投标人同类业绩</w:t>
            </w:r>
          </w:p>
        </w:tc>
        <w:tc>
          <w:tcPr>
            <w:tcW w:w="6154" w:type="dxa"/>
            <w:vAlign w:val="center"/>
          </w:tcPr>
          <w:p>
            <w:pPr>
              <w:wordWrap w:val="0"/>
              <w:spacing w:line="360" w:lineRule="exact"/>
              <w:rPr>
                <w:rFonts w:ascii="宋体" w:hAnsi="宋体" w:eastAsia="宋体" w:cs="宋体"/>
                <w:color w:val="595959"/>
                <w:szCs w:val="21"/>
              </w:rPr>
            </w:pPr>
            <w:r>
              <w:rPr>
                <w:rFonts w:hint="eastAsia" w:ascii="宋体" w:hAnsi="宋体" w:eastAsia="宋体" w:cs="宋体"/>
                <w:b/>
                <w:bCs/>
                <w:color w:val="595959"/>
                <w:szCs w:val="21"/>
              </w:rPr>
              <w:t>考察内容：</w:t>
            </w:r>
          </w:p>
          <w:p>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投标人近五年（2018年1月1日至投标截止时间，以合同签订日期为准）:</w:t>
            </w:r>
          </w:p>
          <w:p>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1.承担过市政路灯管养项目每1个得20%分，最高得100%分。其他不得分</w:t>
            </w:r>
          </w:p>
          <w:p>
            <w:pPr>
              <w:rPr>
                <w:rFonts w:ascii="宋体" w:hAnsi="宋体" w:eastAsia="宋体" w:cs="Times New Roman"/>
                <w:szCs w:val="21"/>
              </w:rPr>
            </w:pPr>
            <w:r>
              <w:rPr>
                <w:rFonts w:hint="eastAsia" w:ascii="宋体" w:hAnsi="宋体" w:eastAsia="宋体" w:cs="宋体"/>
                <w:color w:val="595959"/>
                <w:szCs w:val="21"/>
              </w:rPr>
              <w:t>同一项目不可重复得分，项目延续合同视为一个业绩，不重复得分，以上累计最高得100</w:t>
            </w:r>
            <w:r>
              <w:rPr>
                <w:rFonts w:ascii="宋体" w:hAnsi="宋体" w:eastAsia="宋体" w:cs="宋体"/>
                <w:color w:val="595959"/>
                <w:szCs w:val="21"/>
              </w:rPr>
              <w:t>%</w:t>
            </w:r>
            <w:r>
              <w:rPr>
                <w:rFonts w:hint="eastAsia" w:ascii="宋体" w:hAnsi="宋体" w:eastAsia="宋体" w:cs="宋体"/>
                <w:color w:val="595959"/>
                <w:szCs w:val="21"/>
              </w:rPr>
              <w:t>分。</w:t>
            </w:r>
          </w:p>
        </w:tc>
        <w:tc>
          <w:tcPr>
            <w:tcW w:w="802" w:type="dxa"/>
            <w:vMerge w:val="restart"/>
            <w:vAlign w:val="center"/>
          </w:tcPr>
          <w:p>
            <w:pPr>
              <w:adjustRightInd w:val="0"/>
              <w:snapToGrid w:val="0"/>
              <w:spacing w:line="360" w:lineRule="exact"/>
              <w:ind w:left="0" w:leftChars="0" w:firstLine="0" w:firstLineChars="0"/>
              <w:jc w:val="both"/>
              <w:rPr>
                <w:rFonts w:ascii="宋体" w:hAnsi="宋体" w:eastAsia="宋体" w:cs="宋体"/>
                <w:color w:val="595959"/>
                <w:szCs w:val="21"/>
              </w:rPr>
            </w:pPr>
            <w:r>
              <w:rPr>
                <w:rFonts w:hint="eastAsia" w:ascii="宋体" w:hAnsi="宋体" w:eastAsia="宋体" w:cs="宋体"/>
                <w:color w:val="595959"/>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285" w:hRule="atLeast"/>
          <w:jc w:val="center"/>
        </w:trPr>
        <w:tc>
          <w:tcPr>
            <w:tcW w:w="675" w:type="dxa"/>
            <w:vMerge w:val="continue"/>
            <w:vAlign w:val="center"/>
          </w:tcPr>
          <w:p>
            <w:pPr>
              <w:adjustRightInd w:val="0"/>
              <w:snapToGrid w:val="0"/>
              <w:spacing w:line="360" w:lineRule="exact"/>
              <w:jc w:val="center"/>
              <w:rPr>
                <w:rFonts w:ascii="宋体" w:hAnsi="宋体" w:eastAsia="宋体" w:cs="宋体"/>
                <w:bCs/>
                <w:color w:val="595959"/>
                <w:szCs w:val="21"/>
              </w:rPr>
            </w:pPr>
          </w:p>
        </w:tc>
        <w:tc>
          <w:tcPr>
            <w:tcW w:w="1134" w:type="dxa"/>
            <w:vMerge w:val="continue"/>
            <w:vAlign w:val="center"/>
          </w:tcPr>
          <w:p>
            <w:pPr>
              <w:adjustRightInd w:val="0"/>
              <w:snapToGrid w:val="0"/>
              <w:spacing w:line="360" w:lineRule="exact"/>
              <w:jc w:val="center"/>
              <w:rPr>
                <w:rFonts w:ascii="宋体" w:hAnsi="宋体" w:eastAsia="宋体" w:cs="宋体"/>
                <w:bCs/>
                <w:color w:val="595959"/>
                <w:szCs w:val="21"/>
              </w:rPr>
            </w:pPr>
          </w:p>
        </w:tc>
        <w:tc>
          <w:tcPr>
            <w:tcW w:w="6154" w:type="dxa"/>
            <w:vAlign w:val="center"/>
          </w:tcPr>
          <w:p>
            <w:pPr>
              <w:wordWrap w:val="0"/>
              <w:spacing w:line="360" w:lineRule="exact"/>
              <w:rPr>
                <w:rFonts w:ascii="宋体" w:hAnsi="宋体" w:eastAsia="宋体" w:cs="宋体"/>
                <w:b/>
                <w:bCs/>
                <w:color w:val="595959"/>
                <w:szCs w:val="21"/>
              </w:rPr>
            </w:pPr>
            <w:r>
              <w:rPr>
                <w:rFonts w:hint="eastAsia" w:ascii="宋体" w:hAnsi="宋体" w:eastAsia="宋体" w:cs="宋体"/>
                <w:b/>
                <w:bCs/>
                <w:color w:val="595959"/>
                <w:szCs w:val="21"/>
              </w:rPr>
              <w:t>证明材料：</w:t>
            </w:r>
          </w:p>
          <w:p>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1.要求提供合同关键页及中标通知书证明文件作为得分依据。</w:t>
            </w:r>
          </w:p>
          <w:p>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2.通过以上材料无法判断是否得分的，还须同时提供能证明得分的其他证明资料，如项目报告或合同甲方出具的证明文件等。</w:t>
            </w:r>
          </w:p>
          <w:p>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3.以上资料均要求提供扫描件或复印件，原件备查。</w:t>
            </w:r>
          </w:p>
          <w:p>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评分中出现无证明资料或专家无法凭所提供资料判断是否得分的情况，一律作不得分处理。</w:t>
            </w:r>
          </w:p>
        </w:tc>
        <w:tc>
          <w:tcPr>
            <w:tcW w:w="802" w:type="dxa"/>
            <w:vMerge w:val="continue"/>
            <w:vAlign w:val="center"/>
          </w:tcPr>
          <w:p>
            <w:pPr>
              <w:adjustRightInd w:val="0"/>
              <w:snapToGrid w:val="0"/>
              <w:spacing w:line="360" w:lineRule="exact"/>
              <w:jc w:val="center"/>
              <w:rPr>
                <w:rFonts w:ascii="宋体" w:hAnsi="宋体" w:eastAsia="宋体" w:cs="宋体"/>
                <w:color w:val="59595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285" w:hRule="atLeast"/>
          <w:jc w:val="center"/>
        </w:trPr>
        <w:tc>
          <w:tcPr>
            <w:tcW w:w="675" w:type="dxa"/>
            <w:vMerge w:val="restart"/>
            <w:vAlign w:val="center"/>
          </w:tcPr>
          <w:p>
            <w:pPr>
              <w:adjustRightInd w:val="0"/>
              <w:snapToGrid w:val="0"/>
              <w:spacing w:line="360" w:lineRule="exact"/>
              <w:jc w:val="center"/>
              <w:rPr>
                <w:rFonts w:ascii="宋体" w:hAnsi="宋体" w:eastAsia="宋体" w:cs="宋体"/>
                <w:bCs/>
                <w:color w:val="595959"/>
                <w:szCs w:val="21"/>
              </w:rPr>
            </w:pPr>
            <w:r>
              <w:rPr>
                <w:rFonts w:ascii="宋体" w:hAnsi="宋体" w:eastAsia="宋体" w:cs="宋体"/>
                <w:bCs/>
                <w:color w:val="595959"/>
                <w:szCs w:val="21"/>
              </w:rPr>
              <w:t>4</w:t>
            </w:r>
          </w:p>
        </w:tc>
        <w:tc>
          <w:tcPr>
            <w:tcW w:w="1134" w:type="dxa"/>
            <w:vMerge w:val="restart"/>
            <w:vAlign w:val="center"/>
          </w:tcPr>
          <w:p>
            <w:pPr>
              <w:adjustRightInd w:val="0"/>
              <w:snapToGrid w:val="0"/>
              <w:spacing w:line="360" w:lineRule="exact"/>
              <w:jc w:val="center"/>
              <w:rPr>
                <w:rFonts w:ascii="宋体" w:hAnsi="宋体" w:eastAsia="宋体" w:cs="宋体"/>
                <w:bCs/>
                <w:color w:val="595959"/>
                <w:szCs w:val="21"/>
              </w:rPr>
            </w:pPr>
            <w:r>
              <w:rPr>
                <w:rFonts w:hint="eastAsia" w:ascii="宋体" w:hAnsi="宋体" w:eastAsia="宋体" w:cs="宋体"/>
                <w:bCs/>
                <w:color w:val="595959"/>
                <w:szCs w:val="21"/>
              </w:rPr>
              <w:t>履约评价</w:t>
            </w:r>
          </w:p>
        </w:tc>
        <w:tc>
          <w:tcPr>
            <w:tcW w:w="6154" w:type="dxa"/>
            <w:vAlign w:val="center"/>
          </w:tcPr>
          <w:p>
            <w:pPr>
              <w:wordWrap w:val="0"/>
              <w:spacing w:line="360" w:lineRule="exact"/>
              <w:rPr>
                <w:rFonts w:ascii="宋体" w:hAnsi="宋体" w:eastAsia="宋体" w:cs="宋体"/>
                <w:color w:val="595959"/>
                <w:szCs w:val="21"/>
              </w:rPr>
            </w:pPr>
            <w:r>
              <w:rPr>
                <w:rFonts w:hint="eastAsia" w:ascii="宋体" w:hAnsi="宋体" w:eastAsia="宋体" w:cs="宋体"/>
                <w:b/>
                <w:bCs/>
                <w:color w:val="595959"/>
                <w:szCs w:val="21"/>
              </w:rPr>
              <w:t>考察内容：</w:t>
            </w:r>
          </w:p>
          <w:p>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以上被认定为有效的同类业绩并经服务单位考核评价为优秀或满意以及更高级的每提供1项得20%分，本项满分100%分。</w:t>
            </w:r>
          </w:p>
        </w:tc>
        <w:tc>
          <w:tcPr>
            <w:tcW w:w="802" w:type="dxa"/>
            <w:vMerge w:val="restart"/>
            <w:vAlign w:val="center"/>
          </w:tcPr>
          <w:p>
            <w:pPr>
              <w:adjustRightInd w:val="0"/>
              <w:snapToGrid w:val="0"/>
              <w:spacing w:line="360" w:lineRule="exact"/>
              <w:ind w:left="0" w:leftChars="0" w:firstLine="0" w:firstLineChars="0"/>
              <w:jc w:val="both"/>
              <w:rPr>
                <w:rFonts w:hint="eastAsia" w:ascii="宋体" w:hAnsi="宋体" w:eastAsia="宋体" w:cs="宋体"/>
                <w:color w:val="595959"/>
                <w:szCs w:val="21"/>
                <w:lang w:eastAsia="zh-CN"/>
              </w:rPr>
            </w:pPr>
            <w:r>
              <w:rPr>
                <w:rFonts w:hint="eastAsia" w:ascii="宋体" w:hAnsi="宋体" w:eastAsia="宋体" w:cs="宋体"/>
                <w:color w:val="595959"/>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285" w:hRule="atLeast"/>
          <w:jc w:val="center"/>
        </w:trPr>
        <w:tc>
          <w:tcPr>
            <w:tcW w:w="675" w:type="dxa"/>
            <w:vMerge w:val="continue"/>
            <w:vAlign w:val="center"/>
          </w:tcPr>
          <w:p>
            <w:pPr>
              <w:adjustRightInd w:val="0"/>
              <w:snapToGrid w:val="0"/>
              <w:spacing w:line="360" w:lineRule="exact"/>
              <w:jc w:val="center"/>
              <w:rPr>
                <w:rFonts w:ascii="宋体" w:hAnsi="宋体" w:eastAsia="宋体" w:cs="宋体"/>
                <w:bCs/>
                <w:color w:val="595959"/>
                <w:szCs w:val="21"/>
              </w:rPr>
            </w:pPr>
          </w:p>
        </w:tc>
        <w:tc>
          <w:tcPr>
            <w:tcW w:w="1134" w:type="dxa"/>
            <w:vMerge w:val="continue"/>
            <w:vAlign w:val="center"/>
          </w:tcPr>
          <w:p>
            <w:pPr>
              <w:adjustRightInd w:val="0"/>
              <w:snapToGrid w:val="0"/>
              <w:spacing w:line="360" w:lineRule="exact"/>
              <w:jc w:val="center"/>
              <w:rPr>
                <w:rFonts w:ascii="宋体" w:hAnsi="宋体" w:eastAsia="宋体" w:cs="宋体"/>
                <w:bCs/>
                <w:color w:val="595959"/>
                <w:szCs w:val="21"/>
              </w:rPr>
            </w:pPr>
          </w:p>
        </w:tc>
        <w:tc>
          <w:tcPr>
            <w:tcW w:w="6154" w:type="dxa"/>
            <w:vAlign w:val="center"/>
          </w:tcPr>
          <w:p>
            <w:pPr>
              <w:wordWrap w:val="0"/>
              <w:spacing w:line="360" w:lineRule="exact"/>
              <w:rPr>
                <w:rFonts w:ascii="宋体" w:hAnsi="宋体" w:eastAsia="宋体" w:cs="宋体"/>
                <w:b/>
                <w:bCs/>
                <w:color w:val="595959"/>
                <w:szCs w:val="21"/>
              </w:rPr>
            </w:pPr>
            <w:r>
              <w:rPr>
                <w:rFonts w:hint="eastAsia" w:ascii="宋体" w:hAnsi="宋体" w:eastAsia="宋体" w:cs="宋体"/>
                <w:b/>
                <w:bCs/>
                <w:color w:val="595959"/>
                <w:szCs w:val="21"/>
              </w:rPr>
              <w:t>证明材料：</w:t>
            </w:r>
          </w:p>
          <w:p>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须提供以上项目盖有用户单位公章的履约评价扫描件，不提供不得分。</w:t>
            </w:r>
          </w:p>
        </w:tc>
        <w:tc>
          <w:tcPr>
            <w:tcW w:w="802" w:type="dxa"/>
            <w:vMerge w:val="continue"/>
            <w:vAlign w:val="center"/>
          </w:tcPr>
          <w:p>
            <w:pPr>
              <w:adjustRightInd w:val="0"/>
              <w:snapToGrid w:val="0"/>
              <w:spacing w:line="360" w:lineRule="exact"/>
              <w:jc w:val="center"/>
              <w:rPr>
                <w:rFonts w:ascii="宋体" w:hAnsi="宋体" w:eastAsia="宋体" w:cs="宋体"/>
                <w:color w:val="59595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285" w:hRule="atLeast"/>
          <w:jc w:val="center"/>
        </w:trPr>
        <w:tc>
          <w:tcPr>
            <w:tcW w:w="675" w:type="dxa"/>
            <w:vMerge w:val="restart"/>
            <w:vAlign w:val="center"/>
          </w:tcPr>
          <w:p>
            <w:pPr>
              <w:adjustRightInd w:val="0"/>
              <w:snapToGrid w:val="0"/>
              <w:spacing w:line="360" w:lineRule="exact"/>
              <w:jc w:val="center"/>
              <w:rPr>
                <w:rFonts w:ascii="宋体" w:hAnsi="宋体" w:eastAsia="宋体" w:cs="宋体"/>
                <w:bCs/>
                <w:color w:val="595959"/>
                <w:szCs w:val="21"/>
              </w:rPr>
            </w:pPr>
            <w:r>
              <w:rPr>
                <w:rFonts w:hint="eastAsia" w:ascii="宋体" w:hAnsi="宋体" w:eastAsia="宋体" w:cs="宋体"/>
                <w:bCs/>
                <w:color w:val="595959"/>
                <w:szCs w:val="21"/>
              </w:rPr>
              <w:t>5</w:t>
            </w:r>
          </w:p>
        </w:tc>
        <w:tc>
          <w:tcPr>
            <w:tcW w:w="1134" w:type="dxa"/>
            <w:vMerge w:val="restart"/>
            <w:vAlign w:val="center"/>
          </w:tcPr>
          <w:p>
            <w:pPr>
              <w:adjustRightInd w:val="0"/>
              <w:snapToGrid w:val="0"/>
              <w:spacing w:line="360" w:lineRule="exact"/>
              <w:jc w:val="center"/>
              <w:rPr>
                <w:rFonts w:ascii="宋体" w:hAnsi="宋体" w:eastAsia="宋体" w:cs="宋体"/>
                <w:bCs/>
                <w:color w:val="595959"/>
                <w:szCs w:val="21"/>
              </w:rPr>
            </w:pPr>
            <w:r>
              <w:rPr>
                <w:rFonts w:hint="eastAsia" w:ascii="宋体" w:hAnsi="宋体" w:eastAsia="宋体" w:cs="宋体"/>
                <w:bCs/>
                <w:color w:val="595959"/>
                <w:szCs w:val="21"/>
              </w:rPr>
              <w:t>相关资质证书</w:t>
            </w:r>
          </w:p>
        </w:tc>
        <w:tc>
          <w:tcPr>
            <w:tcW w:w="6154" w:type="dxa"/>
            <w:vAlign w:val="center"/>
          </w:tcPr>
          <w:p>
            <w:pPr>
              <w:wordWrap w:val="0"/>
              <w:spacing w:line="360" w:lineRule="exact"/>
              <w:rPr>
                <w:rFonts w:ascii="宋体" w:hAnsi="宋体" w:eastAsia="宋体" w:cs="宋体"/>
                <w:color w:val="595959"/>
                <w:szCs w:val="21"/>
              </w:rPr>
            </w:pPr>
            <w:r>
              <w:rPr>
                <w:rFonts w:hint="eastAsia" w:ascii="宋体" w:hAnsi="宋体" w:eastAsia="宋体" w:cs="宋体"/>
                <w:b/>
                <w:bCs/>
                <w:color w:val="595959"/>
                <w:szCs w:val="21"/>
              </w:rPr>
              <w:t>考察内容：</w:t>
            </w:r>
          </w:p>
          <w:p>
            <w:pPr>
              <w:wordWrap w:val="0"/>
              <w:spacing w:line="360" w:lineRule="exact"/>
              <w:rPr>
                <w:rFonts w:ascii="宋体" w:hAnsi="宋体" w:eastAsia="宋体" w:cs="宋体"/>
                <w:color w:val="595959"/>
                <w:szCs w:val="21"/>
                <w:highlight w:val="none"/>
              </w:rPr>
            </w:pPr>
            <w:r>
              <w:rPr>
                <w:rFonts w:hint="eastAsia" w:ascii="宋体" w:hAnsi="宋体" w:eastAsia="宋体" w:cs="宋体"/>
                <w:color w:val="595959"/>
                <w:szCs w:val="21"/>
                <w:highlight w:val="none"/>
              </w:rPr>
              <w:t>1.具备建筑机电安装工程专业承包三级资质或</w:t>
            </w:r>
            <w:r>
              <w:rPr>
                <w:rFonts w:ascii="宋体" w:hAnsi="宋体" w:eastAsia="宋体" w:cs="宋体"/>
                <w:color w:val="595959"/>
                <w:szCs w:val="21"/>
                <w:highlight w:val="none"/>
              </w:rPr>
              <w:t>以上资质</w:t>
            </w:r>
            <w:r>
              <w:rPr>
                <w:rFonts w:hint="eastAsia" w:ascii="宋体" w:hAnsi="宋体" w:eastAsia="宋体" w:cs="宋体"/>
                <w:color w:val="595959"/>
                <w:szCs w:val="21"/>
                <w:highlight w:val="none"/>
              </w:rPr>
              <w:t>的得</w:t>
            </w:r>
            <w:r>
              <w:rPr>
                <w:rFonts w:ascii="宋体" w:hAnsi="宋体" w:eastAsia="宋体" w:cs="宋体"/>
                <w:color w:val="595959"/>
                <w:szCs w:val="21"/>
                <w:highlight w:val="none"/>
              </w:rPr>
              <w:t>5</w:t>
            </w:r>
            <w:r>
              <w:rPr>
                <w:rFonts w:hint="eastAsia" w:ascii="宋体" w:hAnsi="宋体" w:eastAsia="宋体" w:cs="宋体"/>
                <w:color w:val="595959"/>
                <w:szCs w:val="21"/>
                <w:highlight w:val="none"/>
              </w:rPr>
              <w:t>0%分，；</w:t>
            </w:r>
          </w:p>
          <w:p>
            <w:pPr>
              <w:wordWrap w:val="0"/>
              <w:spacing w:line="360" w:lineRule="exact"/>
              <w:rPr>
                <w:rFonts w:ascii="宋体" w:hAnsi="宋体" w:eastAsia="宋体" w:cs="宋体"/>
                <w:color w:val="595959"/>
                <w:szCs w:val="21"/>
              </w:rPr>
            </w:pPr>
            <w:r>
              <w:rPr>
                <w:rFonts w:hint="eastAsia" w:ascii="宋体" w:hAnsi="宋体" w:eastAsia="宋体" w:cs="宋体"/>
                <w:color w:val="595959"/>
                <w:szCs w:val="21"/>
                <w:highlight w:val="none"/>
              </w:rPr>
              <w:t>2.具备城市</w:t>
            </w:r>
            <w:r>
              <w:rPr>
                <w:rFonts w:ascii="宋体" w:hAnsi="宋体" w:eastAsia="宋体" w:cs="宋体"/>
                <w:color w:val="595959"/>
                <w:szCs w:val="21"/>
                <w:highlight w:val="none"/>
              </w:rPr>
              <w:t>及</w:t>
            </w:r>
            <w:r>
              <w:rPr>
                <w:rFonts w:hint="eastAsia" w:ascii="宋体" w:hAnsi="宋体" w:eastAsia="宋体" w:cs="宋体"/>
                <w:color w:val="595959"/>
                <w:szCs w:val="21"/>
                <w:highlight w:val="none"/>
              </w:rPr>
              <w:t>道</w:t>
            </w:r>
            <w:r>
              <w:rPr>
                <w:rFonts w:ascii="宋体" w:hAnsi="宋体" w:eastAsia="宋体" w:cs="宋体"/>
                <w:color w:val="595959"/>
                <w:szCs w:val="21"/>
                <w:highlight w:val="none"/>
              </w:rPr>
              <w:t>路照明</w:t>
            </w:r>
            <w:r>
              <w:rPr>
                <w:rFonts w:hint="eastAsia" w:ascii="宋体" w:hAnsi="宋体" w:eastAsia="宋体" w:cs="宋体"/>
                <w:color w:val="595959"/>
                <w:szCs w:val="21"/>
                <w:highlight w:val="none"/>
              </w:rPr>
              <w:t>工</w:t>
            </w:r>
            <w:r>
              <w:rPr>
                <w:rFonts w:ascii="宋体" w:hAnsi="宋体" w:eastAsia="宋体" w:cs="宋体"/>
                <w:color w:val="595959"/>
                <w:szCs w:val="21"/>
                <w:highlight w:val="none"/>
              </w:rPr>
              <w:t>程</w:t>
            </w:r>
            <w:r>
              <w:rPr>
                <w:rFonts w:hint="eastAsia" w:ascii="宋体" w:hAnsi="宋体" w:eastAsia="宋体" w:cs="宋体"/>
                <w:color w:val="595959"/>
                <w:szCs w:val="21"/>
                <w:highlight w:val="none"/>
              </w:rPr>
              <w:t>专业</w:t>
            </w:r>
            <w:r>
              <w:rPr>
                <w:rFonts w:ascii="宋体" w:hAnsi="宋体" w:eastAsia="宋体" w:cs="宋体"/>
                <w:color w:val="595959"/>
                <w:szCs w:val="21"/>
                <w:highlight w:val="none"/>
              </w:rPr>
              <w:t>承包资质</w:t>
            </w:r>
            <w:r>
              <w:rPr>
                <w:rFonts w:hint="eastAsia" w:ascii="宋体" w:hAnsi="宋体" w:eastAsia="宋体" w:cs="宋体"/>
                <w:color w:val="595959"/>
                <w:szCs w:val="21"/>
                <w:highlight w:val="none"/>
              </w:rPr>
              <w:t>三级资质的得10%分、二级的的</w:t>
            </w:r>
            <w:r>
              <w:rPr>
                <w:rFonts w:ascii="宋体" w:hAnsi="宋体" w:eastAsia="宋体" w:cs="宋体"/>
                <w:color w:val="595959"/>
                <w:szCs w:val="21"/>
                <w:highlight w:val="none"/>
              </w:rPr>
              <w:t>3</w:t>
            </w:r>
            <w:r>
              <w:rPr>
                <w:rFonts w:hint="eastAsia" w:ascii="宋体" w:hAnsi="宋体" w:eastAsia="宋体" w:cs="宋体"/>
                <w:color w:val="595959"/>
                <w:szCs w:val="21"/>
                <w:highlight w:val="none"/>
              </w:rPr>
              <w:t>0%分、一级或以上资质得</w:t>
            </w:r>
            <w:r>
              <w:rPr>
                <w:rFonts w:ascii="宋体" w:hAnsi="宋体" w:eastAsia="宋体" w:cs="宋体"/>
                <w:color w:val="595959"/>
                <w:szCs w:val="21"/>
                <w:highlight w:val="none"/>
              </w:rPr>
              <w:t>5</w:t>
            </w:r>
            <w:r>
              <w:rPr>
                <w:rFonts w:hint="eastAsia" w:ascii="宋体" w:hAnsi="宋体" w:eastAsia="宋体" w:cs="宋体"/>
                <w:color w:val="595959"/>
                <w:szCs w:val="21"/>
                <w:highlight w:val="none"/>
              </w:rPr>
              <w:t>0%分；</w:t>
            </w:r>
          </w:p>
        </w:tc>
        <w:tc>
          <w:tcPr>
            <w:tcW w:w="802" w:type="dxa"/>
            <w:vMerge w:val="restart"/>
            <w:vAlign w:val="center"/>
          </w:tcPr>
          <w:p>
            <w:pPr>
              <w:adjustRightInd w:val="0"/>
              <w:snapToGrid w:val="0"/>
              <w:spacing w:line="360" w:lineRule="exact"/>
              <w:ind w:left="0" w:leftChars="0" w:firstLine="0" w:firstLineChars="0"/>
              <w:jc w:val="both"/>
              <w:rPr>
                <w:rFonts w:ascii="宋体" w:hAnsi="宋体" w:eastAsia="宋体" w:cs="宋体"/>
                <w:color w:val="595959"/>
                <w:szCs w:val="21"/>
              </w:rPr>
            </w:pPr>
            <w:r>
              <w:rPr>
                <w:rFonts w:hint="eastAsia" w:ascii="宋体" w:hAnsi="宋体" w:eastAsia="宋体" w:cs="宋体"/>
                <w:color w:val="595959"/>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285" w:hRule="atLeast"/>
          <w:jc w:val="center"/>
        </w:trPr>
        <w:tc>
          <w:tcPr>
            <w:tcW w:w="675" w:type="dxa"/>
            <w:vMerge w:val="continue"/>
            <w:vAlign w:val="center"/>
          </w:tcPr>
          <w:p>
            <w:pPr>
              <w:adjustRightInd w:val="0"/>
              <w:snapToGrid w:val="0"/>
              <w:spacing w:line="360" w:lineRule="exact"/>
              <w:jc w:val="center"/>
              <w:rPr>
                <w:rFonts w:ascii="宋体" w:hAnsi="宋体" w:eastAsia="宋体" w:cs="宋体"/>
                <w:bCs/>
                <w:color w:val="595959"/>
                <w:szCs w:val="21"/>
              </w:rPr>
            </w:pPr>
          </w:p>
        </w:tc>
        <w:tc>
          <w:tcPr>
            <w:tcW w:w="1134" w:type="dxa"/>
            <w:vMerge w:val="continue"/>
            <w:vAlign w:val="center"/>
          </w:tcPr>
          <w:p>
            <w:pPr>
              <w:adjustRightInd w:val="0"/>
              <w:snapToGrid w:val="0"/>
              <w:spacing w:line="360" w:lineRule="exact"/>
              <w:jc w:val="center"/>
              <w:rPr>
                <w:rFonts w:ascii="宋体" w:hAnsi="宋体" w:eastAsia="宋体" w:cs="宋体"/>
                <w:bCs/>
                <w:color w:val="595959"/>
                <w:szCs w:val="21"/>
              </w:rPr>
            </w:pPr>
          </w:p>
        </w:tc>
        <w:tc>
          <w:tcPr>
            <w:tcW w:w="6154" w:type="dxa"/>
            <w:vAlign w:val="center"/>
          </w:tcPr>
          <w:p>
            <w:pPr>
              <w:wordWrap w:val="0"/>
              <w:spacing w:line="360" w:lineRule="exact"/>
              <w:rPr>
                <w:rFonts w:ascii="宋体" w:hAnsi="宋体" w:eastAsia="宋体" w:cs="宋体"/>
                <w:b/>
                <w:bCs/>
                <w:color w:val="595959"/>
                <w:szCs w:val="21"/>
              </w:rPr>
            </w:pPr>
            <w:r>
              <w:rPr>
                <w:rFonts w:hint="eastAsia" w:ascii="宋体" w:hAnsi="宋体" w:eastAsia="宋体" w:cs="宋体"/>
                <w:b/>
                <w:bCs/>
                <w:color w:val="595959"/>
                <w:szCs w:val="21"/>
              </w:rPr>
              <w:t>证明材料：</w:t>
            </w:r>
          </w:p>
          <w:p>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提供在有效期内的相关证明文件扫描件，未提供或提供的资料无法判断是否有效的均不得分。</w:t>
            </w:r>
          </w:p>
        </w:tc>
        <w:tc>
          <w:tcPr>
            <w:tcW w:w="802" w:type="dxa"/>
            <w:vMerge w:val="continue"/>
            <w:vAlign w:val="center"/>
          </w:tcPr>
          <w:p>
            <w:pPr>
              <w:adjustRightInd w:val="0"/>
              <w:snapToGrid w:val="0"/>
              <w:spacing w:line="360" w:lineRule="exact"/>
              <w:jc w:val="center"/>
              <w:rPr>
                <w:rFonts w:ascii="宋体" w:hAnsi="宋体" w:eastAsia="宋体" w:cs="宋体"/>
                <w:color w:val="59595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285" w:hRule="atLeast"/>
          <w:jc w:val="center"/>
        </w:trPr>
        <w:tc>
          <w:tcPr>
            <w:tcW w:w="675" w:type="dxa"/>
            <w:vMerge w:val="restart"/>
            <w:vAlign w:val="center"/>
          </w:tcPr>
          <w:p>
            <w:pPr>
              <w:adjustRightInd w:val="0"/>
              <w:snapToGrid w:val="0"/>
              <w:spacing w:line="360" w:lineRule="exact"/>
              <w:jc w:val="center"/>
              <w:rPr>
                <w:rFonts w:ascii="宋体" w:hAnsi="宋体" w:eastAsia="宋体" w:cs="宋体"/>
                <w:bCs/>
                <w:color w:val="595959"/>
                <w:szCs w:val="21"/>
              </w:rPr>
            </w:pPr>
            <w:r>
              <w:rPr>
                <w:rFonts w:hint="eastAsia" w:ascii="宋体" w:hAnsi="宋体" w:eastAsia="宋体" w:cs="宋体"/>
                <w:bCs/>
                <w:color w:val="595959"/>
                <w:szCs w:val="21"/>
              </w:rPr>
              <w:t>6</w:t>
            </w:r>
          </w:p>
        </w:tc>
        <w:tc>
          <w:tcPr>
            <w:tcW w:w="1134" w:type="dxa"/>
            <w:vMerge w:val="restart"/>
            <w:vAlign w:val="center"/>
          </w:tcPr>
          <w:p>
            <w:pPr>
              <w:adjustRightInd w:val="0"/>
              <w:snapToGrid w:val="0"/>
              <w:spacing w:line="360" w:lineRule="exact"/>
              <w:jc w:val="center"/>
              <w:rPr>
                <w:rFonts w:ascii="宋体" w:hAnsi="宋体" w:eastAsia="宋体" w:cs="宋体"/>
                <w:bCs/>
                <w:color w:val="595959"/>
                <w:szCs w:val="21"/>
              </w:rPr>
            </w:pPr>
            <w:r>
              <w:rPr>
                <w:rFonts w:hint="eastAsia" w:ascii="宋体" w:hAnsi="宋体" w:eastAsia="宋体" w:cs="宋体"/>
                <w:bCs/>
                <w:color w:val="595959"/>
                <w:szCs w:val="21"/>
              </w:rPr>
              <w:t>诚信</w:t>
            </w:r>
          </w:p>
        </w:tc>
        <w:tc>
          <w:tcPr>
            <w:tcW w:w="6154" w:type="dxa"/>
            <w:vAlign w:val="center"/>
          </w:tcPr>
          <w:p>
            <w:pPr>
              <w:wordWrap w:val="0"/>
              <w:spacing w:line="360" w:lineRule="exact"/>
              <w:rPr>
                <w:rFonts w:ascii="宋体" w:hAnsi="宋体" w:eastAsia="宋体" w:cs="宋体"/>
                <w:color w:val="595959"/>
                <w:szCs w:val="21"/>
              </w:rPr>
            </w:pPr>
            <w:r>
              <w:rPr>
                <w:rFonts w:hint="eastAsia" w:ascii="宋体" w:hAnsi="宋体" w:eastAsia="宋体" w:cs="宋体"/>
                <w:b/>
                <w:bCs/>
                <w:color w:val="595959"/>
                <w:szCs w:val="21"/>
              </w:rPr>
              <w:t>考察内容：</w:t>
            </w:r>
          </w:p>
          <w:p>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投标人在参与政府采购活动中存在诚信相关问题且在主管部门相关处理措施实施期限内的，本项不得分，否则得满分。</w:t>
            </w:r>
          </w:p>
        </w:tc>
        <w:tc>
          <w:tcPr>
            <w:tcW w:w="802" w:type="dxa"/>
            <w:vMerge w:val="restart"/>
            <w:vAlign w:val="center"/>
          </w:tcPr>
          <w:p>
            <w:pPr>
              <w:adjustRightInd w:val="0"/>
              <w:snapToGrid w:val="0"/>
              <w:spacing w:line="360" w:lineRule="exact"/>
              <w:ind w:left="0" w:leftChars="0" w:firstLine="0" w:firstLineChars="0"/>
              <w:jc w:val="both"/>
              <w:rPr>
                <w:rFonts w:ascii="宋体" w:hAnsi="宋体" w:eastAsia="宋体" w:cs="宋体"/>
                <w:color w:val="595959"/>
                <w:szCs w:val="21"/>
              </w:rPr>
            </w:pPr>
            <w:r>
              <w:rPr>
                <w:rFonts w:hint="eastAsia" w:ascii="宋体" w:hAnsi="宋体" w:eastAsia="宋体" w:cs="宋体"/>
                <w:color w:val="595959"/>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285" w:hRule="atLeast"/>
          <w:jc w:val="center"/>
        </w:trPr>
        <w:tc>
          <w:tcPr>
            <w:tcW w:w="675" w:type="dxa"/>
            <w:vMerge w:val="continue"/>
            <w:vAlign w:val="center"/>
          </w:tcPr>
          <w:p>
            <w:pPr>
              <w:adjustRightInd w:val="0"/>
              <w:snapToGrid w:val="0"/>
              <w:spacing w:line="360" w:lineRule="exact"/>
              <w:jc w:val="center"/>
              <w:rPr>
                <w:rFonts w:ascii="宋体" w:hAnsi="宋体" w:eastAsia="宋体" w:cs="宋体"/>
                <w:bCs/>
                <w:color w:val="595959"/>
                <w:szCs w:val="21"/>
              </w:rPr>
            </w:pPr>
          </w:p>
        </w:tc>
        <w:tc>
          <w:tcPr>
            <w:tcW w:w="1134" w:type="dxa"/>
            <w:vMerge w:val="continue"/>
            <w:vAlign w:val="center"/>
          </w:tcPr>
          <w:p>
            <w:pPr>
              <w:adjustRightInd w:val="0"/>
              <w:snapToGrid w:val="0"/>
              <w:spacing w:line="360" w:lineRule="exact"/>
              <w:jc w:val="center"/>
              <w:rPr>
                <w:rFonts w:ascii="宋体" w:hAnsi="宋体" w:eastAsia="宋体" w:cs="宋体"/>
                <w:bCs/>
                <w:color w:val="595959"/>
                <w:szCs w:val="21"/>
              </w:rPr>
            </w:pPr>
          </w:p>
        </w:tc>
        <w:tc>
          <w:tcPr>
            <w:tcW w:w="6154" w:type="dxa"/>
            <w:vAlign w:val="center"/>
          </w:tcPr>
          <w:p>
            <w:pPr>
              <w:wordWrap w:val="0"/>
              <w:spacing w:line="360" w:lineRule="exact"/>
              <w:rPr>
                <w:rFonts w:ascii="宋体" w:hAnsi="宋体" w:eastAsia="宋体" w:cs="宋体"/>
                <w:b/>
                <w:bCs/>
                <w:color w:val="595959"/>
                <w:szCs w:val="21"/>
              </w:rPr>
            </w:pPr>
            <w:r>
              <w:rPr>
                <w:rFonts w:hint="eastAsia" w:ascii="宋体" w:hAnsi="宋体" w:eastAsia="宋体" w:cs="宋体"/>
                <w:b/>
                <w:bCs/>
                <w:color w:val="595959"/>
                <w:szCs w:val="21"/>
              </w:rPr>
              <w:t>证明材料：</w:t>
            </w:r>
          </w:p>
          <w:p>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投标人无需提供任何证明材料，由工作人员查询后向</w:t>
            </w:r>
            <w:r>
              <w:rPr>
                <w:rFonts w:hint="eastAsia" w:ascii="宋体" w:hAnsi="宋体" w:eastAsia="宋体" w:cs="宋体"/>
                <w:bCs/>
                <w:color w:val="595959" w:themeColor="text1" w:themeTint="A6"/>
                <w:szCs w:val="21"/>
                <w:lang w:val="en-US" w:eastAsia="zh-CN"/>
                <w14:textFill>
                  <w14:solidFill>
                    <w14:schemeClr w14:val="tx1">
                      <w14:lumMod w14:val="65000"/>
                      <w14:lumOff w14:val="35000"/>
                    </w14:schemeClr>
                  </w14:solidFill>
                </w14:textFill>
              </w:rPr>
              <w:t>评</w:t>
            </w: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定</w:t>
            </w:r>
            <w:r>
              <w:rPr>
                <w:rFonts w:hint="eastAsia" w:ascii="宋体" w:hAnsi="宋体" w:eastAsia="宋体" w:cs="宋体"/>
                <w:bCs/>
                <w:color w:val="595959" w:themeColor="text1" w:themeTint="A6"/>
                <w:szCs w:val="21"/>
                <w:lang w:val="en-US" w:eastAsia="zh-CN"/>
                <w14:textFill>
                  <w14:solidFill>
                    <w14:schemeClr w14:val="tx1">
                      <w14:lumMod w14:val="65000"/>
                      <w14:lumOff w14:val="35000"/>
                    </w14:schemeClr>
                  </w14:solidFill>
                </w14:textFill>
              </w:rPr>
              <w:t>小组</w:t>
            </w:r>
            <w:r>
              <w:rPr>
                <w:rFonts w:hint="eastAsia" w:ascii="宋体" w:hAnsi="宋体" w:eastAsia="宋体" w:cs="宋体"/>
                <w:color w:val="595959"/>
                <w:szCs w:val="21"/>
              </w:rPr>
              <w:t>提供相关信息。</w:t>
            </w:r>
          </w:p>
        </w:tc>
        <w:tc>
          <w:tcPr>
            <w:tcW w:w="802" w:type="dxa"/>
            <w:vMerge w:val="continue"/>
            <w:vAlign w:val="center"/>
          </w:tcPr>
          <w:p>
            <w:pPr>
              <w:adjustRightInd w:val="0"/>
              <w:snapToGrid w:val="0"/>
              <w:spacing w:line="360" w:lineRule="exact"/>
              <w:jc w:val="center"/>
              <w:rPr>
                <w:rFonts w:ascii="宋体" w:hAnsi="宋体" w:eastAsia="宋体" w:cs="宋体"/>
                <w:color w:val="59595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jc w:val="center"/>
        </w:trPr>
        <w:tc>
          <w:tcPr>
            <w:tcW w:w="7963" w:type="dxa"/>
            <w:gridSpan w:val="3"/>
            <w:vAlign w:val="center"/>
          </w:tcPr>
          <w:p>
            <w:pPr>
              <w:widowControl/>
              <w:spacing w:line="360" w:lineRule="exact"/>
              <w:jc w:val="center"/>
              <w:rPr>
                <w:rFonts w:ascii="宋体" w:hAnsi="宋体" w:eastAsia="宋体" w:cs="宋体"/>
                <w:b/>
                <w:bCs/>
                <w:color w:val="595959"/>
                <w:szCs w:val="21"/>
              </w:rPr>
            </w:pPr>
            <w:r>
              <w:rPr>
                <w:rFonts w:hint="eastAsia" w:ascii="宋体" w:hAnsi="宋体" w:eastAsia="宋体" w:cs="宋体"/>
                <w:b/>
                <w:bCs/>
                <w:color w:val="595959"/>
                <w:szCs w:val="21"/>
              </w:rPr>
              <w:t>合计</w:t>
            </w:r>
          </w:p>
        </w:tc>
        <w:tc>
          <w:tcPr>
            <w:tcW w:w="802" w:type="dxa"/>
            <w:vAlign w:val="center"/>
          </w:tcPr>
          <w:p>
            <w:pPr>
              <w:adjustRightInd w:val="0"/>
              <w:snapToGrid w:val="0"/>
              <w:spacing w:line="360" w:lineRule="exact"/>
              <w:ind w:left="0" w:leftChars="0" w:firstLine="0" w:firstLineChars="0"/>
              <w:jc w:val="both"/>
              <w:rPr>
                <w:rFonts w:hint="default" w:ascii="宋体" w:hAnsi="宋体" w:eastAsia="宋体" w:cs="宋体"/>
                <w:color w:val="595959"/>
                <w:szCs w:val="21"/>
                <w:lang w:val="en-US" w:eastAsia="zh-CN"/>
              </w:rPr>
            </w:pPr>
            <w:r>
              <w:rPr>
                <w:rFonts w:hint="eastAsia" w:ascii="宋体" w:hAnsi="宋体" w:eastAsia="宋体" w:cs="宋体"/>
                <w:color w:val="595959"/>
                <w:szCs w:val="21"/>
                <w:lang w:val="en-US" w:eastAsia="zh-CN"/>
              </w:rPr>
              <w:t>35</w:t>
            </w:r>
          </w:p>
        </w:tc>
      </w:tr>
    </w:tbl>
    <w:p>
      <w:pPr>
        <w:widowControl w:val="0"/>
        <w:autoSpaceDE w:val="0"/>
        <w:autoSpaceDN w:val="0"/>
        <w:adjustRightInd w:val="0"/>
        <w:snapToGrid w:val="0"/>
        <w:ind w:firstLine="0" w:firstLineChars="0"/>
        <w:jc w:val="left"/>
        <w:rPr>
          <w:rFonts w:hint="eastAsia" w:ascii="宋体" w:hAnsi="宋体"/>
          <w:b/>
          <w:szCs w:val="21"/>
        </w:rPr>
      </w:pPr>
    </w:p>
    <w:p>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1、本表评审依据要求的各项证明文件须编入投标文件。</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2、表中要求提供相关证明文件的内容，投标文件中须明确加以说明并提供，未按要求提供相关文件或说明不清楚或评审委员会无法凭所提供的材料判断是否得分的情况，一律作不得分处理。</w:t>
      </w:r>
    </w:p>
    <w:p>
      <w:pPr>
        <w:widowControl w:val="0"/>
        <w:autoSpaceDE w:val="0"/>
        <w:autoSpaceDN w:val="0"/>
        <w:adjustRightInd w:val="0"/>
        <w:snapToGrid w:val="0"/>
        <w:ind w:firstLine="0" w:firstLineChars="0"/>
        <w:jc w:val="left"/>
        <w:rPr>
          <w:rFonts w:hint="eastAsia" w:ascii="宋体" w:hAnsi="宋体"/>
          <w:b/>
          <w:sz w:val="22"/>
        </w:rPr>
      </w:pPr>
      <w:r>
        <w:rPr>
          <w:rFonts w:ascii="宋体" w:hAnsi="宋体"/>
        </w:rPr>
        <w:br w:type="page"/>
      </w:r>
      <w:r>
        <w:rPr>
          <w:rFonts w:hint="eastAsia" w:ascii="宋体" w:hAnsi="宋体"/>
          <w:b/>
          <w:sz w:val="22"/>
        </w:rPr>
        <w:t>附表2-1 《技术标评审标准》</w:t>
      </w:r>
    </w:p>
    <w:tbl>
      <w:tblPr>
        <w:tblStyle w:val="49"/>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6626"/>
        <w:gridCol w:w="802"/>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9256" w:type="dxa"/>
            <w:gridSpan w:val="5"/>
            <w:shd w:val="clear" w:color="auto" w:fill="D9E2F3"/>
            <w:vAlign w:val="center"/>
          </w:tcPr>
          <w:p>
            <w:pPr>
              <w:adjustRightInd w:val="0"/>
              <w:snapToGrid w:val="0"/>
              <w:spacing w:line="360" w:lineRule="exact"/>
              <w:jc w:val="center"/>
              <w:rPr>
                <w:rFonts w:ascii="宋体" w:hAnsi="宋体" w:eastAsia="宋体" w:cs="Times New Roman"/>
                <w:b/>
                <w:color w:val="595959"/>
                <w:sz w:val="32"/>
                <w:szCs w:val="32"/>
              </w:rPr>
            </w:pPr>
            <w:r>
              <w:rPr>
                <w:rFonts w:hint="eastAsia" w:ascii="宋体" w:hAnsi="宋体" w:eastAsia="宋体" w:cs="Times New Roman"/>
                <w:b/>
                <w:color w:val="595959"/>
                <w:sz w:val="32"/>
                <w:szCs w:val="32"/>
              </w:rPr>
              <w:t>《技术标评审标准》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567" w:hRule="atLeast"/>
          <w:tblHeader/>
          <w:jc w:val="center"/>
        </w:trPr>
        <w:tc>
          <w:tcPr>
            <w:tcW w:w="675" w:type="dxa"/>
            <w:vAlign w:val="center"/>
          </w:tcPr>
          <w:p>
            <w:pPr>
              <w:adjustRightInd w:val="0"/>
              <w:snapToGrid w:val="0"/>
              <w:spacing w:line="360" w:lineRule="exact"/>
              <w:ind w:left="0" w:leftChars="0" w:firstLine="0" w:firstLineChars="0"/>
              <w:jc w:val="both"/>
              <w:rPr>
                <w:rFonts w:ascii="宋体" w:hAnsi="宋体" w:eastAsia="宋体" w:cs="Times New Roman"/>
                <w:b/>
                <w:color w:val="595959"/>
                <w:szCs w:val="21"/>
              </w:rPr>
            </w:pPr>
            <w:r>
              <w:rPr>
                <w:rFonts w:hint="eastAsia" w:ascii="宋体" w:hAnsi="宋体" w:eastAsia="宋体" w:cs="Times New Roman"/>
                <w:b/>
                <w:color w:val="595959"/>
                <w:szCs w:val="21"/>
              </w:rPr>
              <w:t>序号</w:t>
            </w:r>
          </w:p>
        </w:tc>
        <w:tc>
          <w:tcPr>
            <w:tcW w:w="1134" w:type="dxa"/>
            <w:vAlign w:val="center"/>
          </w:tcPr>
          <w:p>
            <w:pPr>
              <w:adjustRightInd w:val="0"/>
              <w:snapToGrid w:val="0"/>
              <w:spacing w:line="360" w:lineRule="exact"/>
              <w:ind w:left="0" w:leftChars="0" w:firstLine="0" w:firstLineChars="0"/>
              <w:jc w:val="both"/>
              <w:rPr>
                <w:rFonts w:ascii="宋体" w:hAnsi="宋体" w:eastAsia="宋体" w:cs="Times New Roman"/>
                <w:b/>
                <w:color w:val="595959"/>
                <w:szCs w:val="21"/>
              </w:rPr>
            </w:pPr>
            <w:r>
              <w:rPr>
                <w:rFonts w:hint="eastAsia" w:ascii="宋体" w:hAnsi="宋体" w:eastAsia="宋体" w:cs="Times New Roman"/>
                <w:b/>
                <w:color w:val="595959"/>
                <w:szCs w:val="21"/>
              </w:rPr>
              <w:t>评审项目</w:t>
            </w:r>
          </w:p>
        </w:tc>
        <w:tc>
          <w:tcPr>
            <w:tcW w:w="6626" w:type="dxa"/>
            <w:vAlign w:val="center"/>
          </w:tcPr>
          <w:p>
            <w:pPr>
              <w:adjustRightInd w:val="0"/>
              <w:snapToGrid w:val="0"/>
              <w:spacing w:line="360" w:lineRule="exact"/>
              <w:jc w:val="center"/>
              <w:rPr>
                <w:rFonts w:ascii="宋体" w:hAnsi="宋体" w:eastAsia="宋体" w:cs="Times New Roman"/>
                <w:b/>
                <w:color w:val="595959"/>
                <w:szCs w:val="21"/>
              </w:rPr>
            </w:pPr>
            <w:r>
              <w:rPr>
                <w:rFonts w:hint="eastAsia" w:ascii="宋体" w:hAnsi="宋体" w:eastAsia="宋体" w:cs="Times New Roman"/>
                <w:b/>
                <w:color w:val="595959"/>
                <w:szCs w:val="21"/>
              </w:rPr>
              <w:t>评审标准及证明材料</w:t>
            </w:r>
          </w:p>
        </w:tc>
        <w:tc>
          <w:tcPr>
            <w:tcW w:w="802" w:type="dxa"/>
            <w:vAlign w:val="center"/>
          </w:tcPr>
          <w:p>
            <w:pPr>
              <w:adjustRightInd w:val="0"/>
              <w:snapToGrid w:val="0"/>
              <w:spacing w:line="360" w:lineRule="exact"/>
              <w:ind w:left="0" w:leftChars="0" w:firstLine="0" w:firstLineChars="0"/>
              <w:jc w:val="both"/>
              <w:rPr>
                <w:rFonts w:ascii="宋体" w:hAnsi="宋体" w:eastAsia="宋体" w:cs="Times New Roman"/>
                <w:b/>
                <w:color w:val="595959"/>
                <w:szCs w:val="21"/>
              </w:rPr>
            </w:pPr>
            <w:r>
              <w:rPr>
                <w:rFonts w:hint="eastAsia" w:ascii="宋体" w:hAnsi="宋体" w:eastAsia="宋体" w:cs="Times New Roman"/>
                <w:b/>
                <w:color w:val="595959"/>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567" w:hRule="atLeast"/>
          <w:jc w:val="center"/>
        </w:trPr>
        <w:tc>
          <w:tcPr>
            <w:tcW w:w="675" w:type="dxa"/>
            <w:vMerge w:val="restart"/>
            <w:vAlign w:val="center"/>
          </w:tcPr>
          <w:p>
            <w:pPr>
              <w:adjustRightInd w:val="0"/>
              <w:snapToGrid w:val="0"/>
              <w:spacing w:line="360" w:lineRule="exact"/>
              <w:jc w:val="center"/>
              <w:rPr>
                <w:rFonts w:ascii="宋体" w:hAnsi="宋体" w:eastAsia="宋体" w:cs="Times New Roman"/>
                <w:color w:val="595959"/>
                <w:szCs w:val="21"/>
              </w:rPr>
            </w:pPr>
            <w:r>
              <w:rPr>
                <w:rFonts w:hint="eastAsia" w:ascii="宋体" w:hAnsi="宋体" w:eastAsia="宋体" w:cs="宋体"/>
                <w:color w:val="595959"/>
                <w:szCs w:val="21"/>
              </w:rPr>
              <w:t>1</w:t>
            </w:r>
          </w:p>
        </w:tc>
        <w:tc>
          <w:tcPr>
            <w:tcW w:w="1134" w:type="dxa"/>
            <w:vMerge w:val="restart"/>
            <w:vAlign w:val="center"/>
          </w:tcPr>
          <w:p>
            <w:pPr>
              <w:adjustRightInd w:val="0"/>
              <w:snapToGrid w:val="0"/>
              <w:spacing w:line="360" w:lineRule="exact"/>
              <w:ind w:left="0" w:leftChars="0" w:firstLine="0" w:firstLineChars="0"/>
              <w:jc w:val="both"/>
              <w:rPr>
                <w:rFonts w:ascii="宋体" w:hAnsi="宋体" w:eastAsia="宋体" w:cs="Times New Roman"/>
                <w:color w:val="595959"/>
                <w:szCs w:val="21"/>
              </w:rPr>
            </w:pPr>
            <w:r>
              <w:rPr>
                <w:rFonts w:hint="eastAsia" w:ascii="宋体" w:hAnsi="宋体" w:eastAsia="宋体" w:cs="宋体"/>
                <w:color w:val="595959"/>
                <w:szCs w:val="21"/>
              </w:rPr>
              <w:t>实</w:t>
            </w:r>
            <w:r>
              <w:rPr>
                <w:rFonts w:ascii="宋体" w:hAnsi="宋体" w:eastAsia="宋体" w:cs="宋体"/>
                <w:color w:val="595959"/>
                <w:szCs w:val="21"/>
              </w:rPr>
              <w:t>施</w:t>
            </w:r>
            <w:r>
              <w:rPr>
                <w:rFonts w:hint="eastAsia" w:ascii="宋体" w:hAnsi="宋体" w:eastAsia="宋体" w:cs="宋体"/>
                <w:color w:val="595959"/>
                <w:szCs w:val="21"/>
              </w:rPr>
              <w:t>方案</w:t>
            </w:r>
          </w:p>
        </w:tc>
        <w:tc>
          <w:tcPr>
            <w:tcW w:w="6626" w:type="dxa"/>
            <w:vAlign w:val="center"/>
          </w:tcPr>
          <w:p>
            <w:pPr>
              <w:widowControl/>
              <w:wordWrap w:val="0"/>
              <w:spacing w:line="360" w:lineRule="exact"/>
              <w:rPr>
                <w:rFonts w:ascii="宋体" w:hAnsi="宋体" w:eastAsia="宋体" w:cs="宋体"/>
                <w:b/>
                <w:bCs/>
                <w:color w:val="595959"/>
                <w:szCs w:val="21"/>
              </w:rPr>
            </w:pPr>
            <w:r>
              <w:rPr>
                <w:rFonts w:hint="eastAsia" w:ascii="宋体" w:hAnsi="宋体" w:eastAsia="宋体" w:cs="宋体"/>
                <w:b/>
                <w:bCs/>
                <w:color w:val="595959"/>
                <w:szCs w:val="21"/>
              </w:rPr>
              <w:t>考察内容：</w:t>
            </w:r>
          </w:p>
          <w:p>
            <w:pPr>
              <w:rPr>
                <w:rFonts w:ascii="宋体" w:hAnsi="宋体" w:eastAsia="宋体" w:cs="仿宋_GB2312"/>
                <w:szCs w:val="21"/>
              </w:rPr>
            </w:pPr>
            <w:r>
              <w:rPr>
                <w:rFonts w:hint="eastAsia" w:ascii="宋体" w:hAnsi="宋体" w:eastAsia="宋体" w:cs="仿宋_GB2312"/>
                <w:szCs w:val="21"/>
              </w:rPr>
              <w:t>投标人根据本项目特点及需求提供实施方案，实施方案中需包含但不限于:</w:t>
            </w:r>
          </w:p>
          <w:p>
            <w:pPr>
              <w:rPr>
                <w:rFonts w:ascii="宋体" w:hAnsi="宋体" w:eastAsia="宋体" w:cs="仿宋_GB2312"/>
                <w:szCs w:val="21"/>
              </w:rPr>
            </w:pPr>
            <w:r>
              <w:rPr>
                <w:rFonts w:hint="eastAsia" w:ascii="宋体" w:hAnsi="宋体" w:eastAsia="宋体" w:cs="仿宋_GB2312"/>
                <w:szCs w:val="21"/>
              </w:rPr>
              <w:t>1.工作措施;</w:t>
            </w:r>
          </w:p>
          <w:p>
            <w:pPr>
              <w:rPr>
                <w:rFonts w:ascii="宋体" w:hAnsi="宋体" w:eastAsia="宋体" w:cs="仿宋_GB2312"/>
                <w:szCs w:val="21"/>
              </w:rPr>
            </w:pPr>
            <w:r>
              <w:rPr>
                <w:rFonts w:hint="eastAsia" w:ascii="宋体" w:hAnsi="宋体" w:eastAsia="宋体" w:cs="仿宋_GB2312"/>
                <w:szCs w:val="21"/>
              </w:rPr>
              <w:t>2.工作方法;</w:t>
            </w:r>
          </w:p>
          <w:p>
            <w:pPr>
              <w:rPr>
                <w:rFonts w:ascii="宋体" w:hAnsi="宋体" w:eastAsia="宋体" w:cs="仿宋_GB2312"/>
                <w:szCs w:val="21"/>
              </w:rPr>
            </w:pPr>
            <w:r>
              <w:rPr>
                <w:rFonts w:hint="eastAsia" w:ascii="宋体" w:hAnsi="宋体" w:eastAsia="宋体" w:cs="仿宋_GB2312"/>
                <w:szCs w:val="21"/>
              </w:rPr>
              <w:t>3.工作手段;</w:t>
            </w:r>
          </w:p>
          <w:p>
            <w:pPr>
              <w:rPr>
                <w:rFonts w:ascii="宋体" w:hAnsi="宋体" w:eastAsia="宋体" w:cs="宋体"/>
                <w:b/>
                <w:bCs/>
                <w:color w:val="595959"/>
                <w:szCs w:val="21"/>
              </w:rPr>
            </w:pPr>
            <w:r>
              <w:rPr>
                <w:rFonts w:hint="eastAsia" w:ascii="宋体" w:hAnsi="宋体" w:eastAsia="宋体" w:cs="仿宋_GB2312"/>
                <w:szCs w:val="21"/>
              </w:rPr>
              <w:t xml:space="preserve">4.工作流程。 </w:t>
            </w:r>
          </w:p>
        </w:tc>
        <w:tc>
          <w:tcPr>
            <w:tcW w:w="802" w:type="dxa"/>
            <w:vMerge w:val="restart"/>
            <w:vAlign w:val="center"/>
          </w:tcPr>
          <w:p>
            <w:pPr>
              <w:adjustRightInd w:val="0"/>
              <w:snapToGrid w:val="0"/>
              <w:spacing w:line="360" w:lineRule="exact"/>
              <w:ind w:left="0" w:leftChars="0" w:firstLine="0" w:firstLineChars="0"/>
              <w:jc w:val="both"/>
              <w:rPr>
                <w:rFonts w:hint="eastAsia" w:ascii="宋体" w:hAnsi="宋体" w:eastAsia="宋体" w:cs="Times New Roman"/>
                <w:color w:val="595959"/>
                <w:szCs w:val="21"/>
                <w:lang w:eastAsia="zh-CN"/>
              </w:rPr>
            </w:pPr>
            <w:r>
              <w:rPr>
                <w:rFonts w:ascii="宋体" w:hAnsi="宋体" w:eastAsia="宋体" w:cs="Times New Roman"/>
                <w:color w:val="595959"/>
                <w:szCs w:val="21"/>
              </w:rPr>
              <w:t>1</w:t>
            </w:r>
            <w:r>
              <w:rPr>
                <w:rFonts w:hint="eastAsia" w:ascii="宋体" w:hAnsi="宋体" w:cs="Times New Roman"/>
                <w:color w:val="595959"/>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567" w:hRule="atLeast"/>
          <w:jc w:val="center"/>
        </w:trPr>
        <w:tc>
          <w:tcPr>
            <w:tcW w:w="675" w:type="dxa"/>
            <w:vMerge w:val="continue"/>
            <w:vAlign w:val="center"/>
          </w:tcPr>
          <w:p>
            <w:pPr>
              <w:adjustRightInd w:val="0"/>
              <w:snapToGrid w:val="0"/>
              <w:spacing w:line="360" w:lineRule="exact"/>
              <w:jc w:val="center"/>
              <w:rPr>
                <w:rFonts w:ascii="宋体" w:hAnsi="宋体" w:eastAsia="宋体" w:cs="Times New Roman"/>
                <w:color w:val="595959"/>
                <w:szCs w:val="21"/>
              </w:rPr>
            </w:pPr>
          </w:p>
        </w:tc>
        <w:tc>
          <w:tcPr>
            <w:tcW w:w="1134" w:type="dxa"/>
            <w:vMerge w:val="continue"/>
            <w:vAlign w:val="center"/>
          </w:tcPr>
          <w:p>
            <w:pPr>
              <w:adjustRightInd w:val="0"/>
              <w:snapToGrid w:val="0"/>
              <w:spacing w:line="360" w:lineRule="exact"/>
              <w:jc w:val="center"/>
              <w:rPr>
                <w:rFonts w:ascii="宋体" w:hAnsi="宋体" w:eastAsia="宋体" w:cs="Times New Roman"/>
                <w:color w:val="595959"/>
                <w:szCs w:val="21"/>
              </w:rPr>
            </w:pPr>
          </w:p>
        </w:tc>
        <w:tc>
          <w:tcPr>
            <w:tcW w:w="6626" w:type="dxa"/>
            <w:vAlign w:val="center"/>
          </w:tcPr>
          <w:p>
            <w:pPr>
              <w:widowControl/>
              <w:wordWrap w:val="0"/>
              <w:spacing w:line="360" w:lineRule="exact"/>
              <w:rPr>
                <w:rFonts w:ascii="宋体" w:hAnsi="宋体" w:eastAsia="宋体" w:cs="宋体"/>
                <w:b/>
                <w:bCs/>
                <w:color w:val="595959"/>
                <w:szCs w:val="21"/>
              </w:rPr>
            </w:pPr>
            <w:r>
              <w:rPr>
                <w:rFonts w:hint="eastAsia" w:ascii="宋体" w:hAnsi="宋体" w:eastAsia="宋体" w:cs="宋体"/>
                <w:b/>
                <w:bCs/>
                <w:color w:val="595959"/>
                <w:szCs w:val="21"/>
              </w:rPr>
              <w:t>评审标准：</w:t>
            </w:r>
          </w:p>
          <w:p>
            <w:pPr>
              <w:rPr>
                <w:rFonts w:ascii="宋体" w:hAnsi="宋体" w:eastAsia="宋体" w:cs="仿宋_GB2312"/>
                <w:szCs w:val="21"/>
              </w:rPr>
            </w:pPr>
            <w:r>
              <w:rPr>
                <w:rFonts w:hint="eastAsia" w:ascii="宋体" w:hAnsi="宋体" w:eastAsia="宋体" w:cs="仿宋_GB2312"/>
                <w:szCs w:val="21"/>
              </w:rPr>
              <w:t>1.方案内容每包含上述1项的得12.5分，最高得50分；</w:t>
            </w:r>
          </w:p>
          <w:p>
            <w:pPr>
              <w:rPr>
                <w:rFonts w:ascii="宋体" w:hAnsi="宋体" w:eastAsia="宋体" w:cs="仿宋_GB2312"/>
                <w:szCs w:val="21"/>
              </w:rPr>
            </w:pPr>
            <w:r>
              <w:rPr>
                <w:rFonts w:hint="eastAsia" w:ascii="宋体" w:hAnsi="宋体" w:eastAsia="宋体" w:cs="仿宋_GB2312"/>
                <w:szCs w:val="21"/>
              </w:rPr>
              <w:t>2.在第1点基础上，根据方案整体全面性、准确性、针对性、合理性进行评分：</w:t>
            </w:r>
          </w:p>
          <w:p>
            <w:pPr>
              <w:rPr>
                <w:rFonts w:ascii="宋体" w:hAnsi="宋体" w:eastAsia="宋体" w:cs="仿宋_GB2312"/>
                <w:szCs w:val="21"/>
              </w:rPr>
            </w:pPr>
            <w:r>
              <w:rPr>
                <w:rFonts w:hint="eastAsia" w:ascii="宋体" w:hAnsi="宋体" w:eastAsia="宋体" w:cs="仿宋_GB2312"/>
                <w:szCs w:val="21"/>
              </w:rPr>
              <w:t>（1）优：对项目理解准确全面，对评分内容有针对性详细分析，实施方案详细且贴切项目实际，得50分；</w:t>
            </w:r>
          </w:p>
          <w:p>
            <w:pPr>
              <w:rPr>
                <w:rFonts w:ascii="宋体" w:hAnsi="宋体" w:eastAsia="宋体" w:cs="仿宋_GB2312"/>
                <w:szCs w:val="21"/>
              </w:rPr>
            </w:pPr>
            <w:r>
              <w:rPr>
                <w:rFonts w:hint="eastAsia" w:ascii="宋体" w:hAnsi="宋体" w:eastAsia="宋体" w:cs="仿宋_GB2312"/>
                <w:szCs w:val="21"/>
              </w:rPr>
              <w:t>（2）良：对项目理解不准确但对评分内容分析全面或对项目理解准确但对考察内容分析不全面，实施方案详细但针对性不强的，得30分；</w:t>
            </w:r>
          </w:p>
          <w:p>
            <w:pPr>
              <w:rPr>
                <w:rFonts w:ascii="宋体" w:hAnsi="宋体" w:eastAsia="宋体" w:cs="仿宋_GB2312"/>
                <w:szCs w:val="21"/>
              </w:rPr>
            </w:pPr>
            <w:r>
              <w:rPr>
                <w:rFonts w:hint="eastAsia" w:ascii="宋体" w:hAnsi="宋体" w:eastAsia="宋体" w:cs="仿宋_GB2312"/>
                <w:szCs w:val="21"/>
              </w:rPr>
              <w:t>（3）中：对项目理解不准确且对考察内容分析不全面，实施方案简要且针对性不强的，得10分；</w:t>
            </w:r>
          </w:p>
          <w:p>
            <w:pPr>
              <w:widowControl/>
              <w:wordWrap w:val="0"/>
              <w:spacing w:line="360" w:lineRule="exact"/>
              <w:rPr>
                <w:rFonts w:ascii="宋体" w:hAnsi="宋体" w:eastAsia="宋体" w:cs="宋体"/>
                <w:b/>
                <w:bCs/>
                <w:color w:val="595959"/>
                <w:szCs w:val="21"/>
              </w:rPr>
            </w:pPr>
            <w:r>
              <w:rPr>
                <w:rFonts w:hint="eastAsia" w:ascii="宋体" w:hAnsi="宋体" w:eastAsia="宋体" w:cs="仿宋_GB2312"/>
                <w:szCs w:val="21"/>
              </w:rPr>
              <w:t>（4）差：没有理解项目需求且没有针对考察内容进行分析，缺少实施方案的，不得分。如果评审为差，要求专家书面说明理由，并记录在档。</w:t>
            </w:r>
          </w:p>
        </w:tc>
        <w:tc>
          <w:tcPr>
            <w:tcW w:w="802" w:type="dxa"/>
            <w:vMerge w:val="continue"/>
            <w:vAlign w:val="center"/>
          </w:tcPr>
          <w:p>
            <w:pPr>
              <w:adjustRightInd w:val="0"/>
              <w:snapToGrid w:val="0"/>
              <w:spacing w:line="360" w:lineRule="exact"/>
              <w:jc w:val="center"/>
              <w:rPr>
                <w:rFonts w:ascii="宋体" w:hAnsi="宋体" w:eastAsia="宋体" w:cs="Times New Roman"/>
                <w:color w:val="59595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278" w:hRule="atLeast"/>
          <w:jc w:val="center"/>
        </w:trPr>
        <w:tc>
          <w:tcPr>
            <w:tcW w:w="675" w:type="dxa"/>
            <w:vMerge w:val="restart"/>
            <w:vAlign w:val="center"/>
          </w:tcPr>
          <w:p>
            <w:pPr>
              <w:adjustRightInd w:val="0"/>
              <w:snapToGrid w:val="0"/>
              <w:spacing w:line="360" w:lineRule="exact"/>
              <w:rPr>
                <w:rFonts w:ascii="宋体" w:hAnsi="宋体" w:eastAsia="宋体" w:cs="宋体"/>
                <w:color w:val="595959"/>
                <w:szCs w:val="21"/>
              </w:rPr>
            </w:pPr>
            <w:r>
              <w:rPr>
                <w:rFonts w:ascii="宋体" w:hAnsi="宋体" w:eastAsia="宋体" w:cs="宋体"/>
                <w:color w:val="595959"/>
                <w:szCs w:val="21"/>
              </w:rPr>
              <w:t>3</w:t>
            </w:r>
          </w:p>
        </w:tc>
        <w:tc>
          <w:tcPr>
            <w:tcW w:w="1134" w:type="dxa"/>
            <w:vMerge w:val="restart"/>
            <w:vAlign w:val="center"/>
          </w:tcPr>
          <w:p>
            <w:pPr>
              <w:adjustRightInd w:val="0"/>
              <w:snapToGrid w:val="0"/>
              <w:spacing w:line="360" w:lineRule="exact"/>
              <w:ind w:left="0" w:leftChars="0" w:firstLine="0" w:firstLineChars="0"/>
              <w:jc w:val="both"/>
              <w:rPr>
                <w:rFonts w:ascii="宋体" w:hAnsi="宋体" w:eastAsia="宋体" w:cs="宋体"/>
                <w:color w:val="595959"/>
                <w:szCs w:val="21"/>
              </w:rPr>
            </w:pPr>
            <w:r>
              <w:rPr>
                <w:rFonts w:hint="eastAsia" w:ascii="宋体" w:hAnsi="宋体" w:eastAsia="宋体" w:cs="宋体"/>
                <w:color w:val="595959"/>
                <w:szCs w:val="21"/>
              </w:rPr>
              <w:t>拟安排的项目负责人情况（仅限一人）</w:t>
            </w:r>
          </w:p>
        </w:tc>
        <w:tc>
          <w:tcPr>
            <w:tcW w:w="6626" w:type="dxa"/>
            <w:vAlign w:val="center"/>
          </w:tcPr>
          <w:p>
            <w:pPr>
              <w:wordWrap w:val="0"/>
              <w:spacing w:line="360" w:lineRule="exact"/>
              <w:rPr>
                <w:rFonts w:ascii="宋体" w:hAnsi="宋体" w:eastAsia="宋体" w:cs="Times New Roman"/>
                <w:b/>
                <w:bCs/>
                <w:color w:val="595959"/>
                <w:szCs w:val="20"/>
              </w:rPr>
            </w:pPr>
            <w:r>
              <w:rPr>
                <w:rFonts w:hint="eastAsia" w:ascii="宋体" w:hAnsi="宋体" w:eastAsia="宋体" w:cs="Times New Roman"/>
                <w:b/>
                <w:bCs/>
                <w:color w:val="595959"/>
                <w:szCs w:val="20"/>
              </w:rPr>
              <w:t>考察内容：</w:t>
            </w:r>
          </w:p>
          <w:p>
            <w:pPr>
              <w:widowControl/>
              <w:wordWrap w:val="0"/>
              <w:spacing w:line="360" w:lineRule="exact"/>
              <w:rPr>
                <w:rFonts w:ascii="宋体" w:hAnsi="宋体" w:eastAsia="宋体" w:cs="Times New Roman"/>
                <w:color w:val="595959"/>
                <w:szCs w:val="20"/>
              </w:rPr>
            </w:pPr>
            <w:r>
              <w:rPr>
                <w:rFonts w:hint="eastAsia" w:ascii="宋体" w:hAnsi="宋体" w:eastAsia="宋体" w:cs="Times New Roman"/>
                <w:color w:val="595959"/>
                <w:szCs w:val="20"/>
              </w:rPr>
              <w:t xml:space="preserve">要求拟派本项目负责人(1人)须为投标人自有员工 (以社保为准)，在此基础上: </w:t>
            </w:r>
          </w:p>
          <w:p>
            <w:pPr>
              <w:widowControl/>
              <w:wordWrap w:val="0"/>
              <w:spacing w:line="360" w:lineRule="exact"/>
              <w:rPr>
                <w:rFonts w:ascii="宋体" w:hAnsi="宋体" w:eastAsia="宋体" w:cs="Times New Roman"/>
                <w:color w:val="595959"/>
                <w:szCs w:val="20"/>
              </w:rPr>
            </w:pPr>
            <w:r>
              <w:rPr>
                <w:rFonts w:hint="eastAsia" w:ascii="宋体" w:hAnsi="宋体" w:eastAsia="宋体" w:cs="Times New Roman"/>
                <w:color w:val="595959"/>
                <w:szCs w:val="20"/>
              </w:rPr>
              <w:t>(1)具有机电或</w:t>
            </w:r>
            <w:r>
              <w:rPr>
                <w:rFonts w:ascii="宋体" w:hAnsi="宋体" w:eastAsia="宋体" w:cs="Times New Roman"/>
                <w:color w:val="595959"/>
                <w:szCs w:val="20"/>
              </w:rPr>
              <w:t>市政</w:t>
            </w:r>
            <w:r>
              <w:rPr>
                <w:rFonts w:hint="eastAsia" w:ascii="宋体" w:hAnsi="宋体" w:eastAsia="宋体" w:cs="Times New Roman"/>
                <w:color w:val="595959"/>
                <w:szCs w:val="20"/>
              </w:rPr>
              <w:t>专业</w:t>
            </w:r>
            <w:r>
              <w:rPr>
                <w:rFonts w:hint="eastAsia" w:ascii="宋体" w:hAnsi="宋体" w:eastAsia="宋体" w:cs="Times New Roman"/>
                <w:color w:val="595959"/>
                <w:szCs w:val="20"/>
                <w:highlight w:val="none"/>
              </w:rPr>
              <w:t>注册建造师资格二级</w:t>
            </w:r>
            <w:r>
              <w:rPr>
                <w:rFonts w:hint="eastAsia" w:ascii="宋体" w:hAnsi="宋体" w:eastAsia="宋体" w:cs="Times New Roman"/>
                <w:color w:val="595959"/>
                <w:szCs w:val="20"/>
                <w:highlight w:val="none"/>
                <w:lang w:val="en-US" w:eastAsia="zh-CN"/>
              </w:rPr>
              <w:t>及以上资格</w:t>
            </w:r>
            <w:r>
              <w:rPr>
                <w:rFonts w:hint="eastAsia" w:ascii="宋体" w:hAnsi="宋体" w:eastAsia="宋体" w:cs="Times New Roman"/>
                <w:color w:val="595959"/>
                <w:szCs w:val="20"/>
                <w:highlight w:val="none"/>
              </w:rPr>
              <w:t>证书同时</w:t>
            </w:r>
            <w:r>
              <w:rPr>
                <w:rFonts w:ascii="宋体" w:hAnsi="宋体" w:eastAsia="宋体" w:cs="Times New Roman"/>
                <w:color w:val="595959"/>
                <w:szCs w:val="20"/>
                <w:highlight w:val="none"/>
              </w:rPr>
              <w:t>具有</w:t>
            </w:r>
            <w:r>
              <w:rPr>
                <w:rFonts w:hint="eastAsia" w:ascii="宋体" w:hAnsi="宋体" w:eastAsia="宋体" w:cs="Times New Roman"/>
                <w:color w:val="595959"/>
                <w:szCs w:val="20"/>
                <w:highlight w:val="none"/>
              </w:rPr>
              <w:t>B证得</w:t>
            </w:r>
            <w:r>
              <w:rPr>
                <w:rFonts w:ascii="宋体" w:hAnsi="宋体" w:eastAsia="宋体" w:cs="Times New Roman"/>
                <w:color w:val="595959"/>
                <w:szCs w:val="20"/>
                <w:highlight w:val="none"/>
              </w:rPr>
              <w:t>10</w:t>
            </w:r>
            <w:r>
              <w:rPr>
                <w:rFonts w:hint="eastAsia" w:ascii="宋体" w:hAnsi="宋体" w:eastAsia="宋体" w:cs="Times New Roman"/>
                <w:color w:val="595959"/>
                <w:szCs w:val="20"/>
                <w:highlight w:val="none"/>
              </w:rPr>
              <w:t>0</w:t>
            </w:r>
            <w:r>
              <w:rPr>
                <w:rFonts w:ascii="宋体" w:hAnsi="宋体" w:eastAsia="宋体" w:cs="Times New Roman"/>
                <w:color w:val="595959"/>
                <w:szCs w:val="21"/>
                <w:highlight w:val="none"/>
              </w:rPr>
              <w:t>%</w:t>
            </w:r>
            <w:r>
              <w:rPr>
                <w:rFonts w:hint="eastAsia" w:ascii="宋体" w:hAnsi="宋体" w:eastAsia="宋体" w:cs="Times New Roman"/>
                <w:color w:val="595959"/>
                <w:szCs w:val="20"/>
                <w:highlight w:val="none"/>
              </w:rPr>
              <w:t>分；</w:t>
            </w:r>
            <w:r>
              <w:rPr>
                <w:rFonts w:hint="eastAsia" w:ascii="宋体" w:hAnsi="宋体" w:cs="Times New Roman"/>
                <w:color w:val="595959"/>
                <w:szCs w:val="20"/>
                <w:highlight w:val="none"/>
                <w:lang w:val="en-US" w:eastAsia="zh-CN"/>
              </w:rPr>
              <w:t>只有其一</w:t>
            </w:r>
            <w:r>
              <w:rPr>
                <w:rFonts w:hint="eastAsia" w:ascii="宋体" w:hAnsi="宋体" w:eastAsia="宋体" w:cs="Times New Roman"/>
                <w:color w:val="595959"/>
                <w:szCs w:val="20"/>
                <w:highlight w:val="none"/>
              </w:rPr>
              <w:t>得</w:t>
            </w:r>
            <w:r>
              <w:rPr>
                <w:rFonts w:hint="eastAsia" w:ascii="宋体" w:hAnsi="宋体" w:cs="Times New Roman"/>
                <w:color w:val="595959"/>
                <w:szCs w:val="20"/>
                <w:highlight w:val="none"/>
                <w:lang w:val="en-US" w:eastAsia="zh-CN"/>
              </w:rPr>
              <w:t>40</w:t>
            </w:r>
            <w:r>
              <w:rPr>
                <w:rFonts w:ascii="宋体" w:hAnsi="宋体" w:eastAsia="宋体" w:cs="Times New Roman"/>
                <w:color w:val="595959"/>
                <w:szCs w:val="21"/>
                <w:highlight w:val="none"/>
              </w:rPr>
              <w:t>%</w:t>
            </w:r>
            <w:r>
              <w:rPr>
                <w:rFonts w:hint="eastAsia" w:ascii="宋体" w:hAnsi="宋体" w:eastAsia="宋体" w:cs="Times New Roman"/>
                <w:color w:val="595959"/>
                <w:szCs w:val="20"/>
                <w:highlight w:val="none"/>
              </w:rPr>
              <w:t>分</w:t>
            </w:r>
            <w:r>
              <w:rPr>
                <w:rFonts w:hint="eastAsia" w:ascii="宋体" w:hAnsi="宋体" w:cs="Times New Roman"/>
                <w:color w:val="595959"/>
                <w:szCs w:val="20"/>
                <w:highlight w:val="none"/>
                <w:lang w:eastAsia="zh-CN"/>
              </w:rPr>
              <w:t>，</w:t>
            </w:r>
            <w:r>
              <w:rPr>
                <w:rFonts w:hint="eastAsia" w:ascii="宋体" w:hAnsi="宋体" w:cs="Times New Roman"/>
                <w:color w:val="595959"/>
                <w:szCs w:val="20"/>
                <w:highlight w:val="none"/>
                <w:lang w:val="en-US" w:eastAsia="zh-CN"/>
              </w:rPr>
              <w:t>低于二级得25%</w:t>
            </w:r>
            <w:r>
              <w:rPr>
                <w:rFonts w:hint="eastAsia" w:ascii="宋体" w:hAnsi="宋体" w:eastAsia="宋体" w:cs="Times New Roman"/>
                <w:color w:val="595959"/>
                <w:szCs w:val="20"/>
                <w:highlight w:val="none"/>
              </w:rPr>
              <w:t>；</w:t>
            </w:r>
            <w:bookmarkStart w:id="471" w:name="_GoBack"/>
            <w:bookmarkEnd w:id="471"/>
          </w:p>
        </w:tc>
        <w:tc>
          <w:tcPr>
            <w:tcW w:w="802" w:type="dxa"/>
            <w:vMerge w:val="restart"/>
            <w:vAlign w:val="center"/>
          </w:tcPr>
          <w:p>
            <w:pPr>
              <w:adjustRightInd w:val="0"/>
              <w:snapToGrid w:val="0"/>
              <w:spacing w:line="360" w:lineRule="exact"/>
              <w:ind w:left="0" w:leftChars="0" w:firstLine="0" w:firstLineChars="0"/>
              <w:jc w:val="both"/>
              <w:rPr>
                <w:rFonts w:ascii="宋体" w:hAnsi="宋体" w:eastAsia="宋体" w:cs="Times New Roman"/>
                <w:color w:val="595959"/>
                <w:szCs w:val="21"/>
              </w:rPr>
            </w:pPr>
            <w:r>
              <w:rPr>
                <w:rFonts w:ascii="宋体" w:hAnsi="宋体" w:eastAsia="宋体" w:cs="Times New Roman"/>
                <w:color w:val="595959"/>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4115" w:hRule="atLeast"/>
          <w:jc w:val="center"/>
        </w:trPr>
        <w:tc>
          <w:tcPr>
            <w:tcW w:w="675" w:type="dxa"/>
            <w:vMerge w:val="continue"/>
            <w:vAlign w:val="center"/>
          </w:tcPr>
          <w:p>
            <w:pPr>
              <w:adjustRightInd w:val="0"/>
              <w:snapToGrid w:val="0"/>
              <w:spacing w:line="360" w:lineRule="exact"/>
              <w:rPr>
                <w:rFonts w:ascii="宋体" w:hAnsi="宋体" w:eastAsia="宋体" w:cs="宋体"/>
                <w:color w:val="595959"/>
                <w:szCs w:val="21"/>
              </w:rPr>
            </w:pPr>
          </w:p>
        </w:tc>
        <w:tc>
          <w:tcPr>
            <w:tcW w:w="1134" w:type="dxa"/>
            <w:vMerge w:val="continue"/>
            <w:vAlign w:val="center"/>
          </w:tcPr>
          <w:p>
            <w:pPr>
              <w:adjustRightInd w:val="0"/>
              <w:snapToGrid w:val="0"/>
              <w:spacing w:line="360" w:lineRule="exact"/>
              <w:rPr>
                <w:rFonts w:ascii="宋体" w:hAnsi="宋体" w:eastAsia="宋体" w:cs="宋体"/>
                <w:color w:val="595959"/>
                <w:szCs w:val="21"/>
              </w:rPr>
            </w:pPr>
          </w:p>
        </w:tc>
        <w:tc>
          <w:tcPr>
            <w:tcW w:w="6626" w:type="dxa"/>
            <w:vAlign w:val="center"/>
          </w:tcPr>
          <w:p>
            <w:pPr>
              <w:wordWrap w:val="0"/>
              <w:spacing w:line="360" w:lineRule="exact"/>
              <w:rPr>
                <w:rFonts w:ascii="宋体" w:hAnsi="宋体" w:eastAsia="宋体" w:cs="宋体"/>
                <w:color w:val="595959"/>
                <w:szCs w:val="21"/>
              </w:rPr>
            </w:pPr>
            <w:r>
              <w:rPr>
                <w:rFonts w:hint="eastAsia" w:ascii="宋体" w:hAnsi="宋体" w:eastAsia="宋体" w:cs="宋体"/>
                <w:b/>
                <w:bCs/>
                <w:color w:val="595959"/>
                <w:szCs w:val="21"/>
              </w:rPr>
              <w:t>证明文件</w:t>
            </w:r>
            <w:r>
              <w:rPr>
                <w:rFonts w:hint="eastAsia" w:ascii="宋体" w:hAnsi="宋体" w:eastAsia="宋体" w:cs="宋体"/>
                <w:color w:val="595959"/>
                <w:szCs w:val="21"/>
              </w:rPr>
              <w:t>：</w:t>
            </w:r>
          </w:p>
          <w:p>
            <w:pPr>
              <w:adjustRightInd w:val="0"/>
              <w:snapToGrid w:val="0"/>
              <w:spacing w:line="360" w:lineRule="exact"/>
              <w:rPr>
                <w:rFonts w:ascii="宋体" w:hAnsi="宋体" w:eastAsia="宋体" w:cs="宋体"/>
                <w:color w:val="595959"/>
                <w:szCs w:val="21"/>
              </w:rPr>
            </w:pPr>
            <w:r>
              <w:rPr>
                <w:rFonts w:hint="eastAsia" w:ascii="宋体" w:hAnsi="宋体" w:eastAsia="宋体" w:cs="宋体"/>
                <w:color w:val="595959"/>
                <w:szCs w:val="21"/>
              </w:rPr>
              <w:t>1</w:t>
            </w:r>
            <w:r>
              <w:rPr>
                <w:rFonts w:ascii="宋体" w:hAnsi="宋体" w:eastAsia="宋体" w:cs="宋体"/>
                <w:color w:val="595959"/>
                <w:szCs w:val="21"/>
              </w:rPr>
              <w:t>.</w:t>
            </w:r>
            <w:r>
              <w:rPr>
                <w:rFonts w:hint="eastAsia" w:ascii="宋体" w:hAnsi="宋体" w:eastAsia="宋体" w:cs="宋体"/>
                <w:color w:val="595959"/>
                <w:szCs w:val="21"/>
              </w:rPr>
              <w:t>注册建造师需提供证书及全国建筑市场监督公共服务平台(http://jzsc.mohurd.gov.cn/home)证书信息查询截图，原件备查。评分中出现无法证明资料或专家无法凭所提供资料判断是否得分的情况，一律作不得分处理。</w:t>
            </w:r>
          </w:p>
          <w:p>
            <w:pPr>
              <w:adjustRightInd w:val="0"/>
              <w:snapToGrid w:val="0"/>
              <w:spacing w:line="360" w:lineRule="exact"/>
              <w:rPr>
                <w:rFonts w:ascii="宋体" w:hAnsi="宋体" w:eastAsia="宋体" w:cs="宋体"/>
                <w:color w:val="595959"/>
                <w:szCs w:val="21"/>
              </w:rPr>
            </w:pPr>
            <w:r>
              <w:rPr>
                <w:rFonts w:hint="eastAsia" w:ascii="宋体" w:hAnsi="宋体" w:eastAsia="宋体" w:cs="宋体"/>
                <w:color w:val="595959"/>
                <w:szCs w:val="21"/>
              </w:rPr>
              <w:t>3.须提供投标截止日前由投标人为其缴交的具有社保收缴部门公章的近1个月或以上(社保缴交证明材料作为自有员工评分依据，如开标日上一个月的社保材料因社保收缴部门原因暂时无法取得，则可以往前顺延一个月:社保资料必须至少显示缴交养老保险信息，未显示该信息的该社保资料则不符合要求。</w:t>
            </w:r>
          </w:p>
          <w:p>
            <w:pPr>
              <w:adjustRightInd w:val="0"/>
              <w:snapToGrid w:val="0"/>
              <w:spacing w:line="360" w:lineRule="exact"/>
              <w:rPr>
                <w:rFonts w:ascii="宋体" w:hAnsi="宋体" w:eastAsia="宋体" w:cs="宋体"/>
                <w:color w:val="595959"/>
                <w:szCs w:val="21"/>
              </w:rPr>
            </w:pPr>
            <w:r>
              <w:rPr>
                <w:rFonts w:hint="eastAsia" w:ascii="宋体" w:hAnsi="宋体" w:eastAsia="宋体" w:cs="宋体"/>
                <w:color w:val="595959"/>
                <w:szCs w:val="21"/>
              </w:rPr>
              <w:t>4.评分中出现无证明资料或专家无法凭所提供资料判断是否得分的情况，一律作不得分处理。</w:t>
            </w:r>
          </w:p>
        </w:tc>
        <w:tc>
          <w:tcPr>
            <w:tcW w:w="802" w:type="dxa"/>
            <w:vMerge w:val="continue"/>
            <w:vAlign w:val="center"/>
          </w:tcPr>
          <w:p>
            <w:pPr>
              <w:adjustRightInd w:val="0"/>
              <w:snapToGrid w:val="0"/>
              <w:spacing w:line="360" w:lineRule="exact"/>
              <w:jc w:val="center"/>
              <w:rPr>
                <w:rFonts w:ascii="宋体" w:hAnsi="宋体" w:eastAsia="宋体" w:cs="Times New Roman"/>
                <w:b/>
                <w:color w:val="59595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5587" w:hRule="atLeast"/>
          <w:jc w:val="center"/>
        </w:trPr>
        <w:tc>
          <w:tcPr>
            <w:tcW w:w="675" w:type="dxa"/>
            <w:vMerge w:val="restart"/>
            <w:vAlign w:val="center"/>
          </w:tcPr>
          <w:p>
            <w:pPr>
              <w:adjustRightInd w:val="0"/>
              <w:snapToGrid w:val="0"/>
              <w:spacing w:line="360" w:lineRule="exact"/>
              <w:jc w:val="center"/>
              <w:rPr>
                <w:rFonts w:ascii="宋体" w:hAnsi="宋体" w:eastAsia="宋体" w:cs="宋体"/>
                <w:color w:val="595959"/>
                <w:szCs w:val="21"/>
              </w:rPr>
            </w:pPr>
            <w:r>
              <w:rPr>
                <w:rFonts w:ascii="宋体" w:hAnsi="宋体" w:eastAsia="宋体" w:cs="宋体"/>
                <w:color w:val="595959"/>
                <w:szCs w:val="21"/>
              </w:rPr>
              <w:t>4</w:t>
            </w:r>
          </w:p>
        </w:tc>
        <w:tc>
          <w:tcPr>
            <w:tcW w:w="1134" w:type="dxa"/>
            <w:vMerge w:val="restart"/>
            <w:vAlign w:val="center"/>
          </w:tcPr>
          <w:p>
            <w:pPr>
              <w:adjustRightInd w:val="0"/>
              <w:snapToGrid w:val="0"/>
              <w:spacing w:line="360" w:lineRule="exact"/>
              <w:ind w:left="0" w:leftChars="0" w:firstLine="0" w:firstLineChars="0"/>
              <w:rPr>
                <w:rFonts w:ascii="宋体" w:hAnsi="宋体" w:eastAsia="宋体" w:cs="宋体"/>
                <w:color w:val="595959"/>
                <w:szCs w:val="21"/>
              </w:rPr>
            </w:pPr>
            <w:r>
              <w:rPr>
                <w:rFonts w:hint="eastAsia" w:ascii="宋体" w:hAnsi="宋体" w:eastAsia="宋体" w:cs="宋体"/>
                <w:color w:val="595959"/>
                <w:szCs w:val="21"/>
              </w:rPr>
              <w:t>拟安排的项目主要团队成员(主要技术人员)情况(项目负责人除外)</w:t>
            </w:r>
          </w:p>
        </w:tc>
        <w:tc>
          <w:tcPr>
            <w:tcW w:w="6626" w:type="dxa"/>
            <w:vAlign w:val="center"/>
          </w:tcPr>
          <w:p>
            <w:pPr>
              <w:wordWrap w:val="0"/>
              <w:spacing w:line="360" w:lineRule="exact"/>
              <w:rPr>
                <w:rFonts w:ascii="宋体" w:hAnsi="宋体" w:eastAsia="宋体" w:cs="Times New Roman"/>
                <w:color w:val="595959"/>
                <w:szCs w:val="20"/>
              </w:rPr>
            </w:pPr>
            <w:r>
              <w:rPr>
                <w:rFonts w:hint="eastAsia" w:ascii="宋体" w:hAnsi="宋体" w:eastAsia="宋体" w:cs="Times New Roman"/>
                <w:color w:val="595959"/>
                <w:szCs w:val="20"/>
              </w:rPr>
              <w:t>考察内容：</w:t>
            </w:r>
          </w:p>
          <w:p>
            <w:pPr>
              <w:widowControl/>
              <w:wordWrap w:val="0"/>
              <w:spacing w:line="360" w:lineRule="exact"/>
              <w:rPr>
                <w:rFonts w:ascii="宋体" w:hAnsi="宋体" w:eastAsia="宋体" w:cs="Times New Roman"/>
                <w:color w:val="595959"/>
                <w:szCs w:val="20"/>
              </w:rPr>
            </w:pPr>
            <w:r>
              <w:rPr>
                <w:rFonts w:hint="eastAsia" w:ascii="宋体" w:hAnsi="宋体" w:eastAsia="宋体" w:cs="Times New Roman"/>
                <w:color w:val="595959"/>
                <w:szCs w:val="20"/>
              </w:rPr>
              <w:t>拟安排的项目团队成员须为投标人自有员工(以社保为准)，在此基础上:</w:t>
            </w:r>
          </w:p>
          <w:p>
            <w:pPr>
              <w:widowControl/>
              <w:wordWrap w:val="0"/>
              <w:spacing w:line="360" w:lineRule="exact"/>
              <w:rPr>
                <w:rFonts w:ascii="宋体" w:hAnsi="宋体" w:eastAsia="宋体" w:cs="Times New Roman"/>
                <w:color w:val="595959"/>
                <w:szCs w:val="20"/>
              </w:rPr>
            </w:pPr>
            <w:r>
              <w:rPr>
                <w:rFonts w:hint="eastAsia" w:ascii="宋体" w:hAnsi="宋体" w:eastAsia="宋体" w:cs="Times New Roman"/>
                <w:color w:val="595959"/>
                <w:szCs w:val="20"/>
              </w:rPr>
              <w:t>1.技术负责人(1人):</w:t>
            </w:r>
          </w:p>
          <w:p>
            <w:pPr>
              <w:widowControl/>
              <w:wordWrap w:val="0"/>
              <w:spacing w:line="360" w:lineRule="exact"/>
              <w:rPr>
                <w:rFonts w:ascii="宋体" w:hAnsi="宋体" w:eastAsia="宋体" w:cs="Times New Roman"/>
                <w:color w:val="595959"/>
                <w:szCs w:val="20"/>
              </w:rPr>
            </w:pPr>
            <w:r>
              <w:rPr>
                <w:rFonts w:hint="eastAsia" w:ascii="宋体" w:hAnsi="宋体" w:eastAsia="宋体" w:cs="Times New Roman"/>
                <w:color w:val="595959"/>
                <w:szCs w:val="20"/>
              </w:rPr>
              <w:t>①具有电气或照明或机电相关专业高级</w:t>
            </w:r>
            <w:r>
              <w:rPr>
                <w:rFonts w:hint="eastAsia" w:ascii="宋体" w:hAnsi="宋体" w:eastAsia="宋体" w:cs="Times New Roman"/>
                <w:color w:val="595959"/>
                <w:szCs w:val="20"/>
                <w:highlight w:val="none"/>
              </w:rPr>
              <w:t>（含副高级）</w:t>
            </w:r>
            <w:r>
              <w:rPr>
                <w:rFonts w:hint="eastAsia" w:ascii="宋体" w:hAnsi="宋体" w:eastAsia="宋体" w:cs="Times New Roman"/>
                <w:color w:val="595959"/>
                <w:szCs w:val="20"/>
              </w:rPr>
              <w:t>职称证</w:t>
            </w:r>
            <w:r>
              <w:rPr>
                <w:rFonts w:ascii="宋体" w:hAnsi="宋体" w:eastAsia="宋体" w:cs="Times New Roman"/>
                <w:color w:val="595959"/>
                <w:szCs w:val="20"/>
              </w:rPr>
              <w:t>书</w:t>
            </w:r>
            <w:r>
              <w:rPr>
                <w:rFonts w:hint="eastAsia" w:ascii="宋体" w:hAnsi="宋体" w:eastAsia="宋体" w:cs="Times New Roman"/>
                <w:color w:val="595959"/>
                <w:szCs w:val="20"/>
              </w:rPr>
              <w:t>，得</w:t>
            </w:r>
            <w:r>
              <w:rPr>
                <w:rFonts w:ascii="宋体" w:hAnsi="宋体" w:eastAsia="宋体" w:cs="Times New Roman"/>
                <w:color w:val="595959"/>
                <w:szCs w:val="20"/>
              </w:rPr>
              <w:t>20</w:t>
            </w:r>
            <w:r>
              <w:rPr>
                <w:rFonts w:ascii="宋体" w:hAnsi="宋体" w:eastAsia="宋体" w:cs="Times New Roman"/>
                <w:color w:val="595959"/>
                <w:szCs w:val="21"/>
              </w:rPr>
              <w:t>%</w:t>
            </w:r>
            <w:r>
              <w:rPr>
                <w:rFonts w:hint="eastAsia" w:ascii="宋体" w:hAnsi="宋体" w:eastAsia="宋体" w:cs="Times New Roman"/>
                <w:color w:val="595959"/>
                <w:szCs w:val="20"/>
              </w:rPr>
              <w:t>分；</w:t>
            </w:r>
            <w:r>
              <w:rPr>
                <w:rFonts w:ascii="宋体" w:hAnsi="宋体" w:eastAsia="宋体" w:cs="Times New Roman"/>
                <w:color w:val="595959"/>
                <w:szCs w:val="20"/>
              </w:rPr>
              <w:t xml:space="preserve"> </w:t>
            </w:r>
          </w:p>
          <w:p>
            <w:pPr>
              <w:widowControl/>
              <w:wordWrap w:val="0"/>
              <w:spacing w:line="360" w:lineRule="exact"/>
              <w:rPr>
                <w:rFonts w:ascii="宋体" w:hAnsi="宋体" w:eastAsia="宋体" w:cs="Times New Roman"/>
                <w:color w:val="595959"/>
                <w:szCs w:val="20"/>
              </w:rPr>
            </w:pPr>
            <w:r>
              <w:rPr>
                <w:rFonts w:hint="eastAsia" w:ascii="宋体" w:hAnsi="宋体" w:eastAsia="宋体" w:cs="Times New Roman"/>
                <w:color w:val="595959"/>
                <w:szCs w:val="20"/>
              </w:rPr>
              <w:t>2.每提供一人具有应急管理部门(或安监部门)颁发的特种作业操作证(作业类别:电工作业，准操项目:低压电工作业)且同时具备(作业种类:高处作业，准操项目：高处安装、维修、拆除作业或登高架设作业)得</w:t>
            </w:r>
            <w:r>
              <w:rPr>
                <w:rFonts w:ascii="宋体" w:hAnsi="宋体" w:eastAsia="宋体" w:cs="Times New Roman"/>
                <w:color w:val="595959"/>
                <w:szCs w:val="20"/>
              </w:rPr>
              <w:t>10</w:t>
            </w:r>
            <w:r>
              <w:rPr>
                <w:rFonts w:ascii="宋体" w:hAnsi="宋体" w:eastAsia="宋体" w:cs="Times New Roman"/>
                <w:color w:val="595959"/>
                <w:szCs w:val="21"/>
              </w:rPr>
              <w:t>%</w:t>
            </w:r>
            <w:r>
              <w:rPr>
                <w:rFonts w:hint="eastAsia" w:ascii="宋体" w:hAnsi="宋体" w:eastAsia="宋体" w:cs="Times New Roman"/>
                <w:color w:val="595959"/>
                <w:szCs w:val="20"/>
              </w:rPr>
              <w:t>分，此项最高得60</w:t>
            </w:r>
            <w:r>
              <w:rPr>
                <w:rFonts w:ascii="宋体" w:hAnsi="宋体" w:eastAsia="宋体" w:cs="Times New Roman"/>
                <w:color w:val="595959"/>
                <w:szCs w:val="21"/>
              </w:rPr>
              <w:t>%</w:t>
            </w:r>
            <w:r>
              <w:rPr>
                <w:rFonts w:hint="eastAsia" w:ascii="宋体" w:hAnsi="宋体" w:eastAsia="宋体" w:cs="Times New Roman"/>
                <w:color w:val="595959"/>
                <w:szCs w:val="20"/>
              </w:rPr>
              <w:t>分；</w:t>
            </w:r>
          </w:p>
          <w:p>
            <w:pPr>
              <w:widowControl/>
              <w:wordWrap w:val="0"/>
              <w:spacing w:line="360" w:lineRule="exact"/>
              <w:rPr>
                <w:rFonts w:ascii="宋体" w:hAnsi="宋体" w:eastAsia="宋体" w:cs="Times New Roman"/>
                <w:color w:val="595959"/>
                <w:szCs w:val="20"/>
              </w:rPr>
            </w:pPr>
            <w:r>
              <w:rPr>
                <w:rFonts w:ascii="宋体" w:hAnsi="宋体" w:eastAsia="宋体" w:cs="Times New Roman"/>
                <w:color w:val="595959"/>
                <w:szCs w:val="20"/>
              </w:rPr>
              <w:t>3</w:t>
            </w:r>
            <w:r>
              <w:rPr>
                <w:rFonts w:hint="eastAsia" w:ascii="宋体" w:hAnsi="宋体" w:eastAsia="宋体" w:cs="Times New Roman"/>
                <w:color w:val="595959"/>
                <w:szCs w:val="20"/>
              </w:rPr>
              <w:t>.每提供一人具有住房建设部门(或安监部门)颁发的《安全生产考核合格证书》得</w:t>
            </w:r>
            <w:r>
              <w:rPr>
                <w:rFonts w:ascii="宋体" w:hAnsi="宋体" w:eastAsia="宋体" w:cs="Times New Roman"/>
                <w:color w:val="595959"/>
                <w:szCs w:val="20"/>
              </w:rPr>
              <w:t>4</w:t>
            </w:r>
            <w:r>
              <w:rPr>
                <w:rFonts w:ascii="宋体" w:hAnsi="宋体" w:eastAsia="宋体" w:cs="Times New Roman"/>
                <w:color w:val="595959"/>
                <w:szCs w:val="21"/>
              </w:rPr>
              <w:t>%</w:t>
            </w:r>
            <w:r>
              <w:rPr>
                <w:rFonts w:hint="eastAsia" w:ascii="宋体" w:hAnsi="宋体" w:eastAsia="宋体" w:cs="Times New Roman"/>
                <w:color w:val="595959"/>
                <w:szCs w:val="20"/>
              </w:rPr>
              <w:t>分，此项最高得</w:t>
            </w:r>
            <w:r>
              <w:rPr>
                <w:rFonts w:ascii="宋体" w:hAnsi="宋体" w:eastAsia="宋体" w:cs="Times New Roman"/>
                <w:color w:val="595959"/>
                <w:szCs w:val="20"/>
              </w:rPr>
              <w:t>2</w:t>
            </w:r>
            <w:r>
              <w:rPr>
                <w:rFonts w:hint="eastAsia" w:ascii="宋体" w:hAnsi="宋体" w:eastAsia="宋体" w:cs="Times New Roman"/>
                <w:color w:val="595959"/>
                <w:szCs w:val="20"/>
              </w:rPr>
              <w:t>0</w:t>
            </w:r>
            <w:r>
              <w:rPr>
                <w:rFonts w:ascii="宋体" w:hAnsi="宋体" w:eastAsia="宋体" w:cs="Times New Roman"/>
                <w:color w:val="595959"/>
                <w:szCs w:val="21"/>
              </w:rPr>
              <w:t>%</w:t>
            </w:r>
            <w:r>
              <w:rPr>
                <w:rFonts w:hint="eastAsia" w:ascii="宋体" w:hAnsi="宋体" w:eastAsia="宋体" w:cs="Times New Roman"/>
                <w:color w:val="595959"/>
                <w:szCs w:val="20"/>
              </w:rPr>
              <w:t xml:space="preserve">分。 </w:t>
            </w:r>
          </w:p>
          <w:p>
            <w:pPr>
              <w:widowControl/>
              <w:wordWrap w:val="0"/>
              <w:spacing w:line="360" w:lineRule="exact"/>
              <w:rPr>
                <w:rFonts w:ascii="宋体" w:hAnsi="宋体" w:eastAsia="宋体" w:cs="Times New Roman"/>
                <w:color w:val="595959"/>
                <w:szCs w:val="20"/>
              </w:rPr>
            </w:pPr>
            <w:r>
              <w:rPr>
                <w:rFonts w:hint="eastAsia" w:ascii="宋体" w:hAnsi="宋体" w:eastAsia="宋体" w:cs="Times New Roman"/>
                <w:color w:val="595959"/>
                <w:szCs w:val="20"/>
              </w:rPr>
              <w:t>以上所有人员中，同一人不得重复计分。以上4项可累计得分，满分为100</w:t>
            </w:r>
            <w:r>
              <w:rPr>
                <w:rFonts w:ascii="宋体" w:hAnsi="宋体" w:eastAsia="宋体" w:cs="Times New Roman"/>
                <w:color w:val="595959"/>
                <w:szCs w:val="21"/>
              </w:rPr>
              <w:t>%</w:t>
            </w:r>
            <w:r>
              <w:rPr>
                <w:rFonts w:hint="eastAsia" w:ascii="宋体" w:hAnsi="宋体" w:eastAsia="宋体" w:cs="Times New Roman"/>
                <w:color w:val="595959"/>
                <w:szCs w:val="20"/>
              </w:rPr>
              <w:t>分。</w:t>
            </w:r>
          </w:p>
        </w:tc>
        <w:tc>
          <w:tcPr>
            <w:tcW w:w="802" w:type="dxa"/>
            <w:vMerge w:val="restart"/>
            <w:vAlign w:val="center"/>
          </w:tcPr>
          <w:p>
            <w:pPr>
              <w:adjustRightInd w:val="0"/>
              <w:snapToGrid w:val="0"/>
              <w:spacing w:line="360" w:lineRule="exact"/>
              <w:ind w:left="0" w:leftChars="0" w:firstLine="0" w:firstLineChars="0"/>
              <w:jc w:val="both"/>
              <w:rPr>
                <w:rFonts w:hint="default" w:ascii="宋体" w:hAnsi="宋体" w:eastAsia="宋体" w:cs="Times New Roman"/>
                <w:color w:val="595959"/>
                <w:szCs w:val="21"/>
                <w:lang w:val="en-US" w:eastAsia="zh-CN"/>
              </w:rPr>
            </w:pPr>
            <w:r>
              <w:rPr>
                <w:rFonts w:hint="eastAsia" w:ascii="宋体" w:hAnsi="宋体" w:cs="Times New Roman"/>
                <w:color w:val="595959"/>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278" w:hRule="atLeast"/>
          <w:jc w:val="center"/>
        </w:trPr>
        <w:tc>
          <w:tcPr>
            <w:tcW w:w="675" w:type="dxa"/>
            <w:vMerge w:val="continue"/>
            <w:vAlign w:val="center"/>
          </w:tcPr>
          <w:p>
            <w:pPr>
              <w:adjustRightInd w:val="0"/>
              <w:snapToGrid w:val="0"/>
              <w:spacing w:line="360" w:lineRule="exact"/>
              <w:jc w:val="center"/>
              <w:rPr>
                <w:rFonts w:ascii="宋体" w:hAnsi="宋体" w:eastAsia="宋体" w:cs="Times New Roman"/>
                <w:b/>
                <w:color w:val="595959"/>
                <w:szCs w:val="21"/>
              </w:rPr>
            </w:pPr>
          </w:p>
        </w:tc>
        <w:tc>
          <w:tcPr>
            <w:tcW w:w="1134" w:type="dxa"/>
            <w:vMerge w:val="continue"/>
            <w:vAlign w:val="center"/>
          </w:tcPr>
          <w:p>
            <w:pPr>
              <w:adjustRightInd w:val="0"/>
              <w:snapToGrid w:val="0"/>
              <w:spacing w:line="360" w:lineRule="exact"/>
              <w:jc w:val="center"/>
              <w:rPr>
                <w:rFonts w:ascii="宋体" w:hAnsi="宋体" w:eastAsia="宋体" w:cs="Times New Roman"/>
                <w:b/>
                <w:color w:val="595959"/>
                <w:szCs w:val="21"/>
              </w:rPr>
            </w:pPr>
          </w:p>
        </w:tc>
        <w:tc>
          <w:tcPr>
            <w:tcW w:w="6626" w:type="dxa"/>
            <w:vAlign w:val="center"/>
          </w:tcPr>
          <w:p>
            <w:pPr>
              <w:wordWrap w:val="0"/>
              <w:spacing w:line="360" w:lineRule="exact"/>
              <w:rPr>
                <w:rFonts w:ascii="宋体" w:hAnsi="宋体" w:eastAsia="宋体" w:cs="宋体"/>
                <w:color w:val="595959"/>
                <w:szCs w:val="21"/>
              </w:rPr>
            </w:pPr>
            <w:r>
              <w:rPr>
                <w:rFonts w:hint="eastAsia" w:ascii="宋体" w:hAnsi="宋体" w:eastAsia="宋体" w:cs="宋体"/>
                <w:b/>
                <w:bCs/>
                <w:color w:val="595959"/>
                <w:szCs w:val="21"/>
              </w:rPr>
              <w:t>证明文件</w:t>
            </w:r>
            <w:r>
              <w:rPr>
                <w:rFonts w:hint="eastAsia" w:ascii="宋体" w:hAnsi="宋体" w:eastAsia="宋体" w:cs="宋体"/>
                <w:color w:val="595959"/>
                <w:szCs w:val="21"/>
              </w:rPr>
              <w:t>：</w:t>
            </w:r>
          </w:p>
          <w:p>
            <w:pPr>
              <w:wordWrap w:val="0"/>
              <w:spacing w:line="360" w:lineRule="exact"/>
              <w:rPr>
                <w:rFonts w:ascii="宋体" w:hAnsi="宋体" w:eastAsia="宋体" w:cs="Times New Roman"/>
                <w:bCs/>
                <w:color w:val="595959"/>
                <w:szCs w:val="21"/>
              </w:rPr>
            </w:pPr>
            <w:r>
              <w:rPr>
                <w:rFonts w:hint="eastAsia" w:ascii="宋体" w:hAnsi="宋体" w:eastAsia="宋体" w:cs="Times New Roman"/>
                <w:bCs/>
                <w:color w:val="595959"/>
                <w:szCs w:val="21"/>
              </w:rPr>
              <w:t>1.评分内容要求提供投标人相关证书扫描件及国家应急管理部网站(https://www.mem.gov.cn/)证书信息查询截图作为得分依据，所有提供的证书均需在有效期内，未按求复(年)审或延期注册视为无效证书；</w:t>
            </w:r>
          </w:p>
          <w:p>
            <w:pPr>
              <w:wordWrap w:val="0"/>
              <w:spacing w:line="360" w:lineRule="exact"/>
              <w:rPr>
                <w:rFonts w:ascii="宋体" w:hAnsi="宋体" w:eastAsia="宋体" w:cs="Times New Roman"/>
                <w:bCs/>
                <w:color w:val="595959"/>
                <w:szCs w:val="21"/>
              </w:rPr>
            </w:pPr>
            <w:r>
              <w:rPr>
                <w:rFonts w:hint="eastAsia" w:ascii="宋体" w:hAnsi="宋体" w:eastAsia="宋体" w:cs="Times New Roman"/>
                <w:bCs/>
                <w:color w:val="595959"/>
                <w:szCs w:val="21"/>
              </w:rPr>
              <w:t>2.拟派人员必须为投标人自有员工，须提供投标截止日前由投标人为其缴交的具有社保收缴部门公章的近1个月或以上(社保缴交证明材料作为自有员工评分依据，如开标日上一个月的社保材料因社保收缴部门原因暂时无法取得，则可以往前顺延一个月；社保资料必须至少显示缴交养老保险信息，未显示该信息的该社保资料则不符合要求；</w:t>
            </w:r>
          </w:p>
          <w:p>
            <w:pPr>
              <w:wordWrap w:val="0"/>
              <w:spacing w:line="360" w:lineRule="exact"/>
              <w:rPr>
                <w:rFonts w:ascii="宋体" w:hAnsi="宋体" w:eastAsia="宋体" w:cs="Times New Roman"/>
                <w:bCs/>
                <w:color w:val="595959"/>
                <w:szCs w:val="21"/>
              </w:rPr>
            </w:pPr>
            <w:r>
              <w:rPr>
                <w:rFonts w:hint="eastAsia" w:ascii="宋体" w:hAnsi="宋体" w:eastAsia="宋体" w:cs="Times New Roman"/>
                <w:bCs/>
                <w:color w:val="595959"/>
                <w:szCs w:val="21"/>
              </w:rPr>
              <w:t>3.评分中出现无证明资料或专家无法凭所提供资料判断是否得分的情况，一律作不得分处理。</w:t>
            </w:r>
          </w:p>
        </w:tc>
        <w:tc>
          <w:tcPr>
            <w:tcW w:w="802" w:type="dxa"/>
            <w:vMerge w:val="continue"/>
            <w:vAlign w:val="center"/>
          </w:tcPr>
          <w:p>
            <w:pPr>
              <w:adjustRightInd w:val="0"/>
              <w:snapToGrid w:val="0"/>
              <w:spacing w:line="360" w:lineRule="exact"/>
              <w:jc w:val="center"/>
              <w:rPr>
                <w:rFonts w:ascii="宋体" w:hAnsi="宋体" w:eastAsia="宋体" w:cs="Times New Roman"/>
                <w:b/>
                <w:color w:val="59595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815" w:hRule="atLeast"/>
          <w:jc w:val="center"/>
        </w:trPr>
        <w:tc>
          <w:tcPr>
            <w:tcW w:w="675" w:type="dxa"/>
            <w:vMerge w:val="restart"/>
            <w:vAlign w:val="center"/>
          </w:tcPr>
          <w:p>
            <w:pPr>
              <w:adjustRightInd w:val="0"/>
              <w:snapToGrid w:val="0"/>
              <w:spacing w:line="360" w:lineRule="exact"/>
              <w:jc w:val="center"/>
              <w:rPr>
                <w:rFonts w:ascii="宋体" w:hAnsi="宋体" w:eastAsia="宋体" w:cs="Times New Roman"/>
                <w:b/>
                <w:color w:val="595959"/>
                <w:szCs w:val="21"/>
              </w:rPr>
            </w:pPr>
            <w:r>
              <w:rPr>
                <w:rFonts w:ascii="宋体" w:hAnsi="宋体" w:eastAsia="宋体" w:cs="宋体"/>
                <w:color w:val="595959"/>
                <w:szCs w:val="21"/>
              </w:rPr>
              <w:t>5</w:t>
            </w:r>
          </w:p>
        </w:tc>
        <w:tc>
          <w:tcPr>
            <w:tcW w:w="1134" w:type="dxa"/>
            <w:vMerge w:val="restart"/>
            <w:vAlign w:val="center"/>
          </w:tcPr>
          <w:p>
            <w:pPr>
              <w:adjustRightInd w:val="0"/>
              <w:snapToGrid w:val="0"/>
              <w:spacing w:line="360" w:lineRule="exact"/>
              <w:ind w:left="0" w:leftChars="0" w:firstLine="0" w:firstLineChars="0"/>
              <w:rPr>
                <w:rFonts w:ascii="宋体" w:hAnsi="宋体" w:eastAsia="宋体" w:cs="宋体"/>
                <w:color w:val="595959"/>
                <w:szCs w:val="21"/>
              </w:rPr>
            </w:pPr>
            <w:r>
              <w:rPr>
                <w:rFonts w:hint="eastAsia" w:ascii="宋体" w:hAnsi="宋体" w:eastAsia="宋体" w:cs="Times New Roman"/>
                <w:color w:val="595959"/>
                <w:szCs w:val="21"/>
              </w:rPr>
              <w:t>违约承诺</w:t>
            </w:r>
          </w:p>
        </w:tc>
        <w:tc>
          <w:tcPr>
            <w:tcW w:w="6626" w:type="dxa"/>
            <w:vAlign w:val="center"/>
          </w:tcPr>
          <w:p>
            <w:pPr>
              <w:widowControl/>
              <w:wordWrap w:val="0"/>
              <w:spacing w:line="360" w:lineRule="exact"/>
              <w:ind w:left="0" w:leftChars="0" w:firstLine="0" w:firstLineChars="0"/>
              <w:rPr>
                <w:rFonts w:ascii="宋体" w:hAnsi="宋体" w:eastAsia="宋体" w:cs="宋体"/>
                <w:color w:val="595959"/>
                <w:szCs w:val="21"/>
              </w:rPr>
            </w:pPr>
            <w:r>
              <w:rPr>
                <w:rFonts w:hint="eastAsia" w:ascii="宋体" w:hAnsi="宋体" w:eastAsia="宋体" w:cs="宋体"/>
                <w:color w:val="595959"/>
                <w:szCs w:val="21"/>
              </w:rPr>
              <w:t>考察内容：投标人提供违约承诺得100</w:t>
            </w:r>
            <w:r>
              <w:rPr>
                <w:rFonts w:ascii="宋体" w:hAnsi="宋体" w:eastAsia="宋体" w:cs="Times New Roman"/>
                <w:color w:val="595959"/>
                <w:szCs w:val="21"/>
              </w:rPr>
              <w:t>%</w:t>
            </w:r>
            <w:r>
              <w:rPr>
                <w:rFonts w:hint="eastAsia" w:ascii="宋体" w:hAnsi="宋体" w:eastAsia="宋体" w:cs="宋体"/>
                <w:color w:val="595959"/>
                <w:szCs w:val="21"/>
              </w:rPr>
              <w:t>分。要求提供承诺内容包括:</w:t>
            </w:r>
          </w:p>
          <w:p>
            <w:pPr>
              <w:widowControl/>
              <w:wordWrap w:val="0"/>
              <w:spacing w:line="360" w:lineRule="exact"/>
              <w:rPr>
                <w:rFonts w:ascii="宋体" w:hAnsi="宋体" w:eastAsia="宋体" w:cs="宋体"/>
                <w:color w:val="595959"/>
                <w:szCs w:val="21"/>
              </w:rPr>
            </w:pPr>
            <w:r>
              <w:rPr>
                <w:rFonts w:hint="eastAsia" w:ascii="宋体" w:hAnsi="宋体" w:eastAsia="宋体" w:cs="宋体"/>
                <w:color w:val="595959"/>
                <w:szCs w:val="21"/>
              </w:rPr>
              <w:t>(1)全面响应项目招标文件中各项技术和商务要求；</w:t>
            </w:r>
          </w:p>
          <w:p>
            <w:pPr>
              <w:widowControl/>
              <w:wordWrap w:val="0"/>
              <w:spacing w:line="360" w:lineRule="exact"/>
              <w:rPr>
                <w:rFonts w:ascii="宋体" w:hAnsi="宋体" w:eastAsia="宋体" w:cs="宋体"/>
                <w:color w:val="595959"/>
                <w:szCs w:val="21"/>
              </w:rPr>
            </w:pPr>
            <w:r>
              <w:rPr>
                <w:rFonts w:hint="eastAsia" w:ascii="宋体" w:hAnsi="宋体" w:eastAsia="宋体" w:cs="宋体"/>
                <w:color w:val="595959"/>
                <w:szCs w:val="21"/>
              </w:rPr>
              <w:t>(2)投标文件所列全部内容真实，不存在虚假情况；</w:t>
            </w:r>
          </w:p>
          <w:p>
            <w:pPr>
              <w:widowControl/>
              <w:wordWrap w:val="0"/>
              <w:spacing w:line="360" w:lineRule="exact"/>
              <w:rPr>
                <w:rFonts w:ascii="宋体" w:hAnsi="宋体" w:eastAsia="宋体" w:cs="宋体"/>
                <w:color w:val="595959"/>
                <w:szCs w:val="21"/>
              </w:rPr>
            </w:pPr>
            <w:r>
              <w:rPr>
                <w:rFonts w:hint="eastAsia" w:ascii="宋体" w:hAnsi="宋体" w:eastAsia="宋体" w:cs="宋体"/>
                <w:color w:val="595959"/>
                <w:szCs w:val="21"/>
              </w:rPr>
              <w:t>(3)全面配合采购人，保质保量完成本服务项目。</w:t>
            </w:r>
          </w:p>
        </w:tc>
        <w:tc>
          <w:tcPr>
            <w:tcW w:w="802" w:type="dxa"/>
            <w:vMerge w:val="restart"/>
            <w:vAlign w:val="center"/>
          </w:tcPr>
          <w:p>
            <w:pPr>
              <w:adjustRightInd w:val="0"/>
              <w:snapToGrid w:val="0"/>
              <w:spacing w:line="360" w:lineRule="exact"/>
              <w:ind w:left="0" w:leftChars="0" w:firstLine="0" w:firstLineChars="0"/>
              <w:jc w:val="both"/>
              <w:rPr>
                <w:rFonts w:ascii="宋体" w:hAnsi="宋体" w:eastAsia="宋体" w:cs="Times New Roman"/>
                <w:color w:val="595959"/>
                <w:szCs w:val="21"/>
              </w:rPr>
            </w:pPr>
            <w:r>
              <w:rPr>
                <w:rFonts w:hint="eastAsia" w:ascii="宋体" w:hAnsi="宋体" w:eastAsia="宋体" w:cs="Times New Roman"/>
                <w:color w:val="595959"/>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1546" w:hRule="atLeast"/>
          <w:jc w:val="center"/>
        </w:trPr>
        <w:tc>
          <w:tcPr>
            <w:tcW w:w="675" w:type="dxa"/>
            <w:vMerge w:val="continue"/>
            <w:vAlign w:val="center"/>
          </w:tcPr>
          <w:p>
            <w:pPr>
              <w:adjustRightInd w:val="0"/>
              <w:snapToGrid w:val="0"/>
              <w:spacing w:line="360" w:lineRule="exact"/>
              <w:jc w:val="center"/>
              <w:rPr>
                <w:rFonts w:ascii="宋体" w:hAnsi="宋体" w:eastAsia="宋体" w:cs="宋体"/>
                <w:color w:val="595959"/>
                <w:szCs w:val="21"/>
              </w:rPr>
            </w:pPr>
          </w:p>
        </w:tc>
        <w:tc>
          <w:tcPr>
            <w:tcW w:w="1134" w:type="dxa"/>
            <w:vMerge w:val="continue"/>
            <w:vAlign w:val="center"/>
          </w:tcPr>
          <w:p>
            <w:pPr>
              <w:adjustRightInd w:val="0"/>
              <w:snapToGrid w:val="0"/>
              <w:spacing w:line="360" w:lineRule="exact"/>
              <w:rPr>
                <w:rFonts w:ascii="宋体" w:hAnsi="宋体" w:eastAsia="宋体" w:cs="Times New Roman"/>
                <w:color w:val="595959"/>
                <w:szCs w:val="21"/>
              </w:rPr>
            </w:pPr>
          </w:p>
        </w:tc>
        <w:tc>
          <w:tcPr>
            <w:tcW w:w="6626" w:type="dxa"/>
            <w:vAlign w:val="center"/>
          </w:tcPr>
          <w:p>
            <w:pPr>
              <w:widowControl/>
              <w:wordWrap w:val="0"/>
              <w:spacing w:line="360" w:lineRule="exact"/>
              <w:ind w:left="0" w:leftChars="0" w:firstLine="0" w:firstLineChars="0"/>
              <w:rPr>
                <w:rFonts w:ascii="宋体" w:hAnsi="宋体" w:eastAsia="宋体" w:cs="宋体"/>
                <w:color w:val="595959"/>
                <w:szCs w:val="21"/>
              </w:rPr>
            </w:pPr>
            <w:r>
              <w:rPr>
                <w:rFonts w:hint="eastAsia" w:ascii="宋体" w:hAnsi="宋体" w:eastAsia="宋体" w:cs="宋体"/>
                <w:color w:val="595959"/>
                <w:szCs w:val="21"/>
              </w:rPr>
              <w:t>证明文件：</w:t>
            </w:r>
          </w:p>
          <w:p>
            <w:pPr>
              <w:widowControl/>
              <w:wordWrap w:val="0"/>
              <w:spacing w:line="360" w:lineRule="exact"/>
              <w:rPr>
                <w:rFonts w:ascii="宋体" w:hAnsi="宋体" w:eastAsia="宋体" w:cs="Times New Roman"/>
                <w:szCs w:val="20"/>
              </w:rPr>
            </w:pPr>
            <w:r>
              <w:rPr>
                <w:rFonts w:hint="eastAsia" w:ascii="宋体" w:hAnsi="宋体" w:eastAsia="宋体" w:cs="宋体"/>
                <w:color w:val="595959"/>
                <w:szCs w:val="21"/>
              </w:rPr>
              <w:t>提供承诺函(格式自拟)作为得分依据，未提供承诺或承诺内容不满足要求不得分。若违反任何一项承诺，同意全面接受采购人做出的相应违约处理。</w:t>
            </w:r>
          </w:p>
        </w:tc>
        <w:tc>
          <w:tcPr>
            <w:tcW w:w="802" w:type="dxa"/>
            <w:vMerge w:val="continue"/>
            <w:vAlign w:val="center"/>
          </w:tcPr>
          <w:p>
            <w:pPr>
              <w:adjustRightInd w:val="0"/>
              <w:snapToGrid w:val="0"/>
              <w:spacing w:line="360" w:lineRule="exact"/>
              <w:jc w:val="center"/>
              <w:rPr>
                <w:rFonts w:ascii="宋体" w:hAnsi="宋体" w:eastAsia="宋体" w:cs="宋体"/>
                <w:color w:val="59595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567" w:hRule="atLeast"/>
          <w:jc w:val="center"/>
        </w:trPr>
        <w:tc>
          <w:tcPr>
            <w:tcW w:w="8435" w:type="dxa"/>
            <w:gridSpan w:val="3"/>
            <w:vAlign w:val="center"/>
          </w:tcPr>
          <w:p>
            <w:pPr>
              <w:adjustRightInd w:val="0"/>
              <w:snapToGrid w:val="0"/>
              <w:spacing w:line="360" w:lineRule="exact"/>
              <w:jc w:val="center"/>
              <w:rPr>
                <w:rFonts w:ascii="宋体" w:hAnsi="宋体" w:eastAsia="宋体" w:cs="Times New Roman"/>
                <w:b/>
                <w:color w:val="595959"/>
                <w:szCs w:val="21"/>
              </w:rPr>
            </w:pPr>
            <w:r>
              <w:rPr>
                <w:rFonts w:hint="eastAsia" w:ascii="宋体" w:hAnsi="宋体" w:eastAsia="宋体" w:cs="Times New Roman"/>
                <w:b/>
                <w:color w:val="595959"/>
                <w:szCs w:val="21"/>
              </w:rPr>
              <w:t>合计</w:t>
            </w:r>
          </w:p>
        </w:tc>
        <w:tc>
          <w:tcPr>
            <w:tcW w:w="802" w:type="dxa"/>
            <w:vAlign w:val="center"/>
          </w:tcPr>
          <w:p>
            <w:pPr>
              <w:adjustRightInd w:val="0"/>
              <w:snapToGrid w:val="0"/>
              <w:spacing w:line="360" w:lineRule="exact"/>
              <w:ind w:left="0" w:leftChars="0" w:firstLine="0" w:firstLineChars="0"/>
              <w:jc w:val="both"/>
              <w:rPr>
                <w:rFonts w:hint="default" w:ascii="宋体" w:hAnsi="宋体" w:eastAsia="宋体" w:cs="Times New Roman"/>
                <w:color w:val="595959"/>
                <w:szCs w:val="21"/>
                <w:lang w:val="en-US" w:eastAsia="zh-CN"/>
              </w:rPr>
            </w:pPr>
            <w:r>
              <w:rPr>
                <w:rFonts w:hint="eastAsia" w:ascii="宋体" w:hAnsi="宋体" w:eastAsia="宋体" w:cs="Times New Roman"/>
                <w:color w:val="595959"/>
                <w:szCs w:val="21"/>
                <w:lang w:val="en-US" w:eastAsia="zh-CN"/>
              </w:rPr>
              <w:t>35</w:t>
            </w:r>
          </w:p>
        </w:tc>
      </w:tr>
    </w:tbl>
    <w:p>
      <w:pPr>
        <w:widowControl w:val="0"/>
        <w:autoSpaceDE w:val="0"/>
        <w:autoSpaceDN w:val="0"/>
        <w:adjustRightInd w:val="0"/>
        <w:snapToGrid w:val="0"/>
        <w:ind w:firstLine="0" w:firstLineChars="0"/>
        <w:jc w:val="left"/>
        <w:rPr>
          <w:rFonts w:hint="eastAsia" w:ascii="宋体" w:hAnsi="宋体"/>
          <w:b/>
          <w:szCs w:val="21"/>
        </w:rPr>
      </w:pPr>
    </w:p>
    <w:p>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1、本表评审依据要求的各项证明文件须编入投标文件。</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2、表中要求提供相关证明文件的内容，投标文件中须明确加以说明并提供，未按要求提供相关文件或说明不清楚或评审委员会无法凭所提供的材料判断是否得分的情况，一律作不得分处理。</w:t>
      </w:r>
    </w:p>
    <w:p>
      <w:pPr>
        <w:rPr>
          <w:rFonts w:hint="eastAsia" w:ascii="宋体" w:hAnsi="宋体"/>
          <w:b/>
          <w:sz w:val="22"/>
        </w:rPr>
      </w:pPr>
      <w:r>
        <w:rPr>
          <w:rFonts w:hint="eastAsia" w:ascii="宋体" w:hAnsi="宋体"/>
          <w:b/>
          <w:sz w:val="22"/>
        </w:rPr>
        <w:br w:type="page"/>
      </w:r>
    </w:p>
    <w:p>
      <w:pPr>
        <w:widowControl w:val="0"/>
        <w:autoSpaceDE w:val="0"/>
        <w:autoSpaceDN w:val="0"/>
        <w:adjustRightInd w:val="0"/>
        <w:snapToGrid w:val="0"/>
        <w:ind w:firstLine="0" w:firstLineChars="0"/>
        <w:jc w:val="left"/>
        <w:rPr>
          <w:rFonts w:ascii="宋体" w:hAnsi="宋体"/>
          <w:b/>
          <w:sz w:val="22"/>
        </w:rPr>
      </w:pPr>
      <w:r>
        <w:rPr>
          <w:rFonts w:hint="eastAsia" w:ascii="宋体" w:hAnsi="宋体"/>
          <w:b/>
          <w:sz w:val="22"/>
        </w:rPr>
        <w:t>附表3-1《价格标评审方法》</w:t>
      </w:r>
    </w:p>
    <w:tbl>
      <w:tblPr>
        <w:tblStyle w:val="49"/>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1080"/>
        <w:gridCol w:w="6547"/>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9052" w:type="dxa"/>
            <w:gridSpan w:val="4"/>
            <w:shd w:val="clear" w:color="auto" w:fill="D9E2F3"/>
            <w:vAlign w:val="center"/>
          </w:tcPr>
          <w:p>
            <w:pPr>
              <w:adjustRightInd w:val="0"/>
              <w:snapToGrid w:val="0"/>
              <w:spacing w:line="360" w:lineRule="exact"/>
              <w:jc w:val="center"/>
              <w:rPr>
                <w:rFonts w:ascii="宋体" w:hAnsi="宋体" w:eastAsia="宋体" w:cs="Times New Roman"/>
                <w:b/>
                <w:color w:val="595959"/>
                <w:sz w:val="32"/>
                <w:szCs w:val="32"/>
              </w:rPr>
            </w:pPr>
            <w:r>
              <w:rPr>
                <w:rFonts w:hint="eastAsia" w:ascii="宋体" w:hAnsi="宋体" w:eastAsia="宋体" w:cs="Times New Roman"/>
                <w:b/>
                <w:color w:val="595959"/>
                <w:sz w:val="32"/>
                <w:szCs w:val="32"/>
              </w:rPr>
              <w:t>《价格部分评审标准》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623" w:type="dxa"/>
            <w:vAlign w:val="center"/>
          </w:tcPr>
          <w:p>
            <w:pPr>
              <w:adjustRightInd w:val="0"/>
              <w:snapToGrid w:val="0"/>
              <w:spacing w:line="360" w:lineRule="exact"/>
              <w:ind w:left="0" w:leftChars="0" w:firstLine="0" w:firstLineChars="0"/>
              <w:jc w:val="both"/>
              <w:rPr>
                <w:rFonts w:ascii="宋体" w:hAnsi="宋体" w:eastAsia="宋体" w:cs="Times New Roman"/>
                <w:b/>
                <w:color w:val="595959"/>
                <w:szCs w:val="21"/>
              </w:rPr>
            </w:pPr>
            <w:r>
              <w:rPr>
                <w:rFonts w:hint="eastAsia" w:ascii="宋体" w:hAnsi="宋体" w:eastAsia="宋体" w:cs="Times New Roman"/>
                <w:b/>
                <w:color w:val="595959"/>
                <w:szCs w:val="21"/>
              </w:rPr>
              <w:t>序号</w:t>
            </w:r>
          </w:p>
        </w:tc>
        <w:tc>
          <w:tcPr>
            <w:tcW w:w="1080" w:type="dxa"/>
            <w:vAlign w:val="center"/>
          </w:tcPr>
          <w:p>
            <w:pPr>
              <w:adjustRightInd w:val="0"/>
              <w:snapToGrid w:val="0"/>
              <w:spacing w:line="360" w:lineRule="exact"/>
              <w:jc w:val="center"/>
              <w:rPr>
                <w:rFonts w:ascii="宋体" w:hAnsi="宋体" w:eastAsia="宋体" w:cs="Times New Roman"/>
                <w:b/>
                <w:color w:val="595959"/>
                <w:szCs w:val="21"/>
              </w:rPr>
            </w:pPr>
            <w:r>
              <w:rPr>
                <w:rFonts w:hint="eastAsia" w:ascii="宋体" w:hAnsi="宋体" w:eastAsia="宋体" w:cs="Times New Roman"/>
                <w:b/>
                <w:color w:val="595959"/>
                <w:szCs w:val="21"/>
              </w:rPr>
              <w:t>评审项目</w:t>
            </w:r>
          </w:p>
        </w:tc>
        <w:tc>
          <w:tcPr>
            <w:tcW w:w="6547" w:type="dxa"/>
            <w:vAlign w:val="center"/>
          </w:tcPr>
          <w:p>
            <w:pPr>
              <w:adjustRightInd w:val="0"/>
              <w:snapToGrid w:val="0"/>
              <w:spacing w:line="360" w:lineRule="exact"/>
              <w:jc w:val="center"/>
              <w:rPr>
                <w:rFonts w:ascii="宋体" w:hAnsi="宋体" w:eastAsia="宋体" w:cs="Times New Roman"/>
                <w:b/>
                <w:color w:val="595959"/>
                <w:szCs w:val="21"/>
              </w:rPr>
            </w:pPr>
            <w:r>
              <w:rPr>
                <w:rFonts w:hint="eastAsia" w:ascii="宋体" w:hAnsi="宋体" w:eastAsia="宋体" w:cs="Times New Roman"/>
                <w:b/>
                <w:color w:val="595959"/>
                <w:szCs w:val="21"/>
              </w:rPr>
              <w:t>评审标准及证明材料</w:t>
            </w:r>
          </w:p>
        </w:tc>
        <w:tc>
          <w:tcPr>
            <w:tcW w:w="802" w:type="dxa"/>
            <w:vAlign w:val="center"/>
          </w:tcPr>
          <w:p>
            <w:pPr>
              <w:adjustRightInd w:val="0"/>
              <w:snapToGrid w:val="0"/>
              <w:spacing w:line="360" w:lineRule="exact"/>
              <w:ind w:left="0" w:leftChars="0" w:firstLine="0" w:firstLineChars="0"/>
              <w:jc w:val="both"/>
              <w:rPr>
                <w:rFonts w:ascii="宋体" w:hAnsi="宋体" w:eastAsia="宋体" w:cs="Times New Roman"/>
                <w:b/>
                <w:color w:val="595959"/>
                <w:szCs w:val="21"/>
              </w:rPr>
            </w:pPr>
            <w:r>
              <w:rPr>
                <w:rFonts w:hint="eastAsia" w:ascii="宋体" w:hAnsi="宋体" w:eastAsia="宋体" w:cs="Times New Roman"/>
                <w:b/>
                <w:color w:val="595959"/>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7" w:hRule="atLeast"/>
          <w:jc w:val="center"/>
        </w:trPr>
        <w:tc>
          <w:tcPr>
            <w:tcW w:w="623" w:type="dxa"/>
            <w:vAlign w:val="center"/>
          </w:tcPr>
          <w:p>
            <w:pPr>
              <w:adjustRightInd w:val="0"/>
              <w:snapToGrid w:val="0"/>
              <w:spacing w:line="360" w:lineRule="exact"/>
              <w:jc w:val="center"/>
              <w:rPr>
                <w:rFonts w:ascii="宋体" w:hAnsi="宋体" w:eastAsia="宋体" w:cs="Times New Roman"/>
                <w:color w:val="595959"/>
                <w:szCs w:val="21"/>
              </w:rPr>
            </w:pPr>
            <w:r>
              <w:rPr>
                <w:rFonts w:hint="eastAsia" w:ascii="宋体" w:hAnsi="宋体" w:eastAsia="宋体" w:cs="宋体"/>
                <w:color w:val="595959"/>
                <w:szCs w:val="21"/>
              </w:rPr>
              <w:t>1</w:t>
            </w:r>
          </w:p>
        </w:tc>
        <w:tc>
          <w:tcPr>
            <w:tcW w:w="1080" w:type="dxa"/>
            <w:vAlign w:val="center"/>
          </w:tcPr>
          <w:p>
            <w:pPr>
              <w:adjustRightInd w:val="0"/>
              <w:snapToGrid w:val="0"/>
              <w:spacing w:line="360" w:lineRule="exact"/>
              <w:ind w:left="0" w:leftChars="0" w:firstLine="0" w:firstLineChars="0"/>
              <w:jc w:val="both"/>
              <w:rPr>
                <w:rFonts w:ascii="宋体" w:hAnsi="宋体" w:eastAsia="宋体" w:cs="Times New Roman"/>
                <w:color w:val="595959"/>
                <w:szCs w:val="21"/>
              </w:rPr>
            </w:pPr>
            <w:r>
              <w:rPr>
                <w:rFonts w:hint="eastAsia" w:ascii="宋体" w:hAnsi="宋体" w:eastAsia="宋体" w:cs="宋体"/>
                <w:color w:val="595959"/>
                <w:szCs w:val="21"/>
              </w:rPr>
              <w:t>投标报价</w:t>
            </w:r>
          </w:p>
        </w:tc>
        <w:tc>
          <w:tcPr>
            <w:tcW w:w="6547" w:type="dxa"/>
            <w:vAlign w:val="center"/>
          </w:tcPr>
          <w:p>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价格分应当采用低价优先法计算，即满足招标文件要求且投标价格最低的投标报价为评标基准价，其价格分为满分。其他投标人的价格分统一按照下列公式计算:</w:t>
            </w:r>
          </w:p>
          <w:p>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投标报价得分=(评标基准价/投标报价)x100x权重</w:t>
            </w:r>
          </w:p>
          <w:p>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备注:</w:t>
            </w:r>
          </w:p>
          <w:p>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1、因落实政府采购政策进行价格调整的，以调整后的价格计算评标基准价和投标报价。</w:t>
            </w:r>
          </w:p>
          <w:p>
            <w:pPr>
              <w:widowControl/>
              <w:wordWrap w:val="0"/>
              <w:spacing w:line="360" w:lineRule="exact"/>
              <w:rPr>
                <w:rFonts w:ascii="宋体" w:hAnsi="宋体" w:eastAsia="宋体" w:cs="Times New Roman"/>
                <w:color w:val="595959"/>
                <w:szCs w:val="21"/>
              </w:rPr>
            </w:pPr>
            <w:r>
              <w:rPr>
                <w:rFonts w:hint="eastAsia" w:ascii="宋体" w:hAnsi="宋体" w:eastAsia="宋体" w:cs="宋体"/>
                <w:color w:val="595959"/>
                <w:szCs w:val="21"/>
              </w:rPr>
              <w:t>2、投标报价得分四舍五入后，小数点后保留两位有效数。</w:t>
            </w:r>
          </w:p>
        </w:tc>
        <w:tc>
          <w:tcPr>
            <w:tcW w:w="802" w:type="dxa"/>
            <w:vAlign w:val="center"/>
          </w:tcPr>
          <w:p>
            <w:pPr>
              <w:adjustRightInd w:val="0"/>
              <w:snapToGrid w:val="0"/>
              <w:spacing w:line="360" w:lineRule="exact"/>
              <w:ind w:left="0" w:leftChars="0" w:firstLine="0" w:firstLineChars="0"/>
              <w:jc w:val="both"/>
              <w:rPr>
                <w:rFonts w:ascii="宋体" w:hAnsi="宋体" w:eastAsia="宋体" w:cs="Times New Roman"/>
                <w:color w:val="595959"/>
                <w:szCs w:val="21"/>
              </w:rPr>
            </w:pPr>
            <w:r>
              <w:rPr>
                <w:rFonts w:hint="eastAsia" w:ascii="宋体" w:hAnsi="宋体" w:eastAsia="宋体" w:cs="Times New Roman"/>
                <w:color w:val="595959"/>
                <w:szCs w:val="21"/>
                <w:lang w:val="en-US" w:eastAsia="zh-CN"/>
              </w:rPr>
              <w:t>3</w:t>
            </w:r>
            <w:r>
              <w:rPr>
                <w:rFonts w:hint="eastAsia" w:ascii="宋体" w:hAnsi="宋体" w:eastAsia="宋体" w:cs="Times New Roman"/>
                <w:color w:val="595959"/>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50" w:type="dxa"/>
            <w:gridSpan w:val="3"/>
            <w:vAlign w:val="center"/>
          </w:tcPr>
          <w:p>
            <w:pPr>
              <w:adjustRightInd w:val="0"/>
              <w:snapToGrid w:val="0"/>
              <w:spacing w:line="360" w:lineRule="exact"/>
              <w:jc w:val="center"/>
              <w:rPr>
                <w:rFonts w:ascii="宋体" w:hAnsi="宋体" w:eastAsia="宋体" w:cs="Times New Roman"/>
                <w:b/>
                <w:color w:val="595959"/>
                <w:szCs w:val="21"/>
              </w:rPr>
            </w:pPr>
            <w:r>
              <w:rPr>
                <w:rFonts w:hint="eastAsia" w:ascii="宋体" w:hAnsi="宋体" w:eastAsia="宋体" w:cs="Times New Roman"/>
                <w:b/>
                <w:color w:val="595959"/>
                <w:szCs w:val="21"/>
              </w:rPr>
              <w:t>合计</w:t>
            </w:r>
          </w:p>
        </w:tc>
        <w:tc>
          <w:tcPr>
            <w:tcW w:w="802" w:type="dxa"/>
            <w:vAlign w:val="center"/>
          </w:tcPr>
          <w:p>
            <w:pPr>
              <w:adjustRightInd w:val="0"/>
              <w:snapToGrid w:val="0"/>
              <w:spacing w:line="360" w:lineRule="exact"/>
              <w:ind w:left="0" w:leftChars="0" w:firstLine="0" w:firstLineChars="0"/>
              <w:jc w:val="both"/>
              <w:rPr>
                <w:rFonts w:hint="default" w:ascii="宋体" w:hAnsi="宋体" w:eastAsia="宋体" w:cs="Times New Roman"/>
                <w:color w:val="595959"/>
                <w:szCs w:val="21"/>
                <w:lang w:val="en-US" w:eastAsia="zh-CN"/>
              </w:rPr>
            </w:pPr>
            <w:r>
              <w:rPr>
                <w:rFonts w:hint="eastAsia" w:ascii="宋体" w:hAnsi="宋体" w:eastAsia="宋体" w:cs="Times New Roman"/>
                <w:color w:val="595959"/>
                <w:szCs w:val="21"/>
                <w:lang w:val="en-US" w:eastAsia="zh-CN"/>
              </w:rPr>
              <w:t>30</w:t>
            </w:r>
          </w:p>
        </w:tc>
      </w:tr>
    </w:tbl>
    <w:p>
      <w:pPr>
        <w:widowControl w:val="0"/>
        <w:autoSpaceDE w:val="0"/>
        <w:autoSpaceDN w:val="0"/>
        <w:adjustRightInd w:val="0"/>
        <w:snapToGrid w:val="0"/>
        <w:ind w:firstLine="0" w:firstLineChars="0"/>
        <w:jc w:val="center"/>
        <w:rPr>
          <w:rFonts w:ascii="宋体" w:hAnsi="宋体"/>
          <w:b/>
          <w:sz w:val="24"/>
        </w:rPr>
      </w:pPr>
    </w:p>
    <w:p>
      <w:pPr>
        <w:widowControl w:val="0"/>
        <w:numPr>
          <w:ilvl w:val="0"/>
          <w:numId w:val="8"/>
        </w:numPr>
        <w:autoSpaceDE w:val="0"/>
        <w:autoSpaceDN w:val="0"/>
        <w:adjustRightInd w:val="0"/>
        <w:snapToGrid w:val="0"/>
        <w:ind w:firstLineChars="0"/>
        <w:jc w:val="left"/>
        <w:rPr>
          <w:rFonts w:ascii="宋体" w:hAnsi="宋体"/>
          <w:b/>
          <w:szCs w:val="21"/>
        </w:rPr>
      </w:pPr>
      <w:r>
        <w:rPr>
          <w:rFonts w:hint="eastAsia" w:ascii="宋体" w:hAnsi="宋体"/>
          <w:b/>
          <w:szCs w:val="21"/>
        </w:rPr>
        <w:t>评标价格</w:t>
      </w:r>
    </w:p>
    <w:p>
      <w:pPr>
        <w:widowControl w:val="0"/>
        <w:numPr>
          <w:ilvl w:val="1"/>
          <w:numId w:val="9"/>
        </w:numPr>
        <w:autoSpaceDE w:val="0"/>
        <w:autoSpaceDN w:val="0"/>
        <w:adjustRightInd w:val="0"/>
        <w:snapToGrid w:val="0"/>
        <w:ind w:firstLineChars="0"/>
        <w:jc w:val="left"/>
        <w:rPr>
          <w:rFonts w:ascii="宋体" w:hAnsi="宋体"/>
          <w:b/>
          <w:szCs w:val="21"/>
        </w:rPr>
      </w:pPr>
      <w:r>
        <w:rPr>
          <w:rFonts w:hint="eastAsia" w:ascii="宋体" w:hAnsi="宋体"/>
        </w:rPr>
        <w:t>投标文件存在投标报价问题的，进行投标报价的算术修正，投标报价算术修正按有利于招标人的原则进行，具体修正原则为：</w:t>
      </w:r>
    </w:p>
    <w:p>
      <w:pPr>
        <w:widowControl w:val="0"/>
        <w:numPr>
          <w:ilvl w:val="2"/>
          <w:numId w:val="9"/>
        </w:numPr>
        <w:autoSpaceDE w:val="0"/>
        <w:autoSpaceDN w:val="0"/>
        <w:adjustRightInd w:val="0"/>
        <w:snapToGrid w:val="0"/>
        <w:ind w:firstLineChars="0"/>
        <w:jc w:val="left"/>
        <w:rPr>
          <w:rFonts w:ascii="宋体" w:hAnsi="宋体"/>
        </w:rPr>
      </w:pPr>
      <w:r>
        <w:rPr>
          <w:rFonts w:hint="eastAsia" w:ascii="宋体" w:hAnsi="宋体"/>
        </w:rPr>
        <w:t>若投标报价一览表中投标总价与投标文件中投标总价不一致，以投标报价一览表投标总价为准；</w:t>
      </w:r>
    </w:p>
    <w:p>
      <w:pPr>
        <w:widowControl w:val="0"/>
        <w:numPr>
          <w:ilvl w:val="2"/>
          <w:numId w:val="9"/>
        </w:numPr>
        <w:autoSpaceDE w:val="0"/>
        <w:autoSpaceDN w:val="0"/>
        <w:adjustRightInd w:val="0"/>
        <w:snapToGrid w:val="0"/>
        <w:ind w:firstLineChars="0"/>
        <w:jc w:val="left"/>
        <w:rPr>
          <w:rFonts w:ascii="宋体" w:hAnsi="宋体"/>
        </w:rPr>
      </w:pPr>
      <w:r>
        <w:rPr>
          <w:rFonts w:hint="eastAsia" w:ascii="宋体" w:hAnsi="宋体"/>
        </w:rPr>
        <w:t>当小写金额与大写金额有差异时，以大写金额为准（有明显错误的除外）；</w:t>
      </w:r>
    </w:p>
    <w:p>
      <w:pPr>
        <w:widowControl w:val="0"/>
        <w:numPr>
          <w:ilvl w:val="2"/>
          <w:numId w:val="9"/>
        </w:numPr>
        <w:autoSpaceDE w:val="0"/>
        <w:autoSpaceDN w:val="0"/>
        <w:adjustRightInd w:val="0"/>
        <w:snapToGrid w:val="0"/>
        <w:ind w:firstLineChars="0"/>
        <w:jc w:val="left"/>
        <w:rPr>
          <w:rFonts w:ascii="宋体" w:hAnsi="宋体"/>
        </w:rPr>
      </w:pPr>
      <w:r>
        <w:rPr>
          <w:rFonts w:hint="eastAsia" w:ascii="宋体" w:hAnsi="宋体"/>
        </w:rPr>
        <w:t>单价金额小数点有明显错位的，应以总价为准，并修改单价；</w:t>
      </w:r>
    </w:p>
    <w:p>
      <w:pPr>
        <w:widowControl w:val="0"/>
        <w:numPr>
          <w:ilvl w:val="2"/>
          <w:numId w:val="9"/>
        </w:numPr>
        <w:autoSpaceDE w:val="0"/>
        <w:autoSpaceDN w:val="0"/>
        <w:adjustRightInd w:val="0"/>
        <w:snapToGrid w:val="0"/>
        <w:ind w:firstLineChars="0"/>
        <w:jc w:val="left"/>
        <w:rPr>
          <w:rFonts w:ascii="宋体" w:hAnsi="宋体"/>
          <w:szCs w:val="21"/>
        </w:rPr>
      </w:pPr>
      <w:r>
        <w:rPr>
          <w:rFonts w:hint="eastAsia" w:ascii="宋体" w:hAnsi="宋体"/>
          <w:szCs w:val="21"/>
        </w:rPr>
        <w:t>投标报价为各分项报价金额之和，总价金额与依据单价计算出的结果不一致的，以有利于招标人的为准，即当单价与数量的乘积高于合价或总价时，以合价或总价为准调整单价；当单价与数量的乘积低于合价或总价时，以单价为准调整合价或总价，修正投标报价；如分项报价中存在缺漏项，则视为缺漏项的价格已包含在其他分项报价之中。投标人在投标截止时间前修改投标报价总额，应同时修改投标文件“分项报价表”中的相应报价。</w:t>
      </w:r>
    </w:p>
    <w:p>
      <w:pPr>
        <w:widowControl w:val="0"/>
        <w:numPr>
          <w:ilvl w:val="1"/>
          <w:numId w:val="9"/>
        </w:numPr>
        <w:autoSpaceDE w:val="0"/>
        <w:autoSpaceDN w:val="0"/>
        <w:adjustRightInd w:val="0"/>
        <w:snapToGrid w:val="0"/>
        <w:ind w:firstLineChars="0"/>
        <w:jc w:val="left"/>
        <w:rPr>
          <w:rFonts w:ascii="宋体" w:hAnsi="宋体"/>
          <w:szCs w:val="21"/>
        </w:rPr>
      </w:pPr>
      <w:r>
        <w:rPr>
          <w:rFonts w:hint="eastAsia" w:ascii="宋体" w:hAnsi="宋体"/>
          <w:szCs w:val="21"/>
        </w:rPr>
        <w:t>合同金额以经修正后的投标报价为准，缺漏项部分由投标人自行承担。</w:t>
      </w:r>
    </w:p>
    <w:p>
      <w:pPr>
        <w:widowControl w:val="0"/>
        <w:autoSpaceDE w:val="0"/>
        <w:autoSpaceDN w:val="0"/>
        <w:adjustRightInd w:val="0"/>
        <w:snapToGrid w:val="0"/>
        <w:ind w:firstLine="0" w:firstLineChars="0"/>
        <w:jc w:val="left"/>
        <w:rPr>
          <w:rFonts w:hint="eastAsia" w:ascii="宋体" w:hAnsi="宋体"/>
          <w:szCs w:val="21"/>
        </w:rPr>
      </w:pPr>
    </w:p>
    <w:p>
      <w:pPr>
        <w:widowControl w:val="0"/>
        <w:autoSpaceDE w:val="0"/>
        <w:autoSpaceDN w:val="0"/>
        <w:adjustRightInd w:val="0"/>
        <w:snapToGrid w:val="0"/>
        <w:ind w:firstLine="0" w:firstLineChars="0"/>
        <w:jc w:val="left"/>
        <w:rPr>
          <w:rFonts w:hint="eastAsia" w:ascii="宋体" w:hAnsi="宋体"/>
          <w:b/>
          <w:szCs w:val="21"/>
        </w:rPr>
      </w:pPr>
      <w:r>
        <w:rPr>
          <w:rFonts w:hint="eastAsia" w:ascii="宋体" w:hAnsi="宋体"/>
          <w:b/>
          <w:szCs w:val="21"/>
        </w:rPr>
        <w:t>2、价格标评审的计算：</w:t>
      </w:r>
    </w:p>
    <w:tbl>
      <w:tblPr>
        <w:tblStyle w:val="49"/>
        <w:tblW w:w="85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8"/>
        <w:gridCol w:w="1133"/>
        <w:gridCol w:w="1558"/>
        <w:gridCol w:w="48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8" w:type="dxa"/>
            <w:vMerge w:val="restart"/>
            <w:noWrap w:val="0"/>
            <w:vAlign w:val="center"/>
          </w:tcPr>
          <w:p>
            <w:pPr>
              <w:widowControl w:val="0"/>
              <w:autoSpaceDE w:val="0"/>
              <w:autoSpaceDN w:val="0"/>
              <w:adjustRightInd w:val="0"/>
              <w:snapToGrid w:val="0"/>
              <w:ind w:firstLine="0" w:firstLineChars="0"/>
              <w:jc w:val="center"/>
              <w:rPr>
                <w:rFonts w:hint="eastAsia" w:ascii="宋体" w:hAnsi="宋体"/>
                <w:b/>
                <w:szCs w:val="21"/>
              </w:rPr>
            </w:pPr>
            <w:r>
              <w:rPr>
                <w:rFonts w:hint="eastAsia" w:ascii="宋体" w:hAnsi="宋体"/>
                <w:b/>
                <w:szCs w:val="21"/>
              </w:rPr>
              <w:t>投标</w:t>
            </w:r>
            <w:r>
              <w:rPr>
                <w:rFonts w:ascii="宋体" w:hAnsi="宋体"/>
                <w:b/>
                <w:szCs w:val="21"/>
              </w:rPr>
              <w:t>报价得分</w:t>
            </w:r>
          </w:p>
        </w:tc>
        <w:tc>
          <w:tcPr>
            <w:tcW w:w="7565" w:type="dxa"/>
            <w:gridSpan w:val="3"/>
            <w:noWrap w:val="0"/>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基准价</w:t>
            </w:r>
            <w:r>
              <w:rPr>
                <w:rFonts w:ascii="宋体" w:hAnsi="宋体"/>
                <w:b/>
                <w:szCs w:val="21"/>
              </w:rPr>
              <w:t>和算法类型选择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8" w:type="dxa"/>
            <w:vMerge w:val="continue"/>
            <w:noWrap w:val="0"/>
            <w:vAlign w:val="center"/>
          </w:tcPr>
          <w:p>
            <w:pPr>
              <w:widowControl w:val="0"/>
              <w:autoSpaceDE w:val="0"/>
              <w:autoSpaceDN w:val="0"/>
              <w:adjustRightInd w:val="0"/>
              <w:snapToGrid w:val="0"/>
              <w:ind w:firstLine="0" w:firstLineChars="0"/>
              <w:rPr>
                <w:rFonts w:ascii="宋体" w:hAnsi="宋体"/>
                <w:szCs w:val="21"/>
              </w:rPr>
            </w:pPr>
          </w:p>
        </w:tc>
        <w:tc>
          <w:tcPr>
            <w:tcW w:w="1133" w:type="dxa"/>
            <w:vMerge w:val="restart"/>
            <w:noWrap w:val="0"/>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基准价</w:t>
            </w:r>
          </w:p>
        </w:tc>
        <w:tc>
          <w:tcPr>
            <w:tcW w:w="6432" w:type="dxa"/>
            <w:gridSpan w:val="2"/>
            <w:noWrap w:val="0"/>
            <w:vAlign w:val="center"/>
          </w:tcPr>
          <w:p>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lang w:eastAsia="zh-CN"/>
              </w:rPr>
              <w:t>□</w:t>
            </w:r>
            <w:r>
              <w:rPr>
                <w:rFonts w:hint="eastAsia" w:ascii="宋体" w:hAnsi="宋体"/>
                <w:szCs w:val="21"/>
              </w:rPr>
              <w:t>各有效</w:t>
            </w:r>
            <w:r>
              <w:rPr>
                <w:rFonts w:ascii="宋体" w:hAnsi="宋体"/>
                <w:szCs w:val="21"/>
              </w:rPr>
              <w:t>投</w:t>
            </w:r>
            <w:r>
              <w:rPr>
                <w:rFonts w:hint="eastAsia" w:ascii="宋体" w:hAnsi="宋体"/>
                <w:szCs w:val="21"/>
              </w:rPr>
              <w:t>标报价大于</w:t>
            </w:r>
            <w:r>
              <w:rPr>
                <w:rFonts w:hint="eastAsia" w:ascii="宋体" w:hAnsi="宋体"/>
                <w:szCs w:val="21"/>
                <w:lang w:val="en-US" w:eastAsia="zh-CN"/>
              </w:rPr>
              <w:t>3</w:t>
            </w:r>
            <w:r>
              <w:rPr>
                <w:rFonts w:hint="eastAsia" w:ascii="宋体" w:hAnsi="宋体"/>
                <w:szCs w:val="21"/>
              </w:rPr>
              <w:t>家时，去掉一个最高和最低报价后的算术平均值乘以</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szCs w:val="21"/>
              </w:rPr>
              <w:t>％</w:t>
            </w:r>
          </w:p>
          <w:p>
            <w:pPr>
              <w:widowControl w:val="0"/>
              <w:autoSpaceDE w:val="0"/>
              <w:autoSpaceDN w:val="0"/>
              <w:adjustRightInd w:val="0"/>
              <w:snapToGrid w:val="0"/>
              <w:ind w:firstLine="210" w:firstLineChars="100"/>
              <w:rPr>
                <w:rFonts w:hint="default" w:ascii="宋体" w:hAnsi="宋体" w:eastAsia="宋体"/>
                <w:szCs w:val="21"/>
                <w:lang w:val="en-US" w:eastAsia="zh-CN"/>
              </w:rPr>
            </w:pPr>
            <w:r>
              <w:rPr>
                <w:rFonts w:hint="eastAsia" w:ascii="宋体" w:hAnsi="宋体"/>
                <w:szCs w:val="21"/>
              </w:rPr>
              <w:t>当有效投标报价少于</w:t>
            </w:r>
            <w:r>
              <w:rPr>
                <w:rFonts w:hint="eastAsia" w:ascii="宋体" w:hAnsi="宋体"/>
                <w:szCs w:val="21"/>
                <w:lang w:val="en-US" w:eastAsia="zh-CN"/>
              </w:rPr>
              <w:t>3</w:t>
            </w:r>
            <w:r>
              <w:rPr>
                <w:rFonts w:hint="eastAsia" w:ascii="宋体" w:hAnsi="宋体"/>
                <w:szCs w:val="21"/>
              </w:rPr>
              <w:t>家时，则</w:t>
            </w:r>
            <w:r>
              <w:rPr>
                <w:rFonts w:hint="eastAsia" w:ascii="宋体" w:hAnsi="宋体"/>
                <w:szCs w:val="21"/>
                <w:lang w:val="en-US" w:eastAsia="zh-CN"/>
              </w:rPr>
              <w:t>此次招标无效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8" w:type="dxa"/>
            <w:vMerge w:val="continue"/>
            <w:noWrap w:val="0"/>
            <w:vAlign w:val="center"/>
          </w:tcPr>
          <w:p>
            <w:pPr>
              <w:widowControl w:val="0"/>
              <w:autoSpaceDE w:val="0"/>
              <w:autoSpaceDN w:val="0"/>
              <w:adjustRightInd w:val="0"/>
              <w:snapToGrid w:val="0"/>
              <w:ind w:firstLine="0" w:firstLineChars="0"/>
              <w:rPr>
                <w:rFonts w:ascii="宋体" w:hAnsi="宋体"/>
                <w:szCs w:val="21"/>
              </w:rPr>
            </w:pPr>
          </w:p>
        </w:tc>
        <w:tc>
          <w:tcPr>
            <w:tcW w:w="1133" w:type="dxa"/>
            <w:vMerge w:val="continue"/>
            <w:noWrap w:val="0"/>
            <w:vAlign w:val="center"/>
          </w:tcPr>
          <w:p>
            <w:pPr>
              <w:widowControl w:val="0"/>
              <w:autoSpaceDE w:val="0"/>
              <w:autoSpaceDN w:val="0"/>
              <w:adjustRightInd w:val="0"/>
              <w:snapToGrid w:val="0"/>
              <w:ind w:firstLine="0" w:firstLineChars="0"/>
              <w:jc w:val="center"/>
              <w:rPr>
                <w:rFonts w:hint="eastAsia" w:ascii="宋体" w:hAnsi="宋体"/>
                <w:b/>
                <w:szCs w:val="21"/>
              </w:rPr>
            </w:pPr>
          </w:p>
        </w:tc>
        <w:tc>
          <w:tcPr>
            <w:tcW w:w="6432" w:type="dxa"/>
            <w:gridSpan w:val="2"/>
            <w:noWrap w:val="0"/>
            <w:vAlign w:val="center"/>
          </w:tcPr>
          <w:p>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□取有效投标报价算术平均值，并对算数平均值下浮</w:t>
            </w:r>
            <w:r>
              <w:rPr>
                <w:rFonts w:ascii="宋体" w:hAnsi="宋体"/>
                <w:szCs w:val="21"/>
                <w:u w:val="single"/>
              </w:rPr>
              <w:t xml:space="preserve">    </w:t>
            </w:r>
            <w:r>
              <w:rPr>
                <w:rFonts w:hint="eastAsia"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8" w:type="dxa"/>
            <w:vMerge w:val="continue"/>
            <w:noWrap w:val="0"/>
            <w:vAlign w:val="center"/>
          </w:tcPr>
          <w:p>
            <w:pPr>
              <w:widowControl w:val="0"/>
              <w:autoSpaceDE w:val="0"/>
              <w:autoSpaceDN w:val="0"/>
              <w:adjustRightInd w:val="0"/>
              <w:snapToGrid w:val="0"/>
              <w:ind w:firstLine="0" w:firstLineChars="0"/>
              <w:rPr>
                <w:rFonts w:ascii="宋体" w:hAnsi="宋体"/>
                <w:szCs w:val="21"/>
              </w:rPr>
            </w:pPr>
          </w:p>
        </w:tc>
        <w:tc>
          <w:tcPr>
            <w:tcW w:w="1133" w:type="dxa"/>
            <w:vMerge w:val="continue"/>
            <w:noWrap w:val="0"/>
            <w:vAlign w:val="center"/>
          </w:tcPr>
          <w:p>
            <w:pPr>
              <w:widowControl w:val="0"/>
              <w:autoSpaceDE w:val="0"/>
              <w:autoSpaceDN w:val="0"/>
              <w:adjustRightInd w:val="0"/>
              <w:snapToGrid w:val="0"/>
              <w:ind w:firstLine="0" w:firstLineChars="0"/>
              <w:jc w:val="center"/>
              <w:rPr>
                <w:rFonts w:hint="eastAsia" w:ascii="宋体" w:hAnsi="宋体"/>
                <w:b/>
                <w:szCs w:val="21"/>
              </w:rPr>
            </w:pPr>
          </w:p>
        </w:tc>
        <w:tc>
          <w:tcPr>
            <w:tcW w:w="6432" w:type="dxa"/>
            <w:gridSpan w:val="2"/>
            <w:noWrap w:val="0"/>
            <w:vAlign w:val="center"/>
          </w:tcPr>
          <w:p>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lang w:eastAsia="zh-CN"/>
              </w:rPr>
              <w:t>☑</w:t>
            </w:r>
            <w:r>
              <w:rPr>
                <w:rFonts w:hint="eastAsia" w:ascii="宋体" w:hAnsi="宋体"/>
                <w:b/>
                <w:bCs/>
                <w:szCs w:val="21"/>
              </w:rPr>
              <w:t>有效投标报</w:t>
            </w:r>
            <w:r>
              <w:rPr>
                <w:rFonts w:hint="eastAsia" w:ascii="宋体" w:hAnsi="宋体"/>
                <w:b/>
                <w:bCs/>
                <w:szCs w:val="21"/>
                <w:highlight w:val="none"/>
              </w:rPr>
              <w:t>价的</w:t>
            </w:r>
            <w:r>
              <w:rPr>
                <w:rFonts w:hint="eastAsia" w:ascii="宋体" w:hAnsi="宋体"/>
                <w:b/>
                <w:bCs/>
                <w:szCs w:val="21"/>
              </w:rPr>
              <w:t>最低价为基价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8" w:type="dxa"/>
            <w:vMerge w:val="continue"/>
            <w:noWrap w:val="0"/>
            <w:vAlign w:val="center"/>
          </w:tcPr>
          <w:p>
            <w:pPr>
              <w:widowControl w:val="0"/>
              <w:autoSpaceDE w:val="0"/>
              <w:autoSpaceDN w:val="0"/>
              <w:adjustRightInd w:val="0"/>
              <w:snapToGrid w:val="0"/>
              <w:ind w:firstLine="0" w:firstLineChars="0"/>
              <w:rPr>
                <w:rFonts w:ascii="宋体" w:hAnsi="宋体"/>
                <w:szCs w:val="21"/>
              </w:rPr>
            </w:pPr>
          </w:p>
        </w:tc>
        <w:tc>
          <w:tcPr>
            <w:tcW w:w="1133" w:type="dxa"/>
            <w:vMerge w:val="restart"/>
            <w:noWrap w:val="0"/>
            <w:vAlign w:val="center"/>
          </w:tcPr>
          <w:p>
            <w:pPr>
              <w:widowControl w:val="0"/>
              <w:autoSpaceDE w:val="0"/>
              <w:autoSpaceDN w:val="0"/>
              <w:adjustRightInd w:val="0"/>
              <w:snapToGrid w:val="0"/>
              <w:ind w:firstLine="0" w:firstLineChars="0"/>
              <w:jc w:val="center"/>
              <w:rPr>
                <w:rFonts w:hint="eastAsia" w:ascii="宋体" w:hAnsi="宋体"/>
                <w:b/>
                <w:szCs w:val="21"/>
              </w:rPr>
            </w:pPr>
            <w:r>
              <w:rPr>
                <w:rFonts w:hint="eastAsia" w:ascii="宋体" w:hAnsi="宋体"/>
                <w:b/>
                <w:szCs w:val="21"/>
              </w:rPr>
              <w:t>算</w:t>
            </w:r>
            <w:r>
              <w:rPr>
                <w:rFonts w:ascii="宋体" w:hAnsi="宋体"/>
                <w:b/>
                <w:szCs w:val="21"/>
              </w:rPr>
              <w:t>法类型</w:t>
            </w:r>
          </w:p>
        </w:tc>
        <w:tc>
          <w:tcPr>
            <w:tcW w:w="1558" w:type="dxa"/>
            <w:noWrap w:val="0"/>
            <w:vAlign w:val="center"/>
          </w:tcPr>
          <w:p>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□固定</w:t>
            </w:r>
            <w:r>
              <w:rPr>
                <w:rFonts w:ascii="宋体" w:hAnsi="宋体"/>
                <w:szCs w:val="21"/>
              </w:rPr>
              <w:t>比例</w:t>
            </w:r>
            <w:r>
              <w:rPr>
                <w:rFonts w:hint="eastAsia" w:ascii="宋体" w:hAnsi="宋体"/>
                <w:szCs w:val="21"/>
              </w:rPr>
              <w:t>法</w:t>
            </w:r>
          </w:p>
        </w:tc>
        <w:tc>
          <w:tcPr>
            <w:tcW w:w="4874" w:type="dxa"/>
            <w:noWrap w:val="0"/>
            <w:vAlign w:val="center"/>
          </w:tcPr>
          <w:p>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价得分=M-[（｜投标价格-基准价｜/基准价）*100/</w:t>
            </w:r>
            <w:r>
              <w:rPr>
                <w:rFonts w:ascii="宋体" w:hAnsi="宋体"/>
                <w:szCs w:val="21"/>
              </w:rPr>
              <w:t>N]*</w:t>
            </w:r>
            <w:r>
              <w:rPr>
                <w:rFonts w:hint="eastAsia" w:ascii="宋体" w:hAnsi="宋体"/>
                <w:szCs w:val="21"/>
              </w:rPr>
              <w:t>扣分值</w:t>
            </w:r>
          </w:p>
          <w:p>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M=</w:t>
            </w:r>
            <w:r>
              <w:rPr>
                <w:rFonts w:ascii="宋体" w:hAnsi="宋体"/>
                <w:szCs w:val="21"/>
                <w:u w:val="single"/>
              </w:rPr>
              <w:t xml:space="preserve">    </w:t>
            </w:r>
            <w:r>
              <w:rPr>
                <w:rFonts w:hint="eastAsia" w:ascii="宋体" w:hAnsi="宋体"/>
                <w:szCs w:val="21"/>
              </w:rPr>
              <w:t>（价格评价分项满分值），N=</w:t>
            </w:r>
            <w:r>
              <w:rPr>
                <w:rFonts w:ascii="宋体" w:hAnsi="宋体"/>
                <w:szCs w:val="21"/>
                <w:u w:val="single"/>
              </w:rPr>
              <w:t xml:space="preserve">    </w:t>
            </w:r>
            <w:r>
              <w:rPr>
                <w:rFonts w:hint="eastAsia" w:ascii="宋体" w:hAnsi="宋体"/>
                <w:szCs w:val="21"/>
              </w:rPr>
              <w:t>，投标价格每高于N％时，扣</w:t>
            </w:r>
            <w:r>
              <w:rPr>
                <w:rFonts w:ascii="宋体" w:hAnsi="宋体"/>
                <w:szCs w:val="21"/>
                <w:u w:val="single"/>
              </w:rPr>
              <w:t xml:space="preserve">    </w:t>
            </w:r>
            <w:r>
              <w:rPr>
                <w:rFonts w:hint="eastAsia" w:ascii="宋体" w:hAnsi="宋体"/>
                <w:szCs w:val="21"/>
              </w:rPr>
              <w:t>分；每低于N％时，扣</w:t>
            </w:r>
            <w:r>
              <w:rPr>
                <w:rFonts w:ascii="宋体" w:hAnsi="宋体"/>
                <w:szCs w:val="21"/>
                <w:u w:val="single"/>
              </w:rPr>
              <w:t xml:space="preserve">    </w:t>
            </w:r>
            <w:r>
              <w:rPr>
                <w:rFonts w:hint="eastAsia" w:ascii="宋体" w:hAnsi="宋体"/>
                <w:szCs w:val="21"/>
              </w:rPr>
              <w:t>分；</w:t>
            </w:r>
          </w:p>
          <w:p>
            <w:pPr>
              <w:widowControl w:val="0"/>
              <w:autoSpaceDE w:val="0"/>
              <w:autoSpaceDN w:val="0"/>
              <w:adjustRightInd w:val="0"/>
              <w:snapToGrid w:val="0"/>
              <w:ind w:firstLine="0" w:firstLineChars="0"/>
              <w:rPr>
                <w:rFonts w:ascii="宋体" w:hAnsi="宋体"/>
                <w:szCs w:val="21"/>
              </w:rPr>
            </w:pPr>
            <w:r>
              <w:rPr>
                <w:rFonts w:hint="eastAsia" w:ascii="宋体" w:hAnsi="宋体"/>
                <w:szCs w:val="21"/>
              </w:rPr>
              <w:t>最低得0分。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8" w:type="dxa"/>
            <w:vMerge w:val="continue"/>
            <w:noWrap w:val="0"/>
            <w:vAlign w:val="center"/>
          </w:tcPr>
          <w:p>
            <w:pPr>
              <w:widowControl w:val="0"/>
              <w:autoSpaceDE w:val="0"/>
              <w:autoSpaceDN w:val="0"/>
              <w:adjustRightInd w:val="0"/>
              <w:snapToGrid w:val="0"/>
              <w:ind w:firstLine="0" w:firstLineChars="0"/>
              <w:rPr>
                <w:rFonts w:ascii="宋体" w:hAnsi="宋体"/>
                <w:szCs w:val="21"/>
              </w:rPr>
            </w:pPr>
          </w:p>
        </w:tc>
        <w:tc>
          <w:tcPr>
            <w:tcW w:w="1133" w:type="dxa"/>
            <w:vMerge w:val="continue"/>
            <w:noWrap w:val="0"/>
            <w:vAlign w:val="center"/>
          </w:tcPr>
          <w:p>
            <w:pPr>
              <w:widowControl w:val="0"/>
              <w:autoSpaceDE w:val="0"/>
              <w:autoSpaceDN w:val="0"/>
              <w:adjustRightInd w:val="0"/>
              <w:snapToGrid w:val="0"/>
              <w:ind w:firstLine="0" w:firstLineChars="0"/>
              <w:rPr>
                <w:rFonts w:ascii="宋体" w:hAnsi="宋体"/>
                <w:szCs w:val="21"/>
              </w:rPr>
            </w:pPr>
          </w:p>
        </w:tc>
        <w:tc>
          <w:tcPr>
            <w:tcW w:w="1558" w:type="dxa"/>
            <w:noWrap w:val="0"/>
            <w:vAlign w:val="center"/>
          </w:tcPr>
          <w:p>
            <w:pPr>
              <w:widowControl w:val="0"/>
              <w:autoSpaceDE w:val="0"/>
              <w:autoSpaceDN w:val="0"/>
              <w:adjustRightInd w:val="0"/>
              <w:snapToGrid w:val="0"/>
              <w:ind w:firstLine="0" w:firstLineChars="0"/>
              <w:rPr>
                <w:rFonts w:ascii="宋体" w:hAnsi="宋体"/>
                <w:szCs w:val="21"/>
              </w:rPr>
            </w:pPr>
            <w:r>
              <w:rPr>
                <w:rFonts w:hint="eastAsia" w:ascii="宋体" w:hAnsi="宋体"/>
                <w:szCs w:val="21"/>
              </w:rPr>
              <w:t>□固定乘积法</w:t>
            </w:r>
          </w:p>
        </w:tc>
        <w:tc>
          <w:tcPr>
            <w:tcW w:w="4874" w:type="dxa"/>
            <w:noWrap w:val="0"/>
            <w:vAlign w:val="center"/>
          </w:tcPr>
          <w:p>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价格得分=（1-</w:t>
            </w:r>
            <w:r>
              <w:rPr>
                <w:rFonts w:ascii="宋体" w:hAnsi="宋体"/>
                <w:szCs w:val="21"/>
              </w:rPr>
              <w:t>A</w:t>
            </w:r>
            <w:r>
              <w:rPr>
                <w:rFonts w:hint="eastAsia" w:ascii="宋体" w:hAnsi="宋体"/>
                <w:szCs w:val="21"/>
              </w:rPr>
              <w:t>×｜1-投标报价/Z｜）×M</w:t>
            </w:r>
          </w:p>
          <w:p>
            <w:pPr>
              <w:widowControl w:val="0"/>
              <w:autoSpaceDE w:val="0"/>
              <w:autoSpaceDN w:val="0"/>
              <w:adjustRightInd w:val="0"/>
              <w:snapToGrid w:val="0"/>
              <w:ind w:firstLine="0" w:firstLineChars="0"/>
              <w:rPr>
                <w:rFonts w:hint="eastAsia" w:ascii="宋体" w:hAnsi="宋体"/>
                <w:szCs w:val="21"/>
              </w:rPr>
            </w:pPr>
            <w:r>
              <w:rPr>
                <w:rFonts w:ascii="宋体" w:hAnsi="宋体"/>
                <w:szCs w:val="21"/>
              </w:rPr>
              <w:t>1</w:t>
            </w:r>
            <w:r>
              <w:rPr>
                <w:rFonts w:hint="eastAsia" w:ascii="宋体" w:hAnsi="宋体"/>
                <w:szCs w:val="21"/>
              </w:rPr>
              <w:t>、M=</w:t>
            </w:r>
            <w:r>
              <w:rPr>
                <w:rFonts w:ascii="宋体" w:hAnsi="宋体"/>
                <w:szCs w:val="21"/>
                <w:u w:val="single"/>
              </w:rPr>
              <w:t xml:space="preserve">    </w:t>
            </w:r>
            <w:r>
              <w:rPr>
                <w:rFonts w:hint="eastAsia" w:ascii="宋体" w:hAnsi="宋体"/>
                <w:szCs w:val="21"/>
              </w:rPr>
              <w:t>（价格评价分项满分值），Z为本次招标最佳报价（即基准价）；</w:t>
            </w:r>
          </w:p>
          <w:p>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2、A为价格调整系数，当投标报价低于本次招标最佳报价（即基准价）时，A=</w:t>
            </w:r>
            <w:r>
              <w:rPr>
                <w:rFonts w:ascii="宋体" w:hAnsi="宋体"/>
                <w:szCs w:val="21"/>
                <w:u w:val="single"/>
              </w:rPr>
              <w:t xml:space="preserve">    </w:t>
            </w:r>
            <w:r>
              <w:rPr>
                <w:rFonts w:hint="eastAsia" w:ascii="宋体" w:hAnsi="宋体"/>
                <w:szCs w:val="21"/>
              </w:rPr>
              <w:t>；当</w:t>
            </w:r>
            <w:r>
              <w:rPr>
                <w:rFonts w:ascii="宋体" w:hAnsi="宋体"/>
                <w:szCs w:val="21"/>
              </w:rPr>
              <w:t>投标报价</w:t>
            </w:r>
            <w:r>
              <w:rPr>
                <w:rFonts w:hint="eastAsia" w:ascii="宋体" w:hAnsi="宋体"/>
                <w:szCs w:val="21"/>
              </w:rPr>
              <w:t>高于次招标最佳报价时，取A=</w:t>
            </w:r>
            <w:r>
              <w:rPr>
                <w:rFonts w:ascii="宋体" w:hAnsi="宋体"/>
                <w:szCs w:val="21"/>
                <w:u w:val="single"/>
              </w:rPr>
              <w:t xml:space="preserve">    </w:t>
            </w:r>
            <w:r>
              <w:rPr>
                <w:rFonts w:hint="eastAsia" w:ascii="宋体" w:hAnsi="宋体"/>
                <w:szCs w:val="21"/>
              </w:rPr>
              <w:t>；</w:t>
            </w:r>
          </w:p>
          <w:p>
            <w:pPr>
              <w:widowControl w:val="0"/>
              <w:autoSpaceDE w:val="0"/>
              <w:autoSpaceDN w:val="0"/>
              <w:adjustRightInd w:val="0"/>
              <w:snapToGrid w:val="0"/>
              <w:ind w:firstLine="0" w:firstLineChars="0"/>
              <w:rPr>
                <w:rFonts w:ascii="宋体" w:hAnsi="宋体"/>
                <w:szCs w:val="21"/>
              </w:rPr>
            </w:pPr>
            <w:r>
              <w:rPr>
                <w:rFonts w:hint="eastAsia" w:ascii="宋体" w:hAnsi="宋体"/>
                <w:szCs w:val="21"/>
              </w:rPr>
              <w:t>3、计算分数时四舍五入取小数点后两位，当价格分＜0时，取0。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8" w:type="dxa"/>
            <w:vMerge w:val="continue"/>
            <w:noWrap w:val="0"/>
            <w:vAlign w:val="center"/>
          </w:tcPr>
          <w:p>
            <w:pPr>
              <w:widowControl w:val="0"/>
              <w:autoSpaceDE w:val="0"/>
              <w:autoSpaceDN w:val="0"/>
              <w:adjustRightInd w:val="0"/>
              <w:snapToGrid w:val="0"/>
              <w:ind w:firstLine="0" w:firstLineChars="0"/>
              <w:rPr>
                <w:rFonts w:ascii="宋体" w:hAnsi="宋体"/>
                <w:szCs w:val="21"/>
              </w:rPr>
            </w:pPr>
          </w:p>
        </w:tc>
        <w:tc>
          <w:tcPr>
            <w:tcW w:w="1133" w:type="dxa"/>
            <w:vMerge w:val="continue"/>
            <w:noWrap w:val="0"/>
            <w:vAlign w:val="center"/>
          </w:tcPr>
          <w:p>
            <w:pPr>
              <w:widowControl w:val="0"/>
              <w:autoSpaceDE w:val="0"/>
              <w:autoSpaceDN w:val="0"/>
              <w:adjustRightInd w:val="0"/>
              <w:snapToGrid w:val="0"/>
              <w:ind w:firstLine="0" w:firstLineChars="0"/>
              <w:rPr>
                <w:rFonts w:ascii="宋体" w:hAnsi="宋体"/>
                <w:szCs w:val="21"/>
              </w:rPr>
            </w:pPr>
          </w:p>
        </w:tc>
        <w:tc>
          <w:tcPr>
            <w:tcW w:w="1558" w:type="dxa"/>
            <w:noWrap w:val="0"/>
            <w:vAlign w:val="center"/>
          </w:tcPr>
          <w:p>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lang w:eastAsia="zh-CN"/>
              </w:rPr>
              <w:t>☑</w:t>
            </w:r>
            <w:r>
              <w:rPr>
                <w:rFonts w:hint="eastAsia" w:ascii="宋体" w:hAnsi="宋体"/>
                <w:szCs w:val="21"/>
              </w:rPr>
              <w:t>其他</w:t>
            </w:r>
            <w:r>
              <w:rPr>
                <w:rFonts w:ascii="宋体" w:hAnsi="宋体"/>
                <w:szCs w:val="21"/>
              </w:rPr>
              <w:t>方法</w:t>
            </w:r>
          </w:p>
        </w:tc>
        <w:tc>
          <w:tcPr>
            <w:tcW w:w="4874" w:type="dxa"/>
            <w:noWrap w:val="0"/>
            <w:vAlign w:val="center"/>
          </w:tcPr>
          <w:p>
            <w:pPr>
              <w:widowControl w:val="0"/>
              <w:autoSpaceDE w:val="0"/>
              <w:autoSpaceDN w:val="0"/>
              <w:adjustRightInd w:val="0"/>
              <w:snapToGrid w:val="0"/>
              <w:ind w:firstLine="0" w:firstLineChars="0"/>
              <w:rPr>
                <w:rFonts w:hint="eastAsia" w:ascii="宋体" w:hAnsi="宋体"/>
                <w:b/>
                <w:bCs/>
                <w:szCs w:val="21"/>
                <w:highlight w:val="none"/>
              </w:rPr>
            </w:pPr>
            <w:r>
              <w:rPr>
                <w:rFonts w:hint="eastAsia" w:ascii="宋体" w:hAnsi="宋体"/>
                <w:b/>
                <w:bCs/>
                <w:szCs w:val="21"/>
                <w:highlight w:val="none"/>
              </w:rPr>
              <w:t>投标报价</w:t>
            </w:r>
            <w:r>
              <w:rPr>
                <w:rFonts w:hint="default" w:ascii="宋体" w:hAnsi="宋体"/>
                <w:b/>
                <w:bCs/>
                <w:szCs w:val="21"/>
                <w:highlight w:val="none"/>
              </w:rPr>
              <w:t>(</w:t>
            </w:r>
            <w:r>
              <w:rPr>
                <w:rFonts w:hint="eastAsia" w:ascii="宋体" w:hAnsi="宋体"/>
                <w:b/>
                <w:bCs/>
                <w:szCs w:val="21"/>
                <w:highlight w:val="none"/>
              </w:rPr>
              <w:t>投保报价</w:t>
            </w:r>
            <w:r>
              <w:rPr>
                <w:rFonts w:hint="default" w:ascii="宋体" w:hAnsi="宋体"/>
                <w:b/>
                <w:bCs/>
                <w:szCs w:val="21"/>
                <w:highlight w:val="none"/>
              </w:rPr>
              <w:t>)</w:t>
            </w:r>
            <w:r>
              <w:rPr>
                <w:rFonts w:hint="eastAsia" w:ascii="宋体" w:hAnsi="宋体"/>
                <w:b/>
                <w:bCs/>
                <w:szCs w:val="21"/>
                <w:highlight w:val="none"/>
              </w:rPr>
              <w:t>得分</w:t>
            </w:r>
            <w:r>
              <w:rPr>
                <w:rFonts w:hint="default" w:ascii="宋体" w:hAnsi="宋体"/>
                <w:b/>
                <w:bCs/>
                <w:szCs w:val="21"/>
                <w:highlight w:val="none"/>
              </w:rPr>
              <w:t>=(</w:t>
            </w:r>
            <w:r>
              <w:rPr>
                <w:rFonts w:hint="eastAsia" w:ascii="宋体" w:hAnsi="宋体"/>
                <w:b/>
                <w:bCs/>
                <w:szCs w:val="21"/>
                <w:highlight w:val="none"/>
              </w:rPr>
              <w:t>评标基准价／投标报价</w:t>
            </w:r>
          </w:p>
          <w:p>
            <w:pPr>
              <w:widowControl w:val="0"/>
              <w:autoSpaceDE w:val="0"/>
              <w:autoSpaceDN w:val="0"/>
              <w:adjustRightInd w:val="0"/>
              <w:snapToGrid w:val="0"/>
              <w:ind w:firstLine="0" w:firstLineChars="0"/>
              <w:rPr>
                <w:rFonts w:ascii="宋体" w:hAnsi="宋体"/>
                <w:szCs w:val="21"/>
              </w:rPr>
            </w:pPr>
            <w:r>
              <w:rPr>
                <w:rFonts w:hint="default" w:ascii="宋体" w:hAnsi="宋体"/>
                <w:b/>
                <w:bCs/>
                <w:szCs w:val="21"/>
                <w:highlight w:val="none"/>
              </w:rPr>
              <w:t>(</w:t>
            </w:r>
            <w:r>
              <w:rPr>
                <w:rFonts w:hint="eastAsia" w:ascii="宋体" w:hAnsi="宋体"/>
                <w:b/>
                <w:bCs/>
                <w:szCs w:val="21"/>
                <w:highlight w:val="none"/>
              </w:rPr>
              <w:t>投保报价</w:t>
            </w:r>
            <w:r>
              <w:rPr>
                <w:rFonts w:hint="default" w:ascii="宋体" w:hAnsi="宋体"/>
                <w:b/>
                <w:bCs/>
                <w:szCs w:val="21"/>
                <w:highlight w:val="none"/>
              </w:rPr>
              <w:t>))×</w:t>
            </w:r>
            <w:r>
              <w:rPr>
                <w:rFonts w:hint="eastAsia" w:ascii="宋体" w:hAnsi="宋体"/>
                <w:b/>
                <w:bCs/>
                <w:szCs w:val="21"/>
                <w:highlight w:val="none"/>
                <w:lang w:val="en-US" w:eastAsia="zh-CN"/>
              </w:rPr>
              <w:t>3</w:t>
            </w:r>
            <w:r>
              <w:rPr>
                <w:rFonts w:hint="default" w:ascii="宋体" w:hAnsi="宋体"/>
                <w:b/>
                <w:bCs/>
                <w:szCs w:val="21"/>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3" w:type="dxa"/>
            <w:gridSpan w:val="4"/>
            <w:noWrap w:val="0"/>
            <w:vAlign w:val="center"/>
          </w:tcPr>
          <w:p>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注：未通过初步评审的投标人的价格得分计算：未通过初步评审的投标人，不计算价格得分。</w:t>
            </w:r>
          </w:p>
        </w:tc>
      </w:tr>
    </w:tbl>
    <w:p>
      <w:pPr>
        <w:widowControl w:val="0"/>
        <w:autoSpaceDE w:val="0"/>
        <w:autoSpaceDN w:val="0"/>
        <w:adjustRightInd w:val="0"/>
        <w:snapToGrid w:val="0"/>
        <w:ind w:firstLine="0" w:firstLineChars="0"/>
        <w:jc w:val="left"/>
        <w:rPr>
          <w:rFonts w:ascii="宋体" w:hAnsi="宋体"/>
        </w:rPr>
      </w:pPr>
    </w:p>
    <w:p>
      <w:pPr>
        <w:widowControl w:val="0"/>
        <w:autoSpaceDN w:val="0"/>
        <w:adjustRightInd w:val="0"/>
        <w:snapToGrid w:val="0"/>
        <w:ind w:firstLine="0" w:firstLineChars="0"/>
        <w:jc w:val="left"/>
        <w:rPr>
          <w:rFonts w:ascii="宋体" w:hAnsi="宋体"/>
          <w:b/>
          <w:sz w:val="22"/>
        </w:rPr>
      </w:pPr>
      <w:r>
        <w:rPr>
          <w:rFonts w:ascii="宋体" w:hAnsi="宋体"/>
          <w:sz w:val="22"/>
        </w:rPr>
        <w:br w:type="page"/>
      </w:r>
      <w:r>
        <w:rPr>
          <w:rFonts w:hint="eastAsia" w:ascii="宋体" w:hAnsi="宋体"/>
          <w:b/>
          <w:sz w:val="22"/>
        </w:rPr>
        <w:t>附表4-1 《商务标、技术标、价格标权重表和综合得分汇总》</w:t>
      </w:r>
    </w:p>
    <w:p>
      <w:pPr>
        <w:widowControl w:val="0"/>
        <w:autoSpaceDE w:val="0"/>
        <w:autoSpaceDN w:val="0"/>
        <w:adjustRightInd w:val="0"/>
        <w:snapToGrid w:val="0"/>
        <w:ind w:firstLine="0" w:firstLineChars="0"/>
        <w:rPr>
          <w:rFonts w:hint="eastAsia" w:ascii="宋体" w:hAnsi="宋体"/>
          <w:b/>
        </w:rPr>
      </w:pPr>
    </w:p>
    <w:tbl>
      <w:tblPr>
        <w:tblStyle w:val="49"/>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2158"/>
        <w:gridCol w:w="2159"/>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528" w:type="dxa"/>
            <w:gridSpan w:val="4"/>
            <w:shd w:val="clear" w:color="auto" w:fill="D9E2F3"/>
            <w:noWrap w:val="0"/>
            <w:vAlign w:val="center"/>
          </w:tcPr>
          <w:p>
            <w:pPr>
              <w:widowControl w:val="0"/>
              <w:autoSpaceDE w:val="0"/>
              <w:autoSpaceDN w:val="0"/>
              <w:adjustRightInd w:val="0"/>
              <w:snapToGrid w:val="0"/>
              <w:ind w:firstLine="0" w:firstLineChars="0"/>
              <w:jc w:val="center"/>
              <w:rPr>
                <w:rFonts w:hint="eastAsia" w:ascii="宋体" w:hAnsi="宋体"/>
                <w:b/>
                <w:sz w:val="32"/>
                <w:szCs w:val="32"/>
              </w:rPr>
            </w:pPr>
            <w:r>
              <w:rPr>
                <w:rFonts w:hint="eastAsia" w:ascii="宋体" w:hAnsi="宋体"/>
                <w:b/>
                <w:sz w:val="32"/>
                <w:szCs w:val="32"/>
              </w:rPr>
              <w:t>《商务标、技术标、价格标权重表和综合得分汇总》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052" w:type="dxa"/>
            <w:noWrap w:val="0"/>
            <w:vAlign w:val="center"/>
          </w:tcPr>
          <w:p>
            <w:pPr>
              <w:widowControl w:val="0"/>
              <w:autoSpaceDE w:val="0"/>
              <w:autoSpaceDN w:val="0"/>
              <w:adjustRightInd w:val="0"/>
              <w:snapToGrid w:val="0"/>
              <w:ind w:firstLine="0" w:firstLineChars="0"/>
              <w:jc w:val="center"/>
              <w:rPr>
                <w:rFonts w:ascii="宋体" w:hAnsi="宋体"/>
                <w:b/>
                <w:highlight w:val="none"/>
              </w:rPr>
            </w:pPr>
            <w:r>
              <w:rPr>
                <w:rFonts w:hint="eastAsia" w:ascii="宋体" w:hAnsi="宋体"/>
                <w:b/>
                <w:highlight w:val="none"/>
              </w:rPr>
              <w:t>权重名称</w:t>
            </w:r>
          </w:p>
        </w:tc>
        <w:tc>
          <w:tcPr>
            <w:tcW w:w="2158" w:type="dxa"/>
            <w:noWrap w:val="0"/>
            <w:vAlign w:val="center"/>
          </w:tcPr>
          <w:p>
            <w:pPr>
              <w:widowControl w:val="0"/>
              <w:autoSpaceDE w:val="0"/>
              <w:autoSpaceDN w:val="0"/>
              <w:adjustRightInd w:val="0"/>
              <w:snapToGrid w:val="0"/>
              <w:ind w:firstLine="0" w:firstLineChars="0"/>
              <w:jc w:val="center"/>
              <w:rPr>
                <w:rFonts w:ascii="宋体" w:hAnsi="宋体"/>
                <w:b/>
                <w:highlight w:val="none"/>
              </w:rPr>
            </w:pPr>
            <w:r>
              <w:rPr>
                <w:rFonts w:hint="eastAsia" w:ascii="宋体" w:hAnsi="宋体"/>
                <w:b/>
                <w:highlight w:val="none"/>
              </w:rPr>
              <w:t>商务标权重</w:t>
            </w:r>
          </w:p>
        </w:tc>
        <w:tc>
          <w:tcPr>
            <w:tcW w:w="2159" w:type="dxa"/>
            <w:noWrap w:val="0"/>
            <w:vAlign w:val="center"/>
          </w:tcPr>
          <w:p>
            <w:pPr>
              <w:widowControl w:val="0"/>
              <w:autoSpaceDE w:val="0"/>
              <w:autoSpaceDN w:val="0"/>
              <w:adjustRightInd w:val="0"/>
              <w:snapToGrid w:val="0"/>
              <w:ind w:firstLine="0" w:firstLineChars="0"/>
              <w:jc w:val="center"/>
              <w:rPr>
                <w:rFonts w:ascii="宋体" w:hAnsi="宋体"/>
                <w:b/>
                <w:highlight w:val="none"/>
              </w:rPr>
            </w:pPr>
            <w:r>
              <w:rPr>
                <w:rFonts w:hint="eastAsia" w:ascii="宋体" w:hAnsi="宋体"/>
                <w:b/>
                <w:highlight w:val="none"/>
              </w:rPr>
              <w:t>技术标权重</w:t>
            </w:r>
          </w:p>
        </w:tc>
        <w:tc>
          <w:tcPr>
            <w:tcW w:w="2159" w:type="dxa"/>
            <w:noWrap w:val="0"/>
            <w:vAlign w:val="center"/>
          </w:tcPr>
          <w:p>
            <w:pPr>
              <w:widowControl w:val="0"/>
              <w:autoSpaceDE w:val="0"/>
              <w:autoSpaceDN w:val="0"/>
              <w:adjustRightInd w:val="0"/>
              <w:snapToGrid w:val="0"/>
              <w:ind w:firstLine="0" w:firstLineChars="0"/>
              <w:jc w:val="center"/>
              <w:rPr>
                <w:rFonts w:ascii="宋体" w:hAnsi="宋体"/>
                <w:b/>
                <w:highlight w:val="none"/>
              </w:rPr>
            </w:pPr>
            <w:r>
              <w:rPr>
                <w:rFonts w:hint="eastAsia" w:ascii="宋体" w:hAnsi="宋体"/>
                <w:b/>
                <w:highlight w:val="none"/>
              </w:rPr>
              <w:t>价格标权重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052" w:type="dxa"/>
            <w:noWrap w:val="0"/>
            <w:vAlign w:val="center"/>
          </w:tcPr>
          <w:p>
            <w:pPr>
              <w:widowControl w:val="0"/>
              <w:autoSpaceDE w:val="0"/>
              <w:autoSpaceDN w:val="0"/>
              <w:adjustRightInd w:val="0"/>
              <w:snapToGrid w:val="0"/>
              <w:ind w:firstLine="0" w:firstLineChars="0"/>
              <w:jc w:val="center"/>
              <w:rPr>
                <w:rFonts w:ascii="宋体" w:hAnsi="宋体"/>
                <w:highlight w:val="none"/>
              </w:rPr>
            </w:pPr>
            <w:r>
              <w:rPr>
                <w:rFonts w:hint="eastAsia" w:ascii="宋体" w:hAnsi="宋体"/>
                <w:highlight w:val="none"/>
              </w:rPr>
              <w:t>权重</w:t>
            </w:r>
          </w:p>
        </w:tc>
        <w:tc>
          <w:tcPr>
            <w:tcW w:w="2158" w:type="dxa"/>
            <w:noWrap w:val="0"/>
            <w:vAlign w:val="center"/>
          </w:tcPr>
          <w:p>
            <w:pPr>
              <w:widowControl w:val="0"/>
              <w:autoSpaceDE w:val="0"/>
              <w:autoSpaceDN w:val="0"/>
              <w:adjustRightInd w:val="0"/>
              <w:snapToGrid w:val="0"/>
              <w:ind w:firstLine="0" w:firstLineChars="0"/>
              <w:jc w:val="center"/>
              <w:rPr>
                <w:rFonts w:hint="default" w:ascii="宋体" w:hAnsi="宋体" w:eastAsia="宋体"/>
                <w:highlight w:val="none"/>
                <w:lang w:val="en-US" w:eastAsia="zh-CN"/>
              </w:rPr>
            </w:pPr>
            <w:r>
              <w:rPr>
                <w:rFonts w:hint="eastAsia" w:ascii="宋体" w:hAnsi="宋体"/>
                <w:highlight w:val="none"/>
                <w:lang w:val="en-US" w:eastAsia="zh-CN"/>
              </w:rPr>
              <w:t>35</w:t>
            </w:r>
          </w:p>
        </w:tc>
        <w:tc>
          <w:tcPr>
            <w:tcW w:w="2159" w:type="dxa"/>
            <w:noWrap w:val="0"/>
            <w:vAlign w:val="center"/>
          </w:tcPr>
          <w:p>
            <w:pPr>
              <w:widowControl w:val="0"/>
              <w:autoSpaceDE w:val="0"/>
              <w:autoSpaceDN w:val="0"/>
              <w:adjustRightInd w:val="0"/>
              <w:snapToGrid w:val="0"/>
              <w:ind w:firstLine="0" w:firstLineChars="0"/>
              <w:jc w:val="center"/>
              <w:rPr>
                <w:rFonts w:hint="default" w:ascii="宋体" w:hAnsi="宋体" w:eastAsia="宋体"/>
                <w:highlight w:val="none"/>
                <w:lang w:val="en-US" w:eastAsia="zh-CN"/>
              </w:rPr>
            </w:pPr>
            <w:r>
              <w:rPr>
                <w:rFonts w:hint="eastAsia" w:ascii="宋体" w:hAnsi="宋体"/>
                <w:highlight w:val="none"/>
                <w:lang w:val="en-US" w:eastAsia="zh-CN"/>
              </w:rPr>
              <w:t>35</w:t>
            </w:r>
          </w:p>
        </w:tc>
        <w:tc>
          <w:tcPr>
            <w:tcW w:w="2159" w:type="dxa"/>
            <w:noWrap w:val="0"/>
            <w:vAlign w:val="center"/>
          </w:tcPr>
          <w:p>
            <w:pPr>
              <w:widowControl w:val="0"/>
              <w:autoSpaceDE w:val="0"/>
              <w:autoSpaceDN w:val="0"/>
              <w:adjustRightInd w:val="0"/>
              <w:snapToGrid w:val="0"/>
              <w:ind w:firstLine="0" w:firstLineChars="0"/>
              <w:jc w:val="center"/>
              <w:rPr>
                <w:rFonts w:hint="default" w:ascii="宋体" w:hAnsi="宋体" w:eastAsia="宋体"/>
                <w:highlight w:val="none"/>
                <w:lang w:val="en-US" w:eastAsia="zh-CN"/>
              </w:rPr>
            </w:pPr>
            <w:r>
              <w:rPr>
                <w:rFonts w:hint="eastAsia" w:ascii="宋体" w:hAnsi="宋体"/>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52" w:type="dxa"/>
            <w:noWrap w:val="0"/>
            <w:vAlign w:val="center"/>
          </w:tcPr>
          <w:p>
            <w:pPr>
              <w:widowControl w:val="0"/>
              <w:autoSpaceDE w:val="0"/>
              <w:autoSpaceDN w:val="0"/>
              <w:adjustRightInd w:val="0"/>
              <w:snapToGrid w:val="0"/>
              <w:ind w:firstLine="0" w:firstLineChars="0"/>
              <w:jc w:val="center"/>
              <w:rPr>
                <w:rFonts w:ascii="宋体" w:hAnsi="宋体"/>
              </w:rPr>
            </w:pPr>
            <w:r>
              <w:rPr>
                <w:rFonts w:hint="eastAsia" w:ascii="宋体" w:hAnsi="宋体"/>
              </w:rPr>
              <w:t>投标人综合得分</w:t>
            </w:r>
          </w:p>
        </w:tc>
        <w:tc>
          <w:tcPr>
            <w:tcW w:w="6476" w:type="dxa"/>
            <w:gridSpan w:val="3"/>
            <w:noWrap w:val="0"/>
            <w:vAlign w:val="center"/>
          </w:tcPr>
          <w:p>
            <w:pPr>
              <w:widowControl w:val="0"/>
              <w:autoSpaceDE w:val="0"/>
              <w:autoSpaceDN w:val="0"/>
              <w:adjustRightInd w:val="0"/>
              <w:snapToGrid w:val="0"/>
              <w:ind w:firstLine="0" w:firstLineChars="0"/>
              <w:jc w:val="center"/>
              <w:rPr>
                <w:rFonts w:ascii="宋体" w:hAnsi="宋体"/>
              </w:rPr>
            </w:pPr>
            <w:r>
              <w:rPr>
                <w:rFonts w:hint="eastAsia" w:ascii="宋体" w:hAnsi="宋体"/>
              </w:rPr>
              <w:t>商务标得分+技术标得分+价格标得分=100</w:t>
            </w:r>
          </w:p>
        </w:tc>
      </w:tr>
    </w:tbl>
    <w:p>
      <w:pPr>
        <w:widowControl w:val="0"/>
        <w:autoSpaceDE w:val="0"/>
        <w:autoSpaceDN w:val="0"/>
        <w:adjustRightInd w:val="0"/>
        <w:snapToGrid w:val="0"/>
        <w:ind w:firstLine="0" w:firstLineChars="0"/>
        <w:jc w:val="left"/>
        <w:rPr>
          <w:rFonts w:ascii="宋体" w:hAnsi="宋体"/>
        </w:rPr>
      </w:pPr>
    </w:p>
    <w:p>
      <w:pPr>
        <w:widowControl w:val="0"/>
        <w:autoSpaceDE w:val="0"/>
        <w:autoSpaceDN w:val="0"/>
        <w:adjustRightInd w:val="0"/>
        <w:snapToGrid w:val="0"/>
        <w:ind w:firstLine="0" w:firstLineChars="0"/>
        <w:jc w:val="left"/>
        <w:rPr>
          <w:rFonts w:ascii="宋体" w:hAnsi="宋体"/>
        </w:rPr>
      </w:pPr>
    </w:p>
    <w:p>
      <w:pPr>
        <w:widowControl w:val="0"/>
        <w:autoSpaceDE w:val="0"/>
        <w:autoSpaceDN w:val="0"/>
        <w:adjustRightInd w:val="0"/>
        <w:snapToGrid w:val="0"/>
        <w:ind w:firstLine="0" w:firstLineChars="0"/>
        <w:jc w:val="center"/>
        <w:outlineLvl w:val="1"/>
        <w:rPr>
          <w:rFonts w:ascii="宋体" w:hAnsi="宋体"/>
          <w:szCs w:val="21"/>
        </w:rPr>
      </w:pPr>
      <w:r>
        <w:rPr>
          <w:rFonts w:ascii="宋体" w:hAnsi="宋体"/>
        </w:rPr>
        <w:br w:type="page"/>
      </w:r>
      <w:bookmarkEnd w:id="296"/>
      <w:bookmarkEnd w:id="298"/>
      <w:bookmarkEnd w:id="299"/>
      <w:bookmarkEnd w:id="300"/>
      <w:bookmarkEnd w:id="301"/>
      <w:bookmarkEnd w:id="302"/>
      <w:bookmarkStart w:id="331" w:name="_Toc48740536"/>
      <w:bookmarkStart w:id="332" w:name="_Toc49247160"/>
      <w:bookmarkStart w:id="333" w:name="_Toc152045609"/>
      <w:bookmarkStart w:id="334" w:name="_Toc152042387"/>
      <w:bookmarkStart w:id="335" w:name="_Toc403513554"/>
      <w:bookmarkStart w:id="336" w:name="_Toc144974577"/>
      <w:r>
        <w:rPr>
          <w:rFonts w:hint="eastAsia" w:ascii="宋体" w:hAnsi="宋体"/>
          <w:b/>
          <w:sz w:val="32"/>
          <w:szCs w:val="32"/>
        </w:rPr>
        <w:t>三、定标方法</w:t>
      </w:r>
      <w:bookmarkEnd w:id="331"/>
      <w:bookmarkEnd w:id="332"/>
    </w:p>
    <w:p>
      <w:pPr>
        <w:widowControl w:val="0"/>
        <w:autoSpaceDE w:val="0"/>
        <w:autoSpaceDN w:val="0"/>
        <w:adjustRightInd w:val="0"/>
        <w:snapToGrid w:val="0"/>
        <w:ind w:firstLine="0" w:firstLineChars="0"/>
        <w:rPr>
          <w:rFonts w:ascii="宋体" w:hAnsi="宋体"/>
          <w:bCs/>
          <w:kern w:val="0"/>
          <w:szCs w:val="21"/>
        </w:rPr>
      </w:pPr>
      <w:r>
        <w:rPr>
          <w:rFonts w:hint="eastAsia" w:ascii="宋体" w:hAnsi="宋体"/>
          <w:kern w:val="0"/>
          <w:szCs w:val="21"/>
        </w:rPr>
        <w:t>招标人在定标过程中，应当坚持择优与竞价相结合，择优为主。招标人</w:t>
      </w:r>
      <w:r>
        <w:rPr>
          <w:rFonts w:hint="eastAsia" w:ascii="宋体" w:hAnsi="宋体"/>
          <w:bCs/>
          <w:kern w:val="0"/>
          <w:szCs w:val="21"/>
        </w:rPr>
        <w:t>采用下列方法确定中标人：</w:t>
      </w:r>
    </w:p>
    <w:p>
      <w:pPr>
        <w:widowControl w:val="0"/>
        <w:numPr>
          <w:ilvl w:val="0"/>
          <w:numId w:val="10"/>
        </w:numPr>
        <w:autoSpaceDE w:val="0"/>
        <w:autoSpaceDN w:val="0"/>
        <w:adjustRightInd w:val="0"/>
        <w:snapToGrid w:val="0"/>
        <w:ind w:firstLineChars="0"/>
        <w:rPr>
          <w:rFonts w:ascii="宋体" w:hAnsi="宋体"/>
          <w:b/>
          <w:kern w:val="0"/>
          <w:szCs w:val="21"/>
        </w:rPr>
      </w:pPr>
      <w:r>
        <w:rPr>
          <w:rFonts w:hint="eastAsia" w:ascii="宋体" w:hAnsi="宋体"/>
          <w:b/>
          <w:kern w:val="0"/>
          <w:szCs w:val="21"/>
        </w:rPr>
        <w:t>票决定标法</w:t>
      </w:r>
    </w:p>
    <w:p>
      <w:pPr>
        <w:widowControl w:val="0"/>
        <w:numPr>
          <w:ilvl w:val="1"/>
          <w:numId w:val="10"/>
        </w:numPr>
        <w:autoSpaceDE w:val="0"/>
        <w:autoSpaceDN w:val="0"/>
        <w:adjustRightInd w:val="0"/>
        <w:snapToGrid w:val="0"/>
        <w:ind w:firstLineChars="0"/>
        <w:rPr>
          <w:rFonts w:ascii="宋体" w:hAnsi="宋体"/>
          <w:b/>
          <w:kern w:val="0"/>
          <w:szCs w:val="21"/>
        </w:rPr>
      </w:pPr>
      <w:r>
        <w:rPr>
          <w:rFonts w:hint="eastAsia" w:ascii="宋体" w:hAnsi="宋体"/>
          <w:b/>
          <w:kern w:val="0"/>
          <w:szCs w:val="21"/>
        </w:rPr>
        <w:t>直接票决定标</w:t>
      </w:r>
    </w:p>
    <w:bookmarkEnd w:id="333"/>
    <w:bookmarkEnd w:id="334"/>
    <w:bookmarkEnd w:id="335"/>
    <w:bookmarkEnd w:id="336"/>
    <w:p>
      <w:pPr>
        <w:widowControl w:val="0"/>
        <w:autoSpaceDE w:val="0"/>
        <w:autoSpaceDN w:val="0"/>
        <w:adjustRightInd w:val="0"/>
        <w:snapToGrid w:val="0"/>
        <w:ind w:firstLine="0" w:firstLineChars="0"/>
        <w:jc w:val="left"/>
        <w:outlineLvl w:val="0"/>
        <w:rPr>
          <w:rFonts w:hint="eastAsia" w:ascii="宋体" w:hAnsi="宋体"/>
          <w:b/>
          <w:sz w:val="52"/>
          <w:szCs w:val="52"/>
        </w:rPr>
      </w:pPr>
      <w:bookmarkStart w:id="337" w:name="_Toc49247161"/>
      <w:bookmarkStart w:id="338" w:name="_Toc49247162"/>
      <w:bookmarkStart w:id="339" w:name="_Toc406669470"/>
      <w:bookmarkStart w:id="340" w:name="_Toc403513619"/>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评标方法为综合评分法。综合评分总分第一名的供应商为中标供应商。若综合评分总分出现并列第一名的情况，评审价格低者优先选择，若价格也相同，则抽签确定中标供应商。</w:t>
      </w:r>
    </w:p>
    <w:p>
      <w:pPr>
        <w:widowControl w:val="0"/>
        <w:autoSpaceDE w:val="0"/>
        <w:autoSpaceDN w:val="0"/>
        <w:adjustRightInd w:val="0"/>
        <w:snapToGrid w:val="0"/>
        <w:ind w:firstLine="0" w:firstLineChars="0"/>
        <w:jc w:val="left"/>
        <w:outlineLvl w:val="0"/>
        <w:rPr>
          <w:rFonts w:hint="eastAsia" w:ascii="宋体" w:hAnsi="宋体"/>
          <w:b/>
          <w:sz w:val="52"/>
          <w:szCs w:val="52"/>
        </w:rPr>
      </w:pPr>
    </w:p>
    <w:p>
      <w:pPr>
        <w:widowControl w:val="0"/>
        <w:autoSpaceDE w:val="0"/>
        <w:autoSpaceDN w:val="0"/>
        <w:adjustRightInd w:val="0"/>
        <w:snapToGrid w:val="0"/>
        <w:ind w:firstLine="0" w:firstLineChars="0"/>
        <w:jc w:val="left"/>
        <w:outlineLvl w:val="0"/>
        <w:rPr>
          <w:rFonts w:hint="eastAsia" w:ascii="宋体" w:hAnsi="宋体"/>
          <w:b/>
          <w:sz w:val="52"/>
          <w:szCs w:val="52"/>
        </w:rPr>
      </w:pPr>
    </w:p>
    <w:p>
      <w:pPr>
        <w:widowControl w:val="0"/>
        <w:autoSpaceDE w:val="0"/>
        <w:autoSpaceDN w:val="0"/>
        <w:adjustRightInd w:val="0"/>
        <w:snapToGrid w:val="0"/>
        <w:ind w:firstLine="0" w:firstLineChars="0"/>
        <w:jc w:val="left"/>
        <w:outlineLvl w:val="0"/>
        <w:rPr>
          <w:rFonts w:hint="eastAsia" w:ascii="宋体" w:hAnsi="宋体"/>
          <w:b/>
          <w:sz w:val="52"/>
          <w:szCs w:val="52"/>
        </w:rPr>
      </w:pPr>
    </w:p>
    <w:p>
      <w:pPr>
        <w:widowControl w:val="0"/>
        <w:autoSpaceDE w:val="0"/>
        <w:autoSpaceDN w:val="0"/>
        <w:adjustRightInd w:val="0"/>
        <w:snapToGrid w:val="0"/>
        <w:ind w:firstLine="0" w:firstLineChars="0"/>
        <w:jc w:val="left"/>
        <w:outlineLvl w:val="0"/>
        <w:rPr>
          <w:rFonts w:hint="eastAsia" w:ascii="宋体" w:hAnsi="宋体"/>
          <w:b/>
          <w:sz w:val="52"/>
          <w:szCs w:val="52"/>
        </w:rPr>
      </w:pPr>
    </w:p>
    <w:p>
      <w:pPr>
        <w:widowControl w:val="0"/>
        <w:autoSpaceDE w:val="0"/>
        <w:autoSpaceDN w:val="0"/>
        <w:adjustRightInd w:val="0"/>
        <w:snapToGrid w:val="0"/>
        <w:ind w:firstLine="0" w:firstLineChars="0"/>
        <w:jc w:val="left"/>
        <w:outlineLvl w:val="0"/>
        <w:rPr>
          <w:rFonts w:hint="eastAsia" w:ascii="宋体" w:hAnsi="宋体"/>
          <w:b/>
          <w:sz w:val="52"/>
          <w:szCs w:val="52"/>
        </w:rPr>
      </w:pPr>
    </w:p>
    <w:p>
      <w:pPr>
        <w:pStyle w:val="2"/>
        <w:rPr>
          <w:rFonts w:hint="eastAsia" w:ascii="宋体" w:hAnsi="宋体"/>
          <w:b/>
          <w:sz w:val="52"/>
          <w:szCs w:val="52"/>
        </w:rPr>
      </w:pPr>
    </w:p>
    <w:p>
      <w:pPr>
        <w:pStyle w:val="2"/>
        <w:rPr>
          <w:rFonts w:hint="eastAsia" w:ascii="宋体" w:hAnsi="宋体"/>
          <w:b/>
          <w:sz w:val="52"/>
          <w:szCs w:val="52"/>
        </w:rPr>
      </w:pPr>
    </w:p>
    <w:p>
      <w:pPr>
        <w:widowControl w:val="0"/>
        <w:autoSpaceDE w:val="0"/>
        <w:autoSpaceDN w:val="0"/>
        <w:adjustRightInd w:val="0"/>
        <w:snapToGrid w:val="0"/>
        <w:ind w:firstLine="0" w:firstLineChars="0"/>
        <w:jc w:val="left"/>
        <w:outlineLvl w:val="0"/>
        <w:rPr>
          <w:rFonts w:hint="eastAsia" w:ascii="宋体" w:hAnsi="宋体"/>
          <w:b/>
          <w:sz w:val="52"/>
          <w:szCs w:val="52"/>
        </w:rPr>
      </w:pPr>
    </w:p>
    <w:p>
      <w:pPr>
        <w:widowControl w:val="0"/>
        <w:autoSpaceDE w:val="0"/>
        <w:autoSpaceDN w:val="0"/>
        <w:adjustRightInd w:val="0"/>
        <w:snapToGrid w:val="0"/>
        <w:ind w:firstLine="0" w:firstLineChars="0"/>
        <w:jc w:val="left"/>
        <w:outlineLvl w:val="0"/>
        <w:rPr>
          <w:rFonts w:hint="eastAsia" w:ascii="宋体" w:hAnsi="宋体"/>
          <w:b/>
          <w:sz w:val="52"/>
          <w:szCs w:val="52"/>
        </w:rPr>
      </w:pPr>
    </w:p>
    <w:p>
      <w:pPr>
        <w:widowControl w:val="0"/>
        <w:numPr>
          <w:ilvl w:val="0"/>
          <w:numId w:val="11"/>
        </w:numPr>
        <w:autoSpaceDE w:val="0"/>
        <w:autoSpaceDN w:val="0"/>
        <w:adjustRightInd w:val="0"/>
        <w:snapToGrid w:val="0"/>
        <w:ind w:firstLine="0" w:firstLineChars="0"/>
        <w:jc w:val="left"/>
        <w:outlineLvl w:val="0"/>
        <w:rPr>
          <w:rFonts w:hint="eastAsia" w:ascii="宋体" w:hAnsi="宋体"/>
          <w:b/>
          <w:sz w:val="52"/>
          <w:szCs w:val="52"/>
        </w:rPr>
      </w:pPr>
      <w:r>
        <w:rPr>
          <w:rFonts w:hint="eastAsia" w:ascii="宋体" w:hAnsi="宋体"/>
          <w:b/>
          <w:sz w:val="52"/>
          <w:szCs w:val="52"/>
        </w:rPr>
        <w:t>合同条款及格式</w:t>
      </w:r>
      <w:bookmarkEnd w:id="337"/>
    </w:p>
    <w:p>
      <w:pPr>
        <w:pStyle w:val="2"/>
        <w:numPr>
          <w:ilvl w:val="0"/>
          <w:numId w:val="0"/>
        </w:numPr>
        <w:spacing w:after="120" w:line="360" w:lineRule="auto"/>
        <w:jc w:val="both"/>
      </w:pPr>
    </w:p>
    <w:p>
      <w:pPr>
        <w:pStyle w:val="2"/>
        <w:numPr>
          <w:ilvl w:val="0"/>
          <w:numId w:val="0"/>
        </w:numPr>
        <w:spacing w:after="120" w:line="360" w:lineRule="auto"/>
        <w:jc w:val="both"/>
      </w:pPr>
    </w:p>
    <w:p>
      <w:pPr>
        <w:pStyle w:val="2"/>
        <w:numPr>
          <w:ilvl w:val="0"/>
          <w:numId w:val="0"/>
        </w:numPr>
        <w:spacing w:after="120" w:line="360" w:lineRule="auto"/>
        <w:jc w:val="both"/>
      </w:pPr>
    </w:p>
    <w:p>
      <w:pPr>
        <w:pStyle w:val="2"/>
        <w:numPr>
          <w:ilvl w:val="0"/>
          <w:numId w:val="0"/>
        </w:numPr>
        <w:spacing w:after="120" w:line="360" w:lineRule="auto"/>
        <w:jc w:val="both"/>
      </w:pPr>
    </w:p>
    <w:p>
      <w:pPr>
        <w:pStyle w:val="2"/>
        <w:numPr>
          <w:ilvl w:val="0"/>
          <w:numId w:val="0"/>
        </w:numPr>
        <w:spacing w:after="120" w:line="360" w:lineRule="auto"/>
        <w:jc w:val="both"/>
      </w:pPr>
    </w:p>
    <w:p>
      <w:pPr>
        <w:pStyle w:val="2"/>
        <w:numPr>
          <w:ilvl w:val="0"/>
          <w:numId w:val="0"/>
        </w:numPr>
        <w:spacing w:after="120" w:line="360" w:lineRule="auto"/>
        <w:jc w:val="both"/>
      </w:pPr>
    </w:p>
    <w:p>
      <w:pPr>
        <w:pStyle w:val="2"/>
        <w:numPr>
          <w:ilvl w:val="0"/>
          <w:numId w:val="0"/>
        </w:numPr>
        <w:spacing w:after="120" w:line="360" w:lineRule="auto"/>
        <w:jc w:val="both"/>
      </w:pPr>
    </w:p>
    <w:p>
      <w:pPr>
        <w:pStyle w:val="2"/>
        <w:numPr>
          <w:ilvl w:val="0"/>
          <w:numId w:val="0"/>
        </w:numPr>
        <w:spacing w:after="120" w:line="360" w:lineRule="auto"/>
        <w:jc w:val="both"/>
      </w:pPr>
    </w:p>
    <w:p>
      <w:pPr>
        <w:pStyle w:val="2"/>
        <w:numPr>
          <w:ilvl w:val="0"/>
          <w:numId w:val="0"/>
        </w:numPr>
        <w:spacing w:after="120" w:line="360" w:lineRule="auto"/>
        <w:jc w:val="both"/>
      </w:pPr>
    </w:p>
    <w:p>
      <w:pPr>
        <w:pStyle w:val="2"/>
        <w:numPr>
          <w:ilvl w:val="0"/>
          <w:numId w:val="0"/>
        </w:numPr>
        <w:spacing w:after="120" w:line="360" w:lineRule="auto"/>
        <w:jc w:val="both"/>
      </w:pPr>
    </w:p>
    <w:p>
      <w:pPr>
        <w:pStyle w:val="2"/>
        <w:numPr>
          <w:ilvl w:val="0"/>
          <w:numId w:val="0"/>
        </w:numPr>
        <w:spacing w:after="120" w:line="360" w:lineRule="auto"/>
        <w:jc w:val="both"/>
      </w:pPr>
    </w:p>
    <w:p>
      <w:pPr>
        <w:pStyle w:val="2"/>
        <w:numPr>
          <w:ilvl w:val="0"/>
          <w:numId w:val="0"/>
        </w:numPr>
        <w:spacing w:after="120" w:line="360" w:lineRule="auto"/>
        <w:jc w:val="both"/>
      </w:pPr>
    </w:p>
    <w:p>
      <w:pPr>
        <w:pStyle w:val="2"/>
        <w:numPr>
          <w:ilvl w:val="0"/>
          <w:numId w:val="0"/>
        </w:numPr>
        <w:spacing w:after="120" w:line="360" w:lineRule="auto"/>
        <w:jc w:val="both"/>
      </w:pPr>
    </w:p>
    <w:p>
      <w:pPr>
        <w:pStyle w:val="2"/>
        <w:numPr>
          <w:ilvl w:val="0"/>
          <w:numId w:val="0"/>
        </w:numPr>
        <w:spacing w:after="120" w:line="360" w:lineRule="auto"/>
        <w:jc w:val="both"/>
      </w:pPr>
    </w:p>
    <w:p>
      <w:pPr>
        <w:pStyle w:val="2"/>
        <w:numPr>
          <w:ilvl w:val="0"/>
          <w:numId w:val="0"/>
        </w:numPr>
        <w:spacing w:after="120" w:line="360" w:lineRule="auto"/>
        <w:jc w:val="both"/>
      </w:pPr>
    </w:p>
    <w:p>
      <w:pPr>
        <w:pStyle w:val="2"/>
        <w:numPr>
          <w:ilvl w:val="0"/>
          <w:numId w:val="0"/>
        </w:numPr>
        <w:spacing w:after="120" w:line="360" w:lineRule="auto"/>
        <w:jc w:val="both"/>
      </w:pPr>
    </w:p>
    <w:p>
      <w:pPr>
        <w:pStyle w:val="2"/>
        <w:numPr>
          <w:ilvl w:val="0"/>
          <w:numId w:val="0"/>
        </w:numPr>
        <w:spacing w:after="120" w:line="360" w:lineRule="auto"/>
        <w:jc w:val="both"/>
      </w:pPr>
    </w:p>
    <w:p>
      <w:pPr>
        <w:pStyle w:val="2"/>
        <w:numPr>
          <w:ilvl w:val="0"/>
          <w:numId w:val="0"/>
        </w:numPr>
        <w:spacing w:after="120" w:line="360" w:lineRule="auto"/>
        <w:jc w:val="both"/>
      </w:pPr>
    </w:p>
    <w:p>
      <w:pPr>
        <w:pStyle w:val="2"/>
        <w:numPr>
          <w:ilvl w:val="0"/>
          <w:numId w:val="0"/>
        </w:numPr>
        <w:spacing w:after="120" w:line="360" w:lineRule="auto"/>
        <w:jc w:val="both"/>
      </w:pPr>
    </w:p>
    <w:p>
      <w:pPr>
        <w:pStyle w:val="2"/>
        <w:numPr>
          <w:ilvl w:val="0"/>
          <w:numId w:val="0"/>
        </w:numPr>
        <w:spacing w:after="120" w:line="360" w:lineRule="auto"/>
        <w:jc w:val="both"/>
      </w:pPr>
    </w:p>
    <w:p>
      <w:pPr>
        <w:pStyle w:val="2"/>
        <w:numPr>
          <w:ilvl w:val="0"/>
          <w:numId w:val="0"/>
        </w:numPr>
        <w:spacing w:after="120" w:line="360" w:lineRule="auto"/>
        <w:jc w:val="both"/>
      </w:pPr>
    </w:p>
    <w:p>
      <w:pPr>
        <w:pStyle w:val="2"/>
        <w:numPr>
          <w:ilvl w:val="0"/>
          <w:numId w:val="0"/>
        </w:numPr>
        <w:spacing w:after="120" w:line="360" w:lineRule="auto"/>
        <w:jc w:val="both"/>
      </w:pPr>
    </w:p>
    <w:p>
      <w:pPr>
        <w:pStyle w:val="2"/>
        <w:numPr>
          <w:ilvl w:val="0"/>
          <w:numId w:val="0"/>
        </w:numPr>
        <w:spacing w:after="120" w:line="360" w:lineRule="auto"/>
        <w:jc w:val="both"/>
      </w:pPr>
    </w:p>
    <w:p>
      <w:pPr>
        <w:pStyle w:val="2"/>
        <w:numPr>
          <w:ilvl w:val="0"/>
          <w:numId w:val="0"/>
        </w:numPr>
        <w:spacing w:after="120" w:line="360" w:lineRule="auto"/>
        <w:jc w:val="both"/>
      </w:pPr>
    </w:p>
    <w:p>
      <w:pPr>
        <w:pStyle w:val="2"/>
        <w:numPr>
          <w:ilvl w:val="0"/>
          <w:numId w:val="0"/>
        </w:numPr>
        <w:spacing w:after="120" w:line="360" w:lineRule="auto"/>
        <w:jc w:val="both"/>
      </w:pPr>
    </w:p>
    <w:p>
      <w:pPr>
        <w:pStyle w:val="2"/>
        <w:numPr>
          <w:ilvl w:val="0"/>
          <w:numId w:val="0"/>
        </w:numPr>
        <w:spacing w:after="120" w:line="360" w:lineRule="auto"/>
        <w:jc w:val="both"/>
      </w:pPr>
    </w:p>
    <w:p>
      <w:pPr>
        <w:pStyle w:val="2"/>
      </w:pPr>
    </w:p>
    <w:p>
      <w:pPr>
        <w:tabs>
          <w:tab w:val="left" w:pos="4950"/>
        </w:tabs>
        <w:ind w:left="0" w:leftChars="0" w:firstLine="0" w:firstLineChars="0"/>
        <w:jc w:val="both"/>
        <w:rPr>
          <w:rFonts w:hint="eastAsia" w:ascii="宋体" w:hAnsi="宋体" w:cs="宋体"/>
          <w:b/>
          <w:sz w:val="48"/>
          <w:szCs w:val="48"/>
        </w:rPr>
      </w:pPr>
    </w:p>
    <w:p>
      <w:pPr>
        <w:tabs>
          <w:tab w:val="left" w:pos="4950"/>
        </w:tabs>
        <w:ind w:left="0" w:leftChars="0" w:firstLine="0" w:firstLineChars="0"/>
        <w:jc w:val="both"/>
        <w:rPr>
          <w:rFonts w:hint="eastAsia" w:ascii="宋体" w:hAnsi="宋体" w:cs="宋体"/>
          <w:b/>
          <w:sz w:val="48"/>
          <w:szCs w:val="48"/>
        </w:rPr>
      </w:pPr>
    </w:p>
    <w:p>
      <w:pPr>
        <w:tabs>
          <w:tab w:val="left" w:pos="4950"/>
        </w:tabs>
        <w:ind w:left="0" w:leftChars="0" w:firstLine="0" w:firstLineChars="0"/>
        <w:jc w:val="both"/>
        <w:rPr>
          <w:rFonts w:ascii="宋体" w:hAnsi="宋体" w:cs="宋体"/>
          <w:b/>
          <w:sz w:val="48"/>
          <w:szCs w:val="48"/>
        </w:rPr>
      </w:pPr>
      <w:r>
        <w:rPr>
          <w:rFonts w:hint="eastAsia" w:ascii="宋体" w:hAnsi="宋体" w:cs="宋体"/>
          <w:b/>
          <w:sz w:val="48"/>
          <w:szCs w:val="48"/>
        </w:rPr>
        <w:t>大浪街道非市政道路路灯管养服务项目</w:t>
      </w:r>
    </w:p>
    <w:p>
      <w:pPr>
        <w:tabs>
          <w:tab w:val="left" w:pos="4950"/>
        </w:tabs>
        <w:ind w:firstLine="1928" w:firstLineChars="400"/>
        <w:jc w:val="both"/>
        <w:rPr>
          <w:rFonts w:ascii="宋体" w:hAnsi="宋体" w:cs="宋体"/>
          <w:b/>
          <w:sz w:val="44"/>
          <w:szCs w:val="44"/>
        </w:rPr>
      </w:pPr>
      <w:r>
        <w:rPr>
          <w:rFonts w:hint="eastAsia" w:ascii="宋体" w:hAnsi="宋体" w:cs="宋体"/>
          <w:b/>
          <w:sz w:val="48"/>
          <w:szCs w:val="48"/>
          <w:lang w:val="en-US" w:eastAsia="zh-CN"/>
        </w:rPr>
        <w:t xml:space="preserve">    服务</w:t>
      </w:r>
      <w:r>
        <w:rPr>
          <w:rFonts w:hint="eastAsia" w:ascii="宋体" w:hAnsi="宋体" w:cs="宋体"/>
          <w:b/>
          <w:sz w:val="48"/>
          <w:szCs w:val="48"/>
        </w:rPr>
        <w:t>合同</w:t>
      </w:r>
    </w:p>
    <w:p>
      <w:pPr>
        <w:jc w:val="center"/>
        <w:rPr>
          <w:b/>
          <w:bCs/>
          <w:sz w:val="24"/>
        </w:rPr>
      </w:pPr>
    </w:p>
    <w:p>
      <w:pPr>
        <w:rPr>
          <w:rFonts w:ascii="宋体" w:hAnsi="宋体" w:cs="宋体"/>
          <w:b/>
          <w:bCs/>
          <w:sz w:val="52"/>
          <w:szCs w:val="52"/>
        </w:rPr>
      </w:pPr>
    </w:p>
    <w:p>
      <w:pPr>
        <w:ind w:firstLine="800" w:firstLineChars="250"/>
        <w:jc w:val="left"/>
        <w:rPr>
          <w:rFonts w:ascii="宋体" w:hAnsi="宋体"/>
          <w:sz w:val="32"/>
          <w:szCs w:val="32"/>
          <w:u w:val="single"/>
        </w:rPr>
      </w:pPr>
    </w:p>
    <w:p>
      <w:pPr>
        <w:jc w:val="left"/>
        <w:rPr>
          <w:rFonts w:ascii="宋体" w:hAnsi="宋体"/>
          <w:sz w:val="32"/>
          <w:szCs w:val="32"/>
          <w:u w:val="single"/>
        </w:rPr>
      </w:pPr>
      <w:r>
        <w:rPr>
          <w:rFonts w:hint="eastAsia" w:ascii="宋体" w:hAnsi="宋体"/>
          <w:sz w:val="32"/>
          <w:szCs w:val="32"/>
        </w:rPr>
        <w:t xml:space="preserve">     甲    方：深圳市龙华环境有限公司</w:t>
      </w:r>
    </w:p>
    <w:p>
      <w:pPr>
        <w:jc w:val="left"/>
        <w:rPr>
          <w:rFonts w:ascii="宋体" w:hAnsi="宋体"/>
          <w:sz w:val="32"/>
          <w:szCs w:val="32"/>
          <w:u w:val="single"/>
        </w:rPr>
      </w:pPr>
    </w:p>
    <w:p>
      <w:pPr>
        <w:jc w:val="left"/>
        <w:rPr>
          <w:rFonts w:hint="default" w:ascii="宋体" w:hAnsi="宋体" w:eastAsia="宋体"/>
          <w:sz w:val="32"/>
          <w:szCs w:val="32"/>
          <w:u w:val="single"/>
          <w:lang w:val="en-US" w:eastAsia="zh-CN"/>
        </w:rPr>
      </w:pPr>
      <w:r>
        <w:rPr>
          <w:rFonts w:hint="eastAsia" w:ascii="宋体" w:hAnsi="宋体"/>
          <w:sz w:val="32"/>
          <w:szCs w:val="32"/>
        </w:rPr>
        <w:t xml:space="preserve">     乙    方：</w:t>
      </w:r>
      <w:r>
        <w:rPr>
          <w:rFonts w:hint="eastAsia" w:ascii="宋体" w:hAnsi="宋体" w:cs="宋体"/>
          <w:sz w:val="32"/>
          <w:szCs w:val="32"/>
          <w:lang w:val="en-US" w:eastAsia="zh-CN"/>
        </w:rPr>
        <w:t xml:space="preserve"> </w:t>
      </w:r>
      <w:r>
        <w:rPr>
          <w:rFonts w:hint="eastAsia" w:ascii="宋体" w:hAnsi="宋体" w:cs="宋体"/>
          <w:sz w:val="32"/>
          <w:szCs w:val="32"/>
          <w:u w:val="single"/>
          <w:lang w:val="en-US" w:eastAsia="zh-CN"/>
        </w:rPr>
        <w:t xml:space="preserve">                    </w:t>
      </w:r>
    </w:p>
    <w:p>
      <w:pPr>
        <w:jc w:val="left"/>
        <w:rPr>
          <w:rFonts w:ascii="宋体" w:hAnsi="宋体"/>
          <w:sz w:val="32"/>
          <w:szCs w:val="32"/>
        </w:rPr>
      </w:pPr>
      <w:r>
        <w:rPr>
          <w:rFonts w:hint="eastAsia" w:ascii="宋体" w:hAnsi="宋体"/>
          <w:sz w:val="32"/>
          <w:szCs w:val="32"/>
        </w:rPr>
        <w:t xml:space="preserve">     </w:t>
      </w:r>
    </w:p>
    <w:p>
      <w:pPr>
        <w:ind w:firstLine="800" w:firstLineChars="250"/>
        <w:jc w:val="left"/>
        <w:rPr>
          <w:rFonts w:ascii="宋体" w:hAnsi="宋体"/>
          <w:sz w:val="32"/>
          <w:szCs w:val="32"/>
          <w:u w:val="single"/>
        </w:rPr>
      </w:pPr>
      <w:r>
        <w:rPr>
          <w:rFonts w:hint="eastAsia" w:ascii="宋体" w:hAnsi="宋体"/>
          <w:sz w:val="32"/>
          <w:szCs w:val="32"/>
        </w:rPr>
        <w:t>订立时间：</w:t>
      </w:r>
      <w:r>
        <w:rPr>
          <w:rFonts w:hint="eastAsia" w:ascii="宋体" w:hAnsi="宋体"/>
          <w:sz w:val="32"/>
          <w:szCs w:val="32"/>
          <w:lang w:val="en-US" w:eastAsia="zh-CN"/>
        </w:rPr>
        <w:t xml:space="preserve">   </w:t>
      </w:r>
      <w:r>
        <w:rPr>
          <w:rFonts w:hint="eastAsia" w:ascii="宋体" w:hAnsi="宋体"/>
          <w:sz w:val="32"/>
          <w:szCs w:val="32"/>
        </w:rPr>
        <w:t>年</w:t>
      </w:r>
      <w:r>
        <w:rPr>
          <w:rFonts w:hint="eastAsia" w:ascii="宋体" w:hAnsi="宋体"/>
          <w:sz w:val="32"/>
          <w:szCs w:val="32"/>
          <w:lang w:val="en-US" w:eastAsia="zh-CN"/>
        </w:rPr>
        <w:t xml:space="preserve">    </w:t>
      </w:r>
      <w:r>
        <w:rPr>
          <w:rFonts w:hint="eastAsia" w:ascii="宋体" w:hAnsi="宋体"/>
          <w:sz w:val="32"/>
          <w:szCs w:val="32"/>
        </w:rPr>
        <w:t>月</w:t>
      </w:r>
      <w:r>
        <w:rPr>
          <w:rFonts w:hint="eastAsia" w:ascii="宋体" w:hAnsi="宋体"/>
          <w:sz w:val="32"/>
          <w:szCs w:val="32"/>
          <w:lang w:val="en-US" w:eastAsia="zh-CN"/>
        </w:rPr>
        <w:t xml:space="preserve">    </w:t>
      </w:r>
      <w:r>
        <w:rPr>
          <w:rFonts w:hint="eastAsia" w:ascii="宋体" w:hAnsi="宋体"/>
          <w:sz w:val="32"/>
          <w:szCs w:val="32"/>
        </w:rPr>
        <w:t>日</w:t>
      </w:r>
    </w:p>
    <w:p>
      <w:pPr>
        <w:tabs>
          <w:tab w:val="left" w:pos="4950"/>
        </w:tabs>
        <w:rPr>
          <w:rFonts w:ascii="仿宋_GB2312" w:hAnsi="仿宋_GB2312" w:eastAsia="仿宋_GB2312" w:cs="仿宋_GB2312"/>
          <w:bCs/>
          <w:sz w:val="28"/>
          <w:szCs w:val="28"/>
        </w:rPr>
      </w:pPr>
    </w:p>
    <w:p>
      <w:pPr>
        <w:pStyle w:val="2"/>
      </w:pPr>
    </w:p>
    <w:p>
      <w:pPr>
        <w:pStyle w:val="2"/>
      </w:pPr>
    </w:p>
    <w:p>
      <w:pPr>
        <w:pStyle w:val="2"/>
      </w:pPr>
    </w:p>
    <w:p>
      <w:pPr>
        <w:pStyle w:val="2"/>
      </w:pPr>
    </w:p>
    <w:p>
      <w:pPr>
        <w:pStyle w:val="2"/>
      </w:pPr>
    </w:p>
    <w:p>
      <w:pPr>
        <w:tabs>
          <w:tab w:val="left" w:pos="4950"/>
        </w:tabs>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w:t>
      </w:r>
      <w:r>
        <w:rPr>
          <w:rFonts w:hint="eastAsia" w:ascii="仿宋_GB2312" w:hAnsi="仿宋_GB2312" w:eastAsia="仿宋_GB2312" w:cs="仿宋_GB2312"/>
          <w:bCs/>
          <w:sz w:val="28"/>
          <w:szCs w:val="28"/>
          <w:u w:val="single"/>
        </w:rPr>
        <w:t xml:space="preserve"> 深圳市龙华环境有限公司 </w:t>
      </w:r>
      <w:r>
        <w:rPr>
          <w:rFonts w:hint="eastAsia" w:ascii="仿宋_GB2312" w:hAnsi="仿宋_GB2312" w:eastAsia="仿宋_GB2312" w:cs="仿宋_GB2312"/>
          <w:bCs/>
          <w:sz w:val="28"/>
          <w:szCs w:val="28"/>
        </w:rPr>
        <w:t xml:space="preserve">                                                               </w:t>
      </w:r>
    </w:p>
    <w:p>
      <w:pPr>
        <w:tabs>
          <w:tab w:val="left" w:pos="4950"/>
        </w:tabs>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地址： </w:t>
      </w:r>
      <w:r>
        <w:rPr>
          <w:rFonts w:hint="eastAsia" w:ascii="仿宋_GB2312" w:hAnsi="仿宋_GB2312" w:eastAsia="仿宋_GB2312" w:cs="仿宋_GB2312"/>
          <w:bCs/>
          <w:sz w:val="28"/>
          <w:szCs w:val="28"/>
          <w:u w:val="single"/>
        </w:rPr>
        <w:t>深圳市龙华区观湖街道观城社区人民路东21号电车大厦601</w:t>
      </w:r>
      <w:r>
        <w:rPr>
          <w:rFonts w:hint="eastAsia" w:ascii="仿宋_GB2312" w:hAnsi="仿宋_GB2312" w:eastAsia="仿宋_GB2312" w:cs="仿宋_GB2312"/>
          <w:bCs/>
          <w:sz w:val="28"/>
          <w:szCs w:val="28"/>
        </w:rPr>
        <w:t xml:space="preserve"> </w:t>
      </w:r>
    </w:p>
    <w:p>
      <w:pPr>
        <w:tabs>
          <w:tab w:val="left" w:pos="4950"/>
        </w:tabs>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统社会信用代码：</w:t>
      </w:r>
      <w:r>
        <w:rPr>
          <w:rFonts w:hint="eastAsia" w:ascii="仿宋_GB2312" w:hAnsi="仿宋_GB2312" w:eastAsia="仿宋_GB2312" w:cs="仿宋_GB2312"/>
          <w:bCs/>
          <w:sz w:val="28"/>
          <w:szCs w:val="28"/>
          <w:u w:val="single"/>
        </w:rPr>
        <w:t xml:space="preserve"> 91440300MA5F4K33XD</w:t>
      </w:r>
    </w:p>
    <w:p>
      <w:pPr>
        <w:pStyle w:val="2"/>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开户银行：</w:t>
      </w:r>
      <w:r>
        <w:rPr>
          <w:rFonts w:hint="eastAsia" w:ascii="仿宋_GB2312" w:hAnsi="仿宋_GB2312" w:eastAsia="仿宋_GB2312" w:cs="仿宋_GB2312"/>
          <w:bCs/>
          <w:sz w:val="28"/>
          <w:szCs w:val="28"/>
          <w:u w:val="single"/>
        </w:rPr>
        <w:t>中国民生银行股份有限公司深圳龙华支行</w:t>
      </w:r>
    </w:p>
    <w:p>
      <w:pPr>
        <w:pStyle w:val="2"/>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银行账户：</w:t>
      </w:r>
      <w:r>
        <w:rPr>
          <w:rFonts w:ascii="仿宋_GB2312" w:hAnsi="仿宋_GB2312" w:eastAsia="仿宋_GB2312" w:cs="仿宋_GB2312"/>
          <w:bCs/>
          <w:sz w:val="28"/>
          <w:szCs w:val="28"/>
          <w:u w:val="single"/>
        </w:rPr>
        <w:t>698003181</w:t>
      </w:r>
      <w:r>
        <w:rPr>
          <w:rFonts w:ascii="仿宋_GB2312" w:hAnsi="仿宋_GB2312" w:eastAsia="仿宋_GB2312" w:cs="仿宋_GB2312"/>
          <w:bCs/>
          <w:sz w:val="28"/>
          <w:szCs w:val="28"/>
        </w:rPr>
        <w:t xml:space="preserve"> </w:t>
      </w:r>
    </w:p>
    <w:p>
      <w:pPr>
        <w:tabs>
          <w:tab w:val="left" w:pos="4950"/>
        </w:tabs>
        <w:spacing w:line="360"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13537521158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 xml:space="preserve">      联系人:</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陈果</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 xml:space="preserve">    </w:t>
      </w:r>
    </w:p>
    <w:p>
      <w:pPr>
        <w:tabs>
          <w:tab w:val="left" w:pos="4950"/>
        </w:tabs>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电子邮箱：</w:t>
      </w:r>
      <w:r>
        <w:rPr>
          <w:rFonts w:hint="eastAsia" w:ascii="仿宋_GB2312" w:hAnsi="仿宋_GB2312" w:eastAsia="仿宋_GB2312" w:cs="仿宋_GB2312"/>
          <w:bCs/>
          <w:sz w:val="28"/>
          <w:szCs w:val="28"/>
          <w:u w:val="single"/>
          <w:lang w:val="en-US" w:eastAsia="zh-CN"/>
        </w:rPr>
        <w:t xml:space="preserve">  847596970@qq.com          </w:t>
      </w:r>
      <w:r>
        <w:rPr>
          <w:rFonts w:hint="eastAsia" w:ascii="仿宋_GB2312" w:hAnsi="仿宋_GB2312" w:eastAsia="仿宋_GB2312" w:cs="仿宋_GB2312"/>
          <w:bCs/>
          <w:sz w:val="28"/>
          <w:szCs w:val="28"/>
        </w:rPr>
        <w:t xml:space="preserve">                              </w:t>
      </w:r>
    </w:p>
    <w:p>
      <w:pPr>
        <w:spacing w:line="360" w:lineRule="auto"/>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乙方：</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single"/>
        </w:rPr>
        <w:t xml:space="preserve"> </w:t>
      </w:r>
    </w:p>
    <w:p>
      <w:pPr>
        <w:tabs>
          <w:tab w:val="left" w:pos="4950"/>
        </w:tabs>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地址：</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 xml:space="preserve">                                                     </w:t>
      </w:r>
    </w:p>
    <w:p>
      <w:pPr>
        <w:tabs>
          <w:tab w:val="left" w:pos="4950"/>
        </w:tabs>
        <w:spacing w:line="360" w:lineRule="auto"/>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统社会信用代码：</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single"/>
        </w:rPr>
        <w:t xml:space="preserve"> </w:t>
      </w:r>
    </w:p>
    <w:p>
      <w:pPr>
        <w:spacing w:line="360" w:lineRule="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开户银行：</w:t>
      </w:r>
      <w:r>
        <w:rPr>
          <w:rFonts w:hint="eastAsia" w:ascii="仿宋_GB2312" w:hAnsi="仿宋_GB2312" w:eastAsia="仿宋_GB2312" w:cs="仿宋_GB2312"/>
          <w:bCs/>
          <w:sz w:val="28"/>
          <w:szCs w:val="28"/>
          <w:u w:val="single"/>
          <w:lang w:val="en-US" w:eastAsia="zh-CN"/>
        </w:rPr>
        <w:t xml:space="preserve">                                   </w:t>
      </w:r>
    </w:p>
    <w:p>
      <w:pPr>
        <w:spacing w:line="360" w:lineRule="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Cs/>
          <w:sz w:val="28"/>
          <w:szCs w:val="28"/>
        </w:rPr>
        <w:t>银行账号：</w:t>
      </w:r>
      <w:r>
        <w:rPr>
          <w:rFonts w:hint="eastAsia" w:ascii="仿宋_GB2312" w:hAnsi="仿宋_GB2312" w:eastAsia="仿宋_GB2312" w:cs="仿宋_GB2312"/>
          <w:bCs/>
          <w:sz w:val="28"/>
          <w:szCs w:val="28"/>
          <w:u w:val="single"/>
          <w:lang w:val="en-US" w:eastAsia="zh-CN"/>
        </w:rPr>
        <w:t xml:space="preserve">                               </w:t>
      </w:r>
    </w:p>
    <w:p>
      <w:pPr>
        <w:tabs>
          <w:tab w:val="left" w:pos="4950"/>
        </w:tabs>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联系电话：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rPr>
        <w:t xml:space="preserve">        联系人：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rPr>
        <w:t xml:space="preserve">                                     </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根据《中华人民共和国民法典》及有关法律法规和政策，经甲、乙双方协商，在平等、自愿的基础上，就乙方向甲方提供</w:t>
      </w:r>
      <w:r>
        <w:rPr>
          <w:rFonts w:hint="eastAsia" w:ascii="仿宋_GB2312" w:hAnsi="仿宋_GB2312" w:eastAsia="仿宋_GB2312" w:cs="仿宋_GB2312"/>
          <w:bCs/>
          <w:sz w:val="28"/>
          <w:szCs w:val="28"/>
          <w:lang w:val="en-US" w:eastAsia="zh-CN"/>
        </w:rPr>
        <w:t>大浪</w:t>
      </w:r>
      <w:r>
        <w:rPr>
          <w:rFonts w:hint="eastAsia" w:ascii="仿宋_GB2312" w:hAnsi="仿宋_GB2312" w:eastAsia="仿宋_GB2312" w:cs="仿宋_GB2312"/>
          <w:bCs/>
          <w:sz w:val="28"/>
          <w:szCs w:val="28"/>
        </w:rPr>
        <w:t>街道非市政道路路灯管养劳务服务事宜，自愿签订本合同，共同遵守本合同所列条款。</w:t>
      </w:r>
    </w:p>
    <w:p>
      <w:pPr>
        <w:spacing w:line="360" w:lineRule="auto"/>
        <w:rPr>
          <w:rFonts w:ascii="黑体" w:hAnsi="黑体" w:eastAsia="黑体"/>
          <w:b/>
          <w:sz w:val="32"/>
          <w:szCs w:val="32"/>
        </w:rPr>
      </w:pPr>
      <w:r>
        <w:rPr>
          <w:rFonts w:hint="eastAsia" w:ascii="黑体" w:hAnsi="黑体" w:eastAsia="黑体"/>
          <w:b/>
          <w:sz w:val="32"/>
          <w:szCs w:val="32"/>
        </w:rPr>
        <w:t xml:space="preserve">第一条 项目概况 </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本项目为龙华区大浪街道非市政道路路灯管养服务，</w:t>
      </w:r>
      <w:r>
        <w:rPr>
          <w:rFonts w:ascii="仿宋_GB2312" w:hAnsi="仿宋_GB2312" w:eastAsia="仿宋_GB2312" w:cs="仿宋_GB2312"/>
          <w:bCs/>
          <w:sz w:val="28"/>
          <w:szCs w:val="28"/>
        </w:rPr>
        <w:t>灯杆、灯具、箱变（配电房、配电柜）的低压侧、低压电缆（含电缆管道）及其他电气控制设施、配套设施等</w:t>
      </w:r>
      <w:r>
        <w:rPr>
          <w:rFonts w:hint="eastAsia" w:ascii="仿宋_GB2312" w:hAnsi="仿宋_GB2312" w:eastAsia="仿宋_GB2312" w:cs="仿宋_GB2312"/>
          <w:bCs/>
          <w:sz w:val="28"/>
          <w:szCs w:val="28"/>
        </w:rPr>
        <w:t>日常</w:t>
      </w:r>
      <w:r>
        <w:rPr>
          <w:rFonts w:ascii="仿宋_GB2312" w:hAnsi="仿宋_GB2312" w:eastAsia="仿宋_GB2312" w:cs="仿宋_GB2312"/>
          <w:bCs/>
          <w:sz w:val="28"/>
          <w:szCs w:val="28"/>
        </w:rPr>
        <w:t>巡查、管养、维护</w:t>
      </w:r>
      <w:r>
        <w:rPr>
          <w:rFonts w:hint="eastAsia" w:ascii="仿宋_GB2312" w:hAnsi="仿宋_GB2312" w:eastAsia="仿宋_GB2312" w:cs="仿宋_GB2312"/>
          <w:bCs/>
          <w:sz w:val="28"/>
          <w:szCs w:val="28"/>
        </w:rPr>
        <w:t>，以及</w:t>
      </w:r>
      <w:r>
        <w:rPr>
          <w:rFonts w:ascii="仿宋_GB2312" w:hAnsi="仿宋_GB2312" w:eastAsia="仿宋_GB2312" w:cs="仿宋_GB2312"/>
          <w:bCs/>
          <w:sz w:val="28"/>
          <w:szCs w:val="28"/>
        </w:rPr>
        <w:t xml:space="preserve">街道辖区范围内涉及城中村路灯相关安全生产及消防安全工作。 </w:t>
      </w:r>
    </w:p>
    <w:p>
      <w:pPr>
        <w:spacing w:line="360" w:lineRule="auto"/>
        <w:rPr>
          <w:rFonts w:ascii="黑体" w:hAnsi="黑体" w:eastAsia="黑体"/>
          <w:b/>
          <w:sz w:val="32"/>
          <w:szCs w:val="32"/>
        </w:rPr>
      </w:pPr>
      <w:r>
        <w:rPr>
          <w:rFonts w:hint="eastAsia" w:ascii="黑体" w:hAnsi="黑体" w:eastAsia="黑体"/>
          <w:b/>
          <w:sz w:val="32"/>
          <w:szCs w:val="32"/>
        </w:rPr>
        <w:t>第二条 服务范围</w:t>
      </w:r>
    </w:p>
    <w:p>
      <w:pPr>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街道辖区范围内的非市政道路路灯。</w:t>
      </w:r>
    </w:p>
    <w:p>
      <w:pPr>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灯杆、灯具、箱变(配电房、配电柜的低压侧、低压电缆(含电缆管道)及其他电气控制设施、配套设施、架空电缆套管等管养、维护。</w:t>
      </w:r>
    </w:p>
    <w:p>
      <w:pPr>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街道辖区范围内涉及城中村路灯相关安全生产及消防安全工作。</w:t>
      </w:r>
    </w:p>
    <w:p>
      <w:pPr>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具体路灯</w:t>
      </w:r>
      <w:r>
        <w:rPr>
          <w:rFonts w:hint="eastAsia" w:ascii="仿宋_GB2312" w:hAnsi="仿宋_GB2312" w:eastAsia="仿宋_GB2312" w:cs="仿宋_GB2312"/>
          <w:bCs/>
          <w:sz w:val="28"/>
          <w:szCs w:val="28"/>
          <w:highlight w:val="none"/>
          <w:lang w:val="en-US" w:eastAsia="zh-CN"/>
        </w:rPr>
        <w:t>按照现场统计数量为准</w:t>
      </w:r>
      <w:r>
        <w:rPr>
          <w:rFonts w:hint="eastAsia" w:ascii="仿宋_GB2312" w:hAnsi="仿宋_GB2312" w:eastAsia="仿宋_GB2312" w:cs="仿宋_GB2312"/>
          <w:bCs/>
          <w:sz w:val="28"/>
          <w:szCs w:val="28"/>
          <w:highlight w:val="none"/>
        </w:rPr>
        <w:t>：</w:t>
      </w:r>
    </w:p>
    <w:p>
      <w:pPr>
        <w:spacing w:line="360" w:lineRule="auto"/>
        <w:rPr>
          <w:rFonts w:ascii="黑体" w:hAnsi="黑体" w:eastAsia="黑体"/>
          <w:b/>
          <w:sz w:val="32"/>
          <w:szCs w:val="32"/>
        </w:rPr>
      </w:pPr>
      <w:r>
        <w:rPr>
          <w:rFonts w:hint="eastAsia" w:ascii="黑体" w:hAnsi="黑体" w:eastAsia="黑体"/>
          <w:b/>
          <w:sz w:val="32"/>
          <w:szCs w:val="32"/>
        </w:rPr>
        <w:t>第三条 服务内容</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本项目服务内容主要包括但不限于以下方面内容：</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非市政道路路灯照明设施日常维护，</w:t>
      </w:r>
      <w:r>
        <w:rPr>
          <w:rFonts w:hint="eastAsia" w:ascii="仿宋_GB2312" w:hAnsi="仿宋_GB2312" w:eastAsia="仿宋_GB2312" w:cs="仿宋_GB2312"/>
          <w:sz w:val="28"/>
          <w:szCs w:val="28"/>
        </w:rPr>
        <w:t>确保亮灯率。2、清洗灯杆、灯具。3、灯杆（含灯臂）喷漆翻新。4、低压柜（屏）维护检测及维护。5、高杆灯维护。6、灯容灯貌的清洁及维护。7、漏电检测。8、破损路灯设施的修复。9、电缆及附属设施维护。10、新增路灯及基设施的接管。11、路灯数量统计。12、修剪遮挡路灯照明的绿化。13、外接用电的检查。14、迎检活动。15、照度检测。16、箱变回路情况的统计。17、维护工作报表的填报。18、投诉案件处理。19、安全文明施工检查。20、消防安全工作检查。21、临时性、突出性工作处理。</w:t>
      </w:r>
    </w:p>
    <w:p>
      <w:pPr>
        <w:spacing w:line="360" w:lineRule="auto"/>
        <w:rPr>
          <w:rFonts w:ascii="黑体" w:hAnsi="黑体" w:eastAsia="黑体"/>
          <w:b/>
          <w:sz w:val="32"/>
          <w:szCs w:val="32"/>
        </w:rPr>
      </w:pPr>
      <w:r>
        <w:rPr>
          <w:rFonts w:hint="eastAsia" w:ascii="黑体" w:hAnsi="黑体" w:eastAsia="黑体"/>
          <w:b/>
          <w:sz w:val="32"/>
          <w:szCs w:val="32"/>
        </w:rPr>
        <w:t>第四条 服务要求</w:t>
      </w:r>
    </w:p>
    <w:p>
      <w:pPr>
        <w:spacing w:line="360" w:lineRule="auto"/>
        <w:ind w:firstLine="301" w:firstLineChars="100"/>
        <w:rPr>
          <w:rFonts w:ascii="黑体" w:hAnsi="黑体" w:eastAsia="黑体"/>
          <w:b/>
          <w:sz w:val="30"/>
          <w:szCs w:val="30"/>
        </w:rPr>
      </w:pPr>
      <w:r>
        <w:rPr>
          <w:rFonts w:hint="eastAsia" w:ascii="黑体" w:hAnsi="黑体" w:eastAsia="黑体"/>
          <w:b/>
          <w:sz w:val="30"/>
          <w:szCs w:val="30"/>
        </w:rPr>
        <w:t>（一）项目管理要求</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1、成立巡查小组，每晚对管养范围内路灯进行巡查，对不亮灯具及时查明原因，并处理故障,必要时需更换全新灯具以确保亮灯率不低于98%，因甲方原因及不可抗力因素导致亮灯率达不到要求除外。</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2、维护保养工作完成后，将对路灯照明设施的控制箱等再次全面检查，确认正确无误后，方离开现场。</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3、乙方的项目管理团队人员、管养、巡查人员架构、联系方式必须张榜公布在项目驻地，并制定安全操作规范、车辆使用规定、应急处理预案等，并做到制度上墙。</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4、乙方负责提交管养方案、人员、材料、车辆的安排及管养工作计划，组织做好管养任务的质量内控检查、培训、制定目标和计划、提高履约服务质量。</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5、乙方所投入的电工人员，需要通过甲方实操考核，考核合格后方可上岗。</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6、乙方管养人员（安全员、电工、特种车辆操作人员）必须具备安全员证、电工证、特种车辆作业证、资格证书，并且必须持证上岗。</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7、乙方必须为项目实施团队的每个成员购买社保(养老、医疗、工伤、重大疾病等险种),并在签订合同时提交相关证明资料，由甲方进行核查。</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8、乙方应为项目实施团队的人员每日实行考勤制度,保证每天按时到岗。</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9、乙方需为本项目实施团队的人员按照岗位设置制定工资严格执行，并报甲方备案。</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10、乙方的项目实施团队的人员，在工作时必须穿统一工作服、 反光衣、工作鞋，佩戴带照片并标识工种的工作证，并随时接受检查。</w:t>
      </w:r>
    </w:p>
    <w:p>
      <w:pPr>
        <w:spacing w:line="360" w:lineRule="auto"/>
        <w:ind w:firstLine="301" w:firstLineChars="100"/>
        <w:rPr>
          <w:rFonts w:ascii="黑体" w:hAnsi="黑体" w:eastAsia="黑体"/>
          <w:b/>
          <w:sz w:val="30"/>
          <w:szCs w:val="30"/>
        </w:rPr>
      </w:pPr>
      <w:r>
        <w:rPr>
          <w:rFonts w:hint="eastAsia" w:ascii="黑体" w:hAnsi="黑体" w:eastAsia="黑体"/>
          <w:b/>
          <w:sz w:val="30"/>
          <w:szCs w:val="30"/>
        </w:rPr>
        <w:t>（二）材料及车辆管理</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1、乙方要有专门的仓库存放灯杆、灯具、灯泡、镇流器、电缆等维护材料及配件，各种材料分类摆放，库存充足。</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2、乙方应对维护材料建立台账，详细记录出、入库情况。</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3、乙方在更换钠灯灯具、光源、电器、LED灯具等材料时，品牌、外形、规格必须与原材料一致。</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4、在本项目有效期内,甲方可对所使用的产品进行质量抽检，检测单位由甲方选定，检测所需要费用由乙方承担。</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5、若甲方对维护用的零星材料提出质疑时，甲方有权要求维护企业提供未在方案中列出的零星材料的合格证或检测报告。</w:t>
      </w:r>
    </w:p>
    <w:p>
      <w:pPr>
        <w:pStyle w:val="2"/>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乙方在本项目合同签订前，需提供投标文件中所投维护材料的采购合同报采购人备案（包括辅助材料），并在管养过程中严格遵守品牌承诺；如在管养过程中甲方认为乙方的材料不能满足本项目管养工作需要，可以要求乙方更改采购人指定品牌，乙方必须无条件更换。</w:t>
      </w:r>
    </w:p>
    <w:p>
      <w:pPr>
        <w:spacing w:line="360" w:lineRule="auto"/>
        <w:ind w:firstLine="301" w:firstLineChars="100"/>
        <w:rPr>
          <w:rFonts w:ascii="黑体" w:hAnsi="黑体" w:eastAsia="黑体"/>
          <w:b/>
          <w:sz w:val="30"/>
          <w:szCs w:val="30"/>
        </w:rPr>
      </w:pPr>
      <w:r>
        <w:rPr>
          <w:rFonts w:hint="eastAsia" w:ascii="黑体" w:hAnsi="黑体" w:eastAsia="黑体"/>
          <w:b/>
          <w:sz w:val="30"/>
          <w:szCs w:val="30"/>
        </w:rPr>
        <w:t>（三）亮灯率要求</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乙方在本项目合同有效期内必须确保城中村路灯亮灯率,并达到以下要求:</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1、城中村路灯亮灯率不低于98%。</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2、钠灯、金卤灯、节能灯以灭灯盏数计算亮灯率。</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3、LED灯以一盏灯灭3O%及其以上灯珠算本盏未亮灯。</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4、亮灯率=(总光源数-灭灯盏数)/总光源数×100%。</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5、每天两次进行亮灯情况检查，发现有连续或规则大面积(5盏以上)灭灯,白天未及时灭灯,应及向甲方报告。</w:t>
      </w:r>
    </w:p>
    <w:p>
      <w:pPr>
        <w:spacing w:line="360" w:lineRule="auto"/>
        <w:ind w:firstLine="301" w:firstLineChars="100"/>
        <w:rPr>
          <w:rFonts w:ascii="黑体" w:hAnsi="黑体" w:eastAsia="黑体"/>
          <w:b/>
          <w:sz w:val="30"/>
          <w:szCs w:val="30"/>
        </w:rPr>
      </w:pPr>
      <w:r>
        <w:rPr>
          <w:rFonts w:hint="eastAsia" w:ascii="黑体" w:hAnsi="黑体" w:eastAsia="黑体"/>
          <w:b/>
          <w:sz w:val="30"/>
          <w:szCs w:val="30"/>
        </w:rPr>
        <w:t>（四）照明设施日常维护要求</w:t>
      </w:r>
    </w:p>
    <w:p>
      <w:pPr>
        <w:spacing w:line="360" w:lineRule="auto"/>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rPr>
        <w:t>1、本项目范围内损坏的路灯及其设施均由乙方负责及时修复或更换,费用己包含在</w:t>
      </w:r>
      <w:r>
        <w:rPr>
          <w:rFonts w:hint="eastAsia" w:ascii="仿宋_GB2312" w:hAnsi="仿宋_GB2312" w:eastAsia="仿宋_GB2312" w:cs="仿宋_GB2312"/>
          <w:sz w:val="28"/>
          <w:szCs w:val="28"/>
          <w:highlight w:val="none"/>
          <w:lang w:val="en-US" w:eastAsia="zh-CN"/>
        </w:rPr>
        <w:t>合同费用</w:t>
      </w:r>
      <w:r>
        <w:rPr>
          <w:rFonts w:hint="eastAsia" w:ascii="仿宋_GB2312" w:hAnsi="仿宋_GB2312" w:eastAsia="仿宋_GB2312" w:cs="仿宋_GB2312"/>
          <w:sz w:val="28"/>
          <w:szCs w:val="28"/>
          <w:highlight w:val="none"/>
        </w:rPr>
        <w:t>中。</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2、乙方应对管养范围内的灯具、低压配电设施、低压电缆进行管养,发现损坏应及时修复或更换；在管养过程中,要有相应的光源备品、备件，日常维护不应在白天进行。</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3、乙方应对突发故障和紧急情况及时进行应急抢修，其中：灯具、光源故障48小时内修复，灯杆被撞、低压故障8小时内修复,白天抢修故障时,每次连续亮灯时间不得超过30分钟。</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4、乙方应于每天晚上的亮灯初期进行亮灯情况巡查,每天早上7点前须巡查确定路灯是否正常，并将巡查情况及时报送至甲方。</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5、乙方必须通过巡查、检查、检测和合理的安全措施，确保设施安全运行。</w:t>
      </w:r>
    </w:p>
    <w:p>
      <w:pPr>
        <w:spacing w:line="360" w:lineRule="auto"/>
        <w:ind w:firstLine="301" w:firstLineChars="100"/>
        <w:rPr>
          <w:rFonts w:ascii="黑体" w:hAnsi="黑体" w:eastAsia="黑体"/>
          <w:b/>
          <w:sz w:val="30"/>
          <w:szCs w:val="30"/>
        </w:rPr>
      </w:pPr>
      <w:r>
        <w:rPr>
          <w:rFonts w:hint="eastAsia" w:ascii="黑体" w:hAnsi="黑体" w:eastAsia="黑体"/>
          <w:b/>
          <w:sz w:val="30"/>
          <w:szCs w:val="30"/>
        </w:rPr>
        <w:t>（五）清洗灯杆、灯具</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1、本项目范围内非市政道路路灯及其设施，乙方应在合同有效期期内清洗一次。</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2、如有迎检任务或甲方要求清洗的路段，乙方应按照甲方要求进行清洗。</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3、乙方应对低压配电箱3个月清洗一次，如有锈蚀、破损的需要及时处理。</w:t>
      </w:r>
    </w:p>
    <w:p>
      <w:pPr>
        <w:spacing w:line="360" w:lineRule="auto"/>
        <w:ind w:firstLine="301" w:firstLineChars="100"/>
        <w:rPr>
          <w:rFonts w:ascii="黑体" w:hAnsi="黑体" w:eastAsia="黑体"/>
          <w:b/>
          <w:sz w:val="30"/>
          <w:szCs w:val="30"/>
        </w:rPr>
      </w:pPr>
      <w:r>
        <w:rPr>
          <w:rFonts w:hint="eastAsia" w:ascii="黑体" w:hAnsi="黑体" w:eastAsia="黑体"/>
          <w:b/>
          <w:sz w:val="30"/>
          <w:szCs w:val="30"/>
        </w:rPr>
        <w:t>（六）喷漆翻新</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灯杆（含灯臂）在服务期内,乙方应按照甲方要求的数量喷漆翻新；如有迎检任务或政府部门要求翻新的路段，乙方应按照其要求进行。刷漆要求如下：</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1、刷漆前从底部到顶端整支进行专业清洗，保证附着力。</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2、对于镀锌灯杆(或灯臂)，刷涂两道镀锌专用环氧底漆与两道聚氨酯面漆；</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3、对于喷塑灯杆(或灯臂)，刷涂两道环氧底漆与两道聚氨酯面漆。</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4、刷漆后达到表面平整、均匀、色泽一致、无流挂、无起泡、无针孔的效果。</w:t>
      </w:r>
    </w:p>
    <w:p>
      <w:pPr>
        <w:spacing w:line="360" w:lineRule="auto"/>
        <w:ind w:firstLine="301" w:firstLineChars="100"/>
        <w:rPr>
          <w:rFonts w:ascii="黑体" w:hAnsi="黑体" w:eastAsia="黑体"/>
          <w:b/>
          <w:sz w:val="30"/>
          <w:szCs w:val="30"/>
        </w:rPr>
      </w:pPr>
      <w:r>
        <w:rPr>
          <w:rFonts w:hint="eastAsia" w:ascii="黑体" w:hAnsi="黑体" w:eastAsia="黑体"/>
          <w:b/>
          <w:sz w:val="30"/>
          <w:szCs w:val="30"/>
        </w:rPr>
        <w:t>（七）功率因数检测</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养护期间（具体以甲方通知为准），乙方应会同甲方检测功率因数一次，以电源点为单位，摇测所有的出线回路并记录数据，确保每出线回路功率因数不低于0.85.未安装集中补偿的箱变功率因数低于0.85的由乙方安装单灯补偿。</w:t>
      </w:r>
    </w:p>
    <w:p>
      <w:pPr>
        <w:spacing w:line="360" w:lineRule="auto"/>
        <w:ind w:firstLine="301" w:firstLineChars="100"/>
        <w:rPr>
          <w:rFonts w:ascii="黑体" w:hAnsi="黑体" w:eastAsia="黑体"/>
          <w:b/>
          <w:sz w:val="30"/>
          <w:szCs w:val="30"/>
        </w:rPr>
      </w:pPr>
      <w:r>
        <w:rPr>
          <w:rFonts w:hint="eastAsia" w:ascii="黑体" w:hAnsi="黑体" w:eastAsia="黑体"/>
          <w:b/>
          <w:sz w:val="30"/>
          <w:szCs w:val="30"/>
        </w:rPr>
        <w:t>（八）低压柜（屏）维护检测及维护</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维护年度期间(具体以甲方通知为准)，乙方每季度应会同甲方检测低压柜（屏）情况一次，并针对检查情况进行维护；检测及维护内容包括:</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1、检测所有计量仪表外观完整、计量准确；转换开关灵活有效；指示灯完整可靠；箱内照明装置、箱内风扇运行正常。</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2、整理所有二次回路，保证标识清晰、准确，走线美观，线束完整。</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3、回路开关标识清晰，出线电缆标识完整。</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4、所有母排连接处、开关进出线位置无发黑、发黄等现象，开关上的绝缘板完整，并无烧蚀现象，开关绝缘部分无碳化现象。</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5、抽屉式开关柜进出灵活，限位器完整。</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6、箱变内低压出线回路如有变更，须按甲方要求形成报表并及时上报。</w:t>
      </w:r>
    </w:p>
    <w:p>
      <w:pPr>
        <w:spacing w:line="360" w:lineRule="auto"/>
        <w:ind w:firstLine="301" w:firstLineChars="100"/>
        <w:rPr>
          <w:rFonts w:ascii="黑体" w:hAnsi="黑体" w:eastAsia="黑体"/>
          <w:b/>
          <w:sz w:val="30"/>
          <w:szCs w:val="30"/>
        </w:rPr>
      </w:pPr>
      <w:r>
        <w:rPr>
          <w:rFonts w:hint="eastAsia" w:ascii="黑体" w:hAnsi="黑体" w:eastAsia="黑体"/>
          <w:b/>
          <w:sz w:val="30"/>
          <w:szCs w:val="30"/>
        </w:rPr>
        <w:t>（九）高杆灯维护要求</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每月应（如遇台风预报，需要提前全部检查一次）检查高杆灯运行状况。包括杆高、光源数量、电缆走向、电机型号、运行情况、检查时间及检查情况、维修情况：</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1、检查高杆照明设施的所有金属构件（包括灯杆内壁）的热镀锌防腐情况、紧固件的防松措施是否符合要求（防腐质量应符合GB/T9790、GBJ36011和GB/T11373的有关规定）。</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2、检查灯盘机械强度。</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3、检查灯具支架的紧固螺栓，合理调整灯具投射方向。</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4、仔细检查灯盘内导线（软缆或软线）使用情况，检查导线是否承受过度的机械应力、是否有老化、龟裂、露线等情况。</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5、对损坏的光源电器等元器件进行更换和维修。</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6、检查升降传动系统：</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a.全面检查升降传动系统的手动、电动两种功能，要求机构传动灵活、升降平稳、安全可靠。</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b.减速机构应灵活、轻便,自锁功能安全可靠。变速比合理，灯盘电动升降速度合理。</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c.检查不锈钢丝绳有无断股现象，如发现坚决更换。</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d.检查制动电动机，转速应符合相关设计要求和安全性能要求。</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e.检查传动系统过载安全离合器和其他过载安全保护装置。</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f.检查灯盘升降的电气、机械限位装置,限位装置及超行程限位保护装置。</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g.采用单根主钢丝绳时,应检查防止灯盘发生意外坠落的制动或防护装置的可靠性和安全性。钢丝绳的灯盘上升到位后,检查自动挂、脱钩卸载装置,确保挂、脱自如。</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h.检查杆内线路,必须固定牢靠,无受压、受夹、受损现象。</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7、检查配电和控制设备：</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a.配电线路和灯盘线路应固定连接；</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b.导线连接应牢固可靠,无松动脱落现象；</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c.检查三相负荷平衡情况及半夜灯控制情况；</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d.检查电气间的连接件,在可能出现扭转、弯曲和振动等作用时,应安全可靠的固定,无松动现象。</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8、电气安全性能检查：</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a.检查电源进线与地之间绝缘电阻不得小于10M欧；</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b.保护接地和避雷装置检查：金属灯杆及电气设备金属外壳应有良好的保护接地,用接地电阻仪测试接地电阻不应大于10欧；检查避雷针固定情况；用水平尺测量基础面板的平面，结合灯杆垂直度的检查结果，分析基础的不均匀沉降情况，并做出相应处理。</w:t>
      </w:r>
    </w:p>
    <w:p>
      <w:pPr>
        <w:spacing w:line="360" w:lineRule="auto"/>
        <w:ind w:firstLine="301" w:firstLineChars="100"/>
        <w:rPr>
          <w:rFonts w:ascii="黑体" w:hAnsi="黑体" w:eastAsia="黑体"/>
          <w:b/>
          <w:sz w:val="30"/>
          <w:szCs w:val="30"/>
        </w:rPr>
      </w:pPr>
      <w:r>
        <w:rPr>
          <w:rFonts w:hint="eastAsia" w:ascii="黑体" w:hAnsi="黑体" w:eastAsia="黑体"/>
          <w:b/>
          <w:sz w:val="30"/>
          <w:szCs w:val="30"/>
        </w:rPr>
        <w:t>（十）灯容灯貌维护要求</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项目管养期间，乙方应做好灯容灯貌的清洁及维护工作。灯杆不得出现大于5%的倾斜，灯臂不得明显偏转，灯杆无锈蚀，灯具无脱落，灯门、手井盖无缺失等；除甲方允许外，灯杆上不得出现广告乱张贴，灯杆之间无悬挂物。</w:t>
      </w:r>
    </w:p>
    <w:p>
      <w:pPr>
        <w:spacing w:line="360" w:lineRule="auto"/>
        <w:ind w:firstLine="301" w:firstLineChars="100"/>
        <w:rPr>
          <w:rFonts w:ascii="黑体" w:hAnsi="黑体" w:eastAsia="黑体"/>
          <w:b/>
          <w:sz w:val="30"/>
          <w:szCs w:val="30"/>
        </w:rPr>
      </w:pPr>
      <w:r>
        <w:rPr>
          <w:rFonts w:hint="eastAsia" w:ascii="黑体" w:hAnsi="黑体" w:eastAsia="黑体"/>
          <w:b/>
          <w:sz w:val="30"/>
          <w:szCs w:val="30"/>
        </w:rPr>
        <w:t>（十一）漏电检测要求</w:t>
      </w:r>
    </w:p>
    <w:p>
      <w:pPr>
        <w:spacing w:line="360" w:lineRule="auto"/>
        <w:ind w:firstLine="56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1、乙方每月对所管养的路灯及其设施、外接用电设施进行漏电检测以及对路灯设施周围的金属构件进行检测,并向甲方上报检测结果，防止金属构件意外带电。</w:t>
      </w:r>
      <w:r>
        <w:rPr>
          <w:rFonts w:hint="eastAsia" w:ascii="仿宋_GB2312" w:hAnsi="仿宋_GB2312" w:eastAsia="仿宋_GB2312" w:cs="仿宋_GB2312"/>
          <w:sz w:val="28"/>
          <w:szCs w:val="28"/>
          <w:lang w:val="en-US" w:eastAsia="zh-CN"/>
        </w:rPr>
        <w:t>对于有可能漏电的接触点需要提前做预警并做好登记，做好安全防护。</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2、本项目所有的维护设施不得发生漏电事故，否则一切责任及造成的损失由乙方全部负责。</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3、对于容易水浸的地方，水浸前,乙方应在确保安全的情况下及时断电,并以书面形式上报甲方。</w:t>
      </w:r>
    </w:p>
    <w:p>
      <w:pPr>
        <w:spacing w:line="360" w:lineRule="auto"/>
        <w:ind w:firstLine="301" w:firstLineChars="100"/>
        <w:rPr>
          <w:rFonts w:ascii="黑体" w:hAnsi="黑体" w:eastAsia="黑体"/>
          <w:b/>
          <w:sz w:val="30"/>
          <w:szCs w:val="30"/>
        </w:rPr>
      </w:pPr>
      <w:r>
        <w:rPr>
          <w:rFonts w:hint="eastAsia" w:ascii="黑体" w:hAnsi="黑体" w:eastAsia="黑体"/>
          <w:b/>
          <w:sz w:val="30"/>
          <w:szCs w:val="30"/>
        </w:rPr>
        <w:t>（十二）路灯设施损坏、修复要求</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1、乙方有义务随时巡查辖区，制止辖区内未经甲方同意的可能损坏到路灯及设备的行为。</w:t>
      </w:r>
    </w:p>
    <w:p>
      <w:pPr>
        <w:spacing w:line="360" w:lineRule="auto"/>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2、如因交通事故造成灯杆、灯具损坏或人为、施工损坏城市照明设施的情况，维护企业应尽到及时告知相关责任人的义务，并及时上报甲方。</w:t>
      </w:r>
    </w:p>
    <w:p>
      <w:pPr>
        <w:pStyle w:val="2"/>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因交通事故、人为、施工造成灯杆、灯具及线路损坏的,乙方负责材料、施工并按照原样及时进行迁移或更换。在恢复完成后,乙方</w:t>
      </w:r>
    </w:p>
    <w:p>
      <w:pPr>
        <w:pStyle w:val="2"/>
        <w:rPr>
          <w:rFonts w:hint="eastAsia" w:ascii="仿宋" w:hAnsi="仿宋" w:eastAsia="仿宋" w:cs="仿宋"/>
          <w:sz w:val="28"/>
          <w:szCs w:val="28"/>
          <w:highlight w:val="none"/>
        </w:rPr>
      </w:pPr>
      <w:r>
        <w:rPr>
          <w:rFonts w:hint="eastAsia" w:ascii="仿宋" w:hAnsi="仿宋" w:eastAsia="仿宋" w:cs="仿宋"/>
          <w:sz w:val="28"/>
          <w:szCs w:val="28"/>
          <w:highlight w:val="none"/>
        </w:rPr>
        <w:t>编制恢复预算书交甲方审核后,向肇事方追讨恢复所需费用,甲方予以协助。但甲方不确保该笔费用能够追讨或全额追讨,出现该情况的,由乙方自行承担修复费用。</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、人力不可抗拒的自然灾害（七级以上地震、十级以上台风、特大洪水），维护企业需要按照甲方定制的方案及时修复，修复后按照实际数量编制结算书，向甲方申报结算审核，费用另计。</w:t>
      </w:r>
    </w:p>
    <w:p>
      <w:pPr>
        <w:spacing w:line="360" w:lineRule="auto"/>
        <w:ind w:firstLine="301" w:firstLineChars="100"/>
        <w:rPr>
          <w:rFonts w:ascii="黑体" w:hAnsi="黑体" w:eastAsia="黑体"/>
          <w:b/>
          <w:sz w:val="30"/>
          <w:szCs w:val="30"/>
        </w:rPr>
      </w:pPr>
      <w:r>
        <w:rPr>
          <w:rFonts w:hint="eastAsia" w:ascii="黑体" w:hAnsi="黑体" w:eastAsia="黑体"/>
          <w:b/>
          <w:sz w:val="30"/>
          <w:szCs w:val="30"/>
        </w:rPr>
        <w:t>（十三）电缆及附属设施维护要求</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在管养期内，乙方必须组织专门的人员、车辆做好本项目所指范围内的路灯巡查及防盗工作,避免或减少出现因路灯电缆被盗而造成的大面积灭灯情况；本项目所指范围内出现路灯电缆被盗的情况的,由乙方负责在8小时内修复；</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电缆更换。乙方在电缆更换前必须报甲方审核同意,并在甲方监管人员在场的情况下方可更换,且规格、型号需与原材料一致。电缆敷设必须符合相关技术规范及龙华区甲方的要求。电缆更换必须整档更换,如直埋确实不能整档更换的，须做热缩或冷缩电缆头。</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3、电缆井。电缆井盖应该保证无破损和丢失，电缆井内无杂物填充，检查电缆井的封堵情况，必须符合龙华区甲方要求，未达到要求的，必须按照龙华区甲方要求限期24小时内整改到位。</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4、电缆绝缘电阻测试。在维护年度内进行一次电缆绝缘测试。</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电缆的三相不平衡调整。乙方在管养过程中必须对电缆线的负荷进行测定，使得中性线电流不超过20%。严禁同一条电缆三相供电变成两相或单项供电；如有此类情况的,电缆需要更换,且更换后需要进行电缆绝缘测试并且符合相关技术要求,如有不符的应整改到位。</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6、电缆标识。电缆井、电缆转弯处、电缆接头处、电缆始末端必须挂上防水型电缆标识牌，标识牌上应有施工日期、电缆起始点、规格型号。</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7、乙方应定期到配电房或箱变了解电缆负荷情况，并形成台账，签名确认。</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8、乙方在处理路灯杆内电缆接头时,应符合龙华区甲方的接头制作方式，并外套绝缘胶套。</w:t>
      </w:r>
    </w:p>
    <w:p>
      <w:pPr>
        <w:spacing w:line="360" w:lineRule="auto"/>
        <w:ind w:firstLine="301" w:firstLineChars="100"/>
        <w:rPr>
          <w:rFonts w:ascii="黑体" w:hAnsi="黑体" w:eastAsia="黑体"/>
          <w:b/>
          <w:sz w:val="30"/>
          <w:szCs w:val="30"/>
        </w:rPr>
      </w:pPr>
      <w:r>
        <w:rPr>
          <w:rFonts w:hint="eastAsia" w:ascii="黑体" w:hAnsi="黑体" w:eastAsia="黑体"/>
          <w:b/>
          <w:sz w:val="30"/>
          <w:szCs w:val="30"/>
        </w:rPr>
        <w:t>（十四）路灯设施接管要求</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1、管养期内，若甲方需接管新的市政照明设施，乙方应无条件协助甲方完成验收接管任务。验收内容及标准参照《城市道路城市照明工程施工及验收规程》等相关规范执行。</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2、乙方必须对在管养期内新接管的路灯及其设施数量、或因市政建设拆除的路灯及其设施数量进行统计,并经双方确认后报甲方备案。</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3、本项目范围内新增加的路灯及其设施,乙方必须无条件履行管养工作,甲方不再向乙方支付任何费用。</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4、乙方须无条件协助甲方办理用电过户手续(包含新接管的路灯设施)。</w:t>
      </w:r>
    </w:p>
    <w:p>
      <w:pPr>
        <w:spacing w:line="360" w:lineRule="auto"/>
        <w:ind w:firstLine="301" w:firstLineChars="100"/>
        <w:rPr>
          <w:rFonts w:ascii="黑体" w:hAnsi="黑体" w:eastAsia="黑体"/>
          <w:b/>
          <w:sz w:val="30"/>
          <w:szCs w:val="30"/>
        </w:rPr>
      </w:pPr>
      <w:r>
        <w:rPr>
          <w:rFonts w:hint="eastAsia" w:ascii="黑体" w:hAnsi="黑体" w:eastAsia="黑体"/>
          <w:b/>
          <w:sz w:val="30"/>
          <w:szCs w:val="30"/>
        </w:rPr>
        <w:t>（十五）路灯数量统计要求</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1、维护企业在维护期内需要对甲方的路灯灯杆、灯具数量、型号、规格及回路情况、电缆长度进行普查，统计路灯设施量。</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2、对在管养期内路灯设施的增加、减少情况，要进行实时更新，在管养期满前一个月，将路灯设施量统计表提交甲方，作为与下一合同年度管养企业交接的依据。</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3、乙方应在项目合同期内对新接管的路灯数量及因市政建设拆除的路灯数量进行统计,经乙方和甲方确认。</w:t>
      </w:r>
    </w:p>
    <w:p>
      <w:pPr>
        <w:spacing w:line="360" w:lineRule="auto"/>
        <w:ind w:firstLine="301" w:firstLineChars="100"/>
        <w:rPr>
          <w:rFonts w:ascii="黑体" w:hAnsi="黑体" w:eastAsia="黑体"/>
          <w:b/>
          <w:sz w:val="30"/>
          <w:szCs w:val="30"/>
        </w:rPr>
      </w:pPr>
      <w:r>
        <w:rPr>
          <w:rFonts w:hint="eastAsia" w:ascii="黑体" w:hAnsi="黑体" w:eastAsia="黑体"/>
          <w:b/>
          <w:sz w:val="30"/>
          <w:szCs w:val="30"/>
        </w:rPr>
        <w:t>（十六）修剪遮挡路灯照明的绿化要求</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对绿化茂密的、严重遮挡路灯照明的树木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乙方应及时向甲方报告</w:t>
      </w:r>
      <w:r>
        <w:rPr>
          <w:rFonts w:hint="eastAsia" w:ascii="仿宋_GB2312" w:hAnsi="仿宋_GB2312" w:eastAsia="仿宋_GB2312" w:cs="仿宋_GB2312"/>
          <w:sz w:val="28"/>
          <w:szCs w:val="28"/>
        </w:rPr>
        <w:t>，由甲方向相关管理部门提出修剪申请，维护企业协助修剪。</w:t>
      </w:r>
    </w:p>
    <w:p>
      <w:pPr>
        <w:spacing w:line="360" w:lineRule="auto"/>
        <w:ind w:firstLine="301" w:firstLineChars="100"/>
        <w:rPr>
          <w:rFonts w:ascii="黑体" w:hAnsi="黑体" w:eastAsia="黑体"/>
          <w:b/>
          <w:sz w:val="30"/>
          <w:szCs w:val="30"/>
        </w:rPr>
      </w:pPr>
      <w:r>
        <w:rPr>
          <w:rFonts w:hint="eastAsia" w:ascii="黑体" w:hAnsi="黑体" w:eastAsia="黑体"/>
          <w:b/>
          <w:sz w:val="30"/>
          <w:szCs w:val="30"/>
        </w:rPr>
        <w:t>（十七）外接用电检查要求</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乙方每季度对维护范围内的外接用电情况进行检查一次。主要工作为电表核对、用电度数读抄、用电安全性检查等。</w:t>
      </w:r>
    </w:p>
    <w:p>
      <w:pPr>
        <w:spacing w:line="360" w:lineRule="auto"/>
        <w:ind w:firstLine="301" w:firstLineChars="100"/>
        <w:rPr>
          <w:rFonts w:ascii="黑体" w:hAnsi="黑体" w:eastAsia="黑体"/>
          <w:b/>
          <w:sz w:val="30"/>
          <w:szCs w:val="30"/>
        </w:rPr>
      </w:pPr>
      <w:r>
        <w:rPr>
          <w:rFonts w:hint="eastAsia" w:ascii="黑体" w:hAnsi="黑体" w:eastAsia="黑体"/>
          <w:b/>
          <w:sz w:val="30"/>
          <w:szCs w:val="30"/>
        </w:rPr>
        <w:t>（十八）迎检活动要求</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如甲方统一部署的路灯清洗行动、安全检查、外接电用电检查等工作，乙方必须安排人员、车辆予以配合。</w:t>
      </w:r>
    </w:p>
    <w:p>
      <w:pPr>
        <w:spacing w:line="360" w:lineRule="auto"/>
        <w:ind w:firstLine="301" w:firstLineChars="100"/>
        <w:rPr>
          <w:rFonts w:ascii="黑体" w:hAnsi="黑体" w:eastAsia="黑体"/>
          <w:b/>
          <w:sz w:val="30"/>
          <w:szCs w:val="30"/>
        </w:rPr>
      </w:pPr>
      <w:r>
        <w:rPr>
          <w:rFonts w:hint="eastAsia" w:ascii="黑体" w:hAnsi="黑体" w:eastAsia="黑体"/>
          <w:b/>
          <w:sz w:val="30"/>
          <w:szCs w:val="30"/>
        </w:rPr>
        <w:t>（十九）照度检测</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维护合同年度内</w:t>
      </w:r>
      <w:r>
        <w:rPr>
          <w:rFonts w:hint="eastAsia"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rPr>
        <w:t>甲方共同按照《城市道路照明设计标准》内规定的机动车交通道路照明标准值对照度进行检测，达不到标准的灯具、光源由维护企业进行更换。</w:t>
      </w:r>
    </w:p>
    <w:p>
      <w:pPr>
        <w:spacing w:line="360" w:lineRule="auto"/>
        <w:ind w:firstLine="301" w:firstLineChars="100"/>
        <w:rPr>
          <w:rFonts w:ascii="黑体" w:hAnsi="黑体" w:eastAsia="黑体"/>
          <w:b/>
          <w:sz w:val="30"/>
          <w:szCs w:val="30"/>
        </w:rPr>
      </w:pPr>
      <w:r>
        <w:rPr>
          <w:rFonts w:hint="eastAsia" w:ascii="黑体" w:hAnsi="黑体" w:eastAsia="黑体"/>
          <w:b/>
          <w:sz w:val="30"/>
          <w:szCs w:val="30"/>
        </w:rPr>
        <w:t>（二十）箱变回路情况统计</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维护合同年度内维护企业需做好箱变出线回路情况统计，如有增加、减少回路情况的，必须立即报告甲方。</w:t>
      </w:r>
    </w:p>
    <w:p>
      <w:pPr>
        <w:spacing w:line="360" w:lineRule="auto"/>
        <w:ind w:firstLine="301" w:firstLineChars="100"/>
        <w:rPr>
          <w:rFonts w:ascii="黑体" w:hAnsi="黑体" w:eastAsia="黑体"/>
          <w:b/>
          <w:sz w:val="30"/>
          <w:szCs w:val="30"/>
        </w:rPr>
      </w:pPr>
      <w:r>
        <w:rPr>
          <w:rFonts w:hint="eastAsia" w:ascii="黑体" w:hAnsi="黑体" w:eastAsia="黑体"/>
          <w:b/>
          <w:sz w:val="30"/>
          <w:szCs w:val="30"/>
        </w:rPr>
        <w:t>（二十一）维护工作报表填报</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1、在日常管养、维护、巡查工作中，实行报表填报制度；</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2、制定日工作计划，对所管养的路灯设施进行每日一查,并向甲方及时报送昨日和今日的工作完成情况；</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3、项目负责人应于每天早上9:3O分之前向甲方汇报当天的工作安排；</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4、对设备的运行、维护、更换情况及时记录，准确填写各项维护报表；</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在巡查过程中发现的电缆、灯杆损坏、故障，需要更换的,必须填写相关报表,同时报告甲方,并以该报告时间作为照明设施修复时限的起始时间。乙方更换电缆过程应拍照存档。甲方在监管、检查中发现照明设施损坏、故障的,也需要记录发现时间,以检查发现时间作为照明设施修复时间的起始时间。报告时间、检查发现时间取较早时间作为修复时限的起始时间。</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6、乙方应采用甲方规定的软件进行报表填报和呈送。</w:t>
      </w:r>
    </w:p>
    <w:p>
      <w:pPr>
        <w:spacing w:line="360" w:lineRule="auto"/>
        <w:ind w:firstLine="301" w:firstLineChars="100"/>
        <w:rPr>
          <w:rFonts w:ascii="黑体" w:hAnsi="黑体" w:eastAsia="黑体"/>
          <w:b/>
          <w:sz w:val="30"/>
          <w:szCs w:val="30"/>
        </w:rPr>
      </w:pPr>
      <w:r>
        <w:rPr>
          <w:rFonts w:hint="eastAsia" w:ascii="黑体" w:hAnsi="黑体" w:eastAsia="黑体"/>
          <w:b/>
          <w:sz w:val="30"/>
          <w:szCs w:val="30"/>
        </w:rPr>
        <w:t>（二十二）临时性、突出性工作处理要求</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1、本项目服务期内，乙方应按时完成甲方安排的临时性、突击性任务。</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2、本项目服务期内，乙方应服务甲方统一部署的路灯清洗、刷漆行动、安全检查、外接电用电检查、临时安排的工作。</w:t>
      </w:r>
    </w:p>
    <w:p>
      <w:pPr>
        <w:spacing w:line="360" w:lineRule="auto"/>
        <w:ind w:firstLine="301" w:firstLineChars="100"/>
        <w:rPr>
          <w:rFonts w:ascii="黑体" w:hAnsi="黑体" w:eastAsia="黑体"/>
          <w:b/>
          <w:sz w:val="30"/>
          <w:szCs w:val="30"/>
        </w:rPr>
      </w:pPr>
      <w:r>
        <w:rPr>
          <w:rFonts w:hint="eastAsia" w:ascii="黑体" w:hAnsi="黑体" w:eastAsia="黑体"/>
          <w:b/>
          <w:sz w:val="30"/>
          <w:szCs w:val="30"/>
        </w:rPr>
        <w:t>（二十三）投诉案件处理</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按工作要求及时处理各投诉案件及数字化案件。</w:t>
      </w:r>
    </w:p>
    <w:p>
      <w:pPr>
        <w:spacing w:line="360" w:lineRule="auto"/>
        <w:ind w:firstLine="301" w:firstLineChars="100"/>
        <w:rPr>
          <w:rFonts w:ascii="黑体" w:hAnsi="黑体" w:eastAsia="黑体"/>
          <w:b/>
          <w:sz w:val="30"/>
          <w:szCs w:val="30"/>
        </w:rPr>
      </w:pPr>
      <w:r>
        <w:rPr>
          <w:rFonts w:hint="eastAsia" w:ascii="黑体" w:hAnsi="黑体" w:eastAsia="黑体"/>
          <w:b/>
          <w:sz w:val="30"/>
          <w:szCs w:val="30"/>
        </w:rPr>
        <w:t>（二十四）消防安全工作及安全文明施工检查</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1、落实做好消防安全工作。</w:t>
      </w:r>
    </w:p>
    <w:p>
      <w:pPr>
        <w:spacing w:line="360" w:lineRule="auto"/>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2、检查维修路灯时，按行业规定做好文明施工，安全作业。</w:t>
      </w:r>
    </w:p>
    <w:p>
      <w:pPr>
        <w:spacing w:line="360" w:lineRule="auto"/>
        <w:rPr>
          <w:rFonts w:ascii="黑体" w:hAnsi="黑体" w:eastAsia="黑体"/>
          <w:b/>
          <w:sz w:val="32"/>
          <w:szCs w:val="32"/>
        </w:rPr>
      </w:pPr>
      <w:r>
        <w:rPr>
          <w:rFonts w:hint="eastAsia" w:ascii="黑体" w:hAnsi="黑体" w:eastAsia="黑体"/>
          <w:b/>
          <w:sz w:val="32"/>
          <w:szCs w:val="32"/>
        </w:rPr>
        <w:t>第五条 服务期限</w:t>
      </w:r>
    </w:p>
    <w:p>
      <w:pPr>
        <w:spacing w:line="360" w:lineRule="auto"/>
        <w:ind w:firstLine="560" w:firstLineChars="200"/>
        <w:rPr>
          <w:rFonts w:hint="eastAsia" w:ascii="仿宋_GB2312" w:hAnsi="仿宋_GB2312" w:eastAsia="仿宋_GB2312" w:cs="仿宋_GB2312"/>
          <w:sz w:val="28"/>
          <w:szCs w:val="28"/>
        </w:rPr>
      </w:pPr>
      <w:bookmarkStart w:id="341" w:name="_Toc7217"/>
      <w:bookmarkStart w:id="342" w:name="_Toc28182"/>
      <w:bookmarkStart w:id="343" w:name="_Toc22611"/>
      <w:r>
        <w:rPr>
          <w:rFonts w:hint="eastAsia" w:ascii="仿宋_GB2312" w:hAnsi="仿宋_GB2312" w:eastAsia="仿宋_GB2312" w:cs="仿宋_GB2312"/>
          <w:sz w:val="28"/>
          <w:szCs w:val="28"/>
        </w:rPr>
        <w:t>服务期限为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个月，时间从</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日止。合同期满后，甲乙双方有权根据双方履约情况决定是否续签。</w:t>
      </w:r>
    </w:p>
    <w:p>
      <w:pPr>
        <w:pStyle w:val="2"/>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在合同期限内，如甲方不再为本项目提供城市管家服务，则甲方退出本项目之日为本合同终止之日，甲方无需向乙方承担任何责任。</w:t>
      </w:r>
    </w:p>
    <w:p>
      <w:pPr>
        <w:spacing w:line="360" w:lineRule="auto"/>
        <w:rPr>
          <w:rFonts w:ascii="黑体" w:hAnsi="黑体" w:eastAsia="黑体"/>
          <w:b/>
          <w:sz w:val="32"/>
          <w:szCs w:val="32"/>
        </w:rPr>
      </w:pPr>
      <w:r>
        <w:rPr>
          <w:rFonts w:hint="eastAsia" w:ascii="黑体" w:hAnsi="黑体" w:eastAsia="黑体"/>
          <w:b/>
          <w:sz w:val="32"/>
          <w:szCs w:val="32"/>
        </w:rPr>
        <w:t>第六条 合同价款及支付方式</w:t>
      </w:r>
      <w:bookmarkEnd w:id="341"/>
      <w:bookmarkEnd w:id="342"/>
      <w:bookmarkEnd w:id="343"/>
    </w:p>
    <w:p>
      <w:pPr>
        <w:spacing w:line="360" w:lineRule="auto"/>
        <w:ind w:firstLine="560" w:firstLineChars="20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rPr>
        <w:t>1、合同价款</w:t>
      </w: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bCs/>
          <w:sz w:val="28"/>
          <w:szCs w:val="28"/>
          <w:highlight w:val="none"/>
          <w:lang w:val="en-US" w:eastAsia="zh-CN"/>
        </w:rPr>
        <w:t>劳务服务费以业主单位与甲方结算金额为基础，据实结算，该合同期内服务费不超过</w:t>
      </w:r>
      <w:r>
        <w:rPr>
          <w:rFonts w:hint="eastAsia" w:ascii="仿宋_GB2312" w:hAnsi="仿宋_GB2312" w:eastAsia="仿宋_GB2312" w:cs="仿宋_GB2312"/>
          <w:bCs/>
          <w:sz w:val="28"/>
          <w:szCs w:val="28"/>
          <w:highlight w:val="none"/>
          <w:u w:val="single"/>
          <w:lang w:val="en-US" w:eastAsia="zh-CN"/>
        </w:rPr>
        <w:t xml:space="preserve">         </w:t>
      </w:r>
      <w:r>
        <w:rPr>
          <w:rFonts w:hint="eastAsia" w:ascii="仿宋_GB2312" w:hAnsi="仿宋_GB2312" w:eastAsia="仿宋_GB2312" w:cs="仿宋_GB2312"/>
          <w:bCs/>
          <w:sz w:val="28"/>
          <w:szCs w:val="28"/>
          <w:highlight w:val="none"/>
          <w:lang w:val="en-US" w:eastAsia="zh-CN"/>
        </w:rPr>
        <w:t>万元（大写</w:t>
      </w:r>
      <w:r>
        <w:rPr>
          <w:rFonts w:hint="eastAsia" w:ascii="仿宋_GB2312" w:hAnsi="仿宋_GB2312" w:eastAsia="仿宋_GB2312" w:cs="仿宋_GB2312"/>
          <w:bCs/>
          <w:sz w:val="28"/>
          <w:szCs w:val="28"/>
          <w:highlight w:val="none"/>
          <w:u w:val="single"/>
          <w:lang w:val="en-US" w:eastAsia="zh-CN"/>
        </w:rPr>
        <w:t xml:space="preserve">    </w:t>
      </w:r>
      <w:r>
        <w:rPr>
          <w:rFonts w:hint="eastAsia" w:ascii="仿宋_GB2312" w:hAnsi="仿宋_GB2312" w:eastAsia="仿宋_GB2312" w:cs="仿宋_GB2312"/>
          <w:bCs/>
          <w:sz w:val="28"/>
          <w:szCs w:val="28"/>
          <w:highlight w:val="none"/>
          <w:lang w:val="en-US" w:eastAsia="zh-CN"/>
        </w:rPr>
        <w:t>元），如有扣款按照本合同第十条规定执行；</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highlight w:val="none"/>
          <w:lang w:val="en-US" w:eastAsia="zh-CN"/>
        </w:rPr>
        <w:t>2、</w:t>
      </w:r>
      <w:r>
        <w:rPr>
          <w:rFonts w:hint="eastAsia" w:ascii="仿宋_GB2312" w:hAnsi="仿宋_GB2312" w:eastAsia="仿宋_GB2312" w:cs="仿宋_GB2312"/>
          <w:bCs/>
          <w:sz w:val="28"/>
          <w:szCs w:val="28"/>
        </w:rPr>
        <w:t>本劳务服务费用包括人工费（含工资、奖金、补助、五险一金、培训费等）、项目管理费。</w:t>
      </w:r>
    </w:p>
    <w:p>
      <w:pPr>
        <w:spacing w:line="360" w:lineRule="auto"/>
        <w:ind w:firstLine="560" w:firstLineChars="200"/>
        <w:rPr>
          <w:rFonts w:hint="eastAsia" w:ascii="仿宋_GB2312" w:hAnsi="仿宋_GB2312" w:eastAsia="仿宋_GB2312" w:cs="仿宋_GB2312"/>
          <w:sz w:val="28"/>
          <w:szCs w:val="28"/>
          <w:highlight w:val="yellow"/>
          <w:u w:color="000000"/>
          <w:lang w:val="en-US" w:eastAsia="zh-CN"/>
        </w:rPr>
      </w:pPr>
      <w:r>
        <w:rPr>
          <w:rFonts w:hint="eastAsia" w:ascii="仿宋_GB2312" w:hAnsi="仿宋_GB2312" w:eastAsia="仿宋_GB2312" w:cs="仿宋_GB2312"/>
          <w:sz w:val="28"/>
          <w:szCs w:val="28"/>
          <w:highlight w:val="yellow"/>
          <w:u w:color="000000"/>
          <w:lang w:val="en-US" w:eastAsia="zh-CN"/>
        </w:rPr>
        <w:t>3</w:t>
      </w:r>
      <w:r>
        <w:rPr>
          <w:rFonts w:hint="eastAsia" w:ascii="仿宋_GB2312" w:hAnsi="仿宋_GB2312" w:eastAsia="仿宋_GB2312" w:cs="仿宋_GB2312"/>
          <w:sz w:val="28"/>
          <w:szCs w:val="28"/>
          <w:highlight w:val="yellow"/>
          <w:u w:color="000000"/>
        </w:rPr>
        <w:t>、在项目履行期间，因政策变化</w:t>
      </w:r>
      <w:r>
        <w:rPr>
          <w:rFonts w:hint="eastAsia" w:ascii="宋体" w:hAnsi="宋体" w:eastAsia="宋体" w:cs="宋体"/>
          <w:i w:val="0"/>
          <w:iCs w:val="0"/>
          <w:caps w:val="0"/>
          <w:color w:val="333333"/>
          <w:spacing w:val="0"/>
          <w:sz w:val="28"/>
          <w:szCs w:val="28"/>
          <w:highlight w:val="yellow"/>
          <w:shd w:val="clear" w:fill="FFFFFF"/>
          <w:lang w:val="en-US" w:eastAsia="zh-CN"/>
        </w:rPr>
        <w:t>、上级主管部门要求</w:t>
      </w:r>
      <w:r>
        <w:rPr>
          <w:rFonts w:hint="eastAsia" w:ascii="仿宋_GB2312" w:hAnsi="仿宋_GB2312" w:eastAsia="仿宋_GB2312" w:cs="仿宋_GB2312"/>
          <w:sz w:val="28"/>
          <w:szCs w:val="28"/>
          <w:highlight w:val="yellow"/>
          <w:u w:color="000000"/>
        </w:rPr>
        <w:t>或实际管理需要，导致</w:t>
      </w:r>
      <w:r>
        <w:rPr>
          <w:rFonts w:hint="eastAsia" w:ascii="仿宋_GB2312" w:hAnsi="仿宋_GB2312" w:eastAsia="仿宋_GB2312" w:cs="仿宋_GB2312"/>
          <w:sz w:val="28"/>
          <w:szCs w:val="28"/>
          <w:highlight w:val="yellow"/>
          <w:u w:color="000000"/>
          <w:lang w:val="en-US" w:eastAsia="zh-CN"/>
        </w:rPr>
        <w:t>合同额调整或工作范围</w:t>
      </w:r>
      <w:r>
        <w:rPr>
          <w:rFonts w:hint="eastAsia" w:ascii="仿宋_GB2312" w:hAnsi="仿宋_GB2312" w:eastAsia="仿宋_GB2312" w:cs="仿宋_GB2312"/>
          <w:sz w:val="28"/>
          <w:szCs w:val="28"/>
          <w:highlight w:val="yellow"/>
          <w:u w:color="000000"/>
        </w:rPr>
        <w:t>发生变化的，乙方需无条件接</w:t>
      </w:r>
      <w:r>
        <w:rPr>
          <w:rFonts w:hint="eastAsia" w:ascii="仿宋_GB2312" w:hAnsi="仿宋_GB2312" w:eastAsia="仿宋_GB2312" w:cs="仿宋_GB2312"/>
          <w:sz w:val="28"/>
          <w:szCs w:val="28"/>
          <w:highlight w:val="yellow"/>
          <w:u w:color="000000"/>
          <w:lang w:val="en-US" w:eastAsia="zh-CN"/>
        </w:rPr>
        <w:t>受并</w:t>
      </w:r>
      <w:r>
        <w:rPr>
          <w:rFonts w:hint="eastAsia" w:ascii="宋体" w:hAnsi="宋体" w:eastAsia="宋体" w:cs="宋体"/>
          <w:i w:val="0"/>
          <w:iCs w:val="0"/>
          <w:caps w:val="0"/>
          <w:color w:val="333333"/>
          <w:spacing w:val="0"/>
          <w:sz w:val="28"/>
          <w:szCs w:val="28"/>
          <w:highlight w:val="yellow"/>
          <w:shd w:val="clear" w:fill="FFFFFF"/>
          <w:lang w:val="en-US" w:eastAsia="zh-CN"/>
        </w:rPr>
        <w:t>即时调整</w:t>
      </w:r>
      <w:r>
        <w:rPr>
          <w:rFonts w:hint="eastAsia" w:ascii="仿宋_GB2312" w:hAnsi="仿宋_GB2312" w:eastAsia="仿宋_GB2312" w:cs="仿宋_GB2312"/>
          <w:sz w:val="28"/>
          <w:szCs w:val="28"/>
          <w:highlight w:val="yellow"/>
          <w:u w:color="000000"/>
          <w:lang w:eastAsia="zh-CN"/>
        </w:rPr>
        <w:t>，</w:t>
      </w:r>
      <w:r>
        <w:rPr>
          <w:rFonts w:hint="eastAsia" w:ascii="仿宋_GB2312" w:hAnsi="仿宋_GB2312" w:eastAsia="仿宋_GB2312" w:cs="仿宋_GB2312"/>
          <w:sz w:val="28"/>
          <w:szCs w:val="28"/>
          <w:highlight w:val="yellow"/>
          <w:u w:color="000000"/>
          <w:lang w:val="en-US" w:eastAsia="zh-CN"/>
        </w:rPr>
        <w:t>双方均不承担违约责任。</w:t>
      </w:r>
    </w:p>
    <w:p>
      <w:pPr>
        <w:pStyle w:val="2"/>
        <w:rPr>
          <w:rFonts w:ascii="仿宋_GB2312" w:hAnsi="仿宋_GB2312" w:eastAsia="仿宋_GB2312" w:cs="仿宋_GB2312"/>
          <w:sz w:val="28"/>
          <w:szCs w:val="28"/>
          <w:u w:color="000000"/>
        </w:rPr>
      </w:pPr>
      <w:r>
        <w:rPr>
          <w:rFonts w:hint="eastAsia" w:ascii="仿宋_GB2312" w:hAnsi="仿宋_GB2312" w:eastAsia="仿宋_GB2312" w:cs="仿宋_GB2312"/>
          <w:sz w:val="28"/>
          <w:szCs w:val="28"/>
          <w:u w:color="000000"/>
          <w:lang w:val="en-US" w:eastAsia="zh-CN"/>
        </w:rPr>
        <w:t>4、</w:t>
      </w:r>
      <w:r>
        <w:rPr>
          <w:rFonts w:hint="eastAsia" w:ascii="仿宋_GB2312" w:hAnsi="仿宋_GB2312" w:eastAsia="仿宋_GB2312" w:cs="仿宋_GB2312"/>
          <w:sz w:val="28"/>
          <w:szCs w:val="28"/>
          <w:u w:color="000000"/>
        </w:rPr>
        <w:t>支付方式：</w:t>
      </w:r>
    </w:p>
    <w:p>
      <w:pPr>
        <w:spacing w:line="360" w:lineRule="auto"/>
        <w:ind w:firstLine="560" w:firstLineChars="200"/>
        <w:rPr>
          <w:rFonts w:ascii="仿宋_GB2312" w:hAnsi="仿宋_GB2312" w:eastAsia="仿宋_GB2312" w:cs="仿宋_GB2312"/>
          <w:sz w:val="28"/>
          <w:szCs w:val="28"/>
          <w:highlight w:val="none"/>
          <w:u w:color="000000"/>
        </w:rPr>
      </w:pPr>
      <w:r>
        <w:rPr>
          <w:rFonts w:ascii="仿宋_GB2312" w:hAnsi="仿宋_GB2312" w:eastAsia="仿宋_GB2312" w:cs="仿宋_GB2312"/>
          <w:sz w:val="28"/>
          <w:szCs w:val="28"/>
          <w:highlight w:val="none"/>
          <w:u w:color="000000"/>
        </w:rPr>
        <w:t>1）</w:t>
      </w:r>
      <w:r>
        <w:rPr>
          <w:rFonts w:hint="eastAsia" w:ascii="仿宋_GB2312" w:hAnsi="仿宋_GB2312" w:eastAsia="仿宋_GB2312" w:cs="仿宋_GB2312"/>
          <w:sz w:val="28"/>
          <w:szCs w:val="28"/>
          <w:highlight w:val="none"/>
          <w:u w:color="000000"/>
          <w:lang w:val="en-US" w:eastAsia="zh-CN"/>
        </w:rPr>
        <w:t>本劳务服务费半年支付一次</w:t>
      </w:r>
      <w:r>
        <w:rPr>
          <w:rFonts w:hint="eastAsia" w:ascii="仿宋_GB2312" w:hAnsi="仿宋_GB2312" w:eastAsia="仿宋_GB2312" w:cs="仿宋_GB2312"/>
          <w:sz w:val="28"/>
          <w:szCs w:val="28"/>
          <w:highlight w:val="none"/>
          <w:u w:color="000000"/>
        </w:rPr>
        <w:t>，甲方将根据</w:t>
      </w:r>
      <w:r>
        <w:rPr>
          <w:rFonts w:hint="eastAsia" w:ascii="仿宋_GB2312" w:hAnsi="仿宋_GB2312" w:eastAsia="仿宋_GB2312" w:cs="仿宋_GB2312"/>
          <w:sz w:val="28"/>
          <w:szCs w:val="28"/>
          <w:highlight w:val="none"/>
          <w:u w:color="000000"/>
          <w:lang w:val="en-US" w:eastAsia="zh-CN"/>
        </w:rPr>
        <w:t>业主单位的考核结果作为依据，经甲乙</w:t>
      </w:r>
      <w:r>
        <w:rPr>
          <w:rFonts w:hint="eastAsia" w:ascii="仿宋_GB2312" w:hAnsi="仿宋_GB2312" w:eastAsia="仿宋_GB2312" w:cs="仿宋_GB2312"/>
          <w:sz w:val="28"/>
          <w:szCs w:val="28"/>
          <w:highlight w:val="none"/>
          <w:u w:color="000000"/>
        </w:rPr>
        <w:t>双方确认</w:t>
      </w:r>
      <w:r>
        <w:rPr>
          <w:rFonts w:hint="eastAsia" w:ascii="仿宋_GB2312" w:hAnsi="仿宋_GB2312" w:eastAsia="仿宋_GB2312" w:cs="仿宋_GB2312"/>
          <w:sz w:val="28"/>
          <w:szCs w:val="28"/>
          <w:highlight w:val="none"/>
          <w:u w:color="000000"/>
          <w:lang w:val="en-US" w:eastAsia="zh-CN"/>
        </w:rPr>
        <w:t>后</w:t>
      </w:r>
      <w:r>
        <w:rPr>
          <w:rFonts w:hint="eastAsia" w:ascii="仿宋_GB2312" w:hAnsi="仿宋_GB2312" w:eastAsia="仿宋_GB2312" w:cs="仿宋_GB2312"/>
          <w:sz w:val="28"/>
          <w:szCs w:val="28"/>
          <w:highlight w:val="none"/>
          <w:u w:color="000000"/>
        </w:rPr>
        <w:t>支付服务费；</w:t>
      </w:r>
    </w:p>
    <w:p>
      <w:pPr>
        <w:spacing w:line="360" w:lineRule="auto"/>
        <w:ind w:firstLine="560" w:firstLineChars="200"/>
        <w:rPr>
          <w:rFonts w:ascii="仿宋_GB2312" w:hAnsi="仿宋_GB2312" w:eastAsia="仿宋_GB2312" w:cs="仿宋_GB2312"/>
          <w:sz w:val="28"/>
          <w:szCs w:val="28"/>
          <w:highlight w:val="none"/>
          <w:u w:color="000000"/>
        </w:rPr>
      </w:pPr>
      <w:r>
        <w:rPr>
          <w:rFonts w:hint="eastAsia" w:ascii="仿宋_GB2312" w:hAnsi="仿宋_GB2312" w:eastAsia="仿宋_GB2312" w:cs="仿宋_GB2312"/>
          <w:sz w:val="28"/>
          <w:szCs w:val="28"/>
          <w:highlight w:val="none"/>
          <w:u w:color="000000"/>
          <w:lang w:val="en-US" w:eastAsia="zh-CN"/>
        </w:rPr>
        <w:t>2</w:t>
      </w:r>
      <w:r>
        <w:rPr>
          <w:rFonts w:hint="eastAsia" w:ascii="仿宋_GB2312" w:hAnsi="仿宋_GB2312" w:eastAsia="仿宋_GB2312" w:cs="仿宋_GB2312"/>
          <w:sz w:val="28"/>
          <w:szCs w:val="28"/>
          <w:highlight w:val="none"/>
          <w:u w:color="000000"/>
        </w:rPr>
        <w:t>）以上服务费，甲方</w:t>
      </w:r>
      <w:r>
        <w:rPr>
          <w:rFonts w:ascii="仿宋_GB2312" w:hAnsi="仿宋_GB2312" w:eastAsia="仿宋_GB2312" w:cs="仿宋_GB2312"/>
          <w:sz w:val="28"/>
          <w:szCs w:val="28"/>
          <w:highlight w:val="none"/>
          <w:u w:color="000000"/>
        </w:rPr>
        <w:t>在收到乙方开具的</w:t>
      </w:r>
      <w:r>
        <w:rPr>
          <w:rFonts w:hint="eastAsia" w:ascii="仿宋_GB2312" w:hAnsi="仿宋_GB2312" w:eastAsia="仿宋_GB2312" w:cs="仿宋_GB2312"/>
          <w:sz w:val="28"/>
          <w:szCs w:val="28"/>
          <w:highlight w:val="none"/>
          <w:u w:color="000000"/>
        </w:rPr>
        <w:t>增值税专用发票</w:t>
      </w:r>
      <w:r>
        <w:rPr>
          <w:rFonts w:ascii="仿宋_GB2312" w:hAnsi="仿宋_GB2312" w:eastAsia="仿宋_GB2312" w:cs="仿宋_GB2312"/>
          <w:sz w:val="28"/>
          <w:szCs w:val="28"/>
          <w:highlight w:val="none"/>
          <w:u w:color="000000"/>
        </w:rPr>
        <w:t>后在</w:t>
      </w:r>
      <w:r>
        <w:rPr>
          <w:rFonts w:hint="eastAsia" w:ascii="仿宋_GB2312" w:hAnsi="仿宋_GB2312" w:eastAsia="仿宋_GB2312" w:cs="仿宋_GB2312"/>
          <w:sz w:val="28"/>
          <w:szCs w:val="28"/>
          <w:highlight w:val="none"/>
          <w:u w:color="000000"/>
          <w:lang w:val="en-US" w:eastAsia="zh-CN"/>
        </w:rPr>
        <w:t>十</w:t>
      </w:r>
      <w:r>
        <w:rPr>
          <w:rFonts w:ascii="仿宋_GB2312" w:hAnsi="仿宋_GB2312" w:eastAsia="仿宋_GB2312" w:cs="仿宋_GB2312"/>
          <w:sz w:val="28"/>
          <w:szCs w:val="28"/>
          <w:highlight w:val="none"/>
          <w:u w:color="000000"/>
        </w:rPr>
        <w:t>个工作日内向乙方</w:t>
      </w:r>
      <w:r>
        <w:rPr>
          <w:rFonts w:hint="eastAsia" w:ascii="仿宋_GB2312" w:hAnsi="仿宋_GB2312" w:eastAsia="仿宋_GB2312" w:cs="仿宋_GB2312"/>
          <w:sz w:val="28"/>
          <w:szCs w:val="28"/>
          <w:highlight w:val="none"/>
          <w:u w:color="000000"/>
        </w:rPr>
        <w:t>支付。</w:t>
      </w:r>
    </w:p>
    <w:p>
      <w:pPr>
        <w:spacing w:line="360" w:lineRule="auto"/>
        <w:ind w:firstLine="560" w:firstLineChars="200"/>
        <w:rPr>
          <w:rFonts w:ascii="仿宋_GB2312" w:hAnsi="仿宋_GB2312" w:eastAsia="仿宋_GB2312" w:cs="仿宋_GB2312"/>
          <w:sz w:val="28"/>
          <w:szCs w:val="28"/>
          <w:u w:color="000000"/>
        </w:rPr>
      </w:pPr>
      <w:r>
        <w:rPr>
          <w:rFonts w:hint="eastAsia" w:ascii="仿宋_GB2312" w:hAnsi="仿宋_GB2312" w:eastAsia="仿宋_GB2312" w:cs="仿宋_GB2312"/>
          <w:sz w:val="28"/>
          <w:szCs w:val="28"/>
          <w:u w:color="000000"/>
          <w:lang w:val="en-US" w:eastAsia="zh-CN"/>
        </w:rPr>
        <w:t>4</w:t>
      </w:r>
      <w:r>
        <w:rPr>
          <w:rFonts w:hint="eastAsia" w:ascii="仿宋_GB2312" w:hAnsi="仿宋_GB2312" w:eastAsia="仿宋_GB2312" w:cs="仿宋_GB2312"/>
          <w:sz w:val="28"/>
          <w:szCs w:val="28"/>
          <w:u w:color="000000"/>
        </w:rPr>
        <w:t>、乙方指定的银行收款账号：</w:t>
      </w:r>
    </w:p>
    <w:p>
      <w:pPr>
        <w:ind w:firstLine="560" w:firstLineChars="200"/>
        <w:rPr>
          <w:rFonts w:hint="eastAsia" w:ascii="仿宋_GB2312" w:hAnsi="仿宋_GB2312" w:eastAsia="仿宋_GB2312" w:cs="仿宋_GB2312"/>
          <w:sz w:val="28"/>
          <w:szCs w:val="28"/>
          <w:u w:color="000000"/>
          <w:lang w:val="en-US" w:eastAsia="zh-CN"/>
        </w:rPr>
      </w:pPr>
      <w:bookmarkStart w:id="344" w:name="_Toc1505"/>
      <w:bookmarkStart w:id="345" w:name="_Toc9711"/>
      <w:bookmarkStart w:id="346" w:name="_Toc13603"/>
      <w:r>
        <w:rPr>
          <w:rFonts w:hint="eastAsia" w:ascii="仿宋_GB2312" w:hAnsi="仿宋_GB2312" w:eastAsia="仿宋_GB2312" w:cs="仿宋_GB2312"/>
          <w:sz w:val="28"/>
          <w:szCs w:val="28"/>
          <w:u w:color="000000"/>
        </w:rPr>
        <w:t>开户银行：</w:t>
      </w:r>
      <w:r>
        <w:rPr>
          <w:rFonts w:hint="eastAsia" w:ascii="仿宋_GB2312" w:hAnsi="仿宋_GB2312" w:eastAsia="仿宋_GB2312" w:cs="仿宋_GB2312"/>
          <w:sz w:val="28"/>
          <w:szCs w:val="28"/>
          <w:u w:color="000000"/>
          <w:lang w:val="en-US" w:eastAsia="zh-CN"/>
        </w:rPr>
        <w:t xml:space="preserve"> </w:t>
      </w:r>
    </w:p>
    <w:p>
      <w:pPr>
        <w:ind w:firstLine="560" w:firstLineChars="200"/>
        <w:rPr>
          <w:rFonts w:hint="eastAsia" w:ascii="仿宋_GB2312" w:hAnsi="仿宋_GB2312" w:eastAsia="仿宋_GB2312" w:cs="仿宋_GB2312"/>
          <w:sz w:val="28"/>
          <w:szCs w:val="28"/>
          <w:u w:color="000000"/>
          <w:lang w:eastAsia="zh-CN"/>
        </w:rPr>
      </w:pPr>
      <w:r>
        <w:rPr>
          <w:rFonts w:hint="eastAsia" w:ascii="仿宋_GB2312" w:hAnsi="仿宋_GB2312" w:eastAsia="仿宋_GB2312" w:cs="仿宋_GB2312"/>
          <w:sz w:val="28"/>
          <w:szCs w:val="28"/>
          <w:u w:color="000000"/>
        </w:rPr>
        <w:t>开户名：</w:t>
      </w:r>
      <w:r>
        <w:rPr>
          <w:rFonts w:hint="eastAsia" w:ascii="仿宋_GB2312" w:hAnsi="仿宋_GB2312" w:eastAsia="仿宋_GB2312" w:cs="仿宋_GB2312"/>
          <w:sz w:val="28"/>
          <w:szCs w:val="28"/>
          <w:u w:color="000000"/>
          <w:lang w:val="en-US" w:eastAsia="zh-CN"/>
        </w:rPr>
        <w:t xml:space="preserve"> </w:t>
      </w:r>
    </w:p>
    <w:p>
      <w:pPr>
        <w:ind w:firstLine="560" w:firstLineChars="200"/>
        <w:rPr>
          <w:rFonts w:hint="eastAsia" w:ascii="仿宋_GB2312" w:hAnsi="仿宋_GB2312" w:eastAsia="仿宋_GB2312" w:cs="仿宋_GB2312"/>
          <w:sz w:val="28"/>
          <w:szCs w:val="28"/>
          <w:u w:color="000000"/>
          <w:lang w:eastAsia="zh-CN"/>
        </w:rPr>
      </w:pPr>
      <w:r>
        <w:rPr>
          <w:rFonts w:hint="eastAsia" w:ascii="仿宋_GB2312" w:hAnsi="仿宋_GB2312" w:eastAsia="仿宋_GB2312" w:cs="仿宋_GB2312"/>
          <w:sz w:val="28"/>
          <w:szCs w:val="28"/>
          <w:u w:color="000000"/>
        </w:rPr>
        <w:t>银行账号：</w:t>
      </w:r>
      <w:r>
        <w:rPr>
          <w:rFonts w:hint="eastAsia" w:ascii="仿宋_GB2312" w:hAnsi="仿宋_GB2312" w:eastAsia="仿宋_GB2312" w:cs="仿宋_GB2312"/>
          <w:sz w:val="28"/>
          <w:szCs w:val="28"/>
          <w:u w:color="000000"/>
          <w:lang w:val="en-US" w:eastAsia="zh-CN"/>
        </w:rPr>
        <w:t xml:space="preserve"> </w:t>
      </w:r>
    </w:p>
    <w:p>
      <w:pPr>
        <w:spacing w:line="360" w:lineRule="auto"/>
        <w:rPr>
          <w:rFonts w:ascii="黑体" w:hAnsi="黑体" w:eastAsia="黑体"/>
          <w:b/>
          <w:sz w:val="32"/>
          <w:szCs w:val="32"/>
        </w:rPr>
      </w:pPr>
      <w:r>
        <w:rPr>
          <w:rFonts w:hint="eastAsia" w:ascii="黑体" w:hAnsi="黑体" w:eastAsia="黑体"/>
          <w:b/>
          <w:sz w:val="32"/>
          <w:szCs w:val="32"/>
        </w:rPr>
        <w:t>第七条</w:t>
      </w:r>
      <w:r>
        <w:rPr>
          <w:rFonts w:ascii="黑体" w:hAnsi="黑体" w:eastAsia="黑体"/>
          <w:b/>
          <w:sz w:val="32"/>
          <w:szCs w:val="32"/>
        </w:rPr>
        <w:t xml:space="preserve"> </w:t>
      </w:r>
      <w:r>
        <w:rPr>
          <w:rFonts w:hint="eastAsia" w:ascii="黑体" w:hAnsi="黑体" w:eastAsia="黑体"/>
          <w:b/>
          <w:sz w:val="32"/>
          <w:szCs w:val="32"/>
        </w:rPr>
        <w:t>权利和义务</w:t>
      </w:r>
      <w:bookmarkEnd w:id="344"/>
      <w:bookmarkEnd w:id="345"/>
      <w:bookmarkEnd w:id="346"/>
    </w:p>
    <w:p>
      <w:pPr>
        <w:spacing w:line="360" w:lineRule="auto"/>
        <w:ind w:firstLine="301" w:firstLineChars="100"/>
        <w:rPr>
          <w:rFonts w:ascii="黑体" w:hAnsi="黑体" w:eastAsia="黑体"/>
          <w:b/>
          <w:sz w:val="30"/>
          <w:szCs w:val="30"/>
        </w:rPr>
      </w:pPr>
      <w:r>
        <w:rPr>
          <w:rFonts w:hint="eastAsia" w:ascii="黑体" w:hAnsi="黑体" w:eastAsia="黑体"/>
          <w:b/>
          <w:sz w:val="30"/>
          <w:szCs w:val="30"/>
        </w:rPr>
        <w:t>（一）甲方的权利和义务</w:t>
      </w:r>
    </w:p>
    <w:p>
      <w:pPr>
        <w:spacing w:line="360" w:lineRule="auto"/>
        <w:ind w:firstLine="560" w:firstLineChars="200"/>
        <w:rPr>
          <w:rFonts w:ascii="仿宋_GB2312" w:hAnsi="仿宋_GB2312" w:eastAsia="仿宋_GB2312" w:cs="仿宋_GB2312"/>
          <w:sz w:val="28"/>
          <w:szCs w:val="28"/>
          <w:u w:color="000000"/>
        </w:rPr>
      </w:pPr>
      <w:r>
        <w:rPr>
          <w:rFonts w:ascii="仿宋_GB2312" w:hAnsi="仿宋_GB2312" w:eastAsia="仿宋_GB2312" w:cs="仿宋_GB2312"/>
          <w:sz w:val="28"/>
          <w:szCs w:val="28"/>
          <w:u w:color="000000"/>
        </w:rPr>
        <w:t>1、甲方有权对乙方落实本项目服务承诺情况和安全生产措施进行监督检查，发现乙方不符合服务要求的问题，有权要求乙方限期整改，如整改不达标则甲方有权提前终止合同。</w:t>
      </w:r>
    </w:p>
    <w:p>
      <w:pPr>
        <w:spacing w:line="360" w:lineRule="auto"/>
        <w:ind w:firstLine="560" w:firstLineChars="200"/>
        <w:rPr>
          <w:rFonts w:ascii="仿宋_GB2312" w:hAnsi="仿宋_GB2312" w:eastAsia="仿宋_GB2312" w:cs="仿宋_GB2312"/>
          <w:sz w:val="28"/>
          <w:szCs w:val="28"/>
          <w:u w:color="000000"/>
        </w:rPr>
      </w:pPr>
      <w:r>
        <w:rPr>
          <w:rFonts w:ascii="仿宋_GB2312" w:hAnsi="仿宋_GB2312" w:eastAsia="仿宋_GB2312" w:cs="仿宋_GB2312"/>
          <w:sz w:val="28"/>
          <w:szCs w:val="28"/>
          <w:u w:color="000000"/>
        </w:rPr>
        <w:t>2、甲方有权监督检查乙方对项目服务人员的培训和管理情况，如存在拖欠薪资或其他严重违法情形，有权停止支付服务费用和提前解除合同。</w:t>
      </w:r>
    </w:p>
    <w:p>
      <w:pPr>
        <w:spacing w:line="360" w:lineRule="auto"/>
        <w:ind w:firstLine="560" w:firstLineChars="200"/>
        <w:rPr>
          <w:rFonts w:ascii="仿宋_GB2312" w:hAnsi="仿宋_GB2312" w:eastAsia="仿宋_GB2312" w:cs="仿宋_GB2312"/>
          <w:sz w:val="28"/>
          <w:szCs w:val="28"/>
          <w:u w:color="000000"/>
        </w:rPr>
      </w:pPr>
      <w:r>
        <w:rPr>
          <w:rFonts w:ascii="仿宋_GB2312" w:hAnsi="仿宋_GB2312" w:eastAsia="仿宋_GB2312" w:cs="仿宋_GB2312"/>
          <w:sz w:val="28"/>
          <w:szCs w:val="28"/>
          <w:u w:color="000000"/>
        </w:rPr>
        <w:t>3、甲方有权要求乙方更换不符合服务项目要求（如未取得相应上岗证书、罢工、歇业等）的工作人员，乙方应在3个工作日内保证更换后的工作人员到岗。</w:t>
      </w:r>
    </w:p>
    <w:p>
      <w:pPr>
        <w:spacing w:line="360" w:lineRule="auto"/>
        <w:ind w:firstLine="560" w:firstLineChars="200"/>
        <w:rPr>
          <w:rFonts w:ascii="仿宋_GB2312" w:hAnsi="仿宋_GB2312" w:eastAsia="仿宋_GB2312" w:cs="仿宋_GB2312"/>
          <w:sz w:val="28"/>
          <w:szCs w:val="28"/>
          <w:u w:color="000000"/>
        </w:rPr>
      </w:pPr>
      <w:r>
        <w:rPr>
          <w:rFonts w:ascii="仿宋_GB2312" w:hAnsi="仿宋_GB2312" w:eastAsia="仿宋_GB2312" w:cs="仿宋_GB2312"/>
          <w:sz w:val="28"/>
          <w:szCs w:val="28"/>
          <w:u w:color="000000"/>
        </w:rPr>
        <w:t>4、甲方有权对乙方的资金投入情况进行监督。如：每月是否按时发放员工的工资、补贴、津贴、社保、意外保险和水电等。若乙方工作不到位，甲方有权要求乙方限期整改。</w:t>
      </w:r>
    </w:p>
    <w:p>
      <w:pPr>
        <w:spacing w:line="360" w:lineRule="auto"/>
        <w:ind w:firstLine="560" w:firstLineChars="200"/>
        <w:rPr>
          <w:rFonts w:ascii="仿宋_GB2312" w:hAnsi="仿宋_GB2312" w:eastAsia="仿宋_GB2312" w:cs="仿宋_GB2312"/>
          <w:sz w:val="28"/>
          <w:szCs w:val="28"/>
          <w:u w:color="000000"/>
        </w:rPr>
      </w:pPr>
      <w:r>
        <w:rPr>
          <w:rFonts w:ascii="仿宋_GB2312" w:hAnsi="仿宋_GB2312" w:eastAsia="仿宋_GB2312" w:cs="仿宋_GB2312"/>
          <w:sz w:val="28"/>
          <w:szCs w:val="28"/>
          <w:u w:color="000000"/>
        </w:rPr>
        <w:t>5、甲方应提供乙方开展服务项目所需的相关资料和必要条件，保证乙方能顺利开展服务工作。</w:t>
      </w:r>
    </w:p>
    <w:p>
      <w:pPr>
        <w:spacing w:line="360" w:lineRule="auto"/>
        <w:ind w:firstLine="560" w:firstLineChars="200"/>
        <w:rPr>
          <w:rFonts w:ascii="仿宋_GB2312" w:hAnsi="仿宋_GB2312" w:eastAsia="仿宋_GB2312" w:cs="仿宋_GB2312"/>
          <w:sz w:val="28"/>
          <w:szCs w:val="28"/>
          <w:u w:color="000000"/>
        </w:rPr>
      </w:pPr>
      <w:r>
        <w:rPr>
          <w:rFonts w:ascii="仿宋_GB2312" w:hAnsi="仿宋_GB2312" w:eastAsia="仿宋_GB2312" w:cs="仿宋_GB2312"/>
          <w:sz w:val="28"/>
          <w:szCs w:val="28"/>
          <w:u w:color="000000"/>
        </w:rPr>
        <w:t>6、本合同服务费由政府拨款，如因政策影响，拨款未能及时到位，乙方不得以此为由不履行本合同规定的义务或要求甲方支付迟延付款违约金。</w:t>
      </w:r>
    </w:p>
    <w:p>
      <w:pPr>
        <w:spacing w:line="360" w:lineRule="auto"/>
        <w:ind w:firstLine="301" w:firstLineChars="100"/>
        <w:rPr>
          <w:rFonts w:ascii="黑体" w:hAnsi="黑体" w:eastAsia="黑体"/>
          <w:b/>
          <w:sz w:val="30"/>
          <w:szCs w:val="30"/>
        </w:rPr>
      </w:pPr>
      <w:r>
        <w:rPr>
          <w:rFonts w:hint="eastAsia" w:ascii="黑体" w:hAnsi="黑体" w:eastAsia="黑体"/>
          <w:b/>
          <w:sz w:val="30"/>
          <w:szCs w:val="30"/>
        </w:rPr>
        <w:t>（二）乙方的权利义务</w:t>
      </w:r>
    </w:p>
    <w:p>
      <w:pPr>
        <w:pStyle w:val="2"/>
        <w:spacing w:after="0" w:line="360" w:lineRule="auto"/>
        <w:ind w:firstLine="560" w:firstLineChars="200"/>
        <w:rPr>
          <w:rFonts w:ascii="仿宋_GB2312" w:hAnsi="仿宋_GB2312" w:eastAsia="仿宋_GB2312" w:cs="仿宋_GB2312"/>
          <w:sz w:val="28"/>
          <w:szCs w:val="28"/>
        </w:rPr>
      </w:pPr>
      <w:bookmarkStart w:id="347" w:name="_Toc29574"/>
      <w:bookmarkStart w:id="348" w:name="_Toc18992"/>
      <w:bookmarkStart w:id="349" w:name="_Toc197"/>
      <w:r>
        <w:rPr>
          <w:rFonts w:ascii="仿宋_GB2312" w:hAnsi="仿宋_GB2312" w:eastAsia="仿宋_GB2312" w:cs="仿宋_GB2312"/>
          <w:sz w:val="28"/>
          <w:szCs w:val="28"/>
        </w:rPr>
        <w:t>1、乙方应根据招标文件的要求、投标文件的承诺以及本合同约定的项目服务标准和要求向甲方提交服务计划，经甲方认可后履行相应的责任和义务，保质保量完成项目服务内容。</w:t>
      </w:r>
    </w:p>
    <w:p>
      <w:pPr>
        <w:pStyle w:val="2"/>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2、除甲方提供使用的设施设备外，乙方负责提供</w:t>
      </w:r>
      <w:r>
        <w:rPr>
          <w:rFonts w:hint="eastAsia" w:ascii="仿宋_GB2312" w:hAnsi="仿宋_GB2312" w:eastAsia="仿宋_GB2312" w:cs="仿宋_GB2312"/>
          <w:sz w:val="28"/>
          <w:szCs w:val="28"/>
        </w:rPr>
        <w:t>本服务项目所需的人员、设施、设备等，承担项目实施所需的人工费、管理费。</w:t>
      </w:r>
    </w:p>
    <w:p>
      <w:pPr>
        <w:pStyle w:val="2"/>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3、乙方有权对甲方及本项目管理工作提出意见建议。</w:t>
      </w:r>
    </w:p>
    <w:p>
      <w:pPr>
        <w:pStyle w:val="2"/>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4、乙方服务过程中应接受甲方的监督和指导，不得以任何理由拒绝甲方监督人员的检查、考核等要求。</w:t>
      </w:r>
    </w:p>
    <w:p>
      <w:pPr>
        <w:pStyle w:val="2"/>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5、乙方服务过程中应接受甲方及其上级主管部门组织的检查和考评，并积极参加市、区开展的各类竞赛活动。</w:t>
      </w:r>
    </w:p>
    <w:p>
      <w:pPr>
        <w:pStyle w:val="2"/>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6、乙方负责安排员工参加相应的业务技术的培训学习，需持证上岗的员工，必须在到岗前获得从事相应岗位的证书。</w:t>
      </w:r>
    </w:p>
    <w:p>
      <w:pPr>
        <w:pStyle w:val="2"/>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7、乙方应为其服务项目的工作人员购买统一的工作服、工作鞋等劳动保护用品，要求按规定统一着装，保障安全。</w:t>
      </w:r>
    </w:p>
    <w:p>
      <w:pPr>
        <w:pStyle w:val="2"/>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8、乙方根据本合同所承担的服务内容，自行到有关部门为其聘请的人员申办用工、社会保险和居住证件等手续。依照《劳动法》合法用工，按照《深圳市员工工资支付条例》等有关规定和乙方投标承诺按时足额发放员工工资（不得低于深圳市最低工资标准和乙方投标报价水平）、按国家及深圳市规定的缴交比例为人员购买养老、医疗、工伤、失业、生育保险并缴纳住房公积金；安排好员工的生活、生产、培训及管理等工作。</w:t>
      </w:r>
    </w:p>
    <w:p>
      <w:pPr>
        <w:pStyle w:val="2"/>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乙方保证高空作业车辆驾驶人员持证上岗，随车证件齐全有效。保证所有高空作业车辆按规定审验合格，禁止驾驶报废车辆。保证所有高空作业车辆的喇叭和灯光正常使用，变光可靠自如、转向分明；雨刮正常使用、性能良好；刹车制动可靠、灵敏，刹车踏板自由，油、气管路无渗漏；轮胎螺丝不缺不松，轮胎磨损未过安全线，轮胎无开裂或划伤现象。其它作业机械安全防护装置齐全可靠，有定期维护保养记录。在办公场所、作业场所和高空车辆合理配置灭火器，且保证灭火器在有效期内、放置位置明显、便于取用。</w:t>
      </w:r>
    </w:p>
    <w:p>
      <w:pPr>
        <w:pStyle w:val="2"/>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高空作业时，应严格按照相关作业安全操作规程执行，高空作业人员统一穿着的反光衣、安全帽、安全带，须符合安全生产标准，不应有反光条严重剥落、反光强度不足、安全帽破损、安全带磨损等不良现象；并配备保证高空作业安全的工具，安装大型转向警示灯。</w:t>
      </w:r>
    </w:p>
    <w:p>
      <w:pPr>
        <w:pStyle w:val="2"/>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11、快速车道进行作业时，应严格按照占道作业相关安全规范进行作业，现场须有专人指挥，疏通车辆。</w:t>
      </w:r>
    </w:p>
    <w:p>
      <w:pPr>
        <w:pStyle w:val="2"/>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12、路灯维护根据道路和公共场所的人流、车流情况，合理安排作业时间和作业方式，主动避开行人流和车流高峰，以免发生意外。</w:t>
      </w:r>
    </w:p>
    <w:p>
      <w:pPr>
        <w:pStyle w:val="2"/>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13、乙方须自行维护好高空作业车辆、设备、工器具，定期做好车辆清洗、检修和保养，确保车况正常、车容整洁，不得带故障和隐患出车、带病作业。</w:t>
      </w:r>
    </w:p>
    <w:p>
      <w:pPr>
        <w:pStyle w:val="2"/>
        <w:spacing w:after="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14、乙方应履行《安全生产责任书》相关责任。</w:t>
      </w:r>
    </w:p>
    <w:p>
      <w:pPr>
        <w:pStyle w:val="2"/>
        <w:spacing w:after="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15</w:t>
      </w:r>
      <w:r>
        <w:rPr>
          <w:rFonts w:ascii="仿宋_GB2312" w:hAnsi="仿宋_GB2312" w:eastAsia="仿宋_GB2312" w:cs="仿宋_GB2312"/>
          <w:sz w:val="28"/>
          <w:szCs w:val="28"/>
        </w:rPr>
        <w:t>、乙方应严格遵守国家法律、法规，协助做好与</w:t>
      </w:r>
      <w:r>
        <w:rPr>
          <w:rFonts w:hint="eastAsia" w:ascii="仿宋_GB2312" w:hAnsi="仿宋_GB2312" w:eastAsia="仿宋_GB2312" w:cs="仿宋_GB2312"/>
          <w:sz w:val="28"/>
          <w:szCs w:val="28"/>
        </w:rPr>
        <w:t>本服务项目有关的社会治安综合管理工作。</w:t>
      </w:r>
    </w:p>
    <w:p>
      <w:pPr>
        <w:pStyle w:val="2"/>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6</w:t>
      </w:r>
      <w:r>
        <w:rPr>
          <w:rFonts w:ascii="仿宋_GB2312" w:hAnsi="仿宋_GB2312" w:eastAsia="仿宋_GB2312" w:cs="仿宋_GB2312"/>
          <w:sz w:val="28"/>
          <w:szCs w:val="28"/>
        </w:rPr>
        <w:t>、乙方根据有关法律、法规、规章、政策和本合同的规定开展服务内容时，不得损害国家、集体及第三人的合法权益，不得获取不当利益，否则，由此所产生的一切法律责任由乙方承担。</w:t>
      </w:r>
    </w:p>
    <w:p>
      <w:pPr>
        <w:pStyle w:val="2"/>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7</w:t>
      </w:r>
      <w:r>
        <w:rPr>
          <w:rFonts w:ascii="仿宋_GB2312" w:hAnsi="仿宋_GB2312" w:eastAsia="仿宋_GB2312" w:cs="仿宋_GB2312"/>
          <w:sz w:val="28"/>
          <w:szCs w:val="28"/>
        </w:rPr>
        <w:t>、乙方为实施本项目服务的行为，及为实施本项目服务提供的技术、材料、设施均不会对任何第三方构成侵权或引起第三方索赔，否则如有第三方因乙方之服务行为而向甲方索赔，甲方因此产生的所有费用及损失均</w:t>
      </w:r>
      <w:r>
        <w:rPr>
          <w:rFonts w:hint="eastAsia" w:ascii="仿宋_GB2312" w:hAnsi="仿宋_GB2312" w:eastAsia="仿宋_GB2312" w:cs="仿宋_GB2312"/>
          <w:sz w:val="28"/>
          <w:szCs w:val="28"/>
        </w:rPr>
        <w:t>应由乙方予以赔偿。</w:t>
      </w:r>
    </w:p>
    <w:p>
      <w:pPr>
        <w:pStyle w:val="2"/>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8</w:t>
      </w:r>
      <w:r>
        <w:rPr>
          <w:rFonts w:ascii="仿宋_GB2312" w:hAnsi="仿宋_GB2312" w:eastAsia="仿宋_GB2312" w:cs="仿宋_GB2312"/>
          <w:sz w:val="28"/>
          <w:szCs w:val="28"/>
        </w:rPr>
        <w:t>、在合同期内，因政府政策变化或甲方管理需要等原因需要调整乙方的服务方案时，乙方要服从大局和甲方意见，由此造成的经济损失，甲方无需承担赔偿责任。</w:t>
      </w:r>
    </w:p>
    <w:p>
      <w:pPr>
        <w:pStyle w:val="2"/>
        <w:spacing w:after="0" w:line="360" w:lineRule="auto"/>
        <w:ind w:firstLine="560" w:firstLineChars="200"/>
        <w:rPr>
          <w:rFonts w:ascii="仿宋_GB2312" w:hAnsi="仿宋_GB2312" w:eastAsia="仿宋_GB2312" w:cs="仿宋_GB2312"/>
          <w:color w:val="FF0000"/>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9</w:t>
      </w:r>
      <w:r>
        <w:rPr>
          <w:rFonts w:ascii="仿宋_GB2312" w:hAnsi="仿宋_GB2312" w:eastAsia="仿宋_GB2312" w:cs="仿宋_GB2312"/>
          <w:sz w:val="28"/>
          <w:szCs w:val="28"/>
        </w:rPr>
        <w:t>、乙方应指定固定联系人，保持通讯畅通，确保甲方监管人员能够随时联系。乙方技术负责人为：</w:t>
      </w:r>
      <w:r>
        <w:rPr>
          <w:rFonts w:hint="eastAsia" w:ascii="仿宋_GB2312" w:hAnsi="仿宋_GB2312" w:eastAsia="仿宋_GB2312" w:cs="仿宋_GB2312"/>
          <w:sz w:val="28"/>
          <w:szCs w:val="28"/>
          <w:u w:val="single"/>
          <w:lang w:val="en-US" w:eastAsia="zh-CN"/>
        </w:rPr>
        <w:t xml:space="preserve">             </w:t>
      </w:r>
      <w:r>
        <w:rPr>
          <w:rFonts w:ascii="仿宋_GB2312" w:hAnsi="仿宋_GB2312" w:eastAsia="仿宋_GB2312" w:cs="仿宋_GB2312"/>
          <w:sz w:val="28"/>
          <w:szCs w:val="28"/>
        </w:rPr>
        <w:t>身份证号码为：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p>
    <w:p>
      <w:pPr>
        <w:spacing w:line="360" w:lineRule="auto"/>
        <w:rPr>
          <w:rFonts w:ascii="黑体" w:hAnsi="黑体" w:eastAsia="黑体"/>
          <w:b/>
          <w:sz w:val="32"/>
          <w:szCs w:val="32"/>
        </w:rPr>
      </w:pPr>
      <w:r>
        <w:rPr>
          <w:rFonts w:hint="eastAsia" w:ascii="黑体" w:hAnsi="黑体" w:eastAsia="黑体"/>
          <w:b/>
          <w:sz w:val="32"/>
          <w:szCs w:val="32"/>
        </w:rPr>
        <w:t>第八条</w:t>
      </w:r>
      <w:r>
        <w:rPr>
          <w:rFonts w:ascii="黑体" w:hAnsi="黑体" w:eastAsia="黑体"/>
          <w:b/>
          <w:sz w:val="32"/>
          <w:szCs w:val="32"/>
        </w:rPr>
        <w:t xml:space="preserve"> </w:t>
      </w:r>
      <w:r>
        <w:rPr>
          <w:rFonts w:hint="eastAsia" w:ascii="黑体" w:hAnsi="黑体" w:eastAsia="黑体"/>
          <w:b/>
          <w:sz w:val="32"/>
          <w:szCs w:val="32"/>
        </w:rPr>
        <w:t>服务项目移交</w:t>
      </w:r>
      <w:bookmarkEnd w:id="347"/>
      <w:bookmarkEnd w:id="348"/>
      <w:bookmarkEnd w:id="349"/>
    </w:p>
    <w:p>
      <w:pPr>
        <w:pStyle w:val="2"/>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乙方应在合同签订之日起7天内将服务方案、人员聘请情况、设施设备购置配备情况和交接计划等交由甲方验收，验收发现的问题由乙方在限期内整改完毕再交甲方验收，甲方验收合格后确认乙方正式接管服务项目。</w:t>
      </w:r>
    </w:p>
    <w:p>
      <w:pPr>
        <w:pStyle w:val="2"/>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 xml:space="preserve">2、甲方应在服务项目开始运作之日起7 </w:t>
      </w:r>
      <w:r>
        <w:rPr>
          <w:rFonts w:hint="eastAsia" w:ascii="仿宋_GB2312" w:hAnsi="仿宋_GB2312" w:eastAsia="仿宋_GB2312" w:cs="仿宋_GB2312"/>
          <w:sz w:val="28"/>
          <w:szCs w:val="28"/>
        </w:rPr>
        <w:t>天内将应由甲方提供的设施设备移交给乙方，并做好交接清单的签收和保管，乙方需做好设施设备的保管和维护工作。</w:t>
      </w:r>
    </w:p>
    <w:p>
      <w:pPr>
        <w:pStyle w:val="2"/>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 xml:space="preserve">3、本合同终止（或解除）或本合同服务期限届满后不再续签合同时，乙方应在接到甲方通知后 7 </w:t>
      </w:r>
      <w:r>
        <w:rPr>
          <w:rFonts w:hint="eastAsia" w:ascii="仿宋_GB2312" w:hAnsi="仿宋_GB2312" w:eastAsia="仿宋_GB2312" w:cs="仿宋_GB2312"/>
          <w:sz w:val="28"/>
          <w:szCs w:val="28"/>
        </w:rPr>
        <w:t>天内向甲方提出最终考核验收移交申请，将全部服务工作和甲方设施设备及时移交甲方，并处理好与作业人员的劳动关系。</w:t>
      </w:r>
    </w:p>
    <w:p>
      <w:pPr>
        <w:pStyle w:val="2"/>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4、乙方在移交期内应有计划的将所有设施设备完好地返还给甲方并配合甲方移交给新的服务单位。甲方将委托有相关资质的第三</w:t>
      </w:r>
      <w:r>
        <w:rPr>
          <w:rFonts w:hint="eastAsia" w:ascii="仿宋_GB2312" w:hAnsi="仿宋_GB2312" w:eastAsia="仿宋_GB2312" w:cs="仿宋_GB2312"/>
          <w:sz w:val="28"/>
          <w:szCs w:val="28"/>
        </w:rPr>
        <w:t>方质量检测部门对乙方返还的设施设备进行完好率查验，查验结果需符合相关标准，如不符合标准的，乙方负责无条件修复及赔偿，查验费由乙方另行安排。</w:t>
      </w:r>
    </w:p>
    <w:p>
      <w:pPr>
        <w:pStyle w:val="2"/>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 xml:space="preserve">5、甲乙双方应协商在 7天内完成项目及设施设备的移交工作，每逾期一天乙方须向甲方支付1个月服务费用的 1 </w:t>
      </w:r>
      <w:r>
        <w:rPr>
          <w:rFonts w:hint="eastAsia" w:ascii="仿宋_GB2312" w:hAnsi="仿宋_GB2312" w:eastAsia="仿宋_GB2312" w:cs="仿宋_GB2312"/>
          <w:sz w:val="28"/>
          <w:szCs w:val="28"/>
        </w:rPr>
        <w:t>‰违约金。</w:t>
      </w:r>
    </w:p>
    <w:p>
      <w:pPr>
        <w:spacing w:line="360" w:lineRule="auto"/>
        <w:rPr>
          <w:rFonts w:ascii="黑体" w:hAnsi="黑体" w:eastAsia="黑体"/>
          <w:b/>
          <w:sz w:val="32"/>
          <w:szCs w:val="32"/>
        </w:rPr>
      </w:pPr>
      <w:bookmarkStart w:id="350" w:name="_Toc8450"/>
      <w:bookmarkStart w:id="351" w:name="_Toc18897"/>
      <w:bookmarkStart w:id="352" w:name="_Toc30331"/>
      <w:r>
        <w:rPr>
          <w:rFonts w:hint="eastAsia" w:ascii="黑体" w:hAnsi="黑体" w:eastAsia="黑体"/>
          <w:b/>
          <w:sz w:val="32"/>
          <w:szCs w:val="32"/>
        </w:rPr>
        <w:t>第九条</w:t>
      </w:r>
      <w:r>
        <w:rPr>
          <w:rFonts w:ascii="黑体" w:hAnsi="黑体" w:eastAsia="黑体"/>
          <w:b/>
          <w:sz w:val="32"/>
          <w:szCs w:val="32"/>
        </w:rPr>
        <w:t xml:space="preserve"> </w:t>
      </w:r>
      <w:r>
        <w:rPr>
          <w:rFonts w:hint="eastAsia" w:ascii="黑体" w:hAnsi="黑体" w:eastAsia="黑体"/>
          <w:b/>
          <w:sz w:val="32"/>
          <w:szCs w:val="32"/>
        </w:rPr>
        <w:t>合同的解除或终止</w:t>
      </w:r>
      <w:bookmarkEnd w:id="350"/>
      <w:bookmarkEnd w:id="351"/>
      <w:bookmarkEnd w:id="352"/>
    </w:p>
    <w:p>
      <w:pPr>
        <w:pStyle w:val="2"/>
        <w:spacing w:after="0"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（一）本合同出现以下情</w:t>
      </w:r>
      <w:r>
        <w:rPr>
          <w:rFonts w:hint="eastAsia" w:ascii="仿宋_GB2312" w:hAnsi="仿宋_GB2312" w:eastAsia="仿宋_GB2312" w:cs="仿宋_GB2312"/>
          <w:color w:val="000000" w:themeColor="text1"/>
          <w:sz w:val="28"/>
          <w:szCs w:val="28"/>
          <w14:textFill>
            <w14:solidFill>
              <w14:schemeClr w14:val="tx1"/>
            </w14:solidFill>
          </w14:textFill>
        </w:rPr>
        <w:t>况时，甲方有权立即解除本合同，并由乙方承担本合同</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总</w:t>
      </w:r>
      <w:r>
        <w:rPr>
          <w:rFonts w:hint="eastAsia" w:ascii="仿宋_GB2312" w:hAnsi="仿宋_GB2312" w:eastAsia="仿宋_GB2312" w:cs="仿宋_GB2312"/>
          <w:color w:val="000000" w:themeColor="text1"/>
          <w:sz w:val="28"/>
          <w:szCs w:val="28"/>
          <w14:textFill>
            <w14:solidFill>
              <w14:schemeClr w14:val="tx1"/>
            </w14:solidFill>
          </w14:textFill>
        </w:rPr>
        <w:t>金额</w:t>
      </w:r>
      <w:r>
        <w:rPr>
          <w:rFonts w:ascii="仿宋_GB2312" w:hAnsi="仿宋_GB2312" w:eastAsia="仿宋_GB2312" w:cs="仿宋_GB2312"/>
          <w:color w:val="000000" w:themeColor="text1"/>
          <w:sz w:val="28"/>
          <w:szCs w:val="28"/>
          <w14:textFill>
            <w14:solidFill>
              <w14:schemeClr w14:val="tx1"/>
            </w14:solidFill>
          </w14:textFill>
        </w:rPr>
        <w:t>10%的违约金：</w:t>
      </w:r>
    </w:p>
    <w:p>
      <w:pPr>
        <w:pStyle w:val="2"/>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color w:val="000000" w:themeColor="text1"/>
          <w:sz w:val="28"/>
          <w:szCs w:val="28"/>
          <w14:textFill>
            <w14:solidFill>
              <w14:schemeClr w14:val="tx1"/>
            </w14:solidFill>
          </w14:textFill>
        </w:rPr>
        <w:t>1、因乙方管理不善或负主要责任、造成</w:t>
      </w:r>
      <w:r>
        <w:rPr>
          <w:rFonts w:hint="eastAsia" w:ascii="仿宋_GB2312" w:hAnsi="仿宋_GB2312" w:eastAsia="仿宋_GB2312" w:cs="仿宋_GB2312"/>
          <w:sz w:val="28"/>
          <w:szCs w:val="28"/>
        </w:rPr>
        <w:t>乙方员工或其他人员</w:t>
      </w:r>
      <w:r>
        <w:rPr>
          <w:rFonts w:ascii="仿宋_GB2312" w:hAnsi="仿宋_GB2312" w:eastAsia="仿宋_GB2312" w:cs="仿宋_GB2312"/>
          <w:sz w:val="28"/>
          <w:szCs w:val="28"/>
        </w:rPr>
        <w:t>1人以上（含1人）死亡或2人以上（含2人）重伤的；</w:t>
      </w:r>
    </w:p>
    <w:p>
      <w:pPr>
        <w:pStyle w:val="2"/>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乙方未按时足额发放员工工资（含加班工资）的人数达5人以上的，或乙方拖欠任1名员工工资（含加班工资）达3个月以上（含3个月）的，或乙方拖欠员工工资累计数额（含加班工资）达伍仟元以上的，或违反深圳市最低工资标准的要求发放工资的；</w:t>
      </w:r>
    </w:p>
    <w:p>
      <w:pPr>
        <w:pStyle w:val="2"/>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3、乙方服务期内累计3次不达标的；</w:t>
      </w:r>
    </w:p>
    <w:p>
      <w:pPr>
        <w:pStyle w:val="2"/>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4、乙方在履行本合同服务时违反法律法规或</w:t>
      </w:r>
      <w:r>
        <w:rPr>
          <w:rFonts w:hint="eastAsia" w:ascii="仿宋_GB2312" w:hAnsi="仿宋_GB2312" w:eastAsia="仿宋_GB2312" w:cs="仿宋_GB2312"/>
          <w:sz w:val="28"/>
          <w:szCs w:val="28"/>
        </w:rPr>
        <w:t>因弄虚造假及其他不正当行为造成性质恶劣的社会影响的；</w:t>
      </w:r>
    </w:p>
    <w:p>
      <w:pPr>
        <w:pStyle w:val="2"/>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5、乙方被撤销相关服务运营资质的；</w:t>
      </w:r>
    </w:p>
    <w:p>
      <w:pPr>
        <w:pStyle w:val="2"/>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6、乙方未经甲方同意将在</w:t>
      </w:r>
      <w:r>
        <w:rPr>
          <w:rFonts w:hint="eastAsia" w:ascii="仿宋_GB2312" w:hAnsi="仿宋_GB2312" w:eastAsia="仿宋_GB2312" w:cs="仿宋_GB2312"/>
          <w:sz w:val="28"/>
          <w:szCs w:val="28"/>
        </w:rPr>
        <w:t>本服务项目的服务期内获得的甲方有关的所有非公开资料和信息擅自泄露或提供给第三方使用的；</w:t>
      </w:r>
    </w:p>
    <w:p>
      <w:pPr>
        <w:pStyle w:val="2"/>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7、乙方资不抵债，申请破产的；</w:t>
      </w:r>
    </w:p>
    <w:p>
      <w:pPr>
        <w:pStyle w:val="2"/>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8、因乙方原因导致侵权纠纷、劳资纠纷、劳务合同纠纷、罢工歇业、服务中断等影响本合同服务内容正常进行时。</w:t>
      </w:r>
    </w:p>
    <w:p>
      <w:pPr>
        <w:pStyle w:val="2"/>
        <w:spacing w:after="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（二）因甲方管理需要或政府政策变动原因，甲方需解除本合同的，应提前</w:t>
      </w:r>
      <w:r>
        <w:rPr>
          <w:rFonts w:ascii="仿宋_GB2312" w:hAnsi="仿宋_GB2312" w:eastAsia="仿宋_GB2312" w:cs="仿宋_GB2312"/>
          <w:sz w:val="28"/>
          <w:szCs w:val="28"/>
        </w:rPr>
        <w:t>30天以书面形式通知乙方，由此造成的经济损失，甲方不负赔偿（补偿）责任。</w:t>
      </w:r>
    </w:p>
    <w:p>
      <w:pPr>
        <w:pStyle w:val="2"/>
        <w:spacing w:after="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（三）因战争、自然灾害等不可抗力导致合同终止的，双方互不承担赔偿责任。</w:t>
      </w:r>
    </w:p>
    <w:p>
      <w:pPr>
        <w:spacing w:line="360" w:lineRule="auto"/>
        <w:rPr>
          <w:rFonts w:ascii="黑体" w:hAnsi="黑体" w:eastAsia="黑体"/>
          <w:b/>
          <w:sz w:val="32"/>
          <w:szCs w:val="32"/>
        </w:rPr>
      </w:pPr>
      <w:r>
        <w:rPr>
          <w:rFonts w:hint="eastAsia" w:ascii="黑体" w:hAnsi="黑体" w:eastAsia="黑体"/>
          <w:b/>
          <w:sz w:val="32"/>
          <w:szCs w:val="32"/>
        </w:rPr>
        <w:t>第十条</w:t>
      </w:r>
      <w:r>
        <w:rPr>
          <w:rFonts w:ascii="黑体" w:hAnsi="黑体" w:eastAsia="黑体"/>
          <w:b/>
          <w:sz w:val="32"/>
          <w:szCs w:val="32"/>
        </w:rPr>
        <w:t xml:space="preserve"> </w:t>
      </w:r>
      <w:r>
        <w:rPr>
          <w:rFonts w:hint="eastAsia" w:ascii="黑体" w:hAnsi="黑体" w:eastAsia="黑体"/>
          <w:b/>
          <w:sz w:val="32"/>
          <w:szCs w:val="32"/>
        </w:rPr>
        <w:t>考核</w:t>
      </w:r>
    </w:p>
    <w:p>
      <w:pPr>
        <w:pStyle w:val="2"/>
        <w:spacing w:after="0" w:line="360" w:lineRule="auto"/>
        <w:ind w:firstLine="560" w:firstLineChars="200"/>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highlight w:val="yellow"/>
        </w:rPr>
        <w:t>考核标准以业主单位对甲方的考核要求为准。业主单位对甲方考核产生扣款的，甲方以同等金额在乙方的服务费用中扣减</w:t>
      </w:r>
      <w:r>
        <w:rPr>
          <w:rFonts w:hint="eastAsia" w:ascii="仿宋_GB2312" w:hAnsi="仿宋_GB2312" w:eastAsia="仿宋_GB2312" w:cs="仿宋_GB2312"/>
          <w:sz w:val="28"/>
          <w:szCs w:val="28"/>
          <w:highlight w:val="yellow"/>
          <w:lang w:eastAsia="zh-CN"/>
        </w:rPr>
        <w:t>，</w:t>
      </w:r>
      <w:r>
        <w:rPr>
          <w:rFonts w:hint="eastAsia" w:ascii="仿宋_GB2312" w:hAnsi="仿宋_GB2312" w:eastAsia="仿宋_GB2312" w:cs="仿宋_GB2312"/>
          <w:sz w:val="28"/>
          <w:szCs w:val="28"/>
          <w:highlight w:val="yellow"/>
          <w:lang w:val="en-US" w:eastAsia="zh-CN"/>
        </w:rPr>
        <w:t>如因乙方原因造成甲方其它经济损失的，甲方有权按损失金额扣款和追溯赔偿</w:t>
      </w:r>
      <w:r>
        <w:rPr>
          <w:rFonts w:hint="eastAsia" w:ascii="仿宋_GB2312" w:hAnsi="仿宋_GB2312" w:eastAsia="仿宋_GB2312" w:cs="仿宋_GB2312"/>
          <w:sz w:val="28"/>
          <w:szCs w:val="28"/>
          <w:highlight w:val="yellow"/>
        </w:rPr>
        <w:t>。</w:t>
      </w:r>
      <w:r>
        <w:rPr>
          <w:rFonts w:ascii="仿宋_GB2312" w:hAnsi="仿宋_GB2312" w:eastAsia="仿宋_GB2312" w:cs="仿宋_GB2312"/>
          <w:sz w:val="28"/>
          <w:szCs w:val="28"/>
          <w:highlight w:val="yellow"/>
        </w:rPr>
        <w:t xml:space="preserve"> </w:t>
      </w:r>
    </w:p>
    <w:p>
      <w:pPr>
        <w:spacing w:line="360" w:lineRule="auto"/>
        <w:rPr>
          <w:rFonts w:ascii="黑体" w:hAnsi="黑体" w:eastAsia="黑体"/>
          <w:b/>
          <w:sz w:val="32"/>
          <w:szCs w:val="32"/>
        </w:rPr>
      </w:pPr>
      <w:bookmarkStart w:id="353" w:name="_Toc19576"/>
      <w:bookmarkStart w:id="354" w:name="_Toc24239"/>
      <w:bookmarkStart w:id="355" w:name="_Toc19321"/>
      <w:r>
        <w:rPr>
          <w:rFonts w:hint="eastAsia" w:ascii="黑体" w:hAnsi="黑体" w:eastAsia="黑体"/>
          <w:b/>
          <w:sz w:val="32"/>
          <w:szCs w:val="32"/>
        </w:rPr>
        <w:t>第十一条</w:t>
      </w:r>
      <w:r>
        <w:rPr>
          <w:rFonts w:ascii="黑体" w:hAnsi="黑体" w:eastAsia="黑体"/>
          <w:b/>
          <w:sz w:val="32"/>
          <w:szCs w:val="32"/>
        </w:rPr>
        <w:t xml:space="preserve"> </w:t>
      </w:r>
      <w:r>
        <w:rPr>
          <w:rFonts w:hint="eastAsia" w:ascii="黑体" w:hAnsi="黑体" w:eastAsia="黑体"/>
          <w:b/>
          <w:sz w:val="32"/>
          <w:szCs w:val="32"/>
        </w:rPr>
        <w:t>违约责任</w:t>
      </w:r>
      <w:bookmarkEnd w:id="353"/>
      <w:bookmarkEnd w:id="354"/>
      <w:bookmarkEnd w:id="355"/>
    </w:p>
    <w:p>
      <w:pPr>
        <w:pStyle w:val="2"/>
        <w:spacing w:after="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在服务期间，如因公共利益，政策要求或者不可抗力等导致本合同无法履行的，甲方可单方解除本合同，费用按照实际发生结算，不视为甲方违约。</w:t>
      </w:r>
    </w:p>
    <w:p>
      <w:pPr>
        <w:spacing w:line="360" w:lineRule="auto"/>
        <w:rPr>
          <w:rFonts w:ascii="黑体" w:hAnsi="黑体" w:eastAsia="黑体"/>
          <w:b/>
          <w:sz w:val="32"/>
          <w:szCs w:val="32"/>
        </w:rPr>
      </w:pPr>
      <w:bookmarkStart w:id="356" w:name="_Toc8790"/>
      <w:bookmarkStart w:id="357" w:name="_Toc6665"/>
      <w:bookmarkStart w:id="358" w:name="_Toc12476"/>
      <w:r>
        <w:rPr>
          <w:rFonts w:hint="eastAsia" w:ascii="黑体" w:hAnsi="黑体" w:eastAsia="黑体"/>
          <w:b/>
          <w:sz w:val="32"/>
          <w:szCs w:val="32"/>
        </w:rPr>
        <w:t>第十二条</w:t>
      </w:r>
      <w:r>
        <w:rPr>
          <w:rFonts w:ascii="黑体" w:hAnsi="黑体" w:eastAsia="黑体"/>
          <w:b/>
          <w:sz w:val="32"/>
          <w:szCs w:val="32"/>
        </w:rPr>
        <w:t xml:space="preserve"> </w:t>
      </w:r>
      <w:r>
        <w:rPr>
          <w:rFonts w:hint="eastAsia" w:ascii="黑体" w:hAnsi="黑体" w:eastAsia="黑体"/>
          <w:b/>
          <w:sz w:val="32"/>
          <w:szCs w:val="32"/>
        </w:rPr>
        <w:t>争议的解决</w:t>
      </w:r>
      <w:bookmarkEnd w:id="356"/>
      <w:bookmarkEnd w:id="357"/>
      <w:bookmarkEnd w:id="358"/>
    </w:p>
    <w:p>
      <w:pPr>
        <w:pStyle w:val="2"/>
        <w:spacing w:after="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本合同执行过程中发生的争议，由甲乙双方协商解决；协商不成的，任何一方可向深圳市龙华区人民法院提起诉讼。</w:t>
      </w:r>
    </w:p>
    <w:p>
      <w:pPr>
        <w:spacing w:line="360" w:lineRule="auto"/>
        <w:rPr>
          <w:rFonts w:ascii="黑体" w:hAnsi="黑体" w:eastAsia="黑体"/>
          <w:b/>
          <w:sz w:val="32"/>
          <w:szCs w:val="32"/>
        </w:rPr>
      </w:pPr>
      <w:bookmarkStart w:id="359" w:name="_Toc30348"/>
      <w:bookmarkStart w:id="360" w:name="_Toc24999"/>
      <w:bookmarkStart w:id="361" w:name="_Toc16046"/>
      <w:r>
        <w:rPr>
          <w:rFonts w:hint="eastAsia" w:ascii="黑体" w:hAnsi="黑体" w:eastAsia="黑体"/>
          <w:b/>
          <w:sz w:val="32"/>
          <w:szCs w:val="32"/>
        </w:rPr>
        <w:t>第十三条</w:t>
      </w:r>
      <w:r>
        <w:rPr>
          <w:rFonts w:ascii="黑体" w:hAnsi="黑体" w:eastAsia="黑体"/>
          <w:b/>
          <w:sz w:val="32"/>
          <w:szCs w:val="32"/>
        </w:rPr>
        <w:t xml:space="preserve"> </w:t>
      </w:r>
      <w:r>
        <w:rPr>
          <w:rFonts w:hint="eastAsia" w:ascii="黑体" w:hAnsi="黑体" w:eastAsia="黑体"/>
          <w:b/>
          <w:sz w:val="32"/>
          <w:szCs w:val="32"/>
        </w:rPr>
        <w:t>合同组成、份数、生效及其他</w:t>
      </w:r>
      <w:bookmarkEnd w:id="359"/>
      <w:bookmarkEnd w:id="360"/>
      <w:bookmarkEnd w:id="361"/>
    </w:p>
    <w:p>
      <w:pPr>
        <w:pStyle w:val="2"/>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1、本合同未尽事宜，由双方友好协商，达成补充协议，补充协议与本合同具有同等的法律效力。</w:t>
      </w:r>
    </w:p>
    <w:p>
      <w:pPr>
        <w:pStyle w:val="2"/>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2、本合同由正文、附件组成，经双方法定代表人签字盖章后生效，共一式叁份，甲方执贰份，乙方执壹份，均具同等法律效力。</w:t>
      </w:r>
    </w:p>
    <w:p>
      <w:pPr>
        <w:pStyle w:val="2"/>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本合同载明的双方地址、电话为双方确认的联系方式，本合同履行期间，双方的任何通知、文件除了送至对方直接签收外，可按本合同载明联系方式以邮政特快专递送达另一方。任何一方变更联系方式应书面告知</w:t>
      </w:r>
      <w:r>
        <w:rPr>
          <w:rFonts w:hint="eastAsia" w:ascii="仿宋_GB2312" w:hAnsi="仿宋_GB2312" w:eastAsia="仿宋_GB2312" w:cs="仿宋_GB2312"/>
          <w:sz w:val="28"/>
          <w:szCs w:val="28"/>
        </w:rPr>
        <w:t>另一方，否则按原联系方式以邮政特快专递发出的通知、文件即使退回，仍视为送达。</w:t>
      </w:r>
    </w:p>
    <w:p>
      <w:pPr>
        <w:pStyle w:val="2"/>
        <w:spacing w:after="0"/>
        <w:ind w:firstLine="560" w:firstLineChars="200"/>
        <w:rPr>
          <w:rFonts w:ascii="仿宋_GB2312" w:hAnsi="仿宋_GB2312" w:eastAsia="仿宋_GB2312" w:cs="仿宋_GB2312"/>
          <w:sz w:val="28"/>
          <w:szCs w:val="28"/>
        </w:rPr>
      </w:pPr>
    </w:p>
    <w:p>
      <w:pPr>
        <w:pStyle w:val="2"/>
        <w:spacing w:after="0"/>
        <w:ind w:firstLine="560" w:firstLineChars="200"/>
        <w:rPr>
          <w:rFonts w:ascii="仿宋_GB2312" w:hAnsi="仿宋_GB2312" w:eastAsia="仿宋_GB2312" w:cs="仿宋_GB2312"/>
          <w:sz w:val="28"/>
          <w:szCs w:val="28"/>
        </w:rPr>
      </w:pPr>
    </w:p>
    <w:p>
      <w:pPr>
        <w:pStyle w:val="2"/>
        <w:spacing w:after="0"/>
        <w:ind w:firstLine="560" w:firstLineChars="200"/>
        <w:rPr>
          <w:rFonts w:ascii="仿宋_GB2312" w:hAnsi="仿宋_GB2312" w:eastAsia="仿宋_GB2312" w:cs="仿宋_GB2312"/>
          <w:sz w:val="28"/>
          <w:szCs w:val="28"/>
        </w:rPr>
      </w:pPr>
    </w:p>
    <w:p>
      <w:pPr>
        <w:ind w:left="0" w:leftChars="0"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甲方（盖章）：</w:t>
      </w:r>
      <w:r>
        <w:rPr>
          <w:rFonts w:hint="eastAsia" w:ascii="仿宋_GB2312" w:hAnsi="仿宋_GB2312" w:eastAsia="仿宋_GB2312" w:cs="仿宋_GB2312"/>
          <w:bCs/>
          <w:sz w:val="28"/>
          <w:szCs w:val="28"/>
          <w:lang w:val="en-US" w:eastAsia="zh-CN"/>
        </w:rPr>
        <w:t xml:space="preserve">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乙方（盖章）：</w:t>
      </w:r>
    </w:p>
    <w:p>
      <w:pPr>
        <w:ind w:left="0" w:leftChars="0" w:firstLine="0" w:firstLineChars="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法定代表人（签字或盖章）：</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法定代表人（签字或盖章）：</w:t>
      </w:r>
    </w:p>
    <w:p>
      <w:pPr>
        <w:ind w:left="0" w:leftChars="0" w:firstLine="0" w:firstLineChars="0"/>
      </w:pPr>
      <w:r>
        <w:rPr>
          <w:rFonts w:hint="eastAsia" w:ascii="仿宋_GB2312" w:hAnsi="仿宋_GB2312" w:eastAsia="仿宋_GB2312" w:cs="仿宋_GB2312"/>
          <w:bCs/>
          <w:sz w:val="28"/>
          <w:szCs w:val="28"/>
        </w:rPr>
        <w:t>授权代理人（签字）：</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val="en-US" w:eastAsia="zh-CN"/>
        </w:rPr>
        <w:t xml:space="preserve">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授权代理人（签字）：</w:t>
      </w:r>
    </w:p>
    <w:p>
      <w:pPr>
        <w:ind w:left="0" w:leftChars="0" w:firstLine="0" w:firstLineChars="0"/>
        <w:rPr>
          <w:rFonts w:ascii="仿宋_GB2312" w:hAnsi="仿宋_GB2312" w:eastAsia="仿宋_GB2312" w:cs="仿宋_GB2312"/>
          <w:bCs/>
          <w:sz w:val="28"/>
          <w:szCs w:val="28"/>
        </w:rPr>
      </w:pPr>
    </w:p>
    <w:p>
      <w:pPr>
        <w:rPr>
          <w:rFonts w:hint="eastAsia" w:ascii="宋体" w:hAnsi="宋体"/>
          <w:b/>
          <w:sz w:val="52"/>
          <w:szCs w:val="52"/>
        </w:rPr>
      </w:pP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 xml:space="preserve">            </w:t>
      </w:r>
      <w:r>
        <w:rPr>
          <w:rFonts w:hint="eastAsia" w:ascii="宋体" w:hAnsi="宋体"/>
          <w:b/>
          <w:sz w:val="52"/>
          <w:szCs w:val="52"/>
        </w:rPr>
        <w:br w:type="page"/>
      </w:r>
    </w:p>
    <w:p>
      <w:pPr>
        <w:widowControl w:val="0"/>
        <w:autoSpaceDE w:val="0"/>
        <w:autoSpaceDN w:val="0"/>
        <w:adjustRightInd w:val="0"/>
        <w:snapToGrid w:val="0"/>
        <w:ind w:firstLine="0" w:firstLineChars="0"/>
        <w:jc w:val="center"/>
        <w:outlineLvl w:val="0"/>
        <w:rPr>
          <w:rFonts w:ascii="宋体" w:hAnsi="宋体"/>
          <w:b/>
          <w:sz w:val="52"/>
          <w:szCs w:val="52"/>
        </w:rPr>
      </w:pPr>
      <w:r>
        <w:rPr>
          <w:rFonts w:hint="eastAsia" w:ascii="宋体" w:hAnsi="宋体"/>
          <w:b/>
          <w:sz w:val="52"/>
          <w:szCs w:val="52"/>
        </w:rPr>
        <w:t>第四章 项目需求</w:t>
      </w:r>
      <w:bookmarkEnd w:id="338"/>
    </w:p>
    <w:p>
      <w:pPr>
        <w:spacing w:line="360" w:lineRule="auto"/>
        <w:ind w:left="0" w:leftChars="0" w:firstLine="0" w:firstLineChars="0"/>
        <w:jc w:val="left"/>
        <w:rPr>
          <w:rFonts w:hint="eastAsia" w:ascii="宋体" w:hAnsi="宋体"/>
          <w:b/>
          <w:sz w:val="32"/>
        </w:rPr>
      </w:pPr>
      <w:bookmarkStart w:id="362" w:name="_Toc49247163"/>
      <w:r>
        <w:rPr>
          <w:rFonts w:hint="eastAsia" w:ascii="宋体" w:hAnsi="宋体"/>
          <w:b/>
          <w:sz w:val="32"/>
        </w:rPr>
        <w:t>第一节 商务条款</w:t>
      </w:r>
      <w:bookmarkEnd w:id="339"/>
      <w:bookmarkEnd w:id="340"/>
      <w:bookmarkEnd w:id="362"/>
    </w:p>
    <w:p>
      <w:pPr>
        <w:widowControl w:val="0"/>
        <w:autoSpaceDE w:val="0"/>
        <w:autoSpaceDN w:val="0"/>
        <w:adjustRightInd w:val="0"/>
        <w:snapToGrid w:val="0"/>
        <w:ind w:firstLine="0" w:firstLineChars="0"/>
        <w:jc w:val="center"/>
        <w:outlineLvl w:val="1"/>
        <w:rPr>
          <w:rFonts w:hint="eastAsia" w:ascii="宋体" w:hAnsi="宋体"/>
          <w:b/>
          <w:sz w:val="32"/>
        </w:rPr>
      </w:pPr>
      <w:r>
        <w:rPr>
          <w:rFonts w:hint="eastAsia" w:ascii="宋体" w:hAnsi="宋体" w:eastAsia="宋体"/>
          <w:sz w:val="21"/>
        </w:rPr>
        <w:t>注：带“★”项为不可偏离实质性要求，有一项不满足即导致投标无效。</w:t>
      </w:r>
    </w:p>
    <w:tbl>
      <w:tblPr>
        <w:tblStyle w:val="50"/>
        <w:tblpPr w:leftFromText="180" w:rightFromText="180" w:vertAnchor="text" w:horzAnchor="page" w:tblpX="1539" w:tblpY="10"/>
        <w:tblOverlap w:val="never"/>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0"/>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570" w:type="dxa"/>
            <w:noWrap w:val="0"/>
            <w:vAlign w:val="center"/>
          </w:tcPr>
          <w:p>
            <w:pPr>
              <w:keepNext w:val="0"/>
              <w:keepLines w:val="0"/>
              <w:pageBreakBefore w:val="0"/>
              <w:kinsoku/>
              <w:wordWrap/>
              <w:overflowPunct/>
              <w:topLinePunct w:val="0"/>
              <w:bidi w:val="0"/>
              <w:spacing w:line="240" w:lineRule="auto"/>
              <w:ind w:left="0" w:leftChars="0" w:firstLine="0" w:firstLineChars="0"/>
              <w:jc w:val="both"/>
              <w:textAlignment w:val="auto"/>
              <w:rPr>
                <w:rFonts w:ascii="黑体" w:hAnsi="黑体" w:eastAsia="黑体"/>
                <w:sz w:val="24"/>
                <w:szCs w:val="24"/>
              </w:rPr>
            </w:pPr>
            <w:bookmarkStart w:id="363" w:name="_Toc23526337"/>
            <w:bookmarkStart w:id="364" w:name="_Toc407023750"/>
            <w:r>
              <w:rPr>
                <w:rFonts w:hint="eastAsia" w:ascii="黑体" w:hAnsi="黑体" w:eastAsia="黑体"/>
                <w:sz w:val="24"/>
                <w:szCs w:val="24"/>
                <w:lang w:eastAsia="zh-CN"/>
              </w:rPr>
              <w:t>一、</w:t>
            </w:r>
            <w:r>
              <w:rPr>
                <w:rFonts w:hint="eastAsia" w:ascii="黑体" w:hAnsi="黑体" w:eastAsia="黑体"/>
                <w:sz w:val="24"/>
                <w:szCs w:val="24"/>
              </w:rPr>
              <w:t>招标项目概况</w:t>
            </w:r>
          </w:p>
          <w:p>
            <w:pPr>
              <w:keepNext w:val="0"/>
              <w:keepLines w:val="0"/>
              <w:pageBreakBefore w:val="0"/>
              <w:widowControl w:val="0"/>
              <w:kinsoku/>
              <w:wordWrap/>
              <w:overflowPunct/>
              <w:topLinePunct w:val="0"/>
              <w:autoSpaceDE w:val="0"/>
              <w:autoSpaceDN w:val="0"/>
              <w:bidi w:val="0"/>
              <w:adjustRightInd w:val="0"/>
              <w:snapToGrid w:val="0"/>
              <w:spacing w:line="240" w:lineRule="auto"/>
              <w:ind w:left="840" w:firstLine="0" w:firstLineChars="0"/>
              <w:jc w:val="center"/>
              <w:textAlignment w:val="auto"/>
              <w:outlineLvl w:val="1"/>
              <w:rPr>
                <w:rFonts w:hint="eastAsia" w:ascii="宋体" w:hAnsi="宋体"/>
                <w:b/>
                <w:sz w:val="24"/>
                <w:szCs w:val="24"/>
                <w:vertAlign w:val="baseline"/>
              </w:rPr>
            </w:pPr>
          </w:p>
        </w:tc>
        <w:tc>
          <w:tcPr>
            <w:tcW w:w="5953" w:type="dxa"/>
            <w:noWrap w:val="0"/>
            <w:vAlign w:val="top"/>
          </w:tcPr>
          <w:p>
            <w:pPr>
              <w:pStyle w:val="8"/>
              <w:ind w:left="0" w:leftChars="0" w:firstLine="0" w:firstLineChars="0"/>
              <w:rPr>
                <w:rFonts w:hint="eastAsia" w:ascii="宋体" w:hAnsi="宋体" w:eastAsia="宋体" w:cs="宋体"/>
                <w:b w:val="0"/>
                <w:bCs w:val="0"/>
                <w:color w:val="595959" w:themeColor="text1" w:themeTint="A6"/>
                <w:sz w:val="21"/>
                <w:szCs w:val="21"/>
                <w14:textFill>
                  <w14:solidFill>
                    <w14:schemeClr w14:val="tx1">
                      <w14:lumMod w14:val="65000"/>
                      <w14:lumOff w14:val="35000"/>
                    </w14:schemeClr>
                  </w14:solidFill>
                </w14:textFill>
              </w:rPr>
            </w:pPr>
            <w:r>
              <w:rPr>
                <w:rFonts w:hint="eastAsia" w:ascii="宋体" w:hAnsi="宋体" w:eastAsia="宋体" w:cs="宋体"/>
                <w:b w:val="0"/>
                <w:bCs w:val="0"/>
                <w:color w:val="595959" w:themeColor="text1" w:themeTint="A6"/>
                <w:sz w:val="21"/>
                <w:szCs w:val="21"/>
                <w14:textFill>
                  <w14:solidFill>
                    <w14:schemeClr w14:val="tx1">
                      <w14:lumMod w14:val="65000"/>
                      <w14:lumOff w14:val="35000"/>
                    </w14:schemeClr>
                  </w14:solidFill>
                </w14:textFill>
              </w:rPr>
              <w:t>保障大浪街道辖区内的非市政道路路灯的正常照明，包括该范围内的灯杆、灯具、箱变（配电房、配电柜）及其他电气控制设施、配套设施、架空电缆套管等管养、维护</w:t>
            </w:r>
            <w:r>
              <w:rPr>
                <w:rFonts w:hint="eastAsia" w:ascii="宋体" w:hAnsi="宋体" w:eastAsia="宋体" w:cs="宋体"/>
                <w:b w:val="0"/>
                <w:bCs w:val="0"/>
                <w:color w:val="595959" w:themeColor="text1" w:themeTint="A6"/>
                <w:sz w:val="21"/>
                <w:szCs w:val="21"/>
                <w:lang w:eastAsia="zh-CN"/>
                <w14:textFill>
                  <w14:solidFill>
                    <w14:schemeClr w14:val="tx1">
                      <w14:lumMod w14:val="65000"/>
                      <w14:lumOff w14:val="35000"/>
                    </w14:schemeClr>
                  </w14:solidFill>
                </w14:textFill>
              </w:rPr>
              <w:t>。</w:t>
            </w:r>
            <w:r>
              <w:rPr>
                <w:rFonts w:hint="eastAsia" w:ascii="宋体" w:hAnsi="宋体" w:eastAsia="宋体" w:cs="宋体"/>
                <w:b w:val="0"/>
                <w:bCs w:val="0"/>
                <w:color w:val="595959" w:themeColor="text1" w:themeTint="A6"/>
                <w:sz w:val="21"/>
                <w:szCs w:val="21"/>
                <w14:textFill>
                  <w14:solidFill>
                    <w14:schemeClr w14:val="tx1">
                      <w14:lumMod w14:val="65000"/>
                      <w14:lumOff w14:val="35000"/>
                    </w14:schemeClr>
                  </w14:solidFill>
                </w14:textFill>
              </w:rPr>
              <w:t>街道辖区范围内涉及城中村路灯相关安全生产及消防安全工作。</w:t>
            </w:r>
          </w:p>
          <w:p>
            <w:pPr>
              <w:pStyle w:val="8"/>
              <w:ind w:left="0" w:leftChars="0" w:firstLine="0" w:firstLineChars="0"/>
              <w:rPr>
                <w:rFonts w:hint="eastAsia" w:ascii="宋体" w:hAnsi="宋体" w:eastAsia="宋体" w:cs="宋体"/>
                <w:b w:val="0"/>
                <w:bCs w:val="0"/>
                <w:color w:val="595959" w:themeColor="text1" w:themeTint="A6"/>
                <w:sz w:val="21"/>
                <w:szCs w:val="21"/>
                <w:lang w:val="en-US" w:eastAsia="zh-CN"/>
                <w14:textFill>
                  <w14:solidFill>
                    <w14:schemeClr w14:val="tx1">
                      <w14:lumMod w14:val="65000"/>
                      <w14:lumOff w14:val="35000"/>
                    </w14:schemeClr>
                  </w14:solidFill>
                </w14:textFill>
              </w:rPr>
            </w:pPr>
            <w:r>
              <w:rPr>
                <w:rFonts w:hint="eastAsia" w:ascii="宋体" w:hAnsi="宋体" w:eastAsia="宋体" w:cs="宋体"/>
                <w:b w:val="0"/>
                <w:bCs w:val="0"/>
                <w:color w:val="595959" w:themeColor="text1" w:themeTint="A6"/>
                <w:sz w:val="21"/>
                <w:szCs w:val="21"/>
                <w:lang w:val="en-US" w:eastAsia="zh-CN"/>
                <w14:textFill>
                  <w14:solidFill>
                    <w14:schemeClr w14:val="tx1">
                      <w14:lumMod w14:val="65000"/>
                      <w14:lumOff w14:val="35000"/>
                    </w14:schemeClr>
                  </w14:solidFill>
                </w14:textFill>
              </w:rPr>
              <w:t>本次招标主要内容包括以下方面：</w:t>
            </w:r>
          </w:p>
          <w:p>
            <w:pPr>
              <w:pStyle w:val="8"/>
              <w:ind w:left="0" w:leftChars="0" w:firstLine="0" w:firstLineChars="0"/>
              <w:rPr>
                <w:rFonts w:hint="eastAsia"/>
              </w:rPr>
            </w:pPr>
            <w:r>
              <w:rPr>
                <w:rFonts w:hint="eastAsia" w:ascii="宋体" w:hAnsi="宋体" w:eastAsia="宋体" w:cs="宋体"/>
                <w:b w:val="0"/>
                <w:bCs w:val="0"/>
                <w:color w:val="595959" w:themeColor="text1" w:themeTint="A6"/>
                <w:sz w:val="21"/>
                <w:szCs w:val="21"/>
                <w14:textFill>
                  <w14:solidFill>
                    <w14:schemeClr w14:val="tx1">
                      <w14:lumMod w14:val="65000"/>
                      <w14:lumOff w14:val="35000"/>
                    </w14:schemeClr>
                  </w14:solidFill>
                </w14:textFill>
              </w:rPr>
              <w:t>1、</w:t>
            </w:r>
            <w:r>
              <w:rPr>
                <w:rFonts w:hint="eastAsia" w:ascii="宋体" w:hAnsi="宋体" w:eastAsia="宋体" w:cs="宋体"/>
                <w:b w:val="0"/>
                <w:bCs w:val="0"/>
                <w:color w:val="595959" w:themeColor="text1" w:themeTint="A6"/>
                <w:sz w:val="21"/>
                <w:szCs w:val="21"/>
                <w:lang w:val="en-US" w:eastAsia="zh-CN"/>
                <w14:textFill>
                  <w14:solidFill>
                    <w14:schemeClr w14:val="tx1">
                      <w14:lumMod w14:val="65000"/>
                      <w14:lumOff w14:val="35000"/>
                    </w14:schemeClr>
                  </w14:solidFill>
                </w14:textFill>
              </w:rPr>
              <w:t>非市政道路路灯照明设施日常维护，</w:t>
            </w:r>
            <w:r>
              <w:rPr>
                <w:rFonts w:hint="eastAsia" w:ascii="宋体" w:hAnsi="宋体" w:eastAsia="宋体" w:cs="宋体"/>
                <w:b w:val="0"/>
                <w:bCs w:val="0"/>
                <w:color w:val="595959" w:themeColor="text1" w:themeTint="A6"/>
                <w:sz w:val="21"/>
                <w:szCs w:val="21"/>
                <w14:textFill>
                  <w14:solidFill>
                    <w14:schemeClr w14:val="tx1">
                      <w14:lumMod w14:val="65000"/>
                      <w14:lumOff w14:val="35000"/>
                    </w14:schemeClr>
                  </w14:solidFill>
                </w14:textFill>
              </w:rPr>
              <w:t>确保亮灯率。2、清洗灯杆、灯具。3、灯杆（含灯臂）喷漆翻新。4、低压柜（屏）维护检测及维护。5、高杆灯维护。6、灯容灯貌的清洁及维护。7、漏电检测。8、破损路灯设施的修复。9、电缆及附属设施维护。10、新增路灯及基设施的接管。11、路灯数量统计。12、修剪遮挡路灯照明的绿化。13、外接用电的检查。14、迎检活动。15、照度检测。16、箱变回路情况的统计。17、维护工作报表的填报。18、投诉案件处理。19、安全文明施工检查。20、消防安全工作检查。21、临时性、突出性工作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5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黑体" w:hAnsi="黑体" w:eastAsia="黑体"/>
                <w:kern w:val="0"/>
                <w:sz w:val="24"/>
                <w:szCs w:val="24"/>
                <w:lang w:eastAsia="zh-CN"/>
              </w:rPr>
            </w:pPr>
            <w:r>
              <w:rPr>
                <w:rFonts w:hint="eastAsia" w:ascii="黑体" w:hAnsi="黑体" w:eastAsia="黑体"/>
                <w:sz w:val="24"/>
                <w:szCs w:val="24"/>
                <w:lang w:eastAsia="zh-CN"/>
              </w:rPr>
              <w:t>二、</w:t>
            </w:r>
            <w:r>
              <w:rPr>
                <w:rFonts w:hint="eastAsia" w:ascii="黑体" w:hAnsi="黑体" w:eastAsia="黑体"/>
                <w:kern w:val="0"/>
                <w:sz w:val="24"/>
                <w:szCs w:val="24"/>
                <w:lang w:eastAsia="zh-CN"/>
              </w:rPr>
              <w:t>服务期限</w:t>
            </w:r>
          </w:p>
          <w:p>
            <w:pPr>
              <w:keepNext w:val="0"/>
              <w:keepLines w:val="0"/>
              <w:pageBreakBefore w:val="0"/>
              <w:widowControl w:val="0"/>
              <w:kinsoku/>
              <w:wordWrap/>
              <w:overflowPunct/>
              <w:topLinePunct w:val="0"/>
              <w:autoSpaceDE w:val="0"/>
              <w:autoSpaceDN w:val="0"/>
              <w:bidi w:val="0"/>
              <w:adjustRightInd w:val="0"/>
              <w:snapToGrid w:val="0"/>
              <w:spacing w:line="240" w:lineRule="auto"/>
              <w:ind w:left="840" w:firstLine="0" w:firstLineChars="0"/>
              <w:jc w:val="center"/>
              <w:textAlignment w:val="auto"/>
              <w:outlineLvl w:val="1"/>
              <w:rPr>
                <w:rFonts w:hint="eastAsia" w:ascii="宋体" w:hAnsi="宋体"/>
                <w:b/>
                <w:sz w:val="24"/>
                <w:szCs w:val="24"/>
                <w:vertAlign w:val="baseline"/>
              </w:rPr>
            </w:pPr>
          </w:p>
        </w:tc>
        <w:tc>
          <w:tcPr>
            <w:tcW w:w="5953" w:type="dxa"/>
            <w:noWrap w:val="0"/>
            <w:vAlign w:val="top"/>
          </w:tcPr>
          <w:p>
            <w:pPr>
              <w:pageBreakBefore w:val="0"/>
              <w:kinsoku/>
              <w:overflowPunct/>
              <w:topLinePunct w:val="0"/>
              <w:bidi w:val="0"/>
              <w:spacing w:beforeAutospacing="0" w:afterAutospacing="0" w:line="360" w:lineRule="auto"/>
              <w:ind w:left="0" w:leftChars="0" w:right="0" w:firstLine="0" w:firstLineChars="0"/>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计划服务时间，2024年1月1日；计划完工日期：2024年12月31日；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570" w:type="dxa"/>
            <w:noWrap w:val="0"/>
            <w:vAlign w:val="center"/>
          </w:tcPr>
          <w:p>
            <w:pPr>
              <w:keepNext w:val="0"/>
              <w:keepLines w:val="0"/>
              <w:pageBreakBefore w:val="0"/>
              <w:numPr>
                <w:ilvl w:val="0"/>
                <w:numId w:val="0"/>
              </w:numPr>
              <w:kinsoku/>
              <w:wordWrap/>
              <w:overflowPunct/>
              <w:topLinePunct w:val="0"/>
              <w:bidi w:val="0"/>
              <w:spacing w:line="240" w:lineRule="auto"/>
              <w:ind w:left="1039" w:leftChars="0" w:hanging="1039" w:hangingChars="495"/>
              <w:jc w:val="both"/>
              <w:textAlignment w:val="auto"/>
              <w:rPr>
                <w:rFonts w:hint="eastAsia" w:ascii="黑体" w:hAnsi="黑体" w:eastAsia="黑体"/>
                <w:kern w:val="0"/>
                <w:sz w:val="24"/>
                <w:szCs w:val="24"/>
                <w:highlight w:val="none"/>
                <w:lang w:eastAsia="zh-CN"/>
              </w:rPr>
            </w:pPr>
            <w:r>
              <w:rPr>
                <w:rFonts w:hint="eastAsia" w:ascii="宋体" w:hAnsi="宋体" w:eastAsia="宋体"/>
                <w:sz w:val="21"/>
                <w:highlight w:val="none"/>
              </w:rPr>
              <w:t>★</w:t>
            </w:r>
            <w:r>
              <w:rPr>
                <w:rFonts w:hint="eastAsia" w:ascii="黑体" w:hAnsi="黑体" w:eastAsia="黑体" w:cs="黑体"/>
                <w:sz w:val="24"/>
                <w:szCs w:val="24"/>
                <w:highlight w:val="none"/>
                <w:lang w:eastAsia="zh-CN"/>
              </w:rPr>
              <w:t>三、</w:t>
            </w:r>
            <w:r>
              <w:rPr>
                <w:rFonts w:hint="eastAsia" w:ascii="黑体" w:hAnsi="黑体" w:eastAsia="黑体"/>
                <w:kern w:val="0"/>
                <w:sz w:val="24"/>
                <w:szCs w:val="24"/>
                <w:highlight w:val="none"/>
                <w:lang w:eastAsia="zh-CN"/>
              </w:rPr>
              <w:t>报价要求</w:t>
            </w:r>
          </w:p>
          <w:p>
            <w:pPr>
              <w:keepNext w:val="0"/>
              <w:keepLines w:val="0"/>
              <w:pageBreakBefore w:val="0"/>
              <w:widowControl w:val="0"/>
              <w:kinsoku/>
              <w:wordWrap/>
              <w:overflowPunct/>
              <w:topLinePunct w:val="0"/>
              <w:autoSpaceDE w:val="0"/>
              <w:autoSpaceDN w:val="0"/>
              <w:bidi w:val="0"/>
              <w:adjustRightInd w:val="0"/>
              <w:snapToGrid w:val="0"/>
              <w:spacing w:line="240" w:lineRule="auto"/>
              <w:ind w:left="840" w:leftChars="0" w:firstLine="0" w:firstLineChars="0"/>
              <w:jc w:val="center"/>
              <w:textAlignment w:val="auto"/>
              <w:outlineLvl w:val="1"/>
              <w:rPr>
                <w:rFonts w:hint="eastAsia" w:ascii="宋体" w:hAnsi="宋体"/>
                <w:b/>
                <w:sz w:val="24"/>
                <w:szCs w:val="24"/>
                <w:highlight w:val="none"/>
                <w:vertAlign w:val="baseline"/>
              </w:rPr>
            </w:pPr>
          </w:p>
        </w:tc>
        <w:tc>
          <w:tcPr>
            <w:tcW w:w="5953" w:type="dxa"/>
            <w:noWrap w:val="0"/>
            <w:vAlign w:val="top"/>
          </w:tcPr>
          <w:p>
            <w:pPr>
              <w:pageBreakBefore w:val="0"/>
              <w:kinsoku/>
              <w:overflowPunct/>
              <w:topLinePunct w:val="0"/>
              <w:bidi w:val="0"/>
              <w:spacing w:beforeAutospacing="0" w:afterAutospacing="0" w:line="360" w:lineRule="auto"/>
              <w:ind w:left="0" w:leftChars="0" w:right="0" w:firstLine="0" w:firstLineChars="0"/>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投标上限价807524.19元（大写：捌拾万柒仟伍佰贰拾肆元壹角玖分），上限价包含物料费、服务费、税费、管理费用。</w:t>
            </w:r>
          </w:p>
          <w:p>
            <w:pPr>
              <w:pageBreakBefore w:val="0"/>
              <w:kinsoku/>
              <w:overflowPunct/>
              <w:topLinePunct w:val="0"/>
              <w:bidi w:val="0"/>
              <w:spacing w:beforeAutospacing="0" w:afterAutospacing="0" w:line="360" w:lineRule="auto"/>
              <w:ind w:left="0" w:leftChars="0" w:right="0" w:firstLine="0" w:firstLineChars="0"/>
              <w:rPr>
                <w:rFonts w:hint="default"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报价不得超过上限价</w:t>
            </w:r>
            <w:r>
              <w:rPr>
                <w:rFonts w:hint="eastAsia" w:eastAsia="宋体" w:cs="Times New Roman"/>
                <w:b w:val="0"/>
                <w:bCs w:val="0"/>
                <w:kern w:val="2"/>
                <w:sz w:val="21"/>
                <w:szCs w:val="24"/>
                <w:lang w:val="en-US" w:eastAsia="zh-CN" w:bidi="ar-SA"/>
              </w:rPr>
              <w:t>，否则无效。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center"/>
          </w:tcPr>
          <w:p>
            <w:pPr>
              <w:keepNext w:val="0"/>
              <w:keepLines w:val="0"/>
              <w:pageBreakBefore w:val="0"/>
              <w:numPr>
                <w:ilvl w:val="0"/>
                <w:numId w:val="0"/>
              </w:numPr>
              <w:kinsoku/>
              <w:wordWrap/>
              <w:overflowPunct/>
              <w:topLinePunct w:val="0"/>
              <w:bidi w:val="0"/>
              <w:spacing w:line="240" w:lineRule="auto"/>
              <w:ind w:left="1039" w:leftChars="0" w:hanging="1039" w:hangingChars="495"/>
              <w:jc w:val="both"/>
              <w:textAlignment w:val="auto"/>
              <w:rPr>
                <w:rFonts w:hint="eastAsia" w:ascii="黑体" w:hAnsi="黑体" w:eastAsia="黑体"/>
                <w:kern w:val="0"/>
                <w:sz w:val="24"/>
                <w:szCs w:val="24"/>
                <w:highlight w:val="none"/>
                <w:lang w:val="en-US" w:eastAsia="zh-CN"/>
              </w:rPr>
            </w:pPr>
            <w:r>
              <w:rPr>
                <w:rFonts w:hint="eastAsia" w:ascii="宋体" w:hAnsi="宋体" w:eastAsia="宋体"/>
                <w:sz w:val="21"/>
                <w:highlight w:val="none"/>
              </w:rPr>
              <w:t>★</w:t>
            </w:r>
            <w:r>
              <w:rPr>
                <w:rFonts w:hint="eastAsia" w:ascii="黑体" w:hAnsi="黑体" w:eastAsia="黑体"/>
                <w:kern w:val="0"/>
                <w:sz w:val="24"/>
                <w:szCs w:val="24"/>
                <w:highlight w:val="none"/>
                <w:lang w:val="en-US" w:eastAsia="zh-CN"/>
              </w:rPr>
              <w:t>四、付款方式</w:t>
            </w:r>
          </w:p>
          <w:p>
            <w:pPr>
              <w:keepNext w:val="0"/>
              <w:keepLines w:val="0"/>
              <w:pageBreakBefore w:val="0"/>
              <w:widowControl w:val="0"/>
              <w:kinsoku/>
              <w:wordWrap/>
              <w:overflowPunct/>
              <w:topLinePunct w:val="0"/>
              <w:autoSpaceDE w:val="0"/>
              <w:autoSpaceDN w:val="0"/>
              <w:bidi w:val="0"/>
              <w:adjustRightInd w:val="0"/>
              <w:snapToGrid w:val="0"/>
              <w:spacing w:line="240" w:lineRule="auto"/>
              <w:ind w:left="840" w:leftChars="0" w:firstLine="0" w:firstLineChars="0"/>
              <w:jc w:val="center"/>
              <w:textAlignment w:val="auto"/>
              <w:outlineLvl w:val="1"/>
              <w:rPr>
                <w:rFonts w:hint="eastAsia" w:ascii="宋体" w:hAnsi="宋体"/>
                <w:b/>
                <w:sz w:val="24"/>
                <w:szCs w:val="24"/>
                <w:highlight w:val="none"/>
                <w:vertAlign w:val="baseline"/>
              </w:rPr>
            </w:pPr>
          </w:p>
        </w:tc>
        <w:tc>
          <w:tcPr>
            <w:tcW w:w="5953" w:type="dxa"/>
            <w:noWrap w:val="0"/>
            <w:vAlign w:val="top"/>
          </w:tcPr>
          <w:p>
            <w:pPr>
              <w:pStyle w:val="25"/>
              <w:ind w:left="0" w:leftChars="0" w:firstLine="0" w:firstLineChars="0"/>
              <w:rPr>
                <w:rFonts w:hint="eastAsia" w:ascii="宋体" w:hAnsi="宋体"/>
                <w:b/>
                <w:sz w:val="32"/>
                <w:highlight w:val="none"/>
                <w:vertAlign w:val="baseline"/>
              </w:rPr>
            </w:pPr>
            <w:r>
              <w:rPr>
                <w:rFonts w:hint="eastAsia" w:hAnsi="宋体" w:cs="宋体"/>
                <w:b w:val="0"/>
                <w:bCs w:val="0"/>
                <w:kern w:val="2"/>
                <w:sz w:val="21"/>
                <w:szCs w:val="21"/>
                <w:highlight w:val="none"/>
                <w:lang w:val="en-US" w:eastAsia="zh-CN" w:bidi="ar-SA"/>
              </w:rPr>
              <w:t>本合同一招一年，</w:t>
            </w:r>
            <w:r>
              <w:rPr>
                <w:rFonts w:hint="eastAsia" w:hAnsi="宋体" w:eastAsia="宋体" w:cs="宋体"/>
                <w:bCs/>
                <w:color w:val="595959" w:themeColor="text1" w:themeTint="A6"/>
                <w14:textFill>
                  <w14:solidFill>
                    <w14:schemeClr w14:val="tx1">
                      <w14:lumMod w14:val="65000"/>
                      <w14:lumOff w14:val="35000"/>
                    </w14:schemeClr>
                  </w14:solidFill>
                </w14:textFill>
              </w:rPr>
              <w:t>每6个月根据街道主管单位的验收结果支付一次服务费。</w:t>
            </w:r>
          </w:p>
        </w:tc>
      </w:tr>
      <w:bookmarkEnd w:id="363"/>
    </w:tbl>
    <w:p>
      <w:pPr>
        <w:widowControl w:val="0"/>
        <w:autoSpaceDE w:val="0"/>
        <w:autoSpaceDN w:val="0"/>
        <w:adjustRightInd w:val="0"/>
        <w:snapToGrid w:val="0"/>
        <w:ind w:left="0" w:leftChars="0" w:firstLine="0" w:firstLineChars="0"/>
        <w:jc w:val="center"/>
        <w:outlineLvl w:val="1"/>
        <w:rPr>
          <w:rFonts w:ascii="宋体" w:hAnsi="宋体"/>
          <w:sz w:val="28"/>
        </w:rPr>
      </w:pPr>
      <w:r>
        <w:rPr>
          <w:rFonts w:ascii="宋体" w:hAnsi="宋体"/>
          <w:sz w:val="28"/>
        </w:rPr>
        <w:br w:type="page"/>
      </w:r>
      <w:bookmarkEnd w:id="364"/>
    </w:p>
    <w:p>
      <w:pPr>
        <w:widowControl w:val="0"/>
        <w:autoSpaceDE w:val="0"/>
        <w:autoSpaceDN w:val="0"/>
        <w:adjustRightInd w:val="0"/>
        <w:snapToGrid w:val="0"/>
        <w:ind w:firstLine="0" w:firstLineChars="0"/>
        <w:jc w:val="center"/>
        <w:outlineLvl w:val="0"/>
        <w:rPr>
          <w:rFonts w:ascii="宋体" w:hAnsi="宋体"/>
          <w:sz w:val="52"/>
          <w:szCs w:val="52"/>
        </w:rPr>
      </w:pPr>
      <w:bookmarkStart w:id="365" w:name="_Toc49247165"/>
      <w:bookmarkStart w:id="366" w:name="_Toc152042575"/>
      <w:bookmarkStart w:id="367" w:name="_Toc152045786"/>
      <w:bookmarkStart w:id="368" w:name="_Toc144974855"/>
      <w:r>
        <w:rPr>
          <w:rFonts w:hint="eastAsia" w:ascii="宋体" w:hAnsi="宋体"/>
          <w:b/>
          <w:bCs/>
          <w:sz w:val="52"/>
          <w:szCs w:val="52"/>
        </w:rPr>
        <w:t>第五章 投标文件格式</w:t>
      </w:r>
      <w:bookmarkEnd w:id="365"/>
      <w:bookmarkEnd w:id="366"/>
      <w:bookmarkEnd w:id="367"/>
      <w:bookmarkEnd w:id="368"/>
    </w:p>
    <w:p>
      <w:pPr>
        <w:widowControl w:val="0"/>
        <w:autoSpaceDE w:val="0"/>
        <w:autoSpaceDN w:val="0"/>
        <w:adjustRightInd w:val="0"/>
        <w:snapToGrid w:val="0"/>
        <w:ind w:firstLine="0" w:firstLineChars="0"/>
        <w:jc w:val="center"/>
        <w:rPr>
          <w:rFonts w:ascii="宋体" w:hAnsi="宋体"/>
          <w:sz w:val="84"/>
          <w:szCs w:val="84"/>
        </w:rPr>
      </w:pPr>
      <w:r>
        <w:rPr>
          <w:rFonts w:ascii="宋体" w:hAnsi="宋体"/>
        </w:rPr>
        <w:br w:type="page"/>
      </w:r>
      <w:bookmarkStart w:id="369" w:name="_Toc277844084"/>
      <w:bookmarkStart w:id="370" w:name="_Toc277844085"/>
    </w:p>
    <w:p>
      <w:pPr>
        <w:widowControl w:val="0"/>
        <w:autoSpaceDE w:val="0"/>
        <w:autoSpaceDN w:val="0"/>
        <w:adjustRightInd w:val="0"/>
        <w:snapToGrid w:val="0"/>
        <w:ind w:firstLine="0" w:firstLineChars="0"/>
        <w:jc w:val="center"/>
        <w:rPr>
          <w:rFonts w:ascii="宋体" w:hAnsi="宋体"/>
          <w:sz w:val="84"/>
          <w:szCs w:val="84"/>
        </w:rPr>
      </w:pPr>
    </w:p>
    <w:p>
      <w:pPr>
        <w:widowControl w:val="0"/>
        <w:autoSpaceDE w:val="0"/>
        <w:autoSpaceDN w:val="0"/>
        <w:adjustRightInd w:val="0"/>
        <w:snapToGrid w:val="0"/>
        <w:ind w:firstLine="0" w:firstLineChars="0"/>
        <w:jc w:val="center"/>
        <w:rPr>
          <w:rFonts w:ascii="宋体" w:hAnsi="宋体"/>
          <w:b/>
          <w:sz w:val="20"/>
          <w:szCs w:val="20"/>
        </w:rPr>
      </w:pPr>
      <w:r>
        <w:rPr>
          <w:rFonts w:hint="eastAsia" w:ascii="宋体" w:hAnsi="宋体" w:cs="Courier New"/>
          <w:b/>
          <w:bCs/>
          <w:sz w:val="84"/>
          <w:szCs w:val="84"/>
        </w:rPr>
        <w:t>投标文件</w:t>
      </w:r>
    </w:p>
    <w:p>
      <w:pPr>
        <w:widowControl w:val="0"/>
        <w:autoSpaceDE w:val="0"/>
        <w:autoSpaceDN w:val="0"/>
        <w:adjustRightInd w:val="0"/>
        <w:snapToGrid w:val="0"/>
        <w:ind w:firstLine="0" w:firstLineChars="0"/>
        <w:jc w:val="center"/>
        <w:rPr>
          <w:rFonts w:ascii="宋体" w:hAnsi="宋体"/>
          <w:sz w:val="28"/>
          <w:szCs w:val="28"/>
        </w:rPr>
      </w:pPr>
    </w:p>
    <w:p>
      <w:pPr>
        <w:widowControl w:val="0"/>
        <w:autoSpaceDE w:val="0"/>
        <w:autoSpaceDN w:val="0"/>
        <w:adjustRightInd w:val="0"/>
        <w:snapToGrid w:val="0"/>
        <w:ind w:firstLine="0" w:firstLineChars="0"/>
        <w:jc w:val="center"/>
        <w:rPr>
          <w:rFonts w:ascii="宋体" w:hAnsi="宋体"/>
          <w:sz w:val="28"/>
          <w:szCs w:val="28"/>
        </w:rPr>
      </w:pPr>
    </w:p>
    <w:p>
      <w:pPr>
        <w:widowControl w:val="0"/>
        <w:autoSpaceDE w:val="0"/>
        <w:autoSpaceDN w:val="0"/>
        <w:adjustRightInd w:val="0"/>
        <w:snapToGrid w:val="0"/>
        <w:ind w:firstLine="0" w:firstLineChars="0"/>
        <w:jc w:val="center"/>
        <w:rPr>
          <w:rFonts w:ascii="宋体" w:hAnsi="宋体"/>
          <w:sz w:val="28"/>
          <w:szCs w:val="28"/>
        </w:rPr>
      </w:pPr>
    </w:p>
    <w:p>
      <w:pPr>
        <w:widowControl w:val="0"/>
        <w:autoSpaceDE w:val="0"/>
        <w:autoSpaceDN w:val="0"/>
        <w:adjustRightInd w:val="0"/>
        <w:snapToGrid w:val="0"/>
        <w:ind w:firstLine="0" w:firstLineChars="0"/>
        <w:jc w:val="center"/>
        <w:rPr>
          <w:rFonts w:hint="eastAsia" w:ascii="宋体" w:hAnsi="宋体"/>
          <w:sz w:val="28"/>
          <w:szCs w:val="28"/>
        </w:rPr>
      </w:pPr>
    </w:p>
    <w:tbl>
      <w:tblPr>
        <w:tblStyle w:val="49"/>
        <w:tblW w:w="8523" w:type="dxa"/>
        <w:tblInd w:w="0" w:type="dxa"/>
        <w:tblLayout w:type="fixed"/>
        <w:tblCellMar>
          <w:top w:w="0" w:type="dxa"/>
          <w:left w:w="108" w:type="dxa"/>
          <w:bottom w:w="0" w:type="dxa"/>
          <w:right w:w="108" w:type="dxa"/>
        </w:tblCellMar>
      </w:tblPr>
      <w:tblGrid>
        <w:gridCol w:w="3650"/>
        <w:gridCol w:w="4873"/>
      </w:tblGrid>
      <w:tr>
        <w:tblPrEx>
          <w:tblCellMar>
            <w:top w:w="0" w:type="dxa"/>
            <w:left w:w="108" w:type="dxa"/>
            <w:bottom w:w="0" w:type="dxa"/>
            <w:right w:w="108" w:type="dxa"/>
          </w:tblCellMar>
        </w:tblPrEx>
        <w:tc>
          <w:tcPr>
            <w:tcW w:w="3650" w:type="dxa"/>
            <w:noWrap w:val="0"/>
            <w:vAlign w:val="center"/>
          </w:tcPr>
          <w:p>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项目名称：</w:t>
            </w:r>
          </w:p>
        </w:tc>
        <w:tc>
          <w:tcPr>
            <w:tcW w:w="4873" w:type="dxa"/>
            <w:noWrap w:val="0"/>
            <w:vAlign w:val="center"/>
          </w:tcPr>
          <w:p>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tblPrEx>
          <w:tblCellMar>
            <w:top w:w="0" w:type="dxa"/>
            <w:left w:w="108" w:type="dxa"/>
            <w:bottom w:w="0" w:type="dxa"/>
            <w:right w:w="108" w:type="dxa"/>
          </w:tblCellMar>
        </w:tblPrEx>
        <w:tc>
          <w:tcPr>
            <w:tcW w:w="3650" w:type="dxa"/>
            <w:noWrap w:val="0"/>
            <w:vAlign w:val="center"/>
          </w:tcPr>
          <w:p>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项目编号：</w:t>
            </w:r>
          </w:p>
        </w:tc>
        <w:tc>
          <w:tcPr>
            <w:tcW w:w="4873" w:type="dxa"/>
            <w:noWrap w:val="0"/>
            <w:vAlign w:val="center"/>
          </w:tcPr>
          <w:p>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tblPrEx>
          <w:tblCellMar>
            <w:top w:w="0" w:type="dxa"/>
            <w:left w:w="108" w:type="dxa"/>
            <w:bottom w:w="0" w:type="dxa"/>
            <w:right w:w="108" w:type="dxa"/>
          </w:tblCellMar>
        </w:tblPrEx>
        <w:tc>
          <w:tcPr>
            <w:tcW w:w="3650" w:type="dxa"/>
            <w:noWrap w:val="0"/>
            <w:vAlign w:val="center"/>
          </w:tcPr>
          <w:p>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投标人：</w:t>
            </w:r>
          </w:p>
        </w:tc>
        <w:tc>
          <w:tcPr>
            <w:tcW w:w="4873" w:type="dxa"/>
            <w:noWrap w:val="0"/>
            <w:vAlign w:val="center"/>
          </w:tcPr>
          <w:p>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tblPrEx>
          <w:tblCellMar>
            <w:top w:w="0" w:type="dxa"/>
            <w:left w:w="108" w:type="dxa"/>
            <w:bottom w:w="0" w:type="dxa"/>
            <w:right w:w="108" w:type="dxa"/>
          </w:tblCellMar>
        </w:tblPrEx>
        <w:tc>
          <w:tcPr>
            <w:tcW w:w="3650" w:type="dxa"/>
            <w:noWrap w:val="0"/>
            <w:vAlign w:val="center"/>
          </w:tcPr>
          <w:p>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法定代表人/单位负责人</w:t>
            </w:r>
          </w:p>
          <w:p>
            <w:pPr>
              <w:widowControl w:val="0"/>
              <w:autoSpaceDE w:val="0"/>
              <w:autoSpaceDN w:val="0"/>
              <w:adjustRightInd w:val="0"/>
              <w:snapToGrid w:val="0"/>
              <w:ind w:firstLine="0" w:firstLineChars="0"/>
              <w:rPr>
                <w:rFonts w:hint="eastAsia" w:ascii="宋体" w:hAnsi="宋体"/>
                <w:b/>
                <w:sz w:val="32"/>
                <w:szCs w:val="32"/>
              </w:rPr>
            </w:pPr>
            <w:r>
              <w:rPr>
                <w:rFonts w:hint="eastAsia" w:ascii="宋体" w:hAnsi="宋体"/>
                <w:b/>
                <w:sz w:val="32"/>
                <w:szCs w:val="32"/>
              </w:rPr>
              <w:t>或其委托代理人：</w:t>
            </w:r>
          </w:p>
        </w:tc>
        <w:tc>
          <w:tcPr>
            <w:tcW w:w="4873" w:type="dxa"/>
            <w:noWrap w:val="0"/>
            <w:vAlign w:val="center"/>
          </w:tcPr>
          <w:p>
            <w:pPr>
              <w:widowControl w:val="0"/>
              <w:autoSpaceDE w:val="0"/>
              <w:autoSpaceDN w:val="0"/>
              <w:adjustRightInd w:val="0"/>
              <w:snapToGrid w:val="0"/>
              <w:ind w:firstLine="0" w:firstLineChars="0"/>
              <w:rPr>
                <w:rFonts w:hint="eastAsia" w:ascii="宋体" w:hAnsi="宋体"/>
                <w:b/>
                <w:sz w:val="32"/>
                <w:szCs w:val="32"/>
                <w:u w:val="single"/>
              </w:rPr>
            </w:pPr>
            <w:r>
              <w:rPr>
                <w:rFonts w:ascii="宋体" w:hAnsi="宋体"/>
                <w:b/>
                <w:sz w:val="32"/>
                <w:szCs w:val="32"/>
                <w:u w:val="single"/>
              </w:rPr>
              <w:t xml:space="preserve">                             </w:t>
            </w:r>
          </w:p>
        </w:tc>
      </w:tr>
      <w:tr>
        <w:tblPrEx>
          <w:tblCellMar>
            <w:top w:w="0" w:type="dxa"/>
            <w:left w:w="108" w:type="dxa"/>
            <w:bottom w:w="0" w:type="dxa"/>
            <w:right w:w="108" w:type="dxa"/>
          </w:tblCellMar>
        </w:tblPrEx>
        <w:tc>
          <w:tcPr>
            <w:tcW w:w="3650" w:type="dxa"/>
            <w:noWrap w:val="0"/>
            <w:vAlign w:val="center"/>
          </w:tcPr>
          <w:p>
            <w:pPr>
              <w:widowControl w:val="0"/>
              <w:autoSpaceDE w:val="0"/>
              <w:autoSpaceDN w:val="0"/>
              <w:adjustRightInd w:val="0"/>
              <w:snapToGrid w:val="0"/>
              <w:ind w:firstLine="0" w:firstLineChars="0"/>
              <w:rPr>
                <w:rFonts w:hint="eastAsia" w:ascii="宋体" w:hAnsi="宋体"/>
                <w:b/>
                <w:sz w:val="32"/>
                <w:szCs w:val="32"/>
              </w:rPr>
            </w:pPr>
            <w:r>
              <w:rPr>
                <w:rFonts w:hint="eastAsia" w:ascii="宋体" w:hAnsi="宋体"/>
                <w:b/>
                <w:sz w:val="32"/>
                <w:szCs w:val="32"/>
              </w:rPr>
              <w:t>日期</w:t>
            </w:r>
            <w:r>
              <w:rPr>
                <w:rFonts w:ascii="宋体" w:hAnsi="宋体"/>
                <w:b/>
                <w:sz w:val="32"/>
                <w:szCs w:val="32"/>
              </w:rPr>
              <w:t>：</w:t>
            </w:r>
          </w:p>
        </w:tc>
        <w:tc>
          <w:tcPr>
            <w:tcW w:w="4873" w:type="dxa"/>
            <w:noWrap w:val="0"/>
            <w:vAlign w:val="center"/>
          </w:tcPr>
          <w:p>
            <w:pPr>
              <w:widowControl w:val="0"/>
              <w:autoSpaceDE w:val="0"/>
              <w:autoSpaceDN w:val="0"/>
              <w:adjustRightInd w:val="0"/>
              <w:snapToGrid w:val="0"/>
              <w:ind w:firstLine="0" w:firstLineChars="0"/>
              <w:rPr>
                <w:rFonts w:hint="eastAsia" w:ascii="宋体" w:hAnsi="宋体"/>
                <w:b/>
                <w:sz w:val="32"/>
                <w:szCs w:val="32"/>
                <w:u w:val="single"/>
              </w:rPr>
            </w:pP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p>
        </w:tc>
      </w:tr>
    </w:tbl>
    <w:p>
      <w:pPr>
        <w:widowControl w:val="0"/>
        <w:autoSpaceDE w:val="0"/>
        <w:autoSpaceDN w:val="0"/>
        <w:adjustRightInd w:val="0"/>
        <w:snapToGrid w:val="0"/>
        <w:ind w:firstLine="0" w:firstLineChars="0"/>
        <w:jc w:val="left"/>
        <w:rPr>
          <w:rFonts w:ascii="宋体" w:hAnsi="宋体"/>
          <w:b/>
          <w:sz w:val="44"/>
          <w:szCs w:val="44"/>
        </w:rPr>
      </w:pPr>
    </w:p>
    <w:p>
      <w:pPr>
        <w:widowControl w:val="0"/>
        <w:autoSpaceDE w:val="0"/>
        <w:autoSpaceDN w:val="0"/>
        <w:adjustRightInd w:val="0"/>
        <w:snapToGrid w:val="0"/>
        <w:ind w:firstLine="0" w:firstLineChars="0"/>
        <w:rPr>
          <w:rFonts w:hint="eastAsia" w:ascii="宋体" w:hAnsi="宋体"/>
        </w:rPr>
      </w:pPr>
    </w:p>
    <w:p>
      <w:pPr>
        <w:widowControl w:val="0"/>
        <w:autoSpaceDE w:val="0"/>
        <w:autoSpaceDN w:val="0"/>
        <w:adjustRightInd w:val="0"/>
        <w:snapToGrid w:val="0"/>
        <w:ind w:firstLine="0" w:firstLineChars="0"/>
        <w:jc w:val="center"/>
        <w:rPr>
          <w:rFonts w:ascii="宋体" w:hAnsi="宋体"/>
          <w:b/>
          <w:sz w:val="32"/>
          <w:szCs w:val="32"/>
        </w:rPr>
      </w:pPr>
      <w:r>
        <w:rPr>
          <w:rFonts w:ascii="宋体" w:hAnsi="宋体"/>
        </w:rPr>
        <w:br w:type="page"/>
      </w:r>
      <w:r>
        <w:rPr>
          <w:rFonts w:hint="eastAsia" w:ascii="宋体" w:hAnsi="宋体"/>
          <w:b/>
          <w:sz w:val="32"/>
          <w:szCs w:val="32"/>
        </w:rPr>
        <w:t>目录</w:t>
      </w:r>
    </w:p>
    <w:p>
      <w:pPr>
        <w:widowControl w:val="0"/>
        <w:autoSpaceDE w:val="0"/>
        <w:autoSpaceDN w:val="0"/>
        <w:adjustRightInd w:val="0"/>
        <w:snapToGrid w:val="0"/>
        <w:ind w:firstLine="0" w:firstLineChars="0"/>
        <w:jc w:val="left"/>
        <w:outlineLvl w:val="1"/>
        <w:rPr>
          <w:rFonts w:hint="eastAsia" w:ascii="宋体" w:hAnsi="宋体"/>
        </w:rPr>
      </w:pPr>
      <w:r>
        <w:rPr>
          <w:rFonts w:hint="eastAsia" w:ascii="宋体" w:hAnsi="宋体"/>
        </w:rPr>
        <w:t>一、资格审查文件部分</w:t>
      </w:r>
    </w:p>
    <w:p>
      <w:pPr>
        <w:widowControl w:val="0"/>
        <w:autoSpaceDE w:val="0"/>
        <w:autoSpaceDN w:val="0"/>
        <w:adjustRightInd w:val="0"/>
        <w:snapToGrid w:val="0"/>
        <w:ind w:firstLine="0" w:firstLineChars="0"/>
        <w:jc w:val="left"/>
        <w:outlineLvl w:val="1"/>
        <w:rPr>
          <w:rFonts w:hint="eastAsia" w:ascii="宋体" w:hAnsi="宋体"/>
        </w:rPr>
      </w:pPr>
      <w:r>
        <w:rPr>
          <w:rFonts w:hint="eastAsia" w:ascii="宋体" w:hAnsi="宋体"/>
        </w:rPr>
        <w:t>A1、营业执照</w:t>
      </w:r>
    </w:p>
    <w:p>
      <w:pPr>
        <w:widowControl w:val="0"/>
        <w:autoSpaceDE w:val="0"/>
        <w:autoSpaceDN w:val="0"/>
        <w:adjustRightInd w:val="0"/>
        <w:snapToGrid w:val="0"/>
        <w:ind w:firstLine="0" w:firstLineChars="0"/>
        <w:jc w:val="left"/>
        <w:outlineLvl w:val="1"/>
        <w:rPr>
          <w:rFonts w:hint="eastAsia" w:ascii="宋体" w:hAnsi="宋体"/>
        </w:rPr>
      </w:pPr>
      <w:r>
        <w:rPr>
          <w:rFonts w:hint="eastAsia" w:ascii="宋体" w:hAnsi="宋体"/>
        </w:rPr>
        <w:t>A</w:t>
      </w:r>
      <w:r>
        <w:rPr>
          <w:rFonts w:hint="eastAsia" w:ascii="宋体" w:hAnsi="宋体"/>
          <w:lang w:val="en-US" w:eastAsia="zh-CN"/>
        </w:rPr>
        <w:t>2</w:t>
      </w:r>
      <w:r>
        <w:rPr>
          <w:rFonts w:hint="eastAsia" w:ascii="宋体" w:hAnsi="宋体"/>
        </w:rPr>
        <w:t>、《投标及履约承诺函》</w:t>
      </w:r>
    </w:p>
    <w:p>
      <w:pPr>
        <w:widowControl w:val="0"/>
        <w:autoSpaceDE w:val="0"/>
        <w:autoSpaceDN w:val="0"/>
        <w:adjustRightInd w:val="0"/>
        <w:snapToGrid w:val="0"/>
        <w:ind w:firstLine="0" w:firstLineChars="0"/>
        <w:jc w:val="left"/>
        <w:outlineLvl w:val="1"/>
        <w:rPr>
          <w:rFonts w:hint="eastAsia" w:ascii="宋体" w:hAnsi="宋体"/>
        </w:rPr>
      </w:pPr>
      <w:r>
        <w:rPr>
          <w:rFonts w:hint="eastAsia" w:ascii="宋体" w:hAnsi="宋体"/>
        </w:rPr>
        <w:t>A</w:t>
      </w:r>
      <w:r>
        <w:rPr>
          <w:rFonts w:hint="eastAsia" w:ascii="宋体" w:hAnsi="宋体"/>
          <w:lang w:val="en-US" w:eastAsia="zh-CN"/>
        </w:rPr>
        <w:t>3</w:t>
      </w:r>
      <w:r>
        <w:rPr>
          <w:rFonts w:hint="eastAsia" w:ascii="宋体" w:hAnsi="宋体"/>
        </w:rPr>
        <w:t>、法定代表人资格证明书</w:t>
      </w:r>
    </w:p>
    <w:p>
      <w:pPr>
        <w:widowControl w:val="0"/>
        <w:autoSpaceDE w:val="0"/>
        <w:autoSpaceDN w:val="0"/>
        <w:adjustRightInd w:val="0"/>
        <w:snapToGrid w:val="0"/>
        <w:ind w:firstLine="0" w:firstLineChars="0"/>
        <w:jc w:val="left"/>
        <w:outlineLvl w:val="1"/>
        <w:rPr>
          <w:rFonts w:hint="eastAsia" w:ascii="宋体" w:hAnsi="宋体"/>
        </w:rPr>
      </w:pPr>
      <w:r>
        <w:rPr>
          <w:rFonts w:hint="eastAsia" w:ascii="宋体" w:hAnsi="宋体"/>
        </w:rPr>
        <w:t>A</w:t>
      </w:r>
      <w:r>
        <w:rPr>
          <w:rFonts w:hint="eastAsia" w:ascii="宋体" w:hAnsi="宋体"/>
          <w:lang w:val="en-US" w:eastAsia="zh-CN"/>
        </w:rPr>
        <w:t>4</w:t>
      </w:r>
      <w:r>
        <w:rPr>
          <w:rFonts w:hint="eastAsia" w:ascii="宋体" w:hAnsi="宋体"/>
        </w:rPr>
        <w:t>、法定代表人授权委托书</w:t>
      </w:r>
    </w:p>
    <w:p>
      <w:pPr>
        <w:widowControl w:val="0"/>
        <w:autoSpaceDE w:val="0"/>
        <w:autoSpaceDN w:val="0"/>
        <w:adjustRightInd w:val="0"/>
        <w:snapToGrid w:val="0"/>
        <w:ind w:firstLine="0" w:firstLineChars="0"/>
        <w:jc w:val="left"/>
        <w:outlineLvl w:val="1"/>
        <w:rPr>
          <w:rFonts w:hint="eastAsia" w:ascii="宋体" w:hAnsi="宋体"/>
        </w:rPr>
      </w:pPr>
      <w:r>
        <w:rPr>
          <w:rFonts w:hint="eastAsia" w:ascii="宋体" w:hAnsi="宋体"/>
        </w:rPr>
        <w:t>A</w:t>
      </w:r>
      <w:r>
        <w:rPr>
          <w:rFonts w:hint="eastAsia" w:ascii="宋体" w:hAnsi="宋体"/>
          <w:lang w:val="en-US" w:eastAsia="zh-CN"/>
        </w:rPr>
        <w:t>5</w:t>
      </w:r>
      <w:r>
        <w:rPr>
          <w:rFonts w:hint="eastAsia" w:ascii="宋体" w:hAnsi="宋体"/>
        </w:rPr>
        <w:t>、投标人情况介绍</w:t>
      </w:r>
    </w:p>
    <w:p>
      <w:pPr>
        <w:widowControl w:val="0"/>
        <w:autoSpaceDE w:val="0"/>
        <w:autoSpaceDN w:val="0"/>
        <w:adjustRightInd w:val="0"/>
        <w:snapToGrid w:val="0"/>
        <w:ind w:firstLine="0" w:firstLineChars="0"/>
        <w:jc w:val="left"/>
        <w:outlineLvl w:val="1"/>
        <w:rPr>
          <w:rFonts w:hint="eastAsia" w:ascii="宋体" w:hAnsi="宋体"/>
        </w:rPr>
      </w:pPr>
      <w:r>
        <w:rPr>
          <w:rFonts w:hint="eastAsia" w:ascii="宋体" w:hAnsi="宋体"/>
        </w:rPr>
        <w:t>A</w:t>
      </w:r>
      <w:r>
        <w:rPr>
          <w:rFonts w:hint="eastAsia" w:ascii="宋体" w:hAnsi="宋体"/>
          <w:lang w:val="en-US" w:eastAsia="zh-CN"/>
        </w:rPr>
        <w:t>6</w:t>
      </w:r>
      <w:r>
        <w:rPr>
          <w:rFonts w:hint="eastAsia" w:ascii="宋体" w:hAnsi="宋体"/>
        </w:rPr>
        <w:t>、</w:t>
      </w:r>
      <w:r>
        <w:rPr>
          <w:rFonts w:hint="eastAsia" w:ascii="宋体" w:hAnsi="宋体"/>
          <w:lang w:val="en-US" w:eastAsia="zh-CN"/>
        </w:rPr>
        <w:t>其他</w:t>
      </w:r>
    </w:p>
    <w:p>
      <w:pPr>
        <w:widowControl w:val="0"/>
        <w:autoSpaceDE w:val="0"/>
        <w:autoSpaceDN w:val="0"/>
        <w:adjustRightInd w:val="0"/>
        <w:snapToGrid w:val="0"/>
        <w:ind w:firstLine="0" w:firstLineChars="0"/>
        <w:jc w:val="left"/>
        <w:outlineLvl w:val="1"/>
        <w:rPr>
          <w:rFonts w:hint="eastAsia" w:ascii="宋体" w:hAnsi="宋体"/>
        </w:rPr>
      </w:pPr>
      <w:r>
        <w:rPr>
          <w:rFonts w:hint="eastAsia" w:ascii="宋体" w:hAnsi="宋体"/>
        </w:rPr>
        <w:t>二、商务标部分</w:t>
      </w:r>
    </w:p>
    <w:p>
      <w:pPr>
        <w:widowControl w:val="0"/>
        <w:autoSpaceDE w:val="0"/>
        <w:autoSpaceDN w:val="0"/>
        <w:adjustRightInd w:val="0"/>
        <w:snapToGrid w:val="0"/>
        <w:ind w:firstLine="0" w:firstLineChars="0"/>
        <w:jc w:val="left"/>
        <w:outlineLvl w:val="1"/>
        <w:rPr>
          <w:rFonts w:hint="eastAsia" w:ascii="宋体" w:hAnsi="宋体"/>
        </w:rPr>
      </w:pPr>
      <w:r>
        <w:rPr>
          <w:rFonts w:hint="eastAsia" w:ascii="宋体" w:hAnsi="宋体"/>
        </w:rPr>
        <w:t>B1、投标函</w:t>
      </w:r>
    </w:p>
    <w:p>
      <w:pPr>
        <w:widowControl w:val="0"/>
        <w:autoSpaceDE w:val="0"/>
        <w:autoSpaceDN w:val="0"/>
        <w:adjustRightInd w:val="0"/>
        <w:snapToGrid w:val="0"/>
        <w:ind w:firstLine="0" w:firstLineChars="0"/>
        <w:jc w:val="left"/>
        <w:outlineLvl w:val="1"/>
        <w:rPr>
          <w:rFonts w:hint="eastAsia" w:ascii="宋体" w:hAnsi="宋体"/>
        </w:rPr>
      </w:pPr>
      <w:r>
        <w:rPr>
          <w:rFonts w:hint="eastAsia" w:ascii="宋体" w:hAnsi="宋体"/>
        </w:rPr>
        <w:t>B2、承诺书</w:t>
      </w:r>
    </w:p>
    <w:p>
      <w:pPr>
        <w:widowControl w:val="0"/>
        <w:autoSpaceDE w:val="0"/>
        <w:autoSpaceDN w:val="0"/>
        <w:adjustRightInd w:val="0"/>
        <w:snapToGrid w:val="0"/>
        <w:ind w:firstLine="0" w:firstLineChars="0"/>
        <w:jc w:val="left"/>
        <w:outlineLvl w:val="1"/>
        <w:rPr>
          <w:rFonts w:hint="eastAsia" w:ascii="宋体" w:hAnsi="宋体"/>
        </w:rPr>
      </w:pPr>
      <w:r>
        <w:rPr>
          <w:rFonts w:hint="eastAsia" w:ascii="宋体" w:hAnsi="宋体"/>
        </w:rPr>
        <w:t>B3、</w:t>
      </w:r>
      <w:r>
        <w:rPr>
          <w:rFonts w:hint="eastAsia" w:ascii="宋体" w:hAnsi="宋体" w:eastAsia="宋体" w:cs="Times New Roman"/>
          <w:b w:val="0"/>
          <w:bCs w:val="0"/>
          <w:sz w:val="21"/>
          <w:szCs w:val="21"/>
          <w:lang w:val="en-US" w:eastAsia="zh-CN"/>
        </w:rPr>
        <w:t>投标人通过相关认证情况</w:t>
      </w:r>
    </w:p>
    <w:p>
      <w:pPr>
        <w:widowControl w:val="0"/>
        <w:autoSpaceDE w:val="0"/>
        <w:autoSpaceDN w:val="0"/>
        <w:adjustRightInd w:val="0"/>
        <w:snapToGrid w:val="0"/>
        <w:ind w:firstLine="0" w:firstLineChars="0"/>
        <w:jc w:val="left"/>
        <w:outlineLvl w:val="1"/>
        <w:rPr>
          <w:rFonts w:hint="eastAsia" w:ascii="宋体" w:hAnsi="宋体"/>
          <w:lang w:val="en-US" w:eastAsia="zh-CN"/>
        </w:rPr>
      </w:pPr>
      <w:r>
        <w:rPr>
          <w:rFonts w:hint="eastAsia" w:ascii="宋体" w:hAnsi="宋体"/>
          <w:lang w:val="en-US" w:eastAsia="zh-CN"/>
        </w:rPr>
        <w:t>B4、</w:t>
      </w:r>
      <w:r>
        <w:rPr>
          <w:rFonts w:hint="eastAsia" w:ascii="宋体" w:hAnsi="宋体" w:eastAsia="宋体" w:cs="Times New Roman"/>
          <w:b w:val="0"/>
          <w:bCs w:val="0"/>
          <w:sz w:val="21"/>
          <w:szCs w:val="21"/>
          <w:lang w:val="en-US" w:eastAsia="zh-CN"/>
        </w:rPr>
        <w:t>获奖情况</w:t>
      </w:r>
    </w:p>
    <w:p>
      <w:pPr>
        <w:widowControl w:val="0"/>
        <w:autoSpaceDE w:val="0"/>
        <w:autoSpaceDN w:val="0"/>
        <w:adjustRightInd w:val="0"/>
        <w:snapToGrid w:val="0"/>
        <w:ind w:firstLine="0" w:firstLineChars="0"/>
        <w:jc w:val="left"/>
        <w:outlineLvl w:val="1"/>
        <w:rPr>
          <w:rFonts w:hint="eastAsia" w:ascii="宋体" w:hAnsi="宋体" w:eastAsia="宋体" w:cs="Times New Roman"/>
          <w:b w:val="0"/>
          <w:bCs w:val="0"/>
          <w:sz w:val="21"/>
          <w:szCs w:val="21"/>
          <w:lang w:val="en-US" w:eastAsia="zh-CN"/>
        </w:rPr>
      </w:pPr>
      <w:r>
        <w:rPr>
          <w:rFonts w:hint="eastAsia" w:ascii="宋体" w:hAnsi="宋体"/>
          <w:lang w:val="en-US" w:eastAsia="zh-CN"/>
        </w:rPr>
        <w:t>B5、</w:t>
      </w:r>
      <w:r>
        <w:rPr>
          <w:rFonts w:hint="eastAsia" w:ascii="宋体" w:hAnsi="宋体" w:eastAsia="宋体" w:cs="Times New Roman"/>
          <w:b w:val="0"/>
          <w:bCs w:val="0"/>
          <w:sz w:val="21"/>
          <w:szCs w:val="21"/>
          <w:lang w:val="en-US" w:eastAsia="zh-CN"/>
        </w:rPr>
        <w:t>投标人同类业绩</w:t>
      </w:r>
    </w:p>
    <w:p>
      <w:pPr>
        <w:widowControl w:val="0"/>
        <w:autoSpaceDE w:val="0"/>
        <w:autoSpaceDN w:val="0"/>
        <w:adjustRightInd w:val="0"/>
        <w:snapToGrid w:val="0"/>
        <w:ind w:firstLine="0" w:firstLineChars="0"/>
        <w:jc w:val="left"/>
        <w:outlineLvl w:val="1"/>
        <w:rPr>
          <w:rFonts w:hint="eastAsia" w:ascii="宋体" w:hAnsi="宋体" w:eastAsia="宋体" w:cs="Times New Roman"/>
          <w:b w:val="0"/>
          <w:bCs w:val="0"/>
          <w:sz w:val="21"/>
          <w:szCs w:val="21"/>
          <w:lang w:val="en-US" w:eastAsia="zh-CN"/>
        </w:rPr>
      </w:pPr>
      <w:r>
        <w:rPr>
          <w:rFonts w:hint="eastAsia" w:ascii="宋体" w:hAnsi="宋体"/>
          <w:lang w:val="en-US" w:eastAsia="zh-CN"/>
        </w:rPr>
        <w:t>B6、</w:t>
      </w:r>
      <w:r>
        <w:rPr>
          <w:rFonts w:hint="eastAsia" w:ascii="宋体" w:hAnsi="宋体" w:cs="Times New Roman"/>
          <w:lang w:val="en-US" w:eastAsia="zh-CN"/>
        </w:rPr>
        <w:t>履约评价</w:t>
      </w:r>
    </w:p>
    <w:p>
      <w:pPr>
        <w:widowControl w:val="0"/>
        <w:autoSpaceDE w:val="0"/>
        <w:autoSpaceDN w:val="0"/>
        <w:adjustRightInd w:val="0"/>
        <w:snapToGrid w:val="0"/>
        <w:ind w:firstLine="0" w:firstLineChars="0"/>
        <w:jc w:val="left"/>
        <w:outlineLvl w:val="1"/>
        <w:rPr>
          <w:rFonts w:hint="default" w:ascii="宋体" w:hAnsi="宋体" w:eastAsia="宋体" w:cs="Times New Roman"/>
          <w:lang w:val="en-US" w:eastAsia="zh-CN"/>
        </w:rPr>
      </w:pPr>
      <w:r>
        <w:rPr>
          <w:rFonts w:hint="eastAsia" w:ascii="宋体" w:hAnsi="宋体" w:eastAsia="宋体" w:cs="Times New Roman"/>
          <w:lang w:val="en-US" w:eastAsia="zh-CN"/>
        </w:rPr>
        <w:t>B</w:t>
      </w:r>
      <w:r>
        <w:rPr>
          <w:rFonts w:hint="eastAsia" w:ascii="宋体" w:hAnsi="宋体" w:cs="Times New Roman"/>
          <w:lang w:val="en-US" w:eastAsia="zh-CN"/>
        </w:rPr>
        <w:t>7</w:t>
      </w:r>
      <w:r>
        <w:rPr>
          <w:rFonts w:hint="eastAsia" w:ascii="宋体" w:hAnsi="宋体" w:eastAsia="宋体" w:cs="Times New Roman"/>
          <w:lang w:val="en-US" w:eastAsia="zh-CN"/>
        </w:rPr>
        <w:t>、相关资质证书</w:t>
      </w:r>
    </w:p>
    <w:p>
      <w:pPr>
        <w:widowControl w:val="0"/>
        <w:autoSpaceDE w:val="0"/>
        <w:autoSpaceDN w:val="0"/>
        <w:adjustRightInd w:val="0"/>
        <w:snapToGrid w:val="0"/>
        <w:ind w:firstLine="0" w:firstLineChars="0"/>
        <w:jc w:val="left"/>
        <w:outlineLvl w:val="1"/>
        <w:rPr>
          <w:rFonts w:hint="eastAsia" w:ascii="宋体" w:hAnsi="宋体" w:eastAsia="宋体" w:cs="Times New Roman"/>
          <w:lang w:val="en-US" w:eastAsia="zh-CN"/>
        </w:rPr>
      </w:pPr>
      <w:r>
        <w:rPr>
          <w:rFonts w:hint="eastAsia" w:ascii="宋体" w:hAnsi="宋体" w:eastAsia="宋体" w:cs="Times New Roman"/>
          <w:b w:val="0"/>
          <w:bCs w:val="0"/>
          <w:sz w:val="21"/>
          <w:szCs w:val="21"/>
          <w:lang w:val="en-US" w:eastAsia="zh-CN"/>
        </w:rPr>
        <w:t>B</w:t>
      </w:r>
      <w:r>
        <w:rPr>
          <w:rFonts w:hint="eastAsia" w:ascii="宋体" w:hAnsi="宋体" w:cs="Times New Roman"/>
          <w:b w:val="0"/>
          <w:bCs w:val="0"/>
          <w:sz w:val="21"/>
          <w:szCs w:val="21"/>
          <w:lang w:val="en-US" w:eastAsia="zh-CN"/>
        </w:rPr>
        <w:t>8、</w:t>
      </w:r>
      <w:r>
        <w:rPr>
          <w:rFonts w:hint="eastAsia" w:ascii="宋体" w:hAnsi="宋体" w:eastAsia="宋体" w:cs="Times New Roman"/>
          <w:b w:val="0"/>
          <w:bCs w:val="0"/>
          <w:sz w:val="21"/>
          <w:szCs w:val="21"/>
          <w:lang w:val="en-US" w:eastAsia="zh-CN"/>
        </w:rPr>
        <w:t>诚信</w:t>
      </w:r>
    </w:p>
    <w:p>
      <w:pPr>
        <w:widowControl w:val="0"/>
        <w:autoSpaceDE w:val="0"/>
        <w:autoSpaceDN w:val="0"/>
        <w:adjustRightInd w:val="0"/>
        <w:snapToGrid w:val="0"/>
        <w:ind w:firstLine="0" w:firstLineChars="0"/>
        <w:jc w:val="left"/>
        <w:outlineLvl w:val="1"/>
        <w:rPr>
          <w:rFonts w:hint="eastAsia" w:ascii="宋体" w:hAnsi="宋体"/>
          <w:lang w:val="en-US" w:eastAsia="zh-CN"/>
        </w:rPr>
      </w:pPr>
      <w:r>
        <w:rPr>
          <w:rFonts w:hint="eastAsia" w:ascii="宋体" w:hAnsi="宋体" w:eastAsia="宋体" w:cs="Times New Roman"/>
          <w:b w:val="0"/>
          <w:bCs w:val="0"/>
          <w:sz w:val="21"/>
          <w:szCs w:val="21"/>
          <w:lang w:val="en-US" w:eastAsia="zh-CN"/>
        </w:rPr>
        <w:t>B</w:t>
      </w:r>
      <w:r>
        <w:rPr>
          <w:rFonts w:hint="eastAsia" w:ascii="宋体" w:hAnsi="宋体" w:cs="Times New Roman"/>
          <w:b w:val="0"/>
          <w:bCs w:val="0"/>
          <w:sz w:val="21"/>
          <w:szCs w:val="21"/>
          <w:lang w:val="en-US" w:eastAsia="zh-CN"/>
        </w:rPr>
        <w:t>9</w:t>
      </w:r>
      <w:r>
        <w:rPr>
          <w:rFonts w:hint="eastAsia" w:ascii="宋体" w:hAnsi="宋体" w:eastAsia="宋体" w:cs="Times New Roman"/>
          <w:b w:val="0"/>
          <w:bCs w:val="0"/>
          <w:sz w:val="21"/>
          <w:szCs w:val="21"/>
          <w:lang w:val="en-US" w:eastAsia="zh-CN"/>
        </w:rPr>
        <w:t>、</w:t>
      </w:r>
      <w:r>
        <w:rPr>
          <w:rFonts w:hint="eastAsia" w:ascii="宋体" w:hAnsi="宋体"/>
          <w:lang w:val="en-US" w:eastAsia="zh-CN"/>
        </w:rPr>
        <w:t>其他</w:t>
      </w:r>
    </w:p>
    <w:p>
      <w:pPr>
        <w:widowControl w:val="0"/>
        <w:autoSpaceDE w:val="0"/>
        <w:autoSpaceDN w:val="0"/>
        <w:adjustRightInd w:val="0"/>
        <w:snapToGrid w:val="0"/>
        <w:ind w:firstLine="0" w:firstLineChars="0"/>
        <w:jc w:val="left"/>
        <w:outlineLvl w:val="1"/>
        <w:rPr>
          <w:rFonts w:hint="eastAsia" w:ascii="宋体" w:hAnsi="宋体"/>
        </w:rPr>
      </w:pPr>
      <w:r>
        <w:rPr>
          <w:rFonts w:hint="eastAsia" w:ascii="宋体" w:hAnsi="宋体"/>
        </w:rPr>
        <w:t>三、技术标部分</w:t>
      </w:r>
    </w:p>
    <w:p>
      <w:pPr>
        <w:widowControl w:val="0"/>
        <w:autoSpaceDE w:val="0"/>
        <w:autoSpaceDN w:val="0"/>
        <w:adjustRightInd w:val="0"/>
        <w:snapToGrid w:val="0"/>
        <w:ind w:firstLine="0" w:firstLineChars="0"/>
        <w:jc w:val="left"/>
        <w:outlineLvl w:val="1"/>
        <w:rPr>
          <w:rFonts w:hint="eastAsia" w:ascii="宋体" w:hAnsi="宋体"/>
          <w:szCs w:val="21"/>
        </w:rPr>
      </w:pPr>
      <w:r>
        <w:rPr>
          <w:rFonts w:hint="eastAsia" w:ascii="宋体" w:hAnsi="宋体"/>
        </w:rPr>
        <w:t>C1、</w:t>
      </w:r>
      <w:r>
        <w:rPr>
          <w:rFonts w:hint="eastAsia" w:ascii="宋体" w:hAnsi="宋体"/>
          <w:szCs w:val="21"/>
          <w:lang w:val="en-US" w:eastAsia="zh-CN"/>
        </w:rPr>
        <w:t>服务</w:t>
      </w:r>
      <w:r>
        <w:rPr>
          <w:rFonts w:hint="eastAsia" w:ascii="宋体" w:hAnsi="宋体"/>
          <w:szCs w:val="21"/>
        </w:rPr>
        <w:t>保障措施</w:t>
      </w:r>
    </w:p>
    <w:p>
      <w:pPr>
        <w:widowControl w:val="0"/>
        <w:autoSpaceDE w:val="0"/>
        <w:autoSpaceDN w:val="0"/>
        <w:adjustRightInd w:val="0"/>
        <w:snapToGrid w:val="0"/>
        <w:ind w:firstLine="0" w:firstLineChars="0"/>
        <w:jc w:val="left"/>
        <w:outlineLvl w:val="1"/>
        <w:rPr>
          <w:rFonts w:hint="eastAsia" w:ascii="宋体" w:hAnsi="宋体"/>
        </w:rPr>
      </w:pPr>
      <w:r>
        <w:rPr>
          <w:rFonts w:hint="eastAsia" w:ascii="宋体" w:hAnsi="宋体"/>
        </w:rPr>
        <w:t>C</w:t>
      </w:r>
      <w:r>
        <w:rPr>
          <w:rFonts w:hint="eastAsia" w:ascii="宋体" w:hAnsi="宋体"/>
          <w:lang w:val="en-US" w:eastAsia="zh-CN"/>
        </w:rPr>
        <w:t>2</w:t>
      </w:r>
      <w:r>
        <w:rPr>
          <w:rFonts w:hint="eastAsia" w:ascii="宋体" w:hAnsi="宋体"/>
        </w:rPr>
        <w:t>、</w:t>
      </w:r>
      <w:r>
        <w:rPr>
          <w:rFonts w:hint="eastAsia" w:ascii="宋体" w:hAnsi="宋体"/>
          <w:szCs w:val="21"/>
        </w:rPr>
        <w:t>拟安排的项目负责人情况（仅限一人）</w:t>
      </w:r>
    </w:p>
    <w:p>
      <w:pPr>
        <w:widowControl w:val="0"/>
        <w:autoSpaceDE w:val="0"/>
        <w:autoSpaceDN w:val="0"/>
        <w:adjustRightInd w:val="0"/>
        <w:snapToGrid w:val="0"/>
        <w:ind w:firstLine="0" w:firstLineChars="0"/>
        <w:jc w:val="left"/>
        <w:outlineLvl w:val="1"/>
        <w:rPr>
          <w:rFonts w:hint="eastAsia" w:ascii="宋体" w:hAnsi="宋体"/>
          <w:szCs w:val="21"/>
        </w:rPr>
      </w:pPr>
      <w:r>
        <w:rPr>
          <w:rFonts w:hint="eastAsia" w:ascii="宋体" w:hAnsi="宋体"/>
        </w:rPr>
        <w:t>C</w:t>
      </w:r>
      <w:r>
        <w:rPr>
          <w:rFonts w:hint="eastAsia" w:ascii="宋体" w:hAnsi="宋体"/>
          <w:lang w:val="en-US" w:eastAsia="zh-CN"/>
        </w:rPr>
        <w:t>3</w:t>
      </w:r>
      <w:r>
        <w:rPr>
          <w:rFonts w:hint="eastAsia" w:ascii="宋体" w:hAnsi="宋体"/>
        </w:rPr>
        <w:t>、</w:t>
      </w:r>
      <w:r>
        <w:rPr>
          <w:rFonts w:hint="eastAsia" w:ascii="宋体" w:hAnsi="宋体"/>
          <w:szCs w:val="21"/>
        </w:rPr>
        <w:t>拟安排的项目主要团队成员(主要技术人员)情况(项目负责人除外)</w:t>
      </w:r>
    </w:p>
    <w:p>
      <w:pPr>
        <w:widowControl w:val="0"/>
        <w:autoSpaceDE w:val="0"/>
        <w:autoSpaceDN w:val="0"/>
        <w:adjustRightInd w:val="0"/>
        <w:snapToGrid w:val="0"/>
        <w:ind w:firstLine="0" w:firstLineChars="0"/>
        <w:jc w:val="left"/>
        <w:outlineLvl w:val="1"/>
        <w:rPr>
          <w:rFonts w:hint="eastAsia" w:ascii="宋体" w:hAnsi="宋体"/>
        </w:rPr>
      </w:pPr>
      <w:r>
        <w:rPr>
          <w:rFonts w:hint="eastAsia" w:ascii="宋体" w:hAnsi="宋体"/>
        </w:rPr>
        <w:t>C</w:t>
      </w:r>
      <w:r>
        <w:rPr>
          <w:rFonts w:hint="eastAsia" w:ascii="宋体" w:hAnsi="宋体"/>
          <w:lang w:val="en-US" w:eastAsia="zh-CN"/>
        </w:rPr>
        <w:t>4</w:t>
      </w:r>
      <w:r>
        <w:rPr>
          <w:rFonts w:hint="eastAsia" w:ascii="宋体" w:hAnsi="宋体"/>
        </w:rPr>
        <w:t>、</w:t>
      </w:r>
      <w:r>
        <w:rPr>
          <w:rFonts w:hint="eastAsia" w:ascii="宋体" w:hAnsi="宋体" w:eastAsia="宋体" w:cs="宋体"/>
          <w:sz w:val="21"/>
          <w:szCs w:val="21"/>
          <w:lang w:val="en-US" w:eastAsia="zh-CN"/>
        </w:rPr>
        <w:t>违约承诺</w:t>
      </w:r>
    </w:p>
    <w:p>
      <w:pPr>
        <w:widowControl w:val="0"/>
        <w:autoSpaceDE w:val="0"/>
        <w:autoSpaceDN w:val="0"/>
        <w:adjustRightInd w:val="0"/>
        <w:snapToGrid w:val="0"/>
        <w:ind w:firstLine="0" w:firstLineChars="0"/>
        <w:jc w:val="left"/>
        <w:outlineLvl w:val="1"/>
        <w:rPr>
          <w:rFonts w:hint="eastAsia" w:ascii="宋体" w:hAnsi="宋体"/>
        </w:rPr>
      </w:pPr>
      <w:r>
        <w:rPr>
          <w:rFonts w:hint="eastAsia" w:ascii="宋体" w:hAnsi="宋体"/>
        </w:rPr>
        <w:t>C</w:t>
      </w:r>
      <w:r>
        <w:rPr>
          <w:rFonts w:hint="eastAsia" w:ascii="宋体" w:hAnsi="宋体"/>
          <w:lang w:val="en-US" w:eastAsia="zh-CN"/>
        </w:rPr>
        <w:t>5</w:t>
      </w:r>
      <w:r>
        <w:rPr>
          <w:rFonts w:hint="eastAsia" w:ascii="宋体" w:hAnsi="宋体"/>
        </w:rPr>
        <w:t>、其他</w:t>
      </w:r>
    </w:p>
    <w:p>
      <w:pPr>
        <w:widowControl w:val="0"/>
        <w:autoSpaceDE w:val="0"/>
        <w:autoSpaceDN w:val="0"/>
        <w:adjustRightInd w:val="0"/>
        <w:snapToGrid w:val="0"/>
        <w:ind w:firstLine="0" w:firstLineChars="0"/>
        <w:jc w:val="left"/>
        <w:outlineLvl w:val="1"/>
        <w:rPr>
          <w:rFonts w:hint="eastAsia" w:ascii="宋体" w:hAnsi="宋体"/>
        </w:rPr>
      </w:pPr>
      <w:r>
        <w:rPr>
          <w:rFonts w:hint="eastAsia" w:ascii="宋体" w:hAnsi="宋体"/>
        </w:rPr>
        <w:t>四、价格标部分</w:t>
      </w:r>
    </w:p>
    <w:p>
      <w:pPr>
        <w:widowControl w:val="0"/>
        <w:autoSpaceDE w:val="0"/>
        <w:autoSpaceDN w:val="0"/>
        <w:adjustRightInd w:val="0"/>
        <w:snapToGrid w:val="0"/>
        <w:ind w:firstLine="0" w:firstLineChars="0"/>
        <w:jc w:val="left"/>
        <w:outlineLvl w:val="1"/>
        <w:rPr>
          <w:rFonts w:hint="eastAsia" w:ascii="宋体" w:hAnsi="宋体"/>
        </w:rPr>
      </w:pPr>
      <w:r>
        <w:rPr>
          <w:rFonts w:hint="eastAsia" w:ascii="宋体" w:hAnsi="宋体"/>
        </w:rPr>
        <w:t>D1、投标报价一览表</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D2、其他（投标人认为应补充提供的其他文件资料或说明。）</w:t>
      </w:r>
      <w:r>
        <w:rPr>
          <w:rFonts w:ascii="宋体" w:hAnsi="宋体"/>
        </w:rPr>
        <w:br w:type="page"/>
      </w:r>
      <w:bookmarkStart w:id="371" w:name="_Hlk532142363"/>
      <w:bookmarkStart w:id="372" w:name="_Toc49247166"/>
      <w:r>
        <w:rPr>
          <w:rFonts w:hint="eastAsia" w:ascii="宋体" w:hAnsi="宋体"/>
          <w:b/>
          <w:sz w:val="44"/>
          <w:szCs w:val="44"/>
        </w:rPr>
        <w:t>一</w:t>
      </w:r>
      <w:r>
        <w:rPr>
          <w:rFonts w:ascii="宋体" w:hAnsi="宋体"/>
          <w:b/>
          <w:sz w:val="44"/>
          <w:szCs w:val="44"/>
        </w:rPr>
        <w:t>、</w:t>
      </w:r>
      <w:r>
        <w:rPr>
          <w:rFonts w:hint="eastAsia" w:ascii="宋体" w:hAnsi="宋体"/>
          <w:b/>
          <w:sz w:val="44"/>
          <w:szCs w:val="44"/>
        </w:rPr>
        <w:t>资格审查文件部分</w:t>
      </w:r>
      <w:bookmarkEnd w:id="371"/>
      <w:bookmarkEnd w:id="372"/>
    </w:p>
    <w:p>
      <w:pPr>
        <w:pStyle w:val="4"/>
        <w:numPr>
          <w:ilvl w:val="0"/>
          <w:numId w:val="0"/>
        </w:numPr>
        <w:spacing w:before="0" w:after="0" w:line="360" w:lineRule="auto"/>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A1、营业执照</w:t>
      </w:r>
    </w:p>
    <w:p>
      <w:pPr>
        <w:rPr>
          <w:rFonts w:hint="eastAsia" w:ascii="宋体" w:hAnsi="宋体" w:eastAsia="宋体" w:cs="宋体"/>
          <w:b/>
          <w:bCs/>
          <w:kern w:val="2"/>
          <w:sz w:val="21"/>
          <w:szCs w:val="21"/>
          <w:lang w:val="en-US" w:eastAsia="zh-CN" w:bidi="ar-SA"/>
        </w:rPr>
      </w:pPr>
    </w:p>
    <w:p>
      <w:pPr>
        <w:pStyle w:val="4"/>
        <w:numPr>
          <w:ilvl w:val="0"/>
          <w:numId w:val="0"/>
        </w:numPr>
        <w:spacing w:before="0" w:after="0" w:line="360" w:lineRule="auto"/>
        <w:jc w:val="both"/>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A2、其他补充材料（如：授权函、委托书等）</w:t>
      </w:r>
    </w:p>
    <w:p>
      <w:pPr>
        <w:widowControl w:val="0"/>
        <w:numPr>
          <w:ilvl w:val="0"/>
          <w:numId w:val="0"/>
        </w:numPr>
        <w:autoSpaceDE w:val="0"/>
        <w:autoSpaceDN w:val="0"/>
        <w:adjustRightInd w:val="0"/>
        <w:snapToGrid w:val="0"/>
        <w:rPr>
          <w:rFonts w:hint="eastAsia" w:ascii="宋体" w:hAnsi="宋体" w:cs="宋体"/>
          <w:b/>
          <w:bCs/>
          <w:sz w:val="21"/>
          <w:szCs w:val="21"/>
          <w:lang w:val="en-US" w:eastAsia="zh-CN"/>
        </w:rPr>
      </w:pPr>
    </w:p>
    <w:p>
      <w:pPr>
        <w:pStyle w:val="4"/>
        <w:numPr>
          <w:ilvl w:val="0"/>
          <w:numId w:val="0"/>
        </w:numPr>
        <w:spacing w:before="0" w:after="0" w:line="360" w:lineRule="auto"/>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A3、《投标及履约承诺函》</w:t>
      </w:r>
    </w:p>
    <w:p>
      <w:pPr>
        <w:spacing w:line="360" w:lineRule="auto"/>
        <w:jc w:val="center"/>
        <w:rPr>
          <w:rFonts w:ascii="宋体" w:hAnsi="宋体" w:eastAsia="宋体" w:cs="宋体"/>
          <w:sz w:val="24"/>
        </w:rPr>
      </w:pPr>
      <w:r>
        <w:rPr>
          <w:rFonts w:hint="eastAsia" w:ascii="宋体" w:hAnsi="宋体" w:eastAsia="宋体" w:cs="宋体"/>
          <w:kern w:val="0"/>
          <w:sz w:val="24"/>
        </w:rPr>
        <w:t>投标及履约承诺函</w:t>
      </w:r>
    </w:p>
    <w:p>
      <w:pPr>
        <w:spacing w:line="360" w:lineRule="auto"/>
        <w:rPr>
          <w:rFonts w:ascii="宋体" w:hAnsi="宋体" w:eastAsia="宋体" w:cs="宋体"/>
        </w:rPr>
      </w:pPr>
      <w:r>
        <w:rPr>
          <w:rFonts w:hint="eastAsia" w:ascii="宋体" w:hAnsi="宋体" w:eastAsia="宋体" w:cs="宋体"/>
        </w:rPr>
        <w:t>致：深圳</w:t>
      </w:r>
      <w:r>
        <w:rPr>
          <w:rFonts w:hint="eastAsia" w:ascii="宋体" w:hAnsi="宋体" w:cs="宋体"/>
          <w:lang w:val="en-US" w:eastAsia="zh-CN"/>
        </w:rPr>
        <w:t>市龙华环境有限公司</w:t>
      </w:r>
      <w:r>
        <w:rPr>
          <w:rFonts w:hint="eastAsia" w:ascii="宋体" w:hAnsi="宋体" w:eastAsia="宋体" w:cs="宋体"/>
        </w:rPr>
        <w:t xml:space="preserve"> </w:t>
      </w:r>
    </w:p>
    <w:p>
      <w:pPr>
        <w:spacing w:line="360" w:lineRule="auto"/>
        <w:rPr>
          <w:rFonts w:ascii="宋体" w:hAnsi="宋体" w:cs="宋体"/>
        </w:rPr>
      </w:pPr>
      <w:r>
        <w:rPr>
          <w:rFonts w:hint="eastAsia" w:ascii="宋体" w:hAnsi="宋体" w:cs="宋体"/>
        </w:rPr>
        <w:t>我单位承诺：</w:t>
      </w:r>
    </w:p>
    <w:p>
      <w:pPr>
        <w:spacing w:line="360" w:lineRule="auto"/>
        <w:ind w:left="-120"/>
        <w:rPr>
          <w:rFonts w:ascii="宋体" w:hAnsi="宋体" w:cs="宋体"/>
          <w:szCs w:val="21"/>
        </w:rPr>
      </w:pPr>
      <w:r>
        <w:rPr>
          <w:rFonts w:hint="eastAsia" w:ascii="宋体" w:hAnsi="宋体" w:cs="宋体"/>
          <w:szCs w:val="21"/>
        </w:rPr>
        <w:t>1、对本招标项目所提供的货物或服务未侵犯知识产权。</w:t>
      </w:r>
    </w:p>
    <w:p>
      <w:pPr>
        <w:spacing w:line="360" w:lineRule="auto"/>
        <w:ind w:left="-120"/>
        <w:rPr>
          <w:rFonts w:ascii="宋体" w:hAnsi="宋体" w:cs="宋体"/>
          <w:szCs w:val="21"/>
        </w:rPr>
      </w:pPr>
      <w:r>
        <w:rPr>
          <w:rFonts w:hint="eastAsia" w:ascii="宋体" w:hAnsi="宋体" w:cs="宋体"/>
          <w:szCs w:val="21"/>
        </w:rPr>
        <w:t>2、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360" w:lineRule="auto"/>
        <w:ind w:left="-120"/>
        <w:rPr>
          <w:rFonts w:ascii="宋体" w:hAnsi="宋体" w:cs="宋体"/>
          <w:szCs w:val="21"/>
        </w:rPr>
      </w:pPr>
      <w:r>
        <w:rPr>
          <w:rFonts w:hint="eastAsia" w:ascii="宋体" w:hAnsi="宋体" w:cs="宋体"/>
          <w:szCs w:val="21"/>
        </w:rPr>
        <w:t>3、我单位参与该项目投标，严格遵守相关法律，投标做到诚实，不造假，不围标、串标、陪标。我单位已清楚，如违反上述要求，其投标将作废，被列入不良记录名单并在网上曝光，同时将被提请</w:t>
      </w:r>
      <w:r>
        <w:rPr>
          <w:rFonts w:hint="eastAsia" w:ascii="宋体" w:hAnsi="宋体" w:cs="宋体"/>
          <w:szCs w:val="21"/>
          <w:lang w:eastAsia="zh-CN"/>
        </w:rPr>
        <w:t>相关</w:t>
      </w:r>
      <w:r>
        <w:rPr>
          <w:rFonts w:hint="eastAsia" w:ascii="宋体" w:hAnsi="宋体" w:cs="宋体"/>
          <w:szCs w:val="21"/>
        </w:rPr>
        <w:t>部门给予</w:t>
      </w:r>
      <w:r>
        <w:rPr>
          <w:rFonts w:hint="eastAsia" w:ascii="宋体" w:hAnsi="宋体" w:cs="宋体"/>
          <w:szCs w:val="21"/>
          <w:lang w:eastAsia="zh-CN"/>
        </w:rPr>
        <w:t>审查</w:t>
      </w:r>
      <w:r>
        <w:rPr>
          <w:rFonts w:hint="eastAsia" w:ascii="宋体" w:hAnsi="宋体" w:cs="宋体"/>
          <w:szCs w:val="21"/>
        </w:rPr>
        <w:t>。</w:t>
      </w:r>
    </w:p>
    <w:p>
      <w:pPr>
        <w:spacing w:line="360" w:lineRule="auto"/>
        <w:ind w:left="-120"/>
        <w:rPr>
          <w:rFonts w:ascii="宋体" w:hAnsi="宋体" w:cs="宋体"/>
          <w:szCs w:val="21"/>
        </w:rPr>
      </w:pPr>
      <w:r>
        <w:rPr>
          <w:rFonts w:hint="eastAsia" w:ascii="宋体" w:hAnsi="宋体" w:cs="宋体"/>
          <w:szCs w:val="21"/>
        </w:rPr>
        <w:t>4、如果中标，做到守信，不偷工减料，不非法转包，依照本项目招标文件需求内容、签署的采购合同及本单位在投标中所作的一切承诺履约。项目验收达到全部指标合格，力争优良。</w:t>
      </w:r>
    </w:p>
    <w:p>
      <w:pPr>
        <w:spacing w:line="360" w:lineRule="auto"/>
        <w:ind w:left="-120"/>
        <w:rPr>
          <w:rFonts w:ascii="宋体" w:hAnsi="宋体" w:cs="宋体"/>
          <w:szCs w:val="21"/>
        </w:rPr>
      </w:pPr>
      <w:r>
        <w:rPr>
          <w:rFonts w:hint="eastAsia" w:ascii="宋体" w:hAnsi="宋体" w:cs="宋体"/>
          <w:szCs w:val="21"/>
        </w:rPr>
        <w:t>5、我单位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且愿意接受</w:t>
      </w:r>
      <w:r>
        <w:rPr>
          <w:rFonts w:hint="eastAsia" w:ascii="宋体" w:hAnsi="宋体" w:cs="宋体"/>
          <w:szCs w:val="21"/>
          <w:lang w:eastAsia="zh-CN"/>
        </w:rPr>
        <w:t>相关</w:t>
      </w:r>
      <w:r>
        <w:rPr>
          <w:rFonts w:hint="eastAsia" w:ascii="宋体" w:hAnsi="宋体" w:cs="宋体"/>
          <w:szCs w:val="21"/>
        </w:rPr>
        <w:t>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w:t>
      </w:r>
      <w:r>
        <w:rPr>
          <w:rFonts w:hint="eastAsia" w:ascii="宋体" w:hAnsi="宋体" w:cs="宋体"/>
          <w:szCs w:val="21"/>
          <w:lang w:eastAsia="zh-CN"/>
        </w:rPr>
        <w:t>相关</w:t>
      </w:r>
      <w:r>
        <w:rPr>
          <w:rFonts w:hint="eastAsia" w:ascii="宋体" w:hAnsi="宋体" w:cs="宋体"/>
          <w:szCs w:val="21"/>
        </w:rPr>
        <w:t>部门的处理处罚。</w:t>
      </w:r>
    </w:p>
    <w:p>
      <w:pPr>
        <w:spacing w:line="360" w:lineRule="auto"/>
        <w:ind w:left="-120"/>
        <w:rPr>
          <w:rFonts w:ascii="宋体" w:hAnsi="宋体" w:cs="宋体"/>
          <w:szCs w:val="21"/>
        </w:rPr>
      </w:pPr>
      <w:r>
        <w:rPr>
          <w:rFonts w:hint="eastAsia" w:ascii="宋体" w:hAnsi="宋体" w:cs="宋体"/>
          <w:szCs w:val="21"/>
        </w:rPr>
        <w:t>6、我单位参与本项目投标前三年内，在经营活动中不存在</w:t>
      </w:r>
      <w:r>
        <w:rPr>
          <w:rFonts w:hint="eastAsia" w:ascii="宋体" w:hAnsi="宋体" w:cs="宋体"/>
        </w:rPr>
        <w:t>重大违法记录</w:t>
      </w:r>
      <w:r>
        <w:rPr>
          <w:rFonts w:hint="eastAsia" w:ascii="宋体" w:hAnsi="宋体" w:cs="宋体"/>
          <w:szCs w:val="21"/>
        </w:rPr>
        <w:t>的情形。</w:t>
      </w:r>
      <w:r>
        <w:rPr>
          <w:rFonts w:hint="eastAsia" w:ascii="宋体" w:hAnsi="宋体" w:cs="宋体"/>
        </w:rPr>
        <w:t>（重大违法记录是指：因违法经营受到刑事处罚或者责令停产停业、吊销许可证或者执照、较大数额罚款等行政处罚）</w:t>
      </w:r>
    </w:p>
    <w:p>
      <w:pPr>
        <w:spacing w:line="360" w:lineRule="auto"/>
        <w:ind w:left="-120"/>
        <w:rPr>
          <w:rFonts w:ascii="宋体" w:hAnsi="宋体" w:cs="宋体"/>
          <w:szCs w:val="21"/>
        </w:rPr>
      </w:pPr>
      <w:r>
        <w:rPr>
          <w:rFonts w:hint="eastAsia" w:ascii="宋体" w:hAnsi="宋体" w:cs="宋体"/>
          <w:szCs w:val="21"/>
        </w:rPr>
        <w:t>7、我单位参与本项目时不存在被有关部门禁止参与</w:t>
      </w:r>
      <w:r>
        <w:rPr>
          <w:rFonts w:hint="eastAsia" w:ascii="宋体" w:hAnsi="宋体" w:cs="宋体"/>
          <w:szCs w:val="21"/>
          <w:lang w:eastAsia="zh-CN"/>
        </w:rPr>
        <w:t>本项目</w:t>
      </w:r>
      <w:r>
        <w:rPr>
          <w:rFonts w:hint="eastAsia" w:ascii="宋体" w:hAnsi="宋体" w:cs="宋体"/>
          <w:szCs w:val="21"/>
        </w:rPr>
        <w:t>且在有效期内的情况。</w:t>
      </w:r>
    </w:p>
    <w:p>
      <w:pPr>
        <w:spacing w:line="360" w:lineRule="auto"/>
        <w:ind w:left="-120"/>
        <w:rPr>
          <w:rFonts w:ascii="宋体" w:hAnsi="宋体" w:cs="宋体"/>
          <w:szCs w:val="21"/>
        </w:rPr>
      </w:pPr>
      <w:r>
        <w:rPr>
          <w:rFonts w:hint="eastAsia" w:ascii="宋体" w:hAnsi="宋体" w:cs="宋体"/>
          <w:szCs w:val="21"/>
        </w:rPr>
        <w:t>8、我单位参与本项目近三年内（投标人成立不足三年的可从成立之日起算），我单位、单位法定代表人均无行贿犯罪记录。</w:t>
      </w:r>
    </w:p>
    <w:p>
      <w:pPr>
        <w:spacing w:line="360" w:lineRule="auto"/>
        <w:ind w:left="-120"/>
        <w:rPr>
          <w:rFonts w:ascii="宋体" w:hAnsi="宋体" w:cs="宋体"/>
          <w:szCs w:val="21"/>
        </w:rPr>
      </w:pPr>
      <w:r>
        <w:rPr>
          <w:rFonts w:hint="eastAsia" w:ascii="宋体" w:hAnsi="宋体" w:cs="宋体"/>
          <w:szCs w:val="21"/>
        </w:rPr>
        <w:t>9、</w:t>
      </w:r>
      <w:r>
        <w:rPr>
          <w:rFonts w:hint="eastAsia" w:ascii="宋体" w:hAnsi="宋体" w:cs="宋体"/>
          <w:szCs w:val="21"/>
          <w:lang w:eastAsia="zh-CN"/>
        </w:rPr>
        <w:t>参照《中华人民共和国政府采购法实施条例》第十八条规定，</w:t>
      </w:r>
      <w:r>
        <w:rPr>
          <w:rFonts w:hint="eastAsia" w:ascii="宋体" w:hAnsi="宋体" w:cs="宋体"/>
          <w:szCs w:val="21"/>
        </w:rPr>
        <w:t>我单位</w:t>
      </w:r>
      <w:r>
        <w:rPr>
          <w:rFonts w:hint="eastAsia" w:ascii="宋体" w:hAnsi="宋体" w:cs="宋体"/>
          <w:szCs w:val="21"/>
          <w:lang w:eastAsia="zh-CN"/>
        </w:rPr>
        <w:t>承诺：</w:t>
      </w:r>
      <w:r>
        <w:rPr>
          <w:rFonts w:hint="eastAsia" w:ascii="宋体" w:hAnsi="宋体" w:cs="宋体"/>
          <w:szCs w:val="21"/>
        </w:rPr>
        <w:t>不存在“单位负责人为同一人或者存在直接控股、管理关系的不同供应商，参加同一合同项下的</w:t>
      </w:r>
      <w:r>
        <w:rPr>
          <w:rFonts w:hint="eastAsia" w:ascii="宋体" w:hAnsi="宋体" w:cs="宋体"/>
          <w:szCs w:val="21"/>
          <w:lang w:eastAsia="zh-CN"/>
        </w:rPr>
        <w:t>招标项目</w:t>
      </w:r>
      <w:r>
        <w:rPr>
          <w:rFonts w:hint="eastAsia" w:ascii="宋体" w:hAnsi="宋体" w:cs="宋体"/>
          <w:szCs w:val="21"/>
        </w:rPr>
        <w:t>”的情形。</w:t>
      </w:r>
    </w:p>
    <w:p>
      <w:pPr>
        <w:spacing w:line="360" w:lineRule="auto"/>
        <w:ind w:left="-120"/>
        <w:rPr>
          <w:rFonts w:ascii="宋体" w:hAnsi="宋体" w:cs="宋体"/>
          <w:szCs w:val="21"/>
        </w:rPr>
      </w:pPr>
      <w:r>
        <w:rPr>
          <w:rFonts w:hint="eastAsia" w:ascii="宋体" w:hAnsi="宋体" w:cs="宋体"/>
          <w:szCs w:val="21"/>
        </w:rPr>
        <w:t>10、</w:t>
      </w:r>
      <w:r>
        <w:rPr>
          <w:rFonts w:hint="eastAsia" w:ascii="宋体" w:hAnsi="宋体" w:cs="宋体"/>
          <w:szCs w:val="21"/>
          <w:lang w:eastAsia="zh-CN"/>
        </w:rPr>
        <w:t>参照</w:t>
      </w:r>
      <w:r>
        <w:rPr>
          <w:rFonts w:hint="eastAsia" w:ascii="宋体" w:hAnsi="宋体" w:cs="宋体"/>
          <w:szCs w:val="21"/>
        </w:rPr>
        <w:t>《中华人民共和国政府采购法》第二十二条规定</w:t>
      </w:r>
      <w:r>
        <w:rPr>
          <w:rFonts w:hint="eastAsia" w:ascii="宋体" w:hAnsi="宋体" w:cs="宋体"/>
          <w:szCs w:val="21"/>
          <w:lang w:eastAsia="zh-CN"/>
        </w:rPr>
        <w:t>，</w:t>
      </w:r>
      <w:r>
        <w:rPr>
          <w:rFonts w:hint="eastAsia" w:ascii="宋体" w:hAnsi="宋体" w:cs="宋体"/>
          <w:szCs w:val="21"/>
        </w:rPr>
        <w:t>我单位</w:t>
      </w:r>
      <w:r>
        <w:rPr>
          <w:rFonts w:hint="eastAsia" w:ascii="宋体" w:hAnsi="宋体" w:cs="宋体"/>
          <w:szCs w:val="21"/>
          <w:lang w:eastAsia="zh-CN"/>
        </w:rPr>
        <w:t>承诺：</w:t>
      </w:r>
      <w:r>
        <w:rPr>
          <w:rFonts w:hint="eastAsia" w:ascii="宋体" w:hAnsi="宋体" w:cs="宋体"/>
          <w:szCs w:val="21"/>
        </w:rPr>
        <w:t>具备供应商参加</w:t>
      </w:r>
      <w:r>
        <w:rPr>
          <w:rFonts w:hint="eastAsia" w:ascii="宋体" w:hAnsi="宋体" w:cs="宋体"/>
          <w:szCs w:val="21"/>
          <w:lang w:eastAsia="zh-CN"/>
        </w:rPr>
        <w:t>本项目</w:t>
      </w:r>
      <w:r>
        <w:rPr>
          <w:rFonts w:hint="eastAsia" w:ascii="宋体" w:hAnsi="宋体" w:cs="宋体"/>
          <w:szCs w:val="21"/>
        </w:rPr>
        <w:t>应当具备的条件：（一）具有独立承担民事责任的能力；（二）具有良好的商业信誉和健全的财务会计制度（如为新成立公司需提供情况说明，证明无财务往来等情况；以上均未能提供，需提供承诺函，承诺具有良好的商业信誉和健全的财务会计制度；）；（三）具有履行合同所必需的设备和专业技术能力；（四）有依法缴纳税收和社会保障资金的良好记录（如为新成立公司需提供情况说明，证明人员情况；以上均未能提供，需提供承诺函，承诺将会依法缴纳税收和社会保障资金；）。</w:t>
      </w:r>
    </w:p>
    <w:p>
      <w:pPr>
        <w:pStyle w:val="109"/>
        <w:spacing w:line="360" w:lineRule="auto"/>
        <w:rPr>
          <w:rFonts w:ascii="宋体" w:hAnsi="宋体" w:eastAsia="宋体" w:cs="宋体"/>
        </w:rPr>
      </w:pPr>
      <w:r>
        <w:rPr>
          <w:rFonts w:hint="eastAsia" w:ascii="宋体" w:hAnsi="宋体" w:eastAsia="宋体" w:cs="宋体"/>
        </w:rPr>
        <w:t>以上承诺，如有违反，愿依照国家相关法律接受相关处理结果，并愿承担由此给采购人带来的损失。</w:t>
      </w:r>
    </w:p>
    <w:p>
      <w:pPr>
        <w:spacing w:line="360" w:lineRule="auto"/>
        <w:rPr>
          <w:rFonts w:hint="default" w:ascii="宋体" w:hAnsi="宋体" w:eastAsia="宋体" w:cs="宋体"/>
          <w:lang w:val="en-US" w:eastAsia="zh-CN"/>
        </w:rPr>
      </w:pPr>
      <w:r>
        <w:rPr>
          <w:rFonts w:hint="eastAsia" w:ascii="宋体" w:hAnsi="宋体" w:eastAsia="宋体" w:cs="宋体"/>
        </w:rPr>
        <w:t xml:space="preserve"> </w:t>
      </w:r>
      <w:r>
        <w:rPr>
          <w:rFonts w:hint="eastAsia" w:ascii="宋体" w:hAnsi="宋体" w:cs="宋体"/>
          <w:lang w:val="en-US" w:eastAsia="zh-CN"/>
        </w:rPr>
        <w:t xml:space="preserve">  </w:t>
      </w:r>
    </w:p>
    <w:p>
      <w:pPr>
        <w:spacing w:line="360" w:lineRule="auto"/>
        <w:rPr>
          <w:rFonts w:ascii="宋体" w:hAnsi="宋体" w:eastAsia="宋体" w:cs="宋体"/>
        </w:rPr>
      </w:pPr>
      <w:r>
        <w:rPr>
          <w:rFonts w:hint="eastAsia" w:ascii="宋体" w:hAnsi="宋体" w:eastAsia="宋体" w:cs="宋体"/>
        </w:rPr>
        <w:t xml:space="preserve"> </w:t>
      </w:r>
    </w:p>
    <w:p>
      <w:pPr>
        <w:spacing w:line="360" w:lineRule="auto"/>
        <w:rPr>
          <w:rFonts w:ascii="宋体" w:hAnsi="宋体" w:eastAsia="宋体" w:cs="宋体"/>
        </w:rPr>
      </w:pPr>
      <w:r>
        <w:rPr>
          <w:rFonts w:hint="eastAsia" w:ascii="宋体" w:hAnsi="宋体" w:eastAsia="宋体" w:cs="宋体"/>
        </w:rPr>
        <w:t xml:space="preserve">                                       投标单位名称：</w:t>
      </w:r>
    </w:p>
    <w:p>
      <w:pPr>
        <w:spacing w:line="360" w:lineRule="auto"/>
        <w:rPr>
          <w:rFonts w:hint="eastAsia" w:ascii="宋体" w:hAnsi="宋体"/>
          <w:b/>
          <w:sz w:val="44"/>
          <w:szCs w:val="44"/>
        </w:rPr>
      </w:pPr>
      <w:r>
        <w:rPr>
          <w:rFonts w:hint="eastAsia" w:ascii="宋体" w:hAnsi="宋体" w:eastAsia="宋体" w:cs="宋体"/>
        </w:rPr>
        <w:t xml:space="preserve">                               </w:t>
      </w:r>
      <w:r>
        <w:rPr>
          <w:rFonts w:hint="eastAsia" w:ascii="宋体" w:hAnsi="宋体" w:eastAsia="宋体" w:cs="宋体"/>
          <w:b/>
          <w:bCs/>
          <w:szCs w:val="21"/>
        </w:rPr>
        <w:t xml:space="preserve">       </w:t>
      </w:r>
      <w:r>
        <w:rPr>
          <w:rFonts w:hint="eastAsia" w:ascii="宋体" w:hAnsi="宋体" w:eastAsia="宋体" w:cs="宋体"/>
        </w:rPr>
        <w:t xml:space="preserve"> 日期：   年   月   日</w:t>
      </w:r>
    </w:p>
    <w:p>
      <w:pPr>
        <w:widowControl w:val="0"/>
        <w:autoSpaceDE w:val="0"/>
        <w:autoSpaceDN w:val="0"/>
        <w:adjustRightInd w:val="0"/>
        <w:snapToGrid w:val="0"/>
        <w:ind w:firstLine="0" w:firstLineChars="0"/>
        <w:jc w:val="left"/>
        <w:rPr>
          <w:rFonts w:hint="eastAsia" w:ascii="宋体" w:hAnsi="宋体" w:cs="宋体"/>
          <w:b/>
          <w:bCs/>
          <w:sz w:val="21"/>
          <w:szCs w:val="21"/>
          <w:lang w:val="en-US" w:eastAsia="zh-CN"/>
        </w:rPr>
      </w:pPr>
    </w:p>
    <w:p>
      <w:pPr>
        <w:widowControl w:val="0"/>
        <w:autoSpaceDE w:val="0"/>
        <w:autoSpaceDN w:val="0"/>
        <w:adjustRightInd w:val="0"/>
        <w:snapToGrid w:val="0"/>
        <w:ind w:firstLine="0" w:firstLineChars="0"/>
        <w:jc w:val="left"/>
        <w:rPr>
          <w:rFonts w:hint="eastAsia" w:ascii="宋体" w:hAnsi="宋体" w:cs="宋体"/>
          <w:b/>
          <w:bCs/>
          <w:sz w:val="21"/>
          <w:szCs w:val="21"/>
          <w:lang w:val="en-US" w:eastAsia="zh-CN"/>
        </w:rPr>
      </w:pPr>
    </w:p>
    <w:p>
      <w:pPr>
        <w:widowControl w:val="0"/>
        <w:autoSpaceDE w:val="0"/>
        <w:autoSpaceDN w:val="0"/>
        <w:adjustRightInd w:val="0"/>
        <w:snapToGrid w:val="0"/>
        <w:ind w:firstLine="0" w:firstLineChars="0"/>
        <w:jc w:val="left"/>
        <w:rPr>
          <w:rFonts w:hint="eastAsia" w:ascii="宋体" w:hAnsi="宋体" w:cs="宋体"/>
          <w:b/>
          <w:bCs/>
          <w:sz w:val="21"/>
          <w:szCs w:val="21"/>
          <w:lang w:val="en-US" w:eastAsia="zh-CN"/>
        </w:rPr>
      </w:pPr>
    </w:p>
    <w:p>
      <w:pPr>
        <w:widowControl w:val="0"/>
        <w:autoSpaceDE w:val="0"/>
        <w:autoSpaceDN w:val="0"/>
        <w:adjustRightInd w:val="0"/>
        <w:snapToGrid w:val="0"/>
        <w:ind w:firstLine="0" w:firstLineChars="0"/>
        <w:jc w:val="left"/>
        <w:rPr>
          <w:rFonts w:hint="eastAsia" w:ascii="宋体" w:hAnsi="宋体" w:cs="宋体"/>
          <w:b/>
          <w:bCs/>
          <w:sz w:val="21"/>
          <w:szCs w:val="21"/>
          <w:lang w:val="en-US" w:eastAsia="zh-CN"/>
        </w:rPr>
      </w:pPr>
    </w:p>
    <w:p>
      <w:pPr>
        <w:widowControl w:val="0"/>
        <w:autoSpaceDE w:val="0"/>
        <w:autoSpaceDN w:val="0"/>
        <w:adjustRightInd w:val="0"/>
        <w:snapToGrid w:val="0"/>
        <w:ind w:firstLine="0" w:firstLineChars="0"/>
        <w:jc w:val="left"/>
        <w:rPr>
          <w:rFonts w:hint="eastAsia" w:ascii="宋体" w:hAnsi="宋体" w:cs="宋体"/>
          <w:b/>
          <w:bCs/>
          <w:sz w:val="21"/>
          <w:szCs w:val="21"/>
          <w:lang w:val="en-US" w:eastAsia="zh-CN"/>
        </w:rPr>
      </w:pPr>
    </w:p>
    <w:p>
      <w:pPr>
        <w:pStyle w:val="4"/>
        <w:numPr>
          <w:ilvl w:val="0"/>
          <w:numId w:val="0"/>
        </w:numPr>
        <w:spacing w:before="0" w:after="0" w:line="360" w:lineRule="auto"/>
        <w:jc w:val="both"/>
        <w:rPr>
          <w:rFonts w:hint="eastAsia" w:ascii="宋体" w:hAnsi="宋体" w:eastAsia="宋体" w:cs="宋体"/>
          <w:b/>
          <w:bCs/>
          <w:kern w:val="2"/>
          <w:sz w:val="21"/>
          <w:szCs w:val="21"/>
          <w:lang w:val="en-US" w:eastAsia="zh-CN" w:bidi="ar-SA"/>
        </w:rPr>
      </w:pPr>
      <w:bookmarkStart w:id="373" w:name="_Toc278892899"/>
      <w:bookmarkStart w:id="374" w:name="_Toc280341016"/>
      <w:bookmarkStart w:id="375" w:name="_Toc390444141"/>
      <w:bookmarkStart w:id="376" w:name="_Hlk532142439"/>
      <w:r>
        <w:rPr>
          <w:rFonts w:hint="eastAsia" w:ascii="宋体" w:hAnsi="宋体" w:eastAsia="宋体" w:cs="宋体"/>
          <w:b/>
          <w:bCs/>
          <w:kern w:val="2"/>
          <w:sz w:val="21"/>
          <w:szCs w:val="21"/>
          <w:lang w:val="en-US" w:eastAsia="zh-CN" w:bidi="ar-SA"/>
        </w:rPr>
        <w:t>A4、法定代表人资格证明书</w:t>
      </w:r>
      <w:bookmarkEnd w:id="373"/>
      <w:bookmarkEnd w:id="374"/>
      <w:bookmarkEnd w:id="375"/>
    </w:p>
    <w:p>
      <w:pPr>
        <w:widowControl w:val="0"/>
        <w:autoSpaceDE w:val="0"/>
        <w:autoSpaceDN w:val="0"/>
        <w:adjustRightInd w:val="0"/>
        <w:snapToGrid w:val="0"/>
        <w:ind w:firstLine="0" w:firstLineChars="0"/>
        <w:jc w:val="left"/>
        <w:rPr>
          <w:rFonts w:ascii="宋体" w:hAnsi="宋体"/>
          <w:sz w:val="24"/>
        </w:rPr>
      </w:pPr>
    </w:p>
    <w:bookmarkEnd w:id="376"/>
    <w:p>
      <w:pPr>
        <w:widowControl w:val="0"/>
        <w:autoSpaceDE w:val="0"/>
        <w:autoSpaceDN w:val="0"/>
        <w:adjustRightInd w:val="0"/>
        <w:snapToGrid w:val="0"/>
        <w:ind w:firstLine="0" w:firstLineChars="0"/>
        <w:jc w:val="center"/>
        <w:rPr>
          <w:rFonts w:ascii="宋体" w:hAnsi="宋体"/>
          <w:b/>
          <w:sz w:val="32"/>
          <w:szCs w:val="32"/>
        </w:rPr>
      </w:pPr>
      <w:bookmarkStart w:id="377" w:name="_Hlk532142471"/>
      <w:r>
        <w:rPr>
          <w:rFonts w:hint="eastAsia" w:ascii="宋体" w:hAnsi="宋体"/>
          <w:b/>
          <w:sz w:val="32"/>
          <w:szCs w:val="32"/>
        </w:rPr>
        <w:t>法定代表人资格证明书</w:t>
      </w:r>
    </w:p>
    <w:p>
      <w:pPr>
        <w:widowControl w:val="0"/>
        <w:autoSpaceDE w:val="0"/>
        <w:autoSpaceDN w:val="0"/>
        <w:adjustRightInd w:val="0"/>
        <w:snapToGrid w:val="0"/>
        <w:ind w:firstLine="0" w:firstLineChars="0"/>
        <w:jc w:val="left"/>
        <w:rPr>
          <w:rFonts w:ascii="宋体" w:hAnsi="宋体"/>
          <w:sz w:val="24"/>
        </w:rPr>
      </w:pP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投标人名称：</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单位性质：</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地址：</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经营期限：</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姓名：</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性别：</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年龄：</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职务：</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系</w:t>
      </w:r>
      <w:r>
        <w:rPr>
          <w:rFonts w:hint="eastAsia" w:ascii="宋体" w:hAnsi="宋体"/>
          <w:szCs w:val="21"/>
          <w:u w:val="single"/>
        </w:rPr>
        <w:t xml:space="preserve">   （投标人名称）  </w:t>
      </w:r>
      <w:r>
        <w:rPr>
          <w:rFonts w:hint="eastAsia" w:ascii="宋体" w:hAnsi="宋体"/>
          <w:szCs w:val="21"/>
        </w:rPr>
        <w:t>的法定代表人。</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特此证明。</w:t>
      </w:r>
    </w:p>
    <w:p>
      <w:pPr>
        <w:widowControl w:val="0"/>
        <w:autoSpaceDE w:val="0"/>
        <w:autoSpaceDN w:val="0"/>
        <w:adjustRightInd w:val="0"/>
        <w:snapToGrid w:val="0"/>
        <w:ind w:firstLine="0" w:firstLineChars="0"/>
        <w:jc w:val="left"/>
        <w:rPr>
          <w:rFonts w:ascii="宋体" w:hAnsi="宋体"/>
          <w:bCs/>
          <w:szCs w:val="21"/>
        </w:rPr>
      </w:pP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投标人：</w:t>
      </w:r>
      <w:r>
        <w:rPr>
          <w:rFonts w:hint="eastAsia" w:ascii="宋体" w:hAnsi="宋体"/>
          <w:szCs w:val="21"/>
          <w:u w:val="single"/>
        </w:rPr>
        <w:t xml:space="preserve">                    </w:t>
      </w:r>
      <w:r>
        <w:rPr>
          <w:rFonts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val="0"/>
        <w:autoSpaceDE w:val="0"/>
        <w:autoSpaceDN w:val="0"/>
        <w:adjustRightInd w:val="0"/>
        <w:snapToGrid w:val="0"/>
        <w:ind w:firstLine="0" w:firstLineChars="0"/>
        <w:jc w:val="left"/>
        <w:rPr>
          <w:rFonts w:ascii="宋体" w:hAnsi="宋体"/>
          <w:szCs w:val="21"/>
        </w:rPr>
      </w:pPr>
    </w:p>
    <w:p>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pPr>
        <w:widowControl w:val="0"/>
        <w:autoSpaceDE w:val="0"/>
        <w:autoSpaceDN w:val="0"/>
        <w:adjustRightInd w:val="0"/>
        <w:snapToGrid w:val="0"/>
        <w:ind w:firstLine="0" w:firstLineChars="0"/>
        <w:jc w:val="left"/>
        <w:rPr>
          <w:rFonts w:ascii="宋体" w:hAnsi="宋体"/>
          <w:szCs w:val="21"/>
        </w:rPr>
      </w:pPr>
      <w:r>
        <w:rPr>
          <w:rFonts w:ascii="宋体" w:hAnsi="宋体"/>
          <w:szCs w:val="21"/>
        </w:rPr>
        <w:t>1</w:t>
      </w:r>
      <w:r>
        <w:rPr>
          <w:rFonts w:hint="eastAsia" w:ascii="宋体" w:hAnsi="宋体"/>
          <w:szCs w:val="21"/>
        </w:rPr>
        <w:t>、如为法定代表人参加本次投标活动时，则不需要填写“法定代表人授权委托书”。</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2、后附法定代表人身份证</w:t>
      </w:r>
      <w:r>
        <w:rPr>
          <w:rFonts w:hint="eastAsia" w:ascii="宋体" w:hAnsi="宋体"/>
          <w:szCs w:val="21"/>
          <w:lang w:eastAsia="zh-CN"/>
        </w:rPr>
        <w:t>扫描</w:t>
      </w:r>
      <w:r>
        <w:rPr>
          <w:rFonts w:hint="eastAsia" w:ascii="宋体" w:hAnsi="宋体"/>
          <w:szCs w:val="21"/>
        </w:rPr>
        <w:t>件。</w:t>
      </w:r>
    </w:p>
    <w:p>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3、格式仅供参考</w:t>
      </w:r>
    </w:p>
    <w:p>
      <w:pPr>
        <w:widowControl w:val="0"/>
        <w:autoSpaceDE w:val="0"/>
        <w:autoSpaceDN w:val="0"/>
        <w:adjustRightInd w:val="0"/>
        <w:snapToGrid w:val="0"/>
        <w:ind w:firstLine="0" w:firstLineChars="0"/>
        <w:jc w:val="left"/>
        <w:rPr>
          <w:rFonts w:hint="eastAsia" w:ascii="宋体" w:hAnsi="宋体"/>
          <w:b/>
          <w:szCs w:val="21"/>
        </w:rPr>
      </w:pPr>
    </w:p>
    <w:p>
      <w:pPr>
        <w:pStyle w:val="4"/>
        <w:numPr>
          <w:ilvl w:val="0"/>
          <w:numId w:val="0"/>
        </w:numPr>
        <w:spacing w:before="0" w:after="0" w:line="360" w:lineRule="auto"/>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A5、法定代表人授权委托书</w:t>
      </w:r>
    </w:p>
    <w:p>
      <w:pPr>
        <w:widowControl w:val="0"/>
        <w:autoSpaceDE w:val="0"/>
        <w:autoSpaceDN w:val="0"/>
        <w:adjustRightInd w:val="0"/>
        <w:snapToGrid w:val="0"/>
        <w:ind w:firstLine="0" w:firstLineChars="0"/>
        <w:jc w:val="left"/>
        <w:rPr>
          <w:rFonts w:ascii="宋体" w:hAnsi="宋体"/>
          <w:b/>
          <w:sz w:val="28"/>
          <w:szCs w:val="28"/>
        </w:rPr>
      </w:pPr>
    </w:p>
    <w:bookmarkEnd w:id="377"/>
    <w:p>
      <w:pPr>
        <w:widowControl w:val="0"/>
        <w:autoSpaceDE w:val="0"/>
        <w:autoSpaceDN w:val="0"/>
        <w:adjustRightInd w:val="0"/>
        <w:snapToGrid w:val="0"/>
        <w:ind w:firstLine="0" w:firstLineChars="0"/>
        <w:jc w:val="center"/>
        <w:rPr>
          <w:rFonts w:hint="eastAsia" w:ascii="宋体" w:hAnsi="宋体" w:eastAsia="宋体"/>
          <w:b/>
          <w:sz w:val="32"/>
          <w:szCs w:val="32"/>
          <w:lang w:eastAsia="zh-CN"/>
        </w:rPr>
      </w:pPr>
      <w:r>
        <w:rPr>
          <w:rFonts w:hint="eastAsia" w:ascii="宋体" w:hAnsi="宋体"/>
          <w:b/>
          <w:sz w:val="32"/>
          <w:szCs w:val="32"/>
        </w:rPr>
        <w:t>法定代表人授权委托书</w:t>
      </w:r>
    </w:p>
    <w:p>
      <w:pPr>
        <w:widowControl w:val="0"/>
        <w:autoSpaceDE w:val="0"/>
        <w:autoSpaceDN w:val="0"/>
        <w:adjustRightInd w:val="0"/>
        <w:snapToGrid w:val="0"/>
        <w:ind w:firstLine="0" w:firstLineChars="0"/>
        <w:jc w:val="left"/>
        <w:rPr>
          <w:rFonts w:ascii="宋体" w:hAnsi="宋体"/>
          <w:sz w:val="24"/>
        </w:rPr>
      </w:pPr>
    </w:p>
    <w:p>
      <w:pPr>
        <w:widowControl w:val="0"/>
        <w:autoSpaceDE w:val="0"/>
        <w:autoSpaceDN w:val="0"/>
        <w:adjustRightInd w:val="0"/>
        <w:snapToGrid w:val="0"/>
        <w:ind w:firstLine="0" w:firstLineChars="0"/>
        <w:jc w:val="left"/>
        <w:rPr>
          <w:rFonts w:ascii="宋体" w:hAnsi="宋体"/>
          <w:u w:val="single"/>
        </w:rPr>
      </w:pPr>
      <w:r>
        <w:rPr>
          <w:rFonts w:hint="eastAsia" w:ascii="宋体" w:hAnsi="宋体"/>
        </w:rPr>
        <w:t>致：</w:t>
      </w:r>
      <w:r>
        <w:rPr>
          <w:rFonts w:hint="eastAsia" w:ascii="宋体" w:hAnsi="宋体"/>
          <w:u w:val="single"/>
        </w:rPr>
        <w:t xml:space="preserve"> </w:t>
      </w:r>
      <w:r>
        <w:rPr>
          <w:rFonts w:hint="eastAsia" w:ascii="宋体" w:hAnsi="宋体"/>
          <w:u w:val="single"/>
          <w:lang w:val="en-US" w:eastAsia="zh-CN"/>
        </w:rPr>
        <w:t>深圳市龙华环境有限公司</w:t>
      </w:r>
      <w:r>
        <w:rPr>
          <w:rFonts w:hint="eastAsia" w:ascii="宋体" w:hAnsi="宋体"/>
          <w:u w:val="single"/>
        </w:rPr>
        <w:t xml:space="preserve">  </w:t>
      </w:r>
    </w:p>
    <w:p>
      <w:pPr>
        <w:widowControl w:val="0"/>
        <w:autoSpaceDE w:val="0"/>
        <w:autoSpaceDN w:val="0"/>
        <w:adjustRightInd w:val="0"/>
        <w:snapToGrid w:val="0"/>
        <w:ind w:firstLine="0" w:firstLineChars="0"/>
        <w:jc w:val="left"/>
        <w:rPr>
          <w:rFonts w:ascii="宋体" w:hAnsi="宋体"/>
          <w:szCs w:val="21"/>
        </w:rPr>
      </w:pP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本授权委托书宣告：</w:t>
      </w:r>
      <w:r>
        <w:rPr>
          <w:rFonts w:hint="eastAsia" w:ascii="宋体" w:hAnsi="宋体"/>
          <w:szCs w:val="21"/>
          <w:u w:val="single"/>
        </w:rPr>
        <w:t>（投标人全称）</w:t>
      </w:r>
      <w:r>
        <w:rPr>
          <w:rFonts w:hint="eastAsia" w:ascii="宋体" w:hAnsi="宋体"/>
          <w:szCs w:val="21"/>
        </w:rPr>
        <w:t>的</w:t>
      </w:r>
      <w:r>
        <w:rPr>
          <w:rFonts w:hint="eastAsia" w:ascii="宋体" w:hAnsi="宋体"/>
          <w:szCs w:val="21"/>
          <w:u w:val="single"/>
        </w:rPr>
        <w:t xml:space="preserve"> （职务）（姓名）</w:t>
      </w:r>
      <w:r>
        <w:rPr>
          <w:rFonts w:hint="eastAsia" w:ascii="宋体" w:hAnsi="宋体"/>
          <w:szCs w:val="21"/>
        </w:rPr>
        <w:t>以其法定代表人的身份，合法地代表本单位，授权</w:t>
      </w:r>
      <w:r>
        <w:rPr>
          <w:rFonts w:hint="eastAsia" w:ascii="宋体" w:hAnsi="宋体"/>
          <w:szCs w:val="21"/>
          <w:u w:val="single"/>
        </w:rPr>
        <w:t xml:space="preserve"> （投标人全称） </w:t>
      </w:r>
      <w:r>
        <w:rPr>
          <w:rFonts w:hint="eastAsia" w:ascii="宋体" w:hAnsi="宋体"/>
          <w:szCs w:val="21"/>
        </w:rPr>
        <w:t>的</w:t>
      </w:r>
      <w:r>
        <w:rPr>
          <w:rFonts w:hint="eastAsia" w:ascii="宋体" w:hAnsi="宋体"/>
          <w:szCs w:val="21"/>
          <w:u w:val="single"/>
        </w:rPr>
        <w:t>（职务）（姓名）</w:t>
      </w:r>
      <w:r>
        <w:rPr>
          <w:rFonts w:hint="eastAsia" w:ascii="宋体" w:hAnsi="宋体"/>
          <w:szCs w:val="21"/>
        </w:rPr>
        <w:t>为我单位授权代理人，该授权代理人有权在的投标活动中，以我单位的名义签署投标函和投标文件、与招标人协商、谈判、签订合同协议以及全权处理与此有关的一切事项，其法律后果由我单位承担。</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委托期限：</w:t>
      </w:r>
      <w:r>
        <w:rPr>
          <w:rFonts w:hint="eastAsia" w:ascii="宋体" w:hAnsi="宋体"/>
          <w:szCs w:val="21"/>
          <w:u w:val="single"/>
        </w:rPr>
        <w:t xml:space="preserve">                                                                    </w:t>
      </w:r>
      <w:r>
        <w:rPr>
          <w:rFonts w:hint="eastAsia" w:ascii="宋体" w:hAnsi="宋体"/>
          <w:szCs w:val="21"/>
        </w:rPr>
        <w:t>。</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授权代理人无转委托权，特此委托。</w:t>
      </w:r>
    </w:p>
    <w:p>
      <w:pPr>
        <w:widowControl w:val="0"/>
        <w:autoSpaceDE w:val="0"/>
        <w:autoSpaceDN w:val="0"/>
        <w:adjustRightInd w:val="0"/>
        <w:snapToGrid w:val="0"/>
        <w:ind w:firstLine="0" w:firstLineChars="0"/>
        <w:jc w:val="left"/>
        <w:rPr>
          <w:rFonts w:ascii="宋体" w:hAnsi="宋体"/>
          <w:szCs w:val="21"/>
        </w:rPr>
      </w:pP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投标人：</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法定代表人：</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val="0"/>
        <w:autoSpaceDE w:val="0"/>
        <w:autoSpaceDN w:val="0"/>
        <w:adjustRightInd w:val="0"/>
        <w:snapToGrid w:val="0"/>
        <w:ind w:firstLine="0" w:firstLineChars="0"/>
        <w:jc w:val="left"/>
        <w:rPr>
          <w:rFonts w:ascii="宋体" w:hAnsi="宋体"/>
          <w:szCs w:val="21"/>
        </w:rPr>
      </w:pPr>
    </w:p>
    <w:p>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1、如为法定代表人参加本次投标活动时，则不需要填写“法定代表人授权委托书”；</w:t>
      </w:r>
    </w:p>
    <w:p>
      <w:pPr>
        <w:widowControl w:val="0"/>
        <w:autoSpaceDE w:val="0"/>
        <w:autoSpaceDN w:val="0"/>
        <w:adjustRightInd w:val="0"/>
        <w:snapToGrid w:val="0"/>
        <w:ind w:firstLine="0" w:firstLineChars="0"/>
        <w:jc w:val="left"/>
        <w:rPr>
          <w:rFonts w:ascii="宋体" w:hAnsi="宋体"/>
          <w:b/>
          <w:szCs w:val="21"/>
        </w:rPr>
      </w:pPr>
      <w:r>
        <w:rPr>
          <w:rFonts w:hint="eastAsia" w:ascii="宋体" w:hAnsi="宋体"/>
          <w:szCs w:val="21"/>
        </w:rPr>
        <w:t>2、后附授权代理人身份证</w:t>
      </w:r>
      <w:r>
        <w:rPr>
          <w:rFonts w:hint="eastAsia" w:ascii="宋体" w:hAnsi="宋体"/>
          <w:szCs w:val="21"/>
          <w:lang w:eastAsia="zh-CN"/>
        </w:rPr>
        <w:t>扫描</w:t>
      </w:r>
      <w:r>
        <w:rPr>
          <w:rFonts w:hint="eastAsia" w:ascii="宋体" w:hAnsi="宋体"/>
          <w:szCs w:val="21"/>
        </w:rPr>
        <w:t>件</w:t>
      </w:r>
      <w:r>
        <w:rPr>
          <w:rFonts w:hint="eastAsia" w:ascii="宋体" w:hAnsi="宋体"/>
          <w:spacing w:val="-8"/>
          <w:szCs w:val="21"/>
        </w:rPr>
        <w:t>；</w:t>
      </w:r>
    </w:p>
    <w:p>
      <w:pPr>
        <w:widowControl w:val="0"/>
        <w:autoSpaceDE w:val="0"/>
        <w:autoSpaceDN w:val="0"/>
        <w:adjustRightInd w:val="0"/>
        <w:snapToGrid w:val="0"/>
        <w:ind w:firstLine="0" w:firstLineChars="0"/>
        <w:jc w:val="left"/>
        <w:rPr>
          <w:rFonts w:hint="eastAsia" w:ascii="宋体" w:hAnsi="宋体"/>
          <w:szCs w:val="21"/>
        </w:rPr>
      </w:pPr>
      <w:r>
        <w:rPr>
          <w:rFonts w:ascii="宋体" w:hAnsi="宋体"/>
          <w:spacing w:val="-8"/>
          <w:szCs w:val="21"/>
        </w:rPr>
        <w:t>3</w:t>
      </w:r>
      <w:r>
        <w:rPr>
          <w:rFonts w:hint="eastAsia" w:ascii="宋体" w:hAnsi="宋体"/>
          <w:spacing w:val="-8"/>
          <w:szCs w:val="21"/>
        </w:rPr>
        <w:t>、</w:t>
      </w:r>
      <w:r>
        <w:rPr>
          <w:rFonts w:hint="eastAsia" w:ascii="宋体" w:hAnsi="宋体"/>
          <w:szCs w:val="21"/>
        </w:rPr>
        <w:t>格式仅供</w:t>
      </w:r>
      <w:r>
        <w:rPr>
          <w:rFonts w:ascii="宋体" w:hAnsi="宋体"/>
          <w:szCs w:val="21"/>
        </w:rPr>
        <w:t>参考。</w:t>
      </w:r>
    </w:p>
    <w:p>
      <w:pPr>
        <w:widowControl w:val="0"/>
        <w:autoSpaceDE w:val="0"/>
        <w:autoSpaceDN w:val="0"/>
        <w:adjustRightInd w:val="0"/>
        <w:snapToGrid w:val="0"/>
        <w:ind w:firstLine="0" w:firstLineChars="0"/>
        <w:jc w:val="both"/>
        <w:rPr>
          <w:rFonts w:ascii="宋体" w:hAnsi="宋体"/>
          <w:b/>
          <w:bCs/>
          <w:sz w:val="32"/>
          <w:szCs w:val="32"/>
        </w:rPr>
      </w:pPr>
    </w:p>
    <w:p>
      <w:pPr>
        <w:pStyle w:val="4"/>
        <w:numPr>
          <w:ilvl w:val="0"/>
          <w:numId w:val="0"/>
        </w:numPr>
        <w:spacing w:before="0" w:after="0" w:line="360" w:lineRule="auto"/>
        <w:jc w:val="both"/>
        <w:rPr>
          <w:rFonts w:hint="eastAsia" w:ascii="宋体" w:hAnsi="宋体" w:eastAsia="宋体" w:cs="宋体"/>
          <w:b/>
          <w:bCs w:val="0"/>
          <w:kern w:val="2"/>
          <w:sz w:val="21"/>
          <w:szCs w:val="21"/>
          <w:lang w:val="en-US" w:eastAsia="zh-CN" w:bidi="ar-SA"/>
        </w:rPr>
      </w:pPr>
      <w:r>
        <w:rPr>
          <w:rFonts w:ascii="宋体" w:hAnsi="宋体"/>
          <w:b/>
          <w:bCs/>
          <w:sz w:val="28"/>
          <w:szCs w:val="28"/>
        </w:rPr>
        <w:br w:type="page"/>
      </w:r>
      <w:r>
        <w:rPr>
          <w:rFonts w:hint="eastAsia" w:ascii="宋体" w:hAnsi="宋体"/>
          <w:b/>
          <w:bCs w:val="0"/>
          <w:kern w:val="2"/>
          <w:sz w:val="21"/>
          <w:szCs w:val="21"/>
          <w:lang w:val="en-US" w:eastAsia="zh-CN" w:bidi="ar-SA"/>
        </w:rPr>
        <w:t>A6、</w:t>
      </w:r>
      <w:r>
        <w:rPr>
          <w:rFonts w:hint="eastAsia" w:ascii="宋体" w:hAnsi="宋体" w:eastAsia="宋体" w:cs="宋体"/>
          <w:b/>
          <w:bCs w:val="0"/>
          <w:kern w:val="2"/>
          <w:sz w:val="21"/>
          <w:szCs w:val="21"/>
          <w:lang w:val="en-US" w:eastAsia="zh-CN" w:bidi="ar-SA"/>
        </w:rPr>
        <w:t>投标人情况介绍</w:t>
      </w:r>
    </w:p>
    <w:p/>
    <w:tbl>
      <w:tblPr>
        <w:tblStyle w:val="49"/>
        <w:tblW w:w="91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477"/>
        <w:gridCol w:w="4514"/>
        <w:gridCol w:w="141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748" w:type="dxa"/>
            <w:noWrap w:val="0"/>
            <w:vAlign w:val="center"/>
          </w:tcPr>
          <w:p>
            <w:pPr>
              <w:spacing w:line="360" w:lineRule="auto"/>
              <w:ind w:left="1" w:leftChars="-95" w:hanging="200" w:hangingChars="95"/>
              <w:jc w:val="center"/>
              <w:rPr>
                <w:b/>
                <w:szCs w:val="21"/>
              </w:rPr>
            </w:pPr>
            <w:r>
              <w:rPr>
                <w:rFonts w:hint="eastAsia"/>
                <w:b/>
                <w:szCs w:val="21"/>
              </w:rPr>
              <w:t>序号</w:t>
            </w:r>
          </w:p>
        </w:tc>
        <w:tc>
          <w:tcPr>
            <w:tcW w:w="2477" w:type="dxa"/>
            <w:noWrap w:val="0"/>
            <w:vAlign w:val="top"/>
          </w:tcPr>
          <w:p>
            <w:pPr>
              <w:spacing w:line="360" w:lineRule="auto"/>
              <w:jc w:val="center"/>
              <w:rPr>
                <w:b/>
                <w:szCs w:val="21"/>
              </w:rPr>
            </w:pPr>
            <w:r>
              <w:rPr>
                <w:rFonts w:hint="eastAsia"/>
                <w:b/>
                <w:szCs w:val="21"/>
              </w:rPr>
              <w:t>项  目</w:t>
            </w:r>
          </w:p>
        </w:tc>
        <w:tc>
          <w:tcPr>
            <w:tcW w:w="4514" w:type="dxa"/>
            <w:noWrap w:val="0"/>
            <w:vAlign w:val="center"/>
          </w:tcPr>
          <w:p>
            <w:pPr>
              <w:spacing w:line="360" w:lineRule="auto"/>
              <w:jc w:val="center"/>
              <w:rPr>
                <w:b/>
                <w:szCs w:val="21"/>
              </w:rPr>
            </w:pPr>
            <w:r>
              <w:rPr>
                <w:rFonts w:hint="eastAsia"/>
                <w:b/>
                <w:szCs w:val="21"/>
              </w:rPr>
              <w:t>内容及说明</w:t>
            </w:r>
          </w:p>
        </w:tc>
        <w:tc>
          <w:tcPr>
            <w:tcW w:w="1411" w:type="dxa"/>
            <w:noWrap w:val="0"/>
            <w:vAlign w:val="center"/>
          </w:tcPr>
          <w:p>
            <w:pPr>
              <w:spacing w:line="360" w:lineRule="auto"/>
              <w:jc w:val="center"/>
              <w:rPr>
                <w:b/>
                <w:szCs w:val="21"/>
              </w:rPr>
            </w:pPr>
            <w:r>
              <w:rPr>
                <w:rFonts w:hint="eastAsia"/>
                <w:b/>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748" w:type="dxa"/>
            <w:noWrap w:val="0"/>
            <w:vAlign w:val="center"/>
          </w:tcPr>
          <w:p>
            <w:pPr>
              <w:spacing w:line="360" w:lineRule="auto"/>
              <w:jc w:val="center"/>
              <w:rPr>
                <w:b/>
                <w:szCs w:val="21"/>
              </w:rPr>
            </w:pPr>
            <w:r>
              <w:rPr>
                <w:rFonts w:hint="eastAsia"/>
                <w:b/>
                <w:szCs w:val="21"/>
              </w:rPr>
              <w:t>一</w:t>
            </w:r>
          </w:p>
        </w:tc>
        <w:tc>
          <w:tcPr>
            <w:tcW w:w="6991" w:type="dxa"/>
            <w:gridSpan w:val="2"/>
            <w:noWrap w:val="0"/>
            <w:vAlign w:val="top"/>
          </w:tcPr>
          <w:p>
            <w:pPr>
              <w:spacing w:line="360" w:lineRule="auto"/>
              <w:rPr>
                <w:b/>
                <w:szCs w:val="21"/>
              </w:rPr>
            </w:pPr>
            <w:r>
              <w:rPr>
                <w:rFonts w:hint="eastAsia"/>
                <w:b/>
                <w:szCs w:val="21"/>
              </w:rPr>
              <w:t>营业执照</w:t>
            </w:r>
          </w:p>
        </w:tc>
        <w:tc>
          <w:tcPr>
            <w:tcW w:w="1411" w:type="dxa"/>
            <w:noWrap w:val="0"/>
            <w:vAlign w:val="center"/>
          </w:tcPr>
          <w:p>
            <w:pPr>
              <w:spacing w:line="360" w:lineRule="auto"/>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8" w:type="dxa"/>
            <w:noWrap w:val="0"/>
            <w:vAlign w:val="center"/>
          </w:tcPr>
          <w:p>
            <w:pPr>
              <w:spacing w:line="360" w:lineRule="auto"/>
              <w:jc w:val="center"/>
              <w:rPr>
                <w:szCs w:val="21"/>
              </w:rPr>
            </w:pPr>
            <w:r>
              <w:rPr>
                <w:rFonts w:hint="eastAsia"/>
                <w:szCs w:val="21"/>
              </w:rPr>
              <w:t>1</w:t>
            </w:r>
          </w:p>
        </w:tc>
        <w:tc>
          <w:tcPr>
            <w:tcW w:w="2477" w:type="dxa"/>
            <w:noWrap w:val="0"/>
            <w:vAlign w:val="center"/>
          </w:tcPr>
          <w:p>
            <w:pPr>
              <w:spacing w:line="360" w:lineRule="auto"/>
              <w:ind w:left="0" w:leftChars="0" w:firstLine="0" w:firstLineChars="0"/>
              <w:jc w:val="center"/>
              <w:rPr>
                <w:szCs w:val="21"/>
              </w:rPr>
            </w:pPr>
            <w:r>
              <w:rPr>
                <w:rFonts w:hint="eastAsia"/>
                <w:szCs w:val="21"/>
              </w:rPr>
              <w:t>注册年度及注册编号</w:t>
            </w:r>
          </w:p>
        </w:tc>
        <w:tc>
          <w:tcPr>
            <w:tcW w:w="4514" w:type="dxa"/>
            <w:noWrap w:val="0"/>
            <w:vAlign w:val="center"/>
          </w:tcPr>
          <w:p>
            <w:pPr>
              <w:spacing w:line="360" w:lineRule="auto"/>
              <w:rPr>
                <w:szCs w:val="21"/>
              </w:rPr>
            </w:pPr>
          </w:p>
        </w:tc>
        <w:tc>
          <w:tcPr>
            <w:tcW w:w="1411" w:type="dxa"/>
            <w:noWrap w:val="0"/>
            <w:vAlign w:val="center"/>
          </w:tcPr>
          <w:p>
            <w:pPr>
              <w:spacing w:line="360" w:lineRule="auto"/>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8" w:type="dxa"/>
            <w:noWrap w:val="0"/>
            <w:vAlign w:val="center"/>
          </w:tcPr>
          <w:p>
            <w:pPr>
              <w:spacing w:line="360" w:lineRule="auto"/>
              <w:jc w:val="center"/>
              <w:rPr>
                <w:szCs w:val="21"/>
              </w:rPr>
            </w:pPr>
            <w:r>
              <w:rPr>
                <w:rFonts w:hint="eastAsia"/>
                <w:szCs w:val="21"/>
              </w:rPr>
              <w:t>2</w:t>
            </w:r>
          </w:p>
        </w:tc>
        <w:tc>
          <w:tcPr>
            <w:tcW w:w="2477" w:type="dxa"/>
            <w:noWrap w:val="0"/>
            <w:vAlign w:val="center"/>
          </w:tcPr>
          <w:p>
            <w:pPr>
              <w:spacing w:line="360" w:lineRule="auto"/>
              <w:jc w:val="center"/>
              <w:rPr>
                <w:szCs w:val="21"/>
              </w:rPr>
            </w:pPr>
            <w:r>
              <w:rPr>
                <w:rFonts w:hint="eastAsia"/>
                <w:szCs w:val="21"/>
              </w:rPr>
              <w:t>注册资金（万元）</w:t>
            </w:r>
          </w:p>
        </w:tc>
        <w:tc>
          <w:tcPr>
            <w:tcW w:w="4514" w:type="dxa"/>
            <w:noWrap w:val="0"/>
            <w:vAlign w:val="center"/>
          </w:tcPr>
          <w:p>
            <w:pPr>
              <w:spacing w:line="360" w:lineRule="auto"/>
              <w:rPr>
                <w:szCs w:val="21"/>
              </w:rPr>
            </w:pPr>
          </w:p>
        </w:tc>
        <w:tc>
          <w:tcPr>
            <w:tcW w:w="1411" w:type="dxa"/>
            <w:noWrap w:val="0"/>
            <w:vAlign w:val="center"/>
          </w:tcPr>
          <w:p>
            <w:pPr>
              <w:spacing w:line="360" w:lineRule="auto"/>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8" w:type="dxa"/>
            <w:noWrap w:val="0"/>
            <w:vAlign w:val="center"/>
          </w:tcPr>
          <w:p>
            <w:pPr>
              <w:spacing w:line="360" w:lineRule="auto"/>
              <w:jc w:val="center"/>
              <w:rPr>
                <w:szCs w:val="21"/>
              </w:rPr>
            </w:pPr>
            <w:r>
              <w:rPr>
                <w:rFonts w:hint="eastAsia"/>
                <w:szCs w:val="21"/>
              </w:rPr>
              <w:t>3</w:t>
            </w:r>
          </w:p>
        </w:tc>
        <w:tc>
          <w:tcPr>
            <w:tcW w:w="2477" w:type="dxa"/>
            <w:noWrap w:val="0"/>
            <w:vAlign w:val="center"/>
          </w:tcPr>
          <w:p>
            <w:pPr>
              <w:spacing w:line="360" w:lineRule="auto"/>
              <w:jc w:val="center"/>
              <w:rPr>
                <w:szCs w:val="21"/>
              </w:rPr>
            </w:pPr>
            <w:r>
              <w:rPr>
                <w:rFonts w:hint="eastAsia"/>
                <w:szCs w:val="21"/>
              </w:rPr>
              <w:t>经营场所</w:t>
            </w:r>
          </w:p>
        </w:tc>
        <w:tc>
          <w:tcPr>
            <w:tcW w:w="4514" w:type="dxa"/>
            <w:noWrap w:val="0"/>
            <w:vAlign w:val="center"/>
          </w:tcPr>
          <w:p>
            <w:pPr>
              <w:spacing w:line="360" w:lineRule="auto"/>
              <w:rPr>
                <w:szCs w:val="21"/>
              </w:rPr>
            </w:pPr>
          </w:p>
        </w:tc>
        <w:tc>
          <w:tcPr>
            <w:tcW w:w="1411" w:type="dxa"/>
            <w:noWrap w:val="0"/>
            <w:vAlign w:val="center"/>
          </w:tcPr>
          <w:p>
            <w:pPr>
              <w:spacing w:line="360" w:lineRule="auto"/>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8" w:type="dxa"/>
            <w:noWrap w:val="0"/>
            <w:vAlign w:val="center"/>
          </w:tcPr>
          <w:p>
            <w:pPr>
              <w:spacing w:line="360" w:lineRule="auto"/>
              <w:jc w:val="center"/>
              <w:rPr>
                <w:szCs w:val="21"/>
              </w:rPr>
            </w:pPr>
            <w:r>
              <w:rPr>
                <w:rFonts w:hint="eastAsia"/>
                <w:szCs w:val="21"/>
              </w:rPr>
              <w:t>4</w:t>
            </w:r>
          </w:p>
        </w:tc>
        <w:tc>
          <w:tcPr>
            <w:tcW w:w="2477" w:type="dxa"/>
            <w:noWrap w:val="0"/>
            <w:vAlign w:val="center"/>
          </w:tcPr>
          <w:p>
            <w:pPr>
              <w:spacing w:line="360" w:lineRule="auto"/>
              <w:jc w:val="center"/>
              <w:rPr>
                <w:szCs w:val="21"/>
              </w:rPr>
            </w:pPr>
            <w:r>
              <w:rPr>
                <w:rFonts w:hint="eastAsia"/>
                <w:szCs w:val="21"/>
              </w:rPr>
              <w:t>有效期</w:t>
            </w:r>
          </w:p>
        </w:tc>
        <w:tc>
          <w:tcPr>
            <w:tcW w:w="4514" w:type="dxa"/>
            <w:noWrap w:val="0"/>
            <w:vAlign w:val="center"/>
          </w:tcPr>
          <w:p>
            <w:pPr>
              <w:spacing w:line="360" w:lineRule="auto"/>
              <w:rPr>
                <w:szCs w:val="21"/>
              </w:rPr>
            </w:pPr>
          </w:p>
        </w:tc>
        <w:tc>
          <w:tcPr>
            <w:tcW w:w="1411" w:type="dxa"/>
            <w:noWrap w:val="0"/>
            <w:vAlign w:val="center"/>
          </w:tcPr>
          <w:p>
            <w:pPr>
              <w:spacing w:line="360" w:lineRule="auto"/>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8" w:type="dxa"/>
            <w:noWrap w:val="0"/>
            <w:vAlign w:val="center"/>
          </w:tcPr>
          <w:p>
            <w:pPr>
              <w:spacing w:line="360" w:lineRule="auto"/>
              <w:jc w:val="center"/>
              <w:rPr>
                <w:b/>
                <w:szCs w:val="21"/>
              </w:rPr>
            </w:pPr>
            <w:r>
              <w:rPr>
                <w:rFonts w:hint="eastAsia"/>
                <w:b/>
                <w:szCs w:val="21"/>
              </w:rPr>
              <w:t>二</w:t>
            </w:r>
          </w:p>
        </w:tc>
        <w:tc>
          <w:tcPr>
            <w:tcW w:w="6991" w:type="dxa"/>
            <w:gridSpan w:val="2"/>
            <w:noWrap w:val="0"/>
            <w:vAlign w:val="center"/>
          </w:tcPr>
          <w:p>
            <w:pPr>
              <w:spacing w:line="360" w:lineRule="auto"/>
              <w:rPr>
                <w:b/>
                <w:szCs w:val="21"/>
              </w:rPr>
            </w:pPr>
            <w:r>
              <w:rPr>
                <w:rFonts w:hint="eastAsia"/>
                <w:b/>
                <w:szCs w:val="21"/>
              </w:rPr>
              <w:t>税务登记证</w:t>
            </w:r>
          </w:p>
        </w:tc>
        <w:tc>
          <w:tcPr>
            <w:tcW w:w="1411" w:type="dxa"/>
            <w:noWrap w:val="0"/>
            <w:vAlign w:val="center"/>
          </w:tcPr>
          <w:p>
            <w:pPr>
              <w:spacing w:line="360" w:lineRule="auto"/>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8" w:type="dxa"/>
            <w:noWrap w:val="0"/>
            <w:vAlign w:val="center"/>
          </w:tcPr>
          <w:p>
            <w:pPr>
              <w:spacing w:line="360" w:lineRule="auto"/>
              <w:jc w:val="center"/>
              <w:rPr>
                <w:szCs w:val="21"/>
              </w:rPr>
            </w:pPr>
            <w:r>
              <w:rPr>
                <w:rFonts w:hint="eastAsia"/>
                <w:szCs w:val="21"/>
              </w:rPr>
              <w:t>1</w:t>
            </w:r>
          </w:p>
        </w:tc>
        <w:tc>
          <w:tcPr>
            <w:tcW w:w="2477" w:type="dxa"/>
            <w:noWrap w:val="0"/>
            <w:vAlign w:val="center"/>
          </w:tcPr>
          <w:p>
            <w:pPr>
              <w:spacing w:line="360" w:lineRule="auto"/>
              <w:jc w:val="center"/>
              <w:rPr>
                <w:szCs w:val="21"/>
              </w:rPr>
            </w:pPr>
            <w:r>
              <w:rPr>
                <w:rFonts w:hint="eastAsia"/>
                <w:szCs w:val="21"/>
              </w:rPr>
              <w:t>税务登记证编号</w:t>
            </w:r>
          </w:p>
        </w:tc>
        <w:tc>
          <w:tcPr>
            <w:tcW w:w="4514" w:type="dxa"/>
            <w:noWrap w:val="0"/>
            <w:vAlign w:val="center"/>
          </w:tcPr>
          <w:p>
            <w:pPr>
              <w:spacing w:line="360" w:lineRule="auto"/>
              <w:rPr>
                <w:szCs w:val="21"/>
              </w:rPr>
            </w:pPr>
          </w:p>
        </w:tc>
        <w:tc>
          <w:tcPr>
            <w:tcW w:w="1411" w:type="dxa"/>
            <w:noWrap w:val="0"/>
            <w:vAlign w:val="center"/>
          </w:tcPr>
          <w:p>
            <w:pPr>
              <w:spacing w:line="360" w:lineRule="auto"/>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8" w:type="dxa"/>
            <w:noWrap w:val="0"/>
            <w:vAlign w:val="center"/>
          </w:tcPr>
          <w:p>
            <w:pPr>
              <w:spacing w:line="360" w:lineRule="auto"/>
              <w:jc w:val="center"/>
              <w:rPr>
                <w:b/>
                <w:szCs w:val="21"/>
              </w:rPr>
            </w:pPr>
            <w:r>
              <w:rPr>
                <w:rFonts w:hint="eastAsia"/>
                <w:b/>
                <w:szCs w:val="21"/>
              </w:rPr>
              <w:t>三</w:t>
            </w:r>
          </w:p>
        </w:tc>
        <w:tc>
          <w:tcPr>
            <w:tcW w:w="6991" w:type="dxa"/>
            <w:gridSpan w:val="2"/>
            <w:noWrap w:val="0"/>
            <w:vAlign w:val="center"/>
          </w:tcPr>
          <w:p>
            <w:pPr>
              <w:spacing w:line="360" w:lineRule="auto"/>
              <w:rPr>
                <w:b/>
                <w:szCs w:val="21"/>
              </w:rPr>
            </w:pPr>
            <w:r>
              <w:rPr>
                <w:rFonts w:hint="eastAsia"/>
                <w:b/>
                <w:szCs w:val="21"/>
              </w:rPr>
              <w:t>其他</w:t>
            </w:r>
            <w:r>
              <w:rPr>
                <w:rFonts w:hint="eastAsia"/>
                <w:szCs w:val="21"/>
              </w:rPr>
              <w:t>（投标人认为需补充的其他说明）</w:t>
            </w:r>
          </w:p>
        </w:tc>
        <w:tc>
          <w:tcPr>
            <w:tcW w:w="1411" w:type="dxa"/>
            <w:noWrap w:val="0"/>
            <w:vAlign w:val="center"/>
          </w:tcPr>
          <w:p>
            <w:pPr>
              <w:spacing w:line="360" w:lineRule="auto"/>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8" w:type="dxa"/>
            <w:noWrap w:val="0"/>
            <w:vAlign w:val="center"/>
          </w:tcPr>
          <w:p>
            <w:pPr>
              <w:spacing w:line="360" w:lineRule="auto"/>
              <w:jc w:val="center"/>
              <w:rPr>
                <w:szCs w:val="21"/>
              </w:rPr>
            </w:pPr>
            <w:r>
              <w:rPr>
                <w:rFonts w:hint="eastAsia"/>
                <w:szCs w:val="21"/>
              </w:rPr>
              <w:t>1</w:t>
            </w:r>
          </w:p>
        </w:tc>
        <w:tc>
          <w:tcPr>
            <w:tcW w:w="2477" w:type="dxa"/>
            <w:noWrap w:val="0"/>
            <w:vAlign w:val="center"/>
          </w:tcPr>
          <w:p>
            <w:pPr>
              <w:spacing w:line="360" w:lineRule="auto"/>
              <w:jc w:val="center"/>
              <w:rPr>
                <w:szCs w:val="21"/>
              </w:rPr>
            </w:pPr>
          </w:p>
        </w:tc>
        <w:tc>
          <w:tcPr>
            <w:tcW w:w="4514" w:type="dxa"/>
            <w:noWrap w:val="0"/>
            <w:vAlign w:val="center"/>
          </w:tcPr>
          <w:p>
            <w:pPr>
              <w:spacing w:line="360" w:lineRule="auto"/>
              <w:jc w:val="center"/>
              <w:rPr>
                <w:szCs w:val="21"/>
              </w:rPr>
            </w:pPr>
          </w:p>
        </w:tc>
        <w:tc>
          <w:tcPr>
            <w:tcW w:w="1411" w:type="dxa"/>
            <w:noWrap w:val="0"/>
            <w:vAlign w:val="center"/>
          </w:tcPr>
          <w:p>
            <w:pPr>
              <w:spacing w:line="360" w:lineRule="auto"/>
              <w:jc w:val="center"/>
              <w:rPr>
                <w:szCs w:val="21"/>
              </w:rPr>
            </w:pPr>
          </w:p>
        </w:tc>
      </w:tr>
    </w:tbl>
    <w:p>
      <w:pPr>
        <w:spacing w:line="360" w:lineRule="auto"/>
        <w:rPr>
          <w:szCs w:val="21"/>
        </w:rPr>
      </w:pPr>
      <w:r>
        <w:rPr>
          <w:rFonts w:hint="eastAsia"/>
          <w:szCs w:val="21"/>
        </w:rPr>
        <w:t>注：1、在按要求填写好此表格后，各投标单位可以用其它的方式，就自身整体情况作出详细的介绍。</w:t>
      </w:r>
    </w:p>
    <w:p>
      <w:pPr>
        <w:spacing w:beforeLines="0" w:afterLines="0"/>
        <w:ind w:left="0" w:leftChars="0" w:firstLine="0" w:firstLineChars="0"/>
        <w:jc w:val="left"/>
        <w:rPr>
          <w:rFonts w:hint="eastAsia" w:ascii="SimSun,Bold" w:hAnsi="SimSun,Bold" w:eastAsia="SimSun,Bold"/>
          <w:b/>
          <w:sz w:val="21"/>
          <w:lang w:val="en-US" w:eastAsia="zh-CN"/>
        </w:rPr>
      </w:pPr>
      <w:bookmarkStart w:id="378" w:name="_Toc49247167"/>
      <w:bookmarkStart w:id="379" w:name="_Hlk532142542"/>
    </w:p>
    <w:p>
      <w:pPr>
        <w:pStyle w:val="4"/>
        <w:numPr>
          <w:ilvl w:val="0"/>
          <w:numId w:val="0"/>
        </w:numPr>
        <w:spacing w:before="0" w:after="0" w:line="360" w:lineRule="auto"/>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A7、其他</w:t>
      </w:r>
    </w:p>
    <w:p>
      <w:pPr>
        <w:rPr>
          <w:rFonts w:hint="eastAsia" w:ascii="宋体" w:hAnsi="宋体"/>
          <w:b/>
          <w:sz w:val="44"/>
          <w:szCs w:val="44"/>
        </w:rPr>
      </w:pPr>
      <w:r>
        <w:rPr>
          <w:rFonts w:hint="eastAsia"/>
        </w:rPr>
        <w:t>投标人认为应补充提供的其他文件资料或说明。</w:t>
      </w:r>
    </w:p>
    <w:p>
      <w:pPr>
        <w:rPr>
          <w:rFonts w:hint="eastAsia" w:ascii="宋体" w:hAnsi="宋体"/>
          <w:b/>
          <w:sz w:val="44"/>
          <w:szCs w:val="44"/>
        </w:rPr>
      </w:pPr>
      <w:r>
        <w:rPr>
          <w:rFonts w:hint="eastAsia" w:ascii="宋体" w:hAnsi="宋体"/>
          <w:b/>
          <w:sz w:val="44"/>
          <w:szCs w:val="44"/>
        </w:rPr>
        <w:br w:type="page"/>
      </w:r>
    </w:p>
    <w:p>
      <w:pPr>
        <w:widowControl w:val="0"/>
        <w:autoSpaceDE w:val="0"/>
        <w:autoSpaceDN w:val="0"/>
        <w:adjustRightInd w:val="0"/>
        <w:snapToGrid w:val="0"/>
        <w:ind w:firstLine="0" w:firstLineChars="0"/>
        <w:jc w:val="center"/>
        <w:outlineLvl w:val="1"/>
        <w:rPr>
          <w:rFonts w:ascii="宋体" w:hAnsi="宋体"/>
          <w:b/>
          <w:sz w:val="44"/>
          <w:szCs w:val="44"/>
        </w:rPr>
      </w:pPr>
      <w:r>
        <w:rPr>
          <w:rFonts w:hint="eastAsia" w:ascii="宋体" w:hAnsi="宋体"/>
          <w:b/>
          <w:sz w:val="44"/>
          <w:szCs w:val="44"/>
        </w:rPr>
        <w:t>二</w:t>
      </w:r>
      <w:r>
        <w:rPr>
          <w:rFonts w:ascii="宋体" w:hAnsi="宋体"/>
          <w:b/>
          <w:sz w:val="44"/>
          <w:szCs w:val="44"/>
        </w:rPr>
        <w:t>、</w:t>
      </w:r>
      <w:r>
        <w:rPr>
          <w:rFonts w:hint="eastAsia" w:ascii="宋体" w:hAnsi="宋体"/>
          <w:b/>
          <w:sz w:val="44"/>
          <w:szCs w:val="44"/>
        </w:rPr>
        <w:t>商务标部分</w:t>
      </w:r>
      <w:bookmarkEnd w:id="378"/>
      <w:bookmarkEnd w:id="379"/>
    </w:p>
    <w:p>
      <w:pPr>
        <w:pStyle w:val="4"/>
        <w:numPr>
          <w:ilvl w:val="0"/>
          <w:numId w:val="0"/>
        </w:numPr>
        <w:spacing w:before="0" w:after="0" w:line="360" w:lineRule="auto"/>
        <w:jc w:val="both"/>
        <w:rPr>
          <w:rFonts w:hint="eastAsia" w:ascii="宋体" w:hAnsi="宋体" w:eastAsia="宋体" w:cs="宋体"/>
          <w:b/>
          <w:bCs/>
          <w:kern w:val="2"/>
          <w:sz w:val="21"/>
          <w:szCs w:val="21"/>
          <w:lang w:val="en-US" w:eastAsia="zh-CN" w:bidi="ar-SA"/>
        </w:rPr>
      </w:pPr>
      <w:bookmarkStart w:id="380" w:name="_Toc280341017"/>
      <w:bookmarkStart w:id="381" w:name="_Toc390444140"/>
      <w:r>
        <w:rPr>
          <w:rFonts w:hint="eastAsia" w:ascii="宋体" w:hAnsi="宋体" w:eastAsia="宋体" w:cs="宋体"/>
          <w:b/>
          <w:bCs/>
          <w:kern w:val="2"/>
          <w:sz w:val="21"/>
          <w:szCs w:val="21"/>
          <w:lang w:val="en-US" w:eastAsia="zh-CN" w:bidi="ar-SA"/>
        </w:rPr>
        <w:t>B1、投标函</w:t>
      </w:r>
      <w:bookmarkEnd w:id="380"/>
      <w:bookmarkEnd w:id="381"/>
    </w:p>
    <w:p>
      <w:pPr>
        <w:widowControl w:val="0"/>
        <w:autoSpaceDE w:val="0"/>
        <w:autoSpaceDN w:val="0"/>
        <w:adjustRightInd w:val="0"/>
        <w:snapToGrid w:val="0"/>
        <w:ind w:firstLine="0" w:firstLineChars="0"/>
        <w:jc w:val="center"/>
        <w:rPr>
          <w:rFonts w:ascii="宋体" w:hAnsi="宋体"/>
          <w:b/>
          <w:bCs/>
          <w:sz w:val="32"/>
          <w:szCs w:val="32"/>
        </w:rPr>
      </w:pPr>
      <w:r>
        <w:rPr>
          <w:rFonts w:hint="eastAsia" w:ascii="宋体" w:hAnsi="宋体"/>
          <w:b/>
          <w:bCs/>
          <w:sz w:val="32"/>
          <w:szCs w:val="32"/>
        </w:rPr>
        <w:t>投标函</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致：</w:t>
      </w:r>
      <w:r>
        <w:rPr>
          <w:rFonts w:hint="eastAsia" w:ascii="宋体" w:hAnsi="宋体"/>
          <w:szCs w:val="21"/>
          <w:u w:val="single"/>
          <w:lang w:eastAsia="zh-CN"/>
        </w:rPr>
        <w:t>深圳</w:t>
      </w:r>
      <w:r>
        <w:rPr>
          <w:rFonts w:hint="eastAsia" w:ascii="宋体" w:hAnsi="宋体"/>
          <w:szCs w:val="21"/>
          <w:u w:val="single"/>
          <w:lang w:val="en-US" w:eastAsia="zh-CN"/>
        </w:rPr>
        <w:t>市龙华环境有限</w:t>
      </w:r>
      <w:r>
        <w:rPr>
          <w:rFonts w:hint="eastAsia" w:ascii="宋体" w:hAnsi="宋体"/>
          <w:szCs w:val="21"/>
          <w:u w:val="single"/>
          <w:lang w:eastAsia="zh-CN"/>
        </w:rPr>
        <w:t>公司</w:t>
      </w:r>
      <w:r>
        <w:rPr>
          <w:rFonts w:hint="eastAsia" w:ascii="宋体" w:hAnsi="宋体"/>
          <w:szCs w:val="21"/>
          <w:u w:val="single"/>
        </w:rPr>
        <w:t xml:space="preserve"> </w:t>
      </w:r>
    </w:p>
    <w:p>
      <w:pPr>
        <w:widowControl w:val="0"/>
        <w:autoSpaceDE w:val="0"/>
        <w:autoSpaceDN w:val="0"/>
        <w:adjustRightInd w:val="0"/>
        <w:snapToGrid w:val="0"/>
        <w:ind w:firstLine="0" w:firstLineChars="0"/>
        <w:rPr>
          <w:rFonts w:ascii="宋体" w:hAnsi="宋体"/>
        </w:rPr>
      </w:pPr>
      <w:r>
        <w:rPr>
          <w:rFonts w:hint="eastAsia" w:ascii="宋体" w:hAnsi="宋体"/>
        </w:rPr>
        <w:t>1、</w:t>
      </w:r>
      <w:r>
        <w:rPr>
          <w:rFonts w:ascii="宋体" w:hAnsi="宋体"/>
          <w:szCs w:val="21"/>
        </w:rPr>
        <w:t>在研究了</w:t>
      </w:r>
      <w:r>
        <w:rPr>
          <w:rFonts w:hint="eastAsia" w:ascii="宋体" w:hAnsi="宋体"/>
          <w:szCs w:val="21"/>
        </w:rPr>
        <w:t>你方</w:t>
      </w:r>
      <w:r>
        <w:rPr>
          <w:rFonts w:ascii="宋体" w:hAnsi="宋体"/>
          <w:szCs w:val="21"/>
        </w:rPr>
        <w:t>提供的招标文件</w:t>
      </w:r>
      <w:r>
        <w:rPr>
          <w:rFonts w:hint="eastAsia" w:ascii="宋体" w:hAnsi="宋体"/>
          <w:szCs w:val="21"/>
        </w:rPr>
        <w:t>及澄清或修改文件</w:t>
      </w:r>
      <w:r>
        <w:rPr>
          <w:rFonts w:ascii="宋体" w:hAnsi="宋体"/>
          <w:szCs w:val="21"/>
        </w:rPr>
        <w:t>后，</w:t>
      </w:r>
      <w:r>
        <w:rPr>
          <w:rFonts w:hint="eastAsia" w:ascii="宋体" w:hAnsi="宋体"/>
          <w:szCs w:val="21"/>
        </w:rPr>
        <w:t>我方愿意按投标报价一览表投标总价</w:t>
      </w:r>
      <w:r>
        <w:rPr>
          <w:rFonts w:hint="eastAsia" w:ascii="宋体" w:hAnsi="宋体"/>
        </w:rPr>
        <w:t>投标、服务期和服务要求提供服务，并履行招标文件及合同协议书中的责任和义务。</w:t>
      </w:r>
    </w:p>
    <w:p>
      <w:pPr>
        <w:widowControl w:val="0"/>
        <w:autoSpaceDE w:val="0"/>
        <w:autoSpaceDN w:val="0"/>
        <w:adjustRightInd w:val="0"/>
        <w:snapToGrid w:val="0"/>
        <w:ind w:firstLine="0" w:firstLineChars="0"/>
        <w:jc w:val="left"/>
        <w:rPr>
          <w:rFonts w:ascii="宋体" w:hAnsi="宋体"/>
        </w:rPr>
      </w:pPr>
      <w:r>
        <w:rPr>
          <w:rFonts w:hint="eastAsia" w:ascii="宋体" w:hAnsi="宋体"/>
          <w:szCs w:val="21"/>
        </w:rPr>
        <w:t>2、我方已详细审查全部招标文件，包括澄清或修改文件（如有）以及有关附件。我方完全理解并同意放弃对这方面有不明及误解的权利。</w:t>
      </w:r>
    </w:p>
    <w:p>
      <w:pPr>
        <w:widowControl w:val="0"/>
        <w:autoSpaceDE w:val="0"/>
        <w:autoSpaceDN w:val="0"/>
        <w:adjustRightInd w:val="0"/>
        <w:snapToGrid w:val="0"/>
        <w:ind w:firstLine="0" w:firstLineChars="0"/>
        <w:jc w:val="left"/>
        <w:rPr>
          <w:rFonts w:ascii="宋体" w:hAnsi="宋体"/>
          <w:bCs/>
        </w:rPr>
      </w:pPr>
      <w:r>
        <w:rPr>
          <w:rFonts w:hint="eastAsia" w:ascii="宋体" w:hAnsi="宋体"/>
        </w:rPr>
        <w:t>3、</w:t>
      </w:r>
      <w:r>
        <w:rPr>
          <w:rFonts w:hint="eastAsia" w:ascii="宋体" w:hAnsi="宋体"/>
          <w:bCs/>
        </w:rPr>
        <w:t>本投标有效期为投标截止日起</w:t>
      </w:r>
      <w:r>
        <w:rPr>
          <w:rFonts w:hint="eastAsia" w:ascii="宋体" w:hAnsi="宋体"/>
          <w:bCs/>
          <w:u w:val="single"/>
        </w:rPr>
        <w:t xml:space="preserve"> 120</w:t>
      </w:r>
      <w:r>
        <w:rPr>
          <w:rFonts w:ascii="宋体" w:hAnsi="宋体"/>
          <w:bCs/>
          <w:u w:val="single"/>
        </w:rPr>
        <w:t xml:space="preserve"> </w:t>
      </w:r>
      <w:r>
        <w:rPr>
          <w:rFonts w:hint="eastAsia" w:ascii="宋体" w:hAnsi="宋体"/>
          <w:bCs/>
        </w:rPr>
        <w:t>日历日，我方保证在</w:t>
      </w:r>
      <w:r>
        <w:rPr>
          <w:rFonts w:ascii="宋体" w:hAnsi="宋体"/>
        </w:rPr>
        <w:t>投标有效期内严格遵守本投标函的各项承诺。在此期限届满之前，本投标函将对我方具有约束力，并随时接受中标</w:t>
      </w:r>
      <w:r>
        <w:rPr>
          <w:rFonts w:hint="eastAsia" w:ascii="宋体" w:hAnsi="宋体"/>
          <w:bCs/>
        </w:rPr>
        <w:t>。</w:t>
      </w:r>
    </w:p>
    <w:p>
      <w:pPr>
        <w:widowControl w:val="0"/>
        <w:autoSpaceDE w:val="0"/>
        <w:autoSpaceDN w:val="0"/>
        <w:adjustRightInd w:val="0"/>
        <w:snapToGrid w:val="0"/>
        <w:ind w:firstLine="0" w:firstLineChars="0"/>
        <w:jc w:val="left"/>
        <w:rPr>
          <w:rFonts w:ascii="宋体" w:hAnsi="宋体"/>
          <w:bCs/>
        </w:rPr>
      </w:pPr>
      <w:r>
        <w:rPr>
          <w:rFonts w:hint="eastAsia" w:ascii="宋体" w:hAnsi="宋体"/>
          <w:bCs/>
        </w:rPr>
        <w:t>4、我方同意按照你方的要求提供与本投标有关的一切数据或资料，完全理解你方不一定要接受最低价的投标或收到的任何投标。</w:t>
      </w:r>
      <w:r>
        <w:rPr>
          <w:rFonts w:ascii="宋体" w:hAnsi="宋体"/>
        </w:rPr>
        <w:t>同时也理解，</w:t>
      </w:r>
      <w:r>
        <w:rPr>
          <w:rFonts w:hint="eastAsia" w:ascii="宋体" w:hAnsi="宋体"/>
        </w:rPr>
        <w:t>你</w:t>
      </w:r>
      <w:r>
        <w:rPr>
          <w:rFonts w:ascii="宋体" w:hAnsi="宋体"/>
        </w:rPr>
        <w:t>方不负担我方的任何投标费用。</w:t>
      </w:r>
    </w:p>
    <w:p>
      <w:pPr>
        <w:widowControl w:val="0"/>
        <w:autoSpaceDE w:val="0"/>
        <w:autoSpaceDN w:val="0"/>
        <w:adjustRightInd w:val="0"/>
        <w:snapToGrid w:val="0"/>
        <w:ind w:firstLine="0" w:firstLineChars="0"/>
        <w:jc w:val="left"/>
        <w:rPr>
          <w:rFonts w:ascii="宋体" w:hAnsi="宋体"/>
          <w:bCs/>
        </w:rPr>
      </w:pPr>
      <w:r>
        <w:rPr>
          <w:rFonts w:hint="eastAsia" w:ascii="宋体" w:hAnsi="宋体"/>
          <w:bCs/>
        </w:rPr>
        <w:t>5、如果我方中标，我方保证按照招标文件规定的期限要求履行提供服务及有关责任和义务。</w:t>
      </w:r>
    </w:p>
    <w:p>
      <w:pPr>
        <w:widowControl w:val="0"/>
        <w:autoSpaceDE w:val="0"/>
        <w:autoSpaceDN w:val="0"/>
        <w:adjustRightInd w:val="0"/>
        <w:snapToGrid w:val="0"/>
        <w:ind w:firstLine="0" w:firstLineChars="0"/>
        <w:jc w:val="left"/>
        <w:rPr>
          <w:rFonts w:ascii="宋体" w:hAnsi="宋体"/>
          <w:bCs/>
        </w:rPr>
      </w:pPr>
      <w:r>
        <w:rPr>
          <w:rFonts w:hint="eastAsia" w:ascii="宋体" w:hAnsi="宋体"/>
          <w:bCs/>
        </w:rPr>
        <w:t>6、</w:t>
      </w:r>
      <w:r>
        <w:rPr>
          <w:rFonts w:ascii="宋体" w:hAnsi="宋体"/>
        </w:rPr>
        <w:t>在合同协议书正式签署生效之前，本投标函连同</w:t>
      </w:r>
      <w:r>
        <w:rPr>
          <w:rFonts w:hint="eastAsia" w:ascii="宋体" w:hAnsi="宋体"/>
        </w:rPr>
        <w:t>你方发出</w:t>
      </w:r>
      <w:r>
        <w:rPr>
          <w:rFonts w:ascii="宋体" w:hAnsi="宋体"/>
        </w:rPr>
        <w:t>的中标通知书</w:t>
      </w:r>
      <w:r>
        <w:rPr>
          <w:rFonts w:hint="eastAsia" w:ascii="宋体" w:hAnsi="宋体"/>
        </w:rPr>
        <w:t>，</w:t>
      </w:r>
      <w:r>
        <w:rPr>
          <w:rFonts w:ascii="宋体" w:hAnsi="宋体"/>
        </w:rPr>
        <w:t>将构成</w:t>
      </w:r>
      <w:r>
        <w:rPr>
          <w:rFonts w:hint="eastAsia" w:ascii="宋体" w:hAnsi="宋体"/>
        </w:rPr>
        <w:t>你我</w:t>
      </w:r>
      <w:r>
        <w:rPr>
          <w:rFonts w:ascii="宋体" w:hAnsi="宋体"/>
        </w:rPr>
        <w:t>双方共同遵守的文件，对双方具有约束力。</w:t>
      </w:r>
    </w:p>
    <w:p>
      <w:pPr>
        <w:widowControl w:val="0"/>
        <w:autoSpaceDE w:val="0"/>
        <w:autoSpaceDN w:val="0"/>
        <w:adjustRightInd w:val="0"/>
        <w:snapToGrid w:val="0"/>
        <w:ind w:firstLine="0" w:firstLineChars="0"/>
        <w:jc w:val="left"/>
        <w:rPr>
          <w:rFonts w:ascii="宋体" w:hAnsi="宋体"/>
          <w:bCs/>
          <w:u w:val="single"/>
        </w:rPr>
      </w:pPr>
      <w:r>
        <w:rPr>
          <w:rFonts w:hint="eastAsia" w:ascii="宋体" w:hAnsi="宋体"/>
          <w:bCs/>
          <w:lang w:val="en-US" w:eastAsia="zh-CN"/>
        </w:rPr>
        <w:t>7</w:t>
      </w:r>
      <w:r>
        <w:rPr>
          <w:rFonts w:hint="eastAsia" w:ascii="宋体" w:hAnsi="宋体"/>
          <w:bCs/>
        </w:rPr>
        <w:t>、与本投标有关的一切正式往来通讯请发往：</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投标人：</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法定代表人或其授权代理人：</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投标人地址：</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电话：</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电子邮箱：</w:t>
      </w:r>
      <w:r>
        <w:rPr>
          <w:rFonts w:hint="eastAsia" w:ascii="宋体" w:hAnsi="宋体"/>
          <w:szCs w:val="21"/>
          <w:u w:val="single"/>
        </w:rPr>
        <w:t xml:space="preserve"> </w:t>
      </w:r>
      <w:r>
        <w:rPr>
          <w:rFonts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邮政编码：</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hint="eastAsia" w:ascii="宋体" w:hAnsi="宋体" w:eastAsia="宋体" w:cs="宋体"/>
          <w:sz w:val="24"/>
        </w:rPr>
      </w:pPr>
      <w:r>
        <w:rPr>
          <w:rFonts w:hint="eastAsia" w:ascii="宋体" w:hAnsi="宋体"/>
          <w:szCs w:val="21"/>
        </w:rPr>
        <w:t>日期：</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日</w:t>
      </w:r>
      <w:r>
        <w:rPr>
          <w:rFonts w:hint="eastAsia" w:ascii="宋体" w:hAnsi="宋体" w:eastAsia="宋体" w:cs="宋体"/>
          <w:sz w:val="24"/>
        </w:rPr>
        <w:t xml:space="preserve">         </w:t>
      </w:r>
      <w:bookmarkEnd w:id="369"/>
      <w:bookmarkEnd w:id="370"/>
      <w:bookmarkStart w:id="382" w:name="_Toc201719125"/>
      <w:bookmarkStart w:id="383" w:name="_Toc280341019"/>
      <w:bookmarkStart w:id="384" w:name="_Toc390444144"/>
      <w:bookmarkStart w:id="385" w:name="_Toc201997953"/>
      <w:bookmarkStart w:id="386" w:name="_Toc201742868"/>
      <w:bookmarkStart w:id="387" w:name="_Toc201401665"/>
      <w:bookmarkStart w:id="388" w:name="_Toc201743123"/>
      <w:bookmarkStart w:id="389" w:name="_Hlk532143053"/>
      <w:bookmarkStart w:id="390" w:name="_Toc201742866"/>
      <w:bookmarkStart w:id="391" w:name="_Toc201997951"/>
      <w:bookmarkStart w:id="392" w:name="_Toc201401663"/>
      <w:bookmarkStart w:id="393" w:name="_Toc199215951"/>
      <w:bookmarkStart w:id="394" w:name="_Toc201743121"/>
      <w:bookmarkStart w:id="395" w:name="_Toc280341018"/>
      <w:bookmarkStart w:id="396" w:name="_Toc390444143"/>
      <w:bookmarkStart w:id="397" w:name="_Toc201719123"/>
      <w:bookmarkStart w:id="398" w:name="_Toc370197705"/>
    </w:p>
    <w:p>
      <w:pPr>
        <w:widowControl w:val="0"/>
        <w:autoSpaceDE w:val="0"/>
        <w:autoSpaceDN w:val="0"/>
        <w:adjustRightInd w:val="0"/>
        <w:snapToGrid w:val="0"/>
        <w:ind w:firstLine="0" w:firstLineChars="0"/>
        <w:jc w:val="left"/>
        <w:rPr>
          <w:rFonts w:hint="eastAsia" w:ascii="宋体" w:hAnsi="宋体"/>
          <w:b/>
          <w:bCs w:val="0"/>
          <w:kern w:val="2"/>
          <w:sz w:val="21"/>
          <w:szCs w:val="21"/>
          <w:lang w:val="en-US" w:eastAsia="zh-CN" w:bidi="ar-SA"/>
        </w:rPr>
      </w:pPr>
    </w:p>
    <w:p>
      <w:pPr>
        <w:widowControl w:val="0"/>
        <w:autoSpaceDE w:val="0"/>
        <w:autoSpaceDN w:val="0"/>
        <w:adjustRightInd w:val="0"/>
        <w:snapToGrid w:val="0"/>
        <w:ind w:firstLine="0" w:firstLineChars="0"/>
        <w:jc w:val="left"/>
        <w:rPr>
          <w:rFonts w:hint="eastAsia" w:ascii="宋体" w:hAnsi="宋体"/>
          <w:b/>
          <w:bCs w:val="0"/>
          <w:kern w:val="2"/>
          <w:sz w:val="21"/>
          <w:szCs w:val="21"/>
          <w:lang w:val="en-US" w:eastAsia="zh-CN" w:bidi="ar-SA"/>
        </w:rPr>
      </w:pPr>
    </w:p>
    <w:p>
      <w:pPr>
        <w:widowControl w:val="0"/>
        <w:autoSpaceDE w:val="0"/>
        <w:autoSpaceDN w:val="0"/>
        <w:adjustRightInd w:val="0"/>
        <w:snapToGrid w:val="0"/>
        <w:ind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B2、</w:t>
      </w:r>
      <w:bookmarkEnd w:id="382"/>
      <w:bookmarkEnd w:id="383"/>
      <w:bookmarkEnd w:id="384"/>
      <w:bookmarkEnd w:id="385"/>
      <w:bookmarkEnd w:id="386"/>
      <w:bookmarkEnd w:id="387"/>
      <w:bookmarkEnd w:id="388"/>
      <w:bookmarkStart w:id="399" w:name="_Toc410220103"/>
      <w:r>
        <w:rPr>
          <w:rFonts w:hint="eastAsia" w:ascii="宋体" w:hAnsi="宋体" w:eastAsia="宋体" w:cs="宋体"/>
          <w:b/>
          <w:bCs/>
          <w:kern w:val="2"/>
          <w:sz w:val="21"/>
          <w:szCs w:val="21"/>
          <w:lang w:val="en-US" w:eastAsia="zh-CN" w:bidi="ar-SA"/>
        </w:rPr>
        <w:t>承诺书</w:t>
      </w:r>
      <w:bookmarkEnd w:id="399"/>
    </w:p>
    <w:p>
      <w:pPr>
        <w:widowControl w:val="0"/>
        <w:autoSpaceDE w:val="0"/>
        <w:autoSpaceDN w:val="0"/>
        <w:adjustRightInd w:val="0"/>
        <w:snapToGrid w:val="0"/>
        <w:ind w:firstLine="0" w:firstLineChars="0"/>
        <w:jc w:val="left"/>
        <w:rPr>
          <w:rFonts w:ascii="宋体" w:hAnsi="宋体"/>
          <w:b/>
          <w:bCs/>
          <w:sz w:val="28"/>
          <w:szCs w:val="28"/>
        </w:rPr>
      </w:pPr>
    </w:p>
    <w:bookmarkEnd w:id="389"/>
    <w:p>
      <w:pPr>
        <w:widowControl w:val="0"/>
        <w:autoSpaceDE w:val="0"/>
        <w:autoSpaceDN w:val="0"/>
        <w:adjustRightInd w:val="0"/>
        <w:snapToGrid w:val="0"/>
        <w:ind w:firstLine="0" w:firstLineChars="0"/>
        <w:jc w:val="center"/>
        <w:rPr>
          <w:rFonts w:ascii="宋体" w:hAnsi="宋体"/>
          <w:b/>
          <w:bCs/>
          <w:sz w:val="32"/>
          <w:szCs w:val="32"/>
        </w:rPr>
      </w:pPr>
      <w:bookmarkStart w:id="400" w:name="_Toc410220106"/>
      <w:r>
        <w:rPr>
          <w:rFonts w:hint="eastAsia" w:ascii="宋体" w:hAnsi="宋体"/>
          <w:b/>
          <w:bCs/>
          <w:sz w:val="32"/>
          <w:szCs w:val="32"/>
        </w:rPr>
        <w:t>承诺书</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u w:val="single"/>
          <w:lang w:eastAsia="zh-CN"/>
        </w:rPr>
        <w:t>深圳</w:t>
      </w:r>
      <w:r>
        <w:rPr>
          <w:rFonts w:hint="eastAsia" w:ascii="宋体" w:hAnsi="宋体"/>
          <w:szCs w:val="21"/>
          <w:u w:val="single"/>
          <w:lang w:val="en-US" w:eastAsia="zh-CN"/>
        </w:rPr>
        <w:t>市龙华环境有限</w:t>
      </w:r>
      <w:r>
        <w:rPr>
          <w:rFonts w:hint="eastAsia" w:ascii="宋体" w:hAnsi="宋体"/>
          <w:szCs w:val="21"/>
          <w:u w:val="single"/>
          <w:lang w:eastAsia="zh-CN"/>
        </w:rPr>
        <w:t>公司</w:t>
      </w:r>
      <w:r>
        <w:rPr>
          <w:rFonts w:hint="eastAsia" w:ascii="宋体" w:hAnsi="宋体"/>
          <w:szCs w:val="21"/>
          <w:u w:val="single"/>
          <w:lang w:val="en-US" w:eastAsia="zh-CN"/>
        </w:rPr>
        <w:t xml:space="preserve">  </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我司郑重承诺：</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w:t>
      </w:r>
      <w:r>
        <w:rPr>
          <w:rFonts w:hint="eastAsia" w:ascii="宋体" w:hAnsi="宋体"/>
          <w:szCs w:val="21"/>
          <w:u w:val="single"/>
        </w:rPr>
        <w:t>（投标人名称）</w:t>
      </w:r>
      <w:r>
        <w:rPr>
          <w:rFonts w:hint="eastAsia" w:ascii="宋体" w:hAnsi="宋体"/>
          <w:szCs w:val="21"/>
        </w:rPr>
        <w:t>在（</w:t>
      </w:r>
      <w:r>
        <w:rPr>
          <w:rFonts w:hint="eastAsia" w:ascii="宋体" w:hAnsi="宋体"/>
          <w:szCs w:val="21"/>
          <w:u w:val="single"/>
        </w:rPr>
        <w:t xml:space="preserve"> </w:t>
      </w:r>
      <w:r>
        <w:rPr>
          <w:rFonts w:hint="eastAsia" w:ascii="宋体" w:hAnsi="宋体"/>
          <w:szCs w:val="21"/>
          <w:u w:val="single"/>
          <w:lang w:val="en-US" w:eastAsia="zh-CN"/>
        </w:rPr>
        <w:t>2020</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1</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1</w:t>
      </w:r>
      <w:r>
        <w:rPr>
          <w:rFonts w:hint="eastAsia" w:ascii="宋体" w:hAnsi="宋体"/>
          <w:szCs w:val="21"/>
          <w:u w:val="single"/>
        </w:rPr>
        <w:t xml:space="preserve">  </w:t>
      </w:r>
      <w:r>
        <w:rPr>
          <w:rFonts w:hint="eastAsia" w:ascii="宋体" w:hAnsi="宋体"/>
          <w:szCs w:val="21"/>
        </w:rPr>
        <w:t>日至投标截止时间）没有处于被责令停业、或投标资格被取消，或财产被接管、冻结、破产状态；没有骗取中标或严重违约引起的合同终止、纠纷、争议、仲裁和诉讼记录，没有重大质量问题。</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w:t>
      </w:r>
      <w:r>
        <w:rPr>
          <w:rFonts w:hint="eastAsia" w:ascii="宋体" w:hAnsi="宋体"/>
          <w:szCs w:val="21"/>
          <w:u w:val="single"/>
        </w:rPr>
        <w:t>（投标人名称）</w:t>
      </w:r>
      <w:r>
        <w:rPr>
          <w:rFonts w:hint="eastAsia" w:ascii="宋体" w:hAnsi="宋体"/>
          <w:szCs w:val="21"/>
        </w:rPr>
        <w:t>自</w:t>
      </w:r>
      <w:r>
        <w:rPr>
          <w:rFonts w:hint="eastAsia" w:ascii="宋体" w:hAnsi="宋体"/>
          <w:szCs w:val="21"/>
          <w:u w:val="single"/>
        </w:rPr>
        <w:t xml:space="preserve"> </w:t>
      </w:r>
      <w:r>
        <w:rPr>
          <w:rFonts w:hint="eastAsia" w:ascii="宋体" w:hAnsi="宋体"/>
          <w:szCs w:val="21"/>
          <w:u w:val="single"/>
          <w:lang w:val="en-US" w:eastAsia="zh-CN"/>
        </w:rPr>
        <w:t>2020</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1</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1</w:t>
      </w:r>
      <w:r>
        <w:rPr>
          <w:rFonts w:hint="eastAsia" w:ascii="宋体" w:hAnsi="宋体"/>
          <w:szCs w:val="21"/>
          <w:u w:val="single"/>
        </w:rPr>
        <w:t xml:space="preserve">  </w:t>
      </w:r>
      <w:r>
        <w:rPr>
          <w:rFonts w:hint="eastAsia" w:ascii="宋体" w:hAnsi="宋体"/>
          <w:szCs w:val="21"/>
        </w:rPr>
        <w:t>日日至投标截止时间，提供的服务在中国大陆地区项目中无重大安全事故。</w:t>
      </w:r>
    </w:p>
    <w:p>
      <w:pPr>
        <w:widowControl w:val="0"/>
        <w:autoSpaceDE w:val="0"/>
        <w:autoSpaceDN w:val="0"/>
        <w:adjustRightInd w:val="0"/>
        <w:snapToGrid w:val="0"/>
        <w:ind w:firstLine="0" w:firstLineChars="0"/>
        <w:jc w:val="left"/>
        <w:rPr>
          <w:rFonts w:hint="eastAsia" w:ascii="宋体" w:hAnsi="宋体"/>
          <w:b/>
          <w:bCs/>
          <w:sz w:val="28"/>
          <w:szCs w:val="28"/>
        </w:rPr>
      </w:pPr>
      <w:r>
        <w:rPr>
          <w:rFonts w:hint="eastAsia" w:ascii="宋体" w:hAnsi="宋体"/>
          <w:szCs w:val="21"/>
        </w:rPr>
        <w:t>以上承诺如有虚假，你方有权取消我方中标资格，不予退还我方的投标保证金，我方同意给你方造成的损失予以赔偿。</w:t>
      </w:r>
    </w:p>
    <w:p>
      <w:pPr>
        <w:widowControl w:val="0"/>
        <w:autoSpaceDE w:val="0"/>
        <w:autoSpaceDN w:val="0"/>
        <w:adjustRightInd w:val="0"/>
        <w:snapToGrid w:val="0"/>
        <w:ind w:firstLine="2310" w:firstLineChars="1100"/>
        <w:jc w:val="left"/>
        <w:rPr>
          <w:rFonts w:hint="eastAsia" w:ascii="宋体" w:hAnsi="宋体" w:eastAsia="宋体"/>
          <w:sz w:val="21"/>
        </w:rPr>
      </w:pPr>
    </w:p>
    <w:p>
      <w:pPr>
        <w:widowControl w:val="0"/>
        <w:autoSpaceDE w:val="0"/>
        <w:autoSpaceDN w:val="0"/>
        <w:adjustRightInd w:val="0"/>
        <w:snapToGrid w:val="0"/>
        <w:ind w:firstLine="2310" w:firstLineChars="1100"/>
        <w:jc w:val="left"/>
        <w:rPr>
          <w:rFonts w:hint="eastAsia" w:ascii="宋体" w:hAnsi="宋体" w:eastAsia="宋体"/>
          <w:sz w:val="21"/>
        </w:rPr>
      </w:pPr>
    </w:p>
    <w:p>
      <w:pPr>
        <w:widowControl w:val="0"/>
        <w:autoSpaceDE w:val="0"/>
        <w:autoSpaceDN w:val="0"/>
        <w:adjustRightInd w:val="0"/>
        <w:snapToGrid w:val="0"/>
        <w:ind w:firstLine="2310" w:firstLineChars="1100"/>
        <w:jc w:val="left"/>
        <w:rPr>
          <w:rFonts w:hint="eastAsia" w:ascii="宋体" w:hAnsi="宋体" w:eastAsia="宋体"/>
          <w:sz w:val="21"/>
        </w:rPr>
      </w:pPr>
    </w:p>
    <w:p>
      <w:pPr>
        <w:widowControl w:val="0"/>
        <w:autoSpaceDE w:val="0"/>
        <w:autoSpaceDN w:val="0"/>
        <w:adjustRightInd w:val="0"/>
        <w:snapToGrid w:val="0"/>
        <w:ind w:firstLine="2310" w:firstLineChars="1100"/>
        <w:jc w:val="left"/>
        <w:rPr>
          <w:rFonts w:hint="eastAsia" w:ascii="宋体" w:hAnsi="宋体" w:eastAsia="宋体"/>
          <w:sz w:val="21"/>
        </w:rPr>
      </w:pPr>
    </w:p>
    <w:p>
      <w:pPr>
        <w:widowControl w:val="0"/>
        <w:autoSpaceDE w:val="0"/>
        <w:autoSpaceDN w:val="0"/>
        <w:adjustRightInd w:val="0"/>
        <w:snapToGrid w:val="0"/>
        <w:ind w:firstLine="2310" w:firstLineChars="1100"/>
        <w:jc w:val="left"/>
        <w:rPr>
          <w:rFonts w:hint="eastAsia" w:ascii="宋体" w:hAnsi="宋体" w:eastAsia="宋体"/>
          <w:sz w:val="21"/>
        </w:rPr>
      </w:pPr>
    </w:p>
    <w:p>
      <w:pPr>
        <w:widowControl w:val="0"/>
        <w:autoSpaceDE w:val="0"/>
        <w:autoSpaceDN w:val="0"/>
        <w:adjustRightInd w:val="0"/>
        <w:snapToGrid w:val="0"/>
        <w:ind w:firstLine="2310" w:firstLineChars="1100"/>
        <w:jc w:val="left"/>
        <w:rPr>
          <w:rFonts w:hint="eastAsia" w:ascii="宋体" w:hAnsi="宋体" w:eastAsia="宋体"/>
          <w:sz w:val="21"/>
        </w:rPr>
      </w:pPr>
    </w:p>
    <w:p>
      <w:pPr>
        <w:widowControl w:val="0"/>
        <w:autoSpaceDE w:val="0"/>
        <w:autoSpaceDN w:val="0"/>
        <w:adjustRightInd w:val="0"/>
        <w:snapToGrid w:val="0"/>
        <w:ind w:firstLine="2310" w:firstLineChars="1100"/>
        <w:jc w:val="left"/>
        <w:rPr>
          <w:rFonts w:hint="eastAsia" w:ascii="宋体" w:hAnsi="宋体" w:eastAsia="宋体"/>
          <w:sz w:val="21"/>
        </w:rPr>
      </w:pPr>
    </w:p>
    <w:p>
      <w:pPr>
        <w:widowControl w:val="0"/>
        <w:autoSpaceDE w:val="0"/>
        <w:autoSpaceDN w:val="0"/>
        <w:adjustRightInd w:val="0"/>
        <w:snapToGrid w:val="0"/>
        <w:ind w:firstLine="2310" w:firstLineChars="1100"/>
        <w:jc w:val="left"/>
        <w:rPr>
          <w:rFonts w:hint="eastAsia" w:ascii="宋体" w:hAnsi="宋体" w:eastAsia="宋体"/>
          <w:sz w:val="21"/>
        </w:rPr>
      </w:pPr>
    </w:p>
    <w:p>
      <w:pPr>
        <w:widowControl w:val="0"/>
        <w:autoSpaceDE w:val="0"/>
        <w:autoSpaceDN w:val="0"/>
        <w:adjustRightInd w:val="0"/>
        <w:snapToGrid w:val="0"/>
        <w:ind w:firstLine="2310" w:firstLineChars="1100"/>
        <w:jc w:val="left"/>
        <w:rPr>
          <w:rFonts w:hint="eastAsia" w:ascii="宋体" w:hAnsi="宋体" w:eastAsia="宋体"/>
          <w:sz w:val="21"/>
        </w:rPr>
      </w:pPr>
    </w:p>
    <w:p>
      <w:pPr>
        <w:jc w:val="center"/>
        <w:rPr>
          <w:rFonts w:ascii="宋体" w:hAnsi="宋体"/>
          <w:szCs w:val="21"/>
        </w:rPr>
      </w:pPr>
      <w:r>
        <w:rPr>
          <w:rFonts w:hint="eastAsia" w:ascii="宋体" w:hAnsi="宋体" w:eastAsia="宋体"/>
          <w:sz w:val="21"/>
        </w:rPr>
        <w:t>投标人：</w:t>
      </w:r>
      <w:r>
        <w:rPr>
          <w:rFonts w:ascii="宋体" w:hAnsi="宋体"/>
          <w:szCs w:val="21"/>
        </w:rPr>
        <w:br w:type="page"/>
      </w:r>
    </w:p>
    <w:p>
      <w:pPr>
        <w:jc w:val="left"/>
        <w:rPr>
          <w:rFonts w:ascii="宋体" w:hAnsi="宋体"/>
          <w:szCs w:val="21"/>
        </w:rPr>
      </w:pPr>
    </w:p>
    <w:p>
      <w:pPr>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B</w:t>
      </w:r>
      <w:bookmarkEnd w:id="400"/>
      <w:r>
        <w:rPr>
          <w:rFonts w:hint="eastAsia" w:ascii="宋体" w:hAnsi="宋体" w:cs="宋体"/>
          <w:b/>
          <w:bCs/>
          <w:kern w:val="2"/>
          <w:sz w:val="21"/>
          <w:szCs w:val="21"/>
          <w:lang w:val="en-US" w:eastAsia="zh-CN" w:bidi="ar-SA"/>
        </w:rPr>
        <w:t>3</w:t>
      </w:r>
      <w:r>
        <w:rPr>
          <w:rFonts w:hint="eastAsia" w:ascii="宋体" w:hAnsi="宋体" w:eastAsia="宋体" w:cs="宋体"/>
          <w:b/>
          <w:bCs/>
          <w:kern w:val="2"/>
          <w:sz w:val="21"/>
          <w:szCs w:val="21"/>
          <w:lang w:val="en-US" w:eastAsia="zh-CN" w:bidi="ar-SA"/>
        </w:rPr>
        <w:t>、投标人通过相关认证情况</w:t>
      </w:r>
    </w:p>
    <w:p>
      <w:pPr>
        <w:jc w:val="left"/>
        <w:rPr>
          <w:rFonts w:hint="eastAsia" w:ascii="宋体" w:hAnsi="宋体" w:eastAsia="宋体" w:cs="宋体"/>
          <w:color w:val="auto"/>
          <w:sz w:val="24"/>
        </w:rPr>
      </w:pPr>
      <w:r>
        <w:rPr>
          <w:rFonts w:hint="eastAsia" w:ascii="宋体" w:hAnsi="宋体" w:eastAsia="宋体" w:cs="宋体"/>
          <w:color w:val="auto"/>
          <w:sz w:val="24"/>
        </w:rPr>
        <w:t>（根据</w:t>
      </w:r>
      <w:r>
        <w:rPr>
          <w:rFonts w:hint="eastAsia" w:ascii="宋体" w:hAnsi="宋体" w:eastAsia="宋体" w:cs="宋体"/>
          <w:color w:val="auto"/>
          <w:sz w:val="24"/>
          <w:lang w:eastAsia="zh-CN"/>
        </w:rPr>
        <w:t>商务标评审项提供相关证明材料</w:t>
      </w:r>
      <w:r>
        <w:rPr>
          <w:rFonts w:hint="eastAsia" w:ascii="宋体" w:hAnsi="宋体" w:eastAsia="宋体" w:cs="宋体"/>
          <w:color w:val="auto"/>
          <w:sz w:val="24"/>
        </w:rPr>
        <w:t>，格式自拟）</w:t>
      </w:r>
    </w:p>
    <w:p>
      <w:pPr>
        <w:pStyle w:val="4"/>
        <w:numPr>
          <w:ilvl w:val="0"/>
          <w:numId w:val="0"/>
        </w:numPr>
        <w:spacing w:before="0" w:after="0" w:line="360" w:lineRule="auto"/>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B</w:t>
      </w:r>
      <w:r>
        <w:rPr>
          <w:rFonts w:hint="eastAsia" w:ascii="宋体" w:hAnsi="宋体" w:cs="宋体"/>
          <w:b/>
          <w:bCs/>
          <w:kern w:val="2"/>
          <w:sz w:val="21"/>
          <w:szCs w:val="21"/>
          <w:lang w:val="en-US" w:eastAsia="zh-CN" w:bidi="ar-SA"/>
        </w:rPr>
        <w:t>4</w:t>
      </w:r>
      <w:r>
        <w:rPr>
          <w:rFonts w:hint="eastAsia" w:ascii="宋体" w:hAnsi="宋体" w:eastAsia="宋体" w:cs="宋体"/>
          <w:b/>
          <w:bCs/>
          <w:kern w:val="2"/>
          <w:sz w:val="21"/>
          <w:szCs w:val="21"/>
          <w:lang w:val="en-US" w:eastAsia="zh-CN" w:bidi="ar-SA"/>
        </w:rPr>
        <w:t>、获奖情况</w:t>
      </w:r>
    </w:p>
    <w:p>
      <w:pPr>
        <w:jc w:val="left"/>
        <w:rPr>
          <w:rFonts w:hint="eastAsia" w:ascii="宋体" w:hAnsi="宋体" w:eastAsia="宋体" w:cs="宋体"/>
          <w:color w:val="auto"/>
          <w:sz w:val="24"/>
        </w:rPr>
      </w:pPr>
      <w:r>
        <w:rPr>
          <w:rFonts w:hint="eastAsia" w:ascii="宋体" w:hAnsi="宋体" w:eastAsia="宋体" w:cs="宋体"/>
          <w:color w:val="auto"/>
          <w:sz w:val="24"/>
        </w:rPr>
        <w:t>（根据</w:t>
      </w:r>
      <w:r>
        <w:rPr>
          <w:rFonts w:hint="eastAsia" w:ascii="宋体" w:hAnsi="宋体" w:eastAsia="宋体" w:cs="宋体"/>
          <w:color w:val="auto"/>
          <w:sz w:val="24"/>
          <w:lang w:eastAsia="zh-CN"/>
        </w:rPr>
        <w:t>商务标评审项提供相关证明材料</w:t>
      </w:r>
      <w:r>
        <w:rPr>
          <w:rFonts w:hint="eastAsia" w:ascii="宋体" w:hAnsi="宋体" w:eastAsia="宋体" w:cs="宋体"/>
          <w:color w:val="auto"/>
          <w:sz w:val="24"/>
        </w:rPr>
        <w:t>，格式自拟）</w:t>
      </w:r>
    </w:p>
    <w:p>
      <w:pPr>
        <w:pStyle w:val="4"/>
        <w:numPr>
          <w:ilvl w:val="0"/>
          <w:numId w:val="0"/>
        </w:numPr>
        <w:spacing w:before="0" w:after="0" w:line="360" w:lineRule="auto"/>
        <w:jc w:val="left"/>
        <w:rPr>
          <w:rFonts w:hint="eastAsia" w:ascii="宋体" w:hAnsi="宋体" w:eastAsia="宋体" w:cs="宋体"/>
          <w:b/>
          <w:bCs/>
          <w:kern w:val="2"/>
          <w:sz w:val="21"/>
          <w:szCs w:val="21"/>
          <w:lang w:val="en-US" w:eastAsia="zh-CN" w:bidi="ar-SA"/>
        </w:rPr>
      </w:pPr>
      <w:bookmarkStart w:id="401" w:name="_Toc410220107"/>
      <w:r>
        <w:rPr>
          <w:rFonts w:hint="default" w:ascii="宋体" w:hAnsi="宋体" w:eastAsia="宋体" w:cs="宋体"/>
          <w:b/>
          <w:bCs/>
          <w:kern w:val="2"/>
          <w:sz w:val="21"/>
          <w:szCs w:val="21"/>
          <w:lang w:val="en-US" w:eastAsia="zh-CN" w:bidi="ar-SA"/>
        </w:rPr>
        <w:t>B</w:t>
      </w:r>
      <w:r>
        <w:rPr>
          <w:rFonts w:hint="eastAsia" w:ascii="宋体" w:hAnsi="宋体" w:cs="宋体"/>
          <w:b/>
          <w:bCs/>
          <w:kern w:val="2"/>
          <w:sz w:val="21"/>
          <w:szCs w:val="21"/>
          <w:lang w:val="en-US" w:eastAsia="zh-CN" w:bidi="ar-SA"/>
        </w:rPr>
        <w:t>5</w:t>
      </w:r>
      <w:r>
        <w:rPr>
          <w:rFonts w:hint="eastAsia" w:ascii="宋体" w:hAnsi="宋体" w:eastAsia="宋体" w:cs="宋体"/>
          <w:b/>
          <w:bCs/>
          <w:kern w:val="2"/>
          <w:sz w:val="21"/>
          <w:szCs w:val="21"/>
          <w:lang w:val="en-US" w:eastAsia="zh-CN" w:bidi="ar-SA"/>
        </w:rPr>
        <w:t>、投标人同类业绩</w:t>
      </w:r>
    </w:p>
    <w:p>
      <w:pPr>
        <w:jc w:val="left"/>
        <w:rPr>
          <w:rFonts w:hint="eastAsia"/>
          <w:lang w:val="en-US" w:eastAsia="zh-CN"/>
        </w:rPr>
      </w:pPr>
      <w:r>
        <w:rPr>
          <w:rFonts w:hint="eastAsia" w:ascii="宋体" w:hAnsi="宋体" w:eastAsia="宋体" w:cs="宋体"/>
          <w:color w:val="auto"/>
          <w:sz w:val="24"/>
        </w:rPr>
        <w:t>（根据</w:t>
      </w:r>
      <w:r>
        <w:rPr>
          <w:rFonts w:hint="eastAsia" w:ascii="宋体" w:hAnsi="宋体" w:eastAsia="宋体" w:cs="宋体"/>
          <w:color w:val="auto"/>
          <w:sz w:val="24"/>
          <w:lang w:eastAsia="zh-CN"/>
        </w:rPr>
        <w:t>商务标评审项提供相关证明材料</w:t>
      </w:r>
      <w:r>
        <w:rPr>
          <w:rFonts w:hint="eastAsia" w:ascii="宋体" w:hAnsi="宋体" w:eastAsia="宋体" w:cs="宋体"/>
          <w:color w:val="auto"/>
          <w:sz w:val="24"/>
        </w:rPr>
        <w:t>，格式自拟）</w:t>
      </w:r>
    </w:p>
    <w:p>
      <w:pPr>
        <w:pStyle w:val="4"/>
        <w:numPr>
          <w:ilvl w:val="0"/>
          <w:numId w:val="0"/>
        </w:numPr>
        <w:spacing w:before="0" w:after="0" w:line="360" w:lineRule="auto"/>
        <w:jc w:val="left"/>
        <w:rPr>
          <w:rFonts w:hint="eastAsia" w:ascii="宋体" w:hAnsi="宋体" w:cs="宋体"/>
          <w:b/>
          <w:bCs/>
          <w:kern w:val="2"/>
          <w:sz w:val="21"/>
          <w:szCs w:val="21"/>
          <w:lang w:val="en-US" w:eastAsia="zh-CN" w:bidi="ar-SA"/>
        </w:rPr>
      </w:pPr>
      <w:r>
        <w:rPr>
          <w:rFonts w:hint="eastAsia" w:ascii="宋体" w:hAnsi="宋体" w:cs="宋体"/>
          <w:b/>
          <w:bCs/>
          <w:kern w:val="2"/>
          <w:sz w:val="21"/>
          <w:szCs w:val="21"/>
          <w:lang w:val="en-US" w:eastAsia="zh-CN" w:bidi="ar-SA"/>
        </w:rPr>
        <w:t>B6、履约评价</w:t>
      </w:r>
    </w:p>
    <w:p>
      <w:pPr>
        <w:jc w:val="left"/>
        <w:rPr>
          <w:rFonts w:hint="default"/>
          <w:lang w:val="en-US" w:eastAsia="zh-CN"/>
        </w:rPr>
      </w:pPr>
      <w:r>
        <w:rPr>
          <w:rFonts w:hint="eastAsia" w:ascii="宋体" w:hAnsi="宋体" w:eastAsia="宋体" w:cs="宋体"/>
          <w:color w:val="auto"/>
          <w:sz w:val="24"/>
        </w:rPr>
        <w:t>（根据</w:t>
      </w:r>
      <w:r>
        <w:rPr>
          <w:rFonts w:hint="eastAsia" w:ascii="宋体" w:hAnsi="宋体" w:eastAsia="宋体" w:cs="宋体"/>
          <w:color w:val="auto"/>
          <w:sz w:val="24"/>
          <w:lang w:eastAsia="zh-CN"/>
        </w:rPr>
        <w:t>商务标评审项提供相关证明材料</w:t>
      </w:r>
      <w:r>
        <w:rPr>
          <w:rFonts w:hint="eastAsia" w:ascii="宋体" w:hAnsi="宋体" w:eastAsia="宋体" w:cs="宋体"/>
          <w:color w:val="auto"/>
          <w:sz w:val="24"/>
        </w:rPr>
        <w:t>，格式自拟）</w:t>
      </w:r>
    </w:p>
    <w:p>
      <w:pPr>
        <w:pStyle w:val="4"/>
        <w:numPr>
          <w:ilvl w:val="0"/>
          <w:numId w:val="0"/>
        </w:numPr>
        <w:spacing w:before="0" w:after="0" w:line="360" w:lineRule="auto"/>
        <w:jc w:val="left"/>
        <w:rPr>
          <w:rFonts w:hint="eastAsia" w:ascii="宋体" w:hAnsi="宋体" w:cs="宋体"/>
          <w:b/>
          <w:bCs/>
          <w:kern w:val="2"/>
          <w:sz w:val="21"/>
          <w:szCs w:val="21"/>
          <w:lang w:val="en-US" w:eastAsia="zh-CN" w:bidi="ar-SA"/>
        </w:rPr>
      </w:pPr>
      <w:r>
        <w:rPr>
          <w:rFonts w:hint="eastAsia" w:ascii="宋体" w:hAnsi="宋体" w:cs="宋体"/>
          <w:b/>
          <w:bCs/>
          <w:kern w:val="2"/>
          <w:sz w:val="21"/>
          <w:szCs w:val="21"/>
          <w:lang w:val="en-US" w:eastAsia="zh-CN" w:bidi="ar-SA"/>
        </w:rPr>
        <w:t>B7、相关资质证书</w:t>
      </w:r>
    </w:p>
    <w:p>
      <w:pPr>
        <w:jc w:val="left"/>
        <w:rPr>
          <w:rFonts w:hint="eastAsia"/>
          <w:lang w:val="en-US" w:eastAsia="zh-CN"/>
        </w:rPr>
      </w:pPr>
      <w:r>
        <w:rPr>
          <w:rFonts w:hint="eastAsia" w:ascii="宋体" w:hAnsi="宋体" w:eastAsia="宋体" w:cs="宋体"/>
          <w:color w:val="auto"/>
          <w:sz w:val="24"/>
        </w:rPr>
        <w:t>（根据</w:t>
      </w:r>
      <w:r>
        <w:rPr>
          <w:rFonts w:hint="eastAsia" w:ascii="宋体" w:hAnsi="宋体" w:eastAsia="宋体" w:cs="宋体"/>
          <w:color w:val="auto"/>
          <w:sz w:val="24"/>
          <w:lang w:eastAsia="zh-CN"/>
        </w:rPr>
        <w:t>商务标评审项提供相关证明材料</w:t>
      </w:r>
      <w:r>
        <w:rPr>
          <w:rFonts w:hint="eastAsia" w:ascii="宋体" w:hAnsi="宋体" w:eastAsia="宋体" w:cs="宋体"/>
          <w:color w:val="auto"/>
          <w:sz w:val="24"/>
        </w:rPr>
        <w:t>，格式自拟）</w:t>
      </w:r>
    </w:p>
    <w:p>
      <w:pPr>
        <w:pStyle w:val="4"/>
        <w:numPr>
          <w:ilvl w:val="0"/>
          <w:numId w:val="0"/>
        </w:numPr>
        <w:spacing w:before="0" w:after="0" w:line="360" w:lineRule="auto"/>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B</w:t>
      </w:r>
      <w:r>
        <w:rPr>
          <w:rFonts w:hint="eastAsia" w:ascii="宋体" w:hAnsi="宋体" w:cs="宋体"/>
          <w:b/>
          <w:bCs/>
          <w:kern w:val="2"/>
          <w:sz w:val="21"/>
          <w:szCs w:val="21"/>
          <w:lang w:val="en-US" w:eastAsia="zh-CN" w:bidi="ar-SA"/>
        </w:rPr>
        <w:t>8</w:t>
      </w:r>
      <w:r>
        <w:rPr>
          <w:rFonts w:hint="eastAsia" w:ascii="宋体" w:hAnsi="宋体" w:eastAsia="宋体" w:cs="宋体"/>
          <w:b/>
          <w:bCs/>
          <w:kern w:val="2"/>
          <w:sz w:val="21"/>
          <w:szCs w:val="21"/>
          <w:lang w:val="en-US" w:eastAsia="zh-CN" w:bidi="ar-SA"/>
        </w:rPr>
        <w:t>、诚信</w:t>
      </w:r>
    </w:p>
    <w:p>
      <w:pPr>
        <w:widowControl w:val="0"/>
        <w:autoSpaceDE w:val="0"/>
        <w:autoSpaceDN w:val="0"/>
        <w:adjustRightInd w:val="0"/>
        <w:snapToGrid w:val="0"/>
        <w:ind w:firstLine="0" w:firstLineChars="0"/>
        <w:jc w:val="left"/>
        <w:outlineLvl w:val="1"/>
        <w:rPr>
          <w:rFonts w:hint="eastAsia" w:ascii="宋体" w:hAnsi="宋体"/>
        </w:rPr>
      </w:pPr>
      <w:r>
        <w:rPr>
          <w:rFonts w:hint="eastAsia" w:ascii="宋体" w:hAnsi="宋体"/>
          <w:b/>
          <w:bCs/>
          <w:highlight w:val="none"/>
        </w:rPr>
        <w:t>致深圳</w:t>
      </w:r>
      <w:r>
        <w:rPr>
          <w:rFonts w:hint="eastAsia" w:ascii="宋体" w:hAnsi="宋体"/>
          <w:b/>
          <w:bCs/>
          <w:highlight w:val="none"/>
          <w:lang w:val="en-US" w:eastAsia="zh-CN"/>
        </w:rPr>
        <w:t>市龙华环境有限</w:t>
      </w:r>
      <w:r>
        <w:rPr>
          <w:rFonts w:hint="eastAsia" w:ascii="宋体" w:hAnsi="宋体"/>
          <w:b/>
          <w:bCs/>
          <w:highlight w:val="none"/>
        </w:rPr>
        <w:t>公司：</w:t>
      </w:r>
    </w:p>
    <w:p>
      <w:pPr>
        <w:pStyle w:val="46"/>
        <w:widowControl/>
        <w:spacing w:line="264" w:lineRule="atLeast"/>
        <w:ind w:firstLine="380" w:firstLineChars="200"/>
        <w:rPr>
          <w:b/>
          <w:color w:val="FF0000"/>
          <w:highlight w:val="none"/>
        </w:rPr>
      </w:pPr>
      <w:r>
        <w:rPr>
          <w:rFonts w:hint="eastAsia" w:ascii="宋体" w:hAnsi="宋体"/>
          <w:highlight w:val="none"/>
        </w:rPr>
        <w:t>在参与贵公司组织的</w:t>
      </w:r>
      <w:r>
        <w:rPr>
          <w:rFonts w:hint="eastAsia" w:ascii="宋体" w:hAnsi="宋体"/>
          <w:highlight w:val="none"/>
          <w:u w:val="single"/>
        </w:rPr>
        <w:t xml:space="preserve">       （项目名称）    （项目编号：      ） </w:t>
      </w:r>
      <w:r>
        <w:rPr>
          <w:rFonts w:hint="eastAsia" w:ascii="宋体" w:hAnsi="宋体"/>
          <w:highlight w:val="none"/>
        </w:rPr>
        <w:t>采购活动中，我单位承诺：</w:t>
      </w:r>
      <w:r>
        <w:rPr>
          <w:rFonts w:hint="eastAsia" w:ascii="宋体" w:hAnsi="宋体"/>
          <w:b/>
          <w:color w:val="FF0000"/>
          <w:highlight w:val="none"/>
        </w:rPr>
        <w:t>本公司不存在因违法违规行为被记入诚信档案</w:t>
      </w:r>
      <w:r>
        <w:rPr>
          <w:rFonts w:hint="eastAsia" w:ascii="宋体" w:hAnsi="宋体"/>
          <w:b/>
          <w:bCs/>
          <w:color w:val="FF0000"/>
          <w:szCs w:val="21"/>
          <w:highlight w:val="none"/>
        </w:rPr>
        <w:t>且在相关主管部门处理措施实施期限内</w:t>
      </w:r>
      <w:r>
        <w:rPr>
          <w:rFonts w:ascii="宋体" w:hAnsi="宋体"/>
          <w:b/>
          <w:color w:val="FF0000"/>
          <w:highlight w:val="none"/>
        </w:rPr>
        <w:t>的</w:t>
      </w:r>
      <w:r>
        <w:rPr>
          <w:rFonts w:hint="eastAsia" w:ascii="宋体" w:hAnsi="宋体"/>
          <w:b/>
          <w:color w:val="FF0000"/>
          <w:highlight w:val="none"/>
        </w:rPr>
        <w:t>情形。</w:t>
      </w:r>
    </w:p>
    <w:p>
      <w:pPr>
        <w:pStyle w:val="46"/>
        <w:widowControl/>
        <w:spacing w:line="264" w:lineRule="atLeast"/>
        <w:rPr>
          <w:rFonts w:ascii="宋体" w:hAnsi="宋体"/>
          <w:highlight w:val="none"/>
        </w:rPr>
      </w:pPr>
      <w:r>
        <w:rPr>
          <w:rFonts w:hint="eastAsia" w:ascii="宋体" w:hAnsi="宋体"/>
          <w:highlight w:val="none"/>
        </w:rPr>
        <w:t xml:space="preserve">    我公司对该承诺的真实性负责，如有不实，自愿接受相关法律法规的处罚及其他一切后果（含自愿接受将此不良行为记入</w:t>
      </w:r>
      <w:r>
        <w:rPr>
          <w:rFonts w:ascii="宋体" w:hAnsi="宋体"/>
          <w:highlight w:val="none"/>
        </w:rPr>
        <w:t>供应商诚信档案</w:t>
      </w:r>
      <w:r>
        <w:rPr>
          <w:rFonts w:hint="eastAsia" w:ascii="宋体" w:hAnsi="宋体"/>
          <w:highlight w:val="none"/>
        </w:rPr>
        <w:t>和自愿接受虚假响应导致禁止参加政府采购活动的处罚等）。</w:t>
      </w:r>
    </w:p>
    <w:p>
      <w:pPr>
        <w:rPr>
          <w:rFonts w:ascii="宋体" w:hAnsi="宋体"/>
          <w:highlight w:val="none"/>
        </w:rPr>
      </w:pPr>
      <w:r>
        <w:rPr>
          <w:rFonts w:hint="eastAsia" w:ascii="宋体" w:hAnsi="宋体"/>
          <w:highlight w:val="none"/>
        </w:rPr>
        <w:t xml:space="preserve">    特此承诺。</w:t>
      </w:r>
    </w:p>
    <w:p>
      <w:pPr>
        <w:rPr>
          <w:highlight w:val="none"/>
        </w:rPr>
      </w:pPr>
    </w:p>
    <w:p>
      <w:pPr>
        <w:spacing w:line="360" w:lineRule="auto"/>
        <w:ind w:firstLine="4620" w:firstLineChars="2200"/>
        <w:jc w:val="left"/>
        <w:rPr>
          <w:rFonts w:ascii="宋体" w:hAnsi="宋体"/>
          <w:highlight w:val="none"/>
        </w:rPr>
      </w:pPr>
      <w:r>
        <w:rPr>
          <w:rFonts w:hint="eastAsia" w:ascii="宋体" w:hAnsi="宋体"/>
          <w:highlight w:val="none"/>
        </w:rPr>
        <w:t xml:space="preserve">投标单位： </w:t>
      </w:r>
    </w:p>
    <w:p>
      <w:pPr>
        <w:spacing w:line="360" w:lineRule="auto"/>
        <w:ind w:firstLine="4620" w:firstLineChars="2200"/>
        <w:jc w:val="left"/>
        <w:rPr>
          <w:rFonts w:hint="default"/>
          <w:lang w:val="en-US" w:eastAsia="zh-CN"/>
        </w:rPr>
      </w:pPr>
      <w:r>
        <w:rPr>
          <w:rFonts w:hint="eastAsia" w:ascii="宋体" w:hAnsi="宋体"/>
          <w:highlight w:val="none"/>
        </w:rPr>
        <w:t>日期：    年   月   日</w:t>
      </w:r>
    </w:p>
    <w:p>
      <w:pPr>
        <w:pStyle w:val="4"/>
        <w:numPr>
          <w:ilvl w:val="0"/>
          <w:numId w:val="0"/>
        </w:numPr>
        <w:spacing w:before="0" w:after="0" w:line="360" w:lineRule="auto"/>
        <w:jc w:val="left"/>
        <w:rPr>
          <w:rFonts w:hint="eastAsia" w:ascii="宋体" w:hAnsi="宋体" w:eastAsia="宋体" w:cs="宋体"/>
          <w:b/>
          <w:bCs/>
          <w:kern w:val="2"/>
          <w:sz w:val="21"/>
          <w:szCs w:val="21"/>
          <w:lang w:val="en-US" w:eastAsia="zh-CN" w:bidi="ar-SA"/>
        </w:rPr>
      </w:pPr>
      <w:r>
        <w:rPr>
          <w:rFonts w:hint="eastAsia" w:ascii="宋体" w:hAnsi="宋体" w:cs="宋体"/>
          <w:b/>
          <w:bCs/>
          <w:kern w:val="2"/>
          <w:sz w:val="21"/>
          <w:szCs w:val="21"/>
          <w:lang w:val="en-US" w:eastAsia="zh-CN" w:bidi="ar-SA"/>
        </w:rPr>
        <w:t>B19、</w:t>
      </w:r>
      <w:r>
        <w:rPr>
          <w:rFonts w:hint="eastAsia" w:ascii="宋体" w:hAnsi="宋体" w:eastAsia="宋体" w:cs="宋体"/>
          <w:b/>
          <w:bCs/>
          <w:kern w:val="2"/>
          <w:sz w:val="21"/>
          <w:szCs w:val="21"/>
          <w:lang w:val="en-US" w:eastAsia="zh-CN" w:bidi="ar-SA"/>
        </w:rPr>
        <w:t>其他</w:t>
      </w:r>
    </w:p>
    <w:p>
      <w:pPr>
        <w:widowControl w:val="0"/>
        <w:autoSpaceDE w:val="0"/>
        <w:autoSpaceDN w:val="0"/>
        <w:adjustRightInd w:val="0"/>
        <w:snapToGrid w:val="0"/>
        <w:ind w:firstLine="0" w:firstLineChars="0"/>
        <w:jc w:val="left"/>
        <w:rPr>
          <w:rFonts w:ascii="宋体" w:hAnsi="宋体"/>
          <w:bCs/>
          <w:szCs w:val="21"/>
        </w:rPr>
      </w:pPr>
      <w:r>
        <w:rPr>
          <w:rFonts w:hint="eastAsia" w:ascii="宋体" w:hAnsi="宋体" w:eastAsia="宋体" w:cs="宋体"/>
          <w:color w:val="auto"/>
          <w:sz w:val="24"/>
          <w:lang w:eastAsia="zh-CN"/>
        </w:rPr>
        <w:t>（投标人认为应补充提供的其他文件资料或说明，格式自拟）</w:t>
      </w:r>
      <w:bookmarkEnd w:id="401"/>
      <w:bookmarkStart w:id="402" w:name="_Toc49247168"/>
    </w:p>
    <w:p>
      <w:pPr>
        <w:rPr>
          <w:rFonts w:hint="eastAsia" w:ascii="宋体" w:hAnsi="宋体"/>
          <w:b/>
          <w:sz w:val="44"/>
          <w:szCs w:val="44"/>
        </w:rPr>
      </w:pPr>
      <w:r>
        <w:rPr>
          <w:rFonts w:hint="eastAsia" w:ascii="宋体" w:hAnsi="宋体"/>
          <w:b/>
          <w:sz w:val="44"/>
          <w:szCs w:val="44"/>
        </w:rPr>
        <w:br w:type="page"/>
      </w:r>
    </w:p>
    <w:p>
      <w:pPr>
        <w:widowControl w:val="0"/>
        <w:autoSpaceDE w:val="0"/>
        <w:autoSpaceDN w:val="0"/>
        <w:adjustRightInd w:val="0"/>
        <w:snapToGrid w:val="0"/>
        <w:ind w:firstLine="0" w:firstLineChars="0"/>
        <w:jc w:val="center"/>
        <w:outlineLvl w:val="1"/>
        <w:rPr>
          <w:rFonts w:ascii="宋体" w:hAnsi="宋体"/>
          <w:b/>
          <w:sz w:val="44"/>
          <w:szCs w:val="44"/>
        </w:rPr>
      </w:pPr>
      <w:r>
        <w:rPr>
          <w:rFonts w:hint="eastAsia" w:ascii="宋体" w:hAnsi="宋体"/>
          <w:b/>
          <w:sz w:val="44"/>
          <w:szCs w:val="44"/>
        </w:rPr>
        <w:t>三、技术标部分</w:t>
      </w:r>
      <w:bookmarkEnd w:id="402"/>
    </w:p>
    <w:bookmarkEnd w:id="390"/>
    <w:bookmarkEnd w:id="391"/>
    <w:bookmarkEnd w:id="392"/>
    <w:bookmarkEnd w:id="393"/>
    <w:bookmarkEnd w:id="394"/>
    <w:bookmarkEnd w:id="395"/>
    <w:bookmarkEnd w:id="396"/>
    <w:bookmarkEnd w:id="397"/>
    <w:bookmarkEnd w:id="398"/>
    <w:p>
      <w:pPr>
        <w:pStyle w:val="4"/>
        <w:numPr>
          <w:ilvl w:val="0"/>
          <w:numId w:val="0"/>
        </w:numPr>
        <w:spacing w:before="0" w:after="0" w:line="360" w:lineRule="auto"/>
        <w:jc w:val="left"/>
        <w:rPr>
          <w:rFonts w:hint="eastAsia" w:ascii="宋体" w:hAnsi="宋体" w:eastAsia="宋体" w:cs="宋体"/>
          <w:b/>
          <w:bCs/>
          <w:kern w:val="2"/>
          <w:sz w:val="21"/>
          <w:szCs w:val="21"/>
          <w:lang w:val="en-US" w:eastAsia="zh-CN" w:bidi="ar-SA"/>
        </w:rPr>
      </w:pPr>
      <w:bookmarkStart w:id="403" w:name="_Toc201742912"/>
      <w:bookmarkStart w:id="404" w:name="_Toc201997996"/>
      <w:bookmarkStart w:id="405" w:name="_Toc390444157"/>
      <w:bookmarkStart w:id="406" w:name="_Toc201743167"/>
      <w:bookmarkStart w:id="407" w:name="_Toc201401708"/>
      <w:bookmarkStart w:id="408" w:name="_Toc201719168"/>
      <w:bookmarkStart w:id="409" w:name="_Toc280341042"/>
      <w:bookmarkStart w:id="410" w:name="_Toc373139290"/>
      <w:bookmarkStart w:id="411" w:name="_Toc199215991"/>
      <w:bookmarkStart w:id="412" w:name="_Toc153591804"/>
      <w:bookmarkStart w:id="413" w:name="_Toc102316470"/>
      <w:bookmarkStart w:id="414" w:name="_Toc103258079"/>
      <w:bookmarkStart w:id="415" w:name="_Toc102316949"/>
      <w:bookmarkStart w:id="416" w:name="_Toc102318076"/>
      <w:bookmarkStart w:id="417" w:name="_Toc102385731"/>
      <w:bookmarkStart w:id="418" w:name="_Toc103704738"/>
      <w:bookmarkStart w:id="419" w:name="_Toc102391902"/>
      <w:bookmarkStart w:id="420" w:name="_Toc153524107"/>
      <w:bookmarkStart w:id="421" w:name="_Toc102315646"/>
      <w:bookmarkStart w:id="422" w:name="_Toc102316715"/>
      <w:bookmarkStart w:id="423" w:name="_Toc153177847"/>
      <w:bookmarkStart w:id="424" w:name="_Toc103256567"/>
      <w:bookmarkStart w:id="425" w:name="_Toc103257699"/>
      <w:bookmarkStart w:id="426" w:name="_Toc102392597"/>
      <w:bookmarkStart w:id="427" w:name="_Toc103257484"/>
      <w:bookmarkStart w:id="428" w:name="_Toc103734977"/>
      <w:bookmarkStart w:id="429" w:name="_Toc102319448"/>
      <w:bookmarkStart w:id="430" w:name="_Toc103258639"/>
      <w:r>
        <w:rPr>
          <w:rFonts w:hint="eastAsia" w:ascii="宋体" w:hAnsi="宋体" w:eastAsia="宋体" w:cs="宋体"/>
          <w:b/>
          <w:bCs/>
          <w:kern w:val="2"/>
          <w:sz w:val="21"/>
          <w:szCs w:val="21"/>
          <w:lang w:val="en-US" w:eastAsia="zh-CN" w:bidi="ar-SA"/>
        </w:rPr>
        <w:t>C1、</w:t>
      </w:r>
      <w:bookmarkEnd w:id="403"/>
      <w:bookmarkEnd w:id="404"/>
      <w:bookmarkEnd w:id="405"/>
      <w:bookmarkEnd w:id="406"/>
      <w:bookmarkEnd w:id="407"/>
      <w:bookmarkEnd w:id="408"/>
      <w:bookmarkEnd w:id="409"/>
      <w:bookmarkEnd w:id="410"/>
      <w:bookmarkEnd w:id="411"/>
      <w:bookmarkStart w:id="431" w:name="_Toc373139292"/>
      <w:bookmarkStart w:id="432" w:name="_Toc201997999"/>
      <w:bookmarkStart w:id="433" w:name="_Toc390444159"/>
      <w:bookmarkStart w:id="434" w:name="_Toc201719171"/>
      <w:bookmarkStart w:id="435" w:name="_Toc201743170"/>
      <w:bookmarkStart w:id="436" w:name="_Toc201742915"/>
      <w:r>
        <w:rPr>
          <w:rFonts w:hint="eastAsia" w:ascii="宋体" w:hAnsi="宋体" w:cs="宋体"/>
          <w:b/>
          <w:bCs/>
          <w:kern w:val="2"/>
          <w:sz w:val="21"/>
          <w:szCs w:val="21"/>
          <w:lang w:val="en-US" w:eastAsia="zh-CN" w:bidi="ar-SA"/>
        </w:rPr>
        <w:t>实施方案</w:t>
      </w:r>
    </w:p>
    <w:p>
      <w:pPr>
        <w:widowControl w:val="0"/>
        <w:autoSpaceDE w:val="0"/>
        <w:autoSpaceDN w:val="0"/>
        <w:adjustRightInd w:val="0"/>
        <w:snapToGrid w:val="0"/>
        <w:ind w:firstLine="0" w:firstLineChars="0"/>
        <w:jc w:val="left"/>
        <w:rPr>
          <w:rFonts w:hint="eastAsia" w:ascii="宋体" w:hAnsi="宋体" w:eastAsia="宋体" w:cs="宋体"/>
          <w:color w:val="auto"/>
          <w:sz w:val="24"/>
          <w:lang w:eastAsia="zh-CN"/>
        </w:rPr>
      </w:pPr>
      <w:r>
        <w:rPr>
          <w:rFonts w:hint="eastAsia" w:ascii="宋体" w:hAnsi="宋体" w:eastAsia="宋体" w:cs="宋体"/>
          <w:color w:val="auto"/>
          <w:sz w:val="24"/>
          <w:lang w:eastAsia="zh-CN"/>
        </w:rPr>
        <w:t>（根据技术标评审项提供相关证明材料，格式自拟）</w:t>
      </w:r>
    </w:p>
    <w:p>
      <w:pPr>
        <w:pStyle w:val="4"/>
        <w:numPr>
          <w:ilvl w:val="0"/>
          <w:numId w:val="0"/>
        </w:numPr>
        <w:spacing w:before="0" w:after="0" w:line="360" w:lineRule="auto"/>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C2、拟安排的项目负责人情况（仅限一人）</w:t>
      </w:r>
    </w:p>
    <w:p>
      <w:pPr>
        <w:widowControl w:val="0"/>
        <w:autoSpaceDE w:val="0"/>
        <w:autoSpaceDN w:val="0"/>
        <w:adjustRightInd w:val="0"/>
        <w:snapToGrid w:val="0"/>
        <w:ind w:firstLine="0" w:firstLineChars="0"/>
        <w:jc w:val="left"/>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w:t>
      </w:r>
      <w:r>
        <w:rPr>
          <w:rFonts w:hint="eastAsia" w:ascii="宋体" w:hAnsi="宋体" w:eastAsia="宋体" w:cs="宋体"/>
          <w:color w:val="auto"/>
          <w:sz w:val="24"/>
          <w:lang w:eastAsia="zh-CN"/>
        </w:rPr>
        <w:t>根据技术标评审项提供相关证明材料，格式自拟）</w:t>
      </w:r>
    </w:p>
    <w:p>
      <w:pPr>
        <w:pStyle w:val="4"/>
        <w:numPr>
          <w:ilvl w:val="0"/>
          <w:numId w:val="0"/>
        </w:numPr>
        <w:spacing w:before="0" w:after="0" w:line="360" w:lineRule="auto"/>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C3、拟安排的项目主要团队成员(主要技术人员)情况(项目负责人除外)</w:t>
      </w:r>
    </w:p>
    <w:p>
      <w:pPr>
        <w:widowControl w:val="0"/>
        <w:autoSpaceDE w:val="0"/>
        <w:autoSpaceDN w:val="0"/>
        <w:adjustRightInd w:val="0"/>
        <w:snapToGrid w:val="0"/>
        <w:ind w:firstLine="0" w:firstLineChars="0"/>
        <w:jc w:val="left"/>
        <w:rPr>
          <w:rFonts w:hint="eastAsia" w:ascii="宋体" w:hAnsi="宋体" w:eastAsia="宋体" w:cs="宋体"/>
          <w:color w:val="auto"/>
          <w:sz w:val="24"/>
          <w:lang w:eastAsia="zh-CN"/>
        </w:rPr>
      </w:pPr>
      <w:r>
        <w:rPr>
          <w:rFonts w:hint="eastAsia" w:ascii="宋体" w:hAnsi="宋体" w:eastAsia="宋体" w:cs="宋体"/>
          <w:color w:val="auto"/>
          <w:sz w:val="24"/>
          <w:lang w:eastAsia="zh-CN"/>
        </w:rPr>
        <w:t>（根据技术标评审项提供相关证明材料，格式自拟）</w:t>
      </w:r>
    </w:p>
    <w:p>
      <w:pPr>
        <w:pStyle w:val="4"/>
        <w:numPr>
          <w:ilvl w:val="0"/>
          <w:numId w:val="0"/>
        </w:numPr>
        <w:spacing w:before="0" w:after="0" w:line="360" w:lineRule="auto"/>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C4、违约承诺</w:t>
      </w:r>
    </w:p>
    <w:p>
      <w:pPr>
        <w:widowControl w:val="0"/>
        <w:autoSpaceDE w:val="0"/>
        <w:autoSpaceDN w:val="0"/>
        <w:adjustRightInd w:val="0"/>
        <w:snapToGrid w:val="0"/>
        <w:ind w:firstLine="0" w:firstLineChars="0"/>
        <w:jc w:val="left"/>
        <w:rPr>
          <w:rFonts w:hint="eastAsia" w:ascii="宋体" w:hAnsi="宋体" w:eastAsia="宋体" w:cs="宋体"/>
          <w:color w:val="auto"/>
          <w:sz w:val="24"/>
          <w:lang w:eastAsia="zh-CN"/>
        </w:rPr>
      </w:pPr>
      <w:r>
        <w:rPr>
          <w:rFonts w:hint="eastAsia" w:ascii="宋体" w:hAnsi="宋体" w:eastAsia="宋体" w:cs="宋体"/>
          <w:color w:val="auto"/>
          <w:sz w:val="24"/>
          <w:lang w:eastAsia="zh-CN"/>
        </w:rPr>
        <w:t>（根据技术标评审项提供相关证明材料，格式自拟）</w:t>
      </w:r>
    </w:p>
    <w:p>
      <w:pPr>
        <w:pStyle w:val="4"/>
        <w:numPr>
          <w:ilvl w:val="0"/>
          <w:numId w:val="0"/>
        </w:numPr>
        <w:spacing w:before="0" w:after="0" w:line="360" w:lineRule="auto"/>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C5、其他</w:t>
      </w:r>
    </w:p>
    <w:p>
      <w:pPr>
        <w:widowControl w:val="0"/>
        <w:autoSpaceDE w:val="0"/>
        <w:autoSpaceDN w:val="0"/>
        <w:adjustRightInd w:val="0"/>
        <w:snapToGrid w:val="0"/>
        <w:ind w:firstLine="0" w:firstLineChars="0"/>
        <w:jc w:val="left"/>
        <w:rPr>
          <w:rFonts w:hint="eastAsia" w:ascii="宋体" w:hAnsi="宋体"/>
          <w:b/>
        </w:rPr>
      </w:pPr>
      <w:r>
        <w:rPr>
          <w:rFonts w:hint="eastAsia" w:ascii="宋体" w:hAnsi="宋体" w:eastAsia="宋体"/>
          <w:sz w:val="21"/>
        </w:rPr>
        <w:t>投标人认为应补充提供的其他文件资料或说明。</w:t>
      </w:r>
    </w:p>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Pr>
        <w:jc w:val="left"/>
        <w:rPr>
          <w:rFonts w:hint="eastAsia" w:ascii="宋体" w:hAnsi="宋体" w:cs="Courier New"/>
          <w:b/>
          <w:bCs/>
          <w:sz w:val="44"/>
          <w:szCs w:val="44"/>
        </w:rPr>
      </w:pPr>
      <w:bookmarkStart w:id="437" w:name="_Toc49247169"/>
      <w:r>
        <w:rPr>
          <w:rFonts w:hint="eastAsia" w:ascii="宋体" w:hAnsi="宋体" w:cs="Courier New"/>
          <w:b/>
          <w:bCs/>
          <w:sz w:val="44"/>
          <w:szCs w:val="44"/>
        </w:rPr>
        <w:br w:type="page"/>
      </w:r>
    </w:p>
    <w:p>
      <w:pPr>
        <w:widowControl w:val="0"/>
        <w:numPr>
          <w:ilvl w:val="0"/>
          <w:numId w:val="12"/>
        </w:numPr>
        <w:autoSpaceDE w:val="0"/>
        <w:autoSpaceDN w:val="0"/>
        <w:adjustRightInd w:val="0"/>
        <w:snapToGrid w:val="0"/>
        <w:ind w:firstLine="2209" w:firstLineChars="500"/>
        <w:jc w:val="both"/>
        <w:outlineLvl w:val="1"/>
        <w:rPr>
          <w:rFonts w:hint="eastAsia" w:ascii="宋体" w:hAnsi="宋体" w:cs="Courier New"/>
          <w:b/>
          <w:bCs/>
          <w:sz w:val="44"/>
          <w:szCs w:val="44"/>
        </w:rPr>
      </w:pPr>
      <w:r>
        <w:rPr>
          <w:rFonts w:hint="eastAsia" w:ascii="宋体" w:hAnsi="宋体" w:cs="Courier New"/>
          <w:b/>
          <w:bCs/>
          <w:sz w:val="44"/>
          <w:szCs w:val="44"/>
        </w:rPr>
        <w:t>价格标部分</w:t>
      </w:r>
      <w:bookmarkEnd w:id="437"/>
      <w:bookmarkStart w:id="438" w:name="_Toc278893410"/>
    </w:p>
    <w:p>
      <w:pPr>
        <w:widowControl w:val="0"/>
        <w:numPr>
          <w:ilvl w:val="0"/>
          <w:numId w:val="0"/>
        </w:numPr>
        <w:autoSpaceDE w:val="0"/>
        <w:autoSpaceDN w:val="0"/>
        <w:adjustRightInd w:val="0"/>
        <w:snapToGrid w:val="0"/>
        <w:jc w:val="both"/>
        <w:outlineLvl w:val="1"/>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D1、投标报价一览表</w:t>
      </w:r>
    </w:p>
    <w:p>
      <w:pPr>
        <w:widowControl w:val="0"/>
        <w:autoSpaceDE w:val="0"/>
        <w:autoSpaceDN w:val="0"/>
        <w:adjustRightInd w:val="0"/>
        <w:snapToGrid w:val="0"/>
        <w:ind w:firstLine="0" w:firstLineChars="0"/>
        <w:jc w:val="left"/>
        <w:rPr>
          <w:rFonts w:ascii="宋体" w:hAnsi="宋体"/>
          <w:b/>
          <w:bCs/>
          <w:sz w:val="28"/>
          <w:szCs w:val="28"/>
        </w:rPr>
      </w:pPr>
      <w:r>
        <w:rPr>
          <w:rFonts w:ascii="宋体" w:hAnsi="宋体"/>
          <w:b/>
          <w:bCs/>
          <w:sz w:val="28"/>
          <w:szCs w:val="28"/>
        </w:rPr>
        <w:tab/>
      </w:r>
    </w:p>
    <w:p>
      <w:pPr>
        <w:widowControl w:val="0"/>
        <w:autoSpaceDE w:val="0"/>
        <w:autoSpaceDN w:val="0"/>
        <w:adjustRightInd w:val="0"/>
        <w:snapToGrid w:val="0"/>
        <w:ind w:firstLine="0" w:firstLineChars="0"/>
        <w:jc w:val="center"/>
        <w:rPr>
          <w:rFonts w:ascii="宋体" w:hAnsi="宋体"/>
          <w:b/>
          <w:bCs/>
          <w:sz w:val="32"/>
          <w:szCs w:val="32"/>
        </w:rPr>
      </w:pPr>
      <w:r>
        <w:rPr>
          <w:rFonts w:hint="eastAsia" w:ascii="宋体" w:hAnsi="宋体"/>
          <w:b/>
          <w:bCs/>
          <w:sz w:val="32"/>
          <w:szCs w:val="32"/>
        </w:rPr>
        <w:t>投标报价一览表</w:t>
      </w:r>
      <w:bookmarkEnd w:id="438"/>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项目名称：</w:t>
      </w:r>
      <w:r>
        <w:rPr>
          <w:rFonts w:hint="eastAsia" w:ascii="宋体" w:hAnsi="宋体"/>
          <w:szCs w:val="21"/>
          <w:u w:val="single"/>
        </w:rPr>
        <w:t xml:space="preserve">  </w:t>
      </w:r>
      <w:r>
        <w:rPr>
          <w:rFonts w:hint="eastAsia" w:ascii="宋体" w:hAnsi="宋体" w:eastAsia="宋体" w:cs="宋体"/>
          <w:sz w:val="32"/>
          <w:szCs w:val="32"/>
          <w:u w:val="single"/>
          <w:lang w:val="en-US" w:eastAsia="zh-CN"/>
        </w:rPr>
        <w:t>《大浪街道非市政道路路灯管养》</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hint="eastAsia" w:ascii="宋体" w:hAnsi="宋体"/>
          <w:szCs w:val="21"/>
          <w:u w:val="single"/>
        </w:rPr>
      </w:pPr>
      <w:r>
        <w:rPr>
          <w:rFonts w:hint="eastAsia" w:ascii="宋体" w:hAnsi="宋体"/>
          <w:szCs w:val="21"/>
        </w:rPr>
        <w:t>项目编号：</w:t>
      </w:r>
      <w:r>
        <w:rPr>
          <w:rFonts w:hint="eastAsia" w:ascii="宋体" w:hAnsi="宋体"/>
          <w:szCs w:val="21"/>
          <w:u w:val="single"/>
        </w:rPr>
        <w:t xml:space="preserve">                        </w:t>
      </w:r>
    </w:p>
    <w:tbl>
      <w:tblPr>
        <w:tblStyle w:val="49"/>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2"/>
        <w:gridCol w:w="3207"/>
        <w:gridCol w:w="1222"/>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2592" w:type="dxa"/>
            <w:tcBorders>
              <w:right w:val="single" w:color="auto" w:sz="2" w:space="0"/>
            </w:tcBorders>
            <w:shd w:val="clear" w:color="auto" w:fill="DBE5F1"/>
            <w:noWrap w:val="0"/>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lang w:eastAsia="zh-CN"/>
              </w:rPr>
              <w:t>项目</w:t>
            </w:r>
            <w:r>
              <w:rPr>
                <w:rFonts w:hint="eastAsia" w:ascii="宋体" w:hAnsi="宋体"/>
                <w:b/>
                <w:szCs w:val="21"/>
              </w:rPr>
              <w:t>名称</w:t>
            </w:r>
          </w:p>
        </w:tc>
        <w:tc>
          <w:tcPr>
            <w:tcW w:w="3207" w:type="dxa"/>
            <w:tcBorders>
              <w:left w:val="single" w:color="auto" w:sz="2" w:space="0"/>
            </w:tcBorders>
            <w:shd w:val="clear" w:color="auto" w:fill="DBE5F1"/>
            <w:noWrap w:val="0"/>
            <w:vAlign w:val="center"/>
          </w:tcPr>
          <w:p>
            <w:pPr>
              <w:spacing w:beforeLines="0" w:afterLines="0"/>
              <w:ind w:left="0" w:leftChars="0" w:firstLine="0" w:firstLineChars="0"/>
              <w:jc w:val="center"/>
              <w:rPr>
                <w:rFonts w:ascii="宋体" w:hAnsi="宋体"/>
                <w:b/>
                <w:szCs w:val="21"/>
              </w:rPr>
            </w:pPr>
            <w:r>
              <w:rPr>
                <w:rFonts w:hint="eastAsia" w:ascii="SimSun,Bold" w:hAnsi="SimSun,Bold" w:eastAsia="SimSun,Bold"/>
                <w:b/>
                <w:sz w:val="21"/>
              </w:rPr>
              <w:t>投保报价</w:t>
            </w:r>
          </w:p>
        </w:tc>
        <w:tc>
          <w:tcPr>
            <w:tcW w:w="1222" w:type="dxa"/>
            <w:shd w:val="clear" w:color="auto" w:fill="DBE5F1"/>
            <w:noWrap w:val="0"/>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服务期</w:t>
            </w:r>
          </w:p>
        </w:tc>
        <w:tc>
          <w:tcPr>
            <w:tcW w:w="1759" w:type="dxa"/>
            <w:shd w:val="clear" w:color="auto" w:fill="DBE5F1"/>
            <w:noWrap w:val="0"/>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8" w:hRule="atLeast"/>
          <w:jc w:val="center"/>
        </w:trPr>
        <w:tc>
          <w:tcPr>
            <w:tcW w:w="2592" w:type="dxa"/>
            <w:tcBorders>
              <w:right w:val="single" w:color="auto" w:sz="2" w:space="0"/>
            </w:tcBorders>
            <w:noWrap w:val="0"/>
            <w:vAlign w:val="center"/>
          </w:tcPr>
          <w:p>
            <w:pPr>
              <w:widowControl w:val="0"/>
              <w:autoSpaceDE w:val="0"/>
              <w:autoSpaceDN w:val="0"/>
              <w:adjustRightInd w:val="0"/>
              <w:snapToGrid w:val="0"/>
              <w:ind w:firstLine="0" w:firstLineChars="0"/>
              <w:jc w:val="center"/>
              <w:rPr>
                <w:rFonts w:ascii="宋体" w:hAnsi="宋体" w:cs="宋体"/>
                <w:kern w:val="0"/>
                <w:szCs w:val="21"/>
              </w:rPr>
            </w:pPr>
            <w:r>
              <w:rPr>
                <w:rFonts w:hint="eastAsia" w:ascii="宋体" w:hAnsi="宋体" w:cs="宋体"/>
                <w:kern w:val="0"/>
                <w:sz w:val="20"/>
                <w:szCs w:val="20"/>
                <w:lang w:val="en-US" w:eastAsia="zh-CN"/>
              </w:rPr>
              <w:t xml:space="preserve"> </w:t>
            </w:r>
          </w:p>
        </w:tc>
        <w:tc>
          <w:tcPr>
            <w:tcW w:w="3207" w:type="dxa"/>
            <w:tcBorders>
              <w:left w:val="single" w:color="auto" w:sz="2" w:space="0"/>
            </w:tcBorders>
            <w:noWrap w:val="0"/>
            <w:vAlign w:val="center"/>
          </w:tcPr>
          <w:p>
            <w:pPr>
              <w:widowControl w:val="0"/>
              <w:autoSpaceDE w:val="0"/>
              <w:autoSpaceDN w:val="0"/>
              <w:adjustRightInd w:val="0"/>
              <w:snapToGrid w:val="0"/>
              <w:ind w:firstLine="0" w:firstLineChars="0"/>
              <w:jc w:val="center"/>
              <w:rPr>
                <w:rFonts w:ascii="宋体" w:hAnsi="宋体"/>
                <w:szCs w:val="21"/>
              </w:rPr>
            </w:pPr>
          </w:p>
        </w:tc>
        <w:tc>
          <w:tcPr>
            <w:tcW w:w="1222" w:type="dxa"/>
            <w:noWrap w:val="0"/>
            <w:vAlign w:val="center"/>
          </w:tcPr>
          <w:p>
            <w:pPr>
              <w:widowControl w:val="0"/>
              <w:autoSpaceDE w:val="0"/>
              <w:autoSpaceDN w:val="0"/>
              <w:adjustRightInd w:val="0"/>
              <w:snapToGrid w:val="0"/>
              <w:ind w:firstLine="0" w:firstLineChars="0"/>
              <w:jc w:val="center"/>
              <w:rPr>
                <w:rFonts w:hint="eastAsia" w:ascii="宋体" w:hAnsi="宋体" w:eastAsia="宋体"/>
                <w:szCs w:val="21"/>
                <w:lang w:eastAsia="zh-CN"/>
              </w:rPr>
            </w:pPr>
            <w:r>
              <w:rPr>
                <w:rFonts w:hint="eastAsia" w:ascii="宋体" w:hAnsi="宋体"/>
                <w:szCs w:val="21"/>
                <w:lang w:val="en-US" w:eastAsia="zh-CN"/>
              </w:rPr>
              <w:t xml:space="preserve">1 </w:t>
            </w:r>
          </w:p>
        </w:tc>
        <w:tc>
          <w:tcPr>
            <w:tcW w:w="1759" w:type="dxa"/>
            <w:noWrap w:val="0"/>
            <w:vAlign w:val="center"/>
          </w:tcPr>
          <w:p>
            <w:pPr>
              <w:spacing w:beforeLines="0" w:afterLines="0"/>
              <w:ind w:left="0" w:leftChars="0" w:firstLine="0" w:firstLineChars="0"/>
              <w:jc w:val="left"/>
              <w:rPr>
                <w:rFonts w:hint="eastAsia" w:ascii="宋体" w:hAnsi="宋体" w:eastAsia="宋体"/>
                <w:szCs w:val="21"/>
                <w:lang w:eastAsia="zh-CN"/>
              </w:rPr>
            </w:pPr>
            <w:r>
              <w:rPr>
                <w:rFonts w:hint="eastAsia" w:ascii="宋体" w:hAnsi="宋体"/>
                <w:sz w:val="21"/>
                <w:lang w:val="en-US" w:eastAsia="zh-CN"/>
              </w:rPr>
              <w:t xml:space="preserve"> </w:t>
            </w:r>
          </w:p>
        </w:tc>
      </w:tr>
    </w:tbl>
    <w:p>
      <w:pPr>
        <w:widowControl w:val="0"/>
        <w:autoSpaceDE w:val="0"/>
        <w:autoSpaceDN w:val="0"/>
        <w:adjustRightInd w:val="0"/>
        <w:snapToGrid w:val="0"/>
        <w:ind w:firstLine="0" w:firstLineChars="0"/>
        <w:jc w:val="left"/>
        <w:rPr>
          <w:rFonts w:ascii="宋体" w:hAnsi="宋体"/>
        </w:rPr>
      </w:pPr>
    </w:p>
    <w:p>
      <w:pPr>
        <w:widowControl w:val="0"/>
        <w:autoSpaceDE w:val="0"/>
        <w:autoSpaceDN w:val="0"/>
        <w:adjustRightInd w:val="0"/>
        <w:snapToGrid w:val="0"/>
        <w:ind w:firstLine="0" w:firstLineChars="0"/>
        <w:jc w:val="left"/>
        <w:rPr>
          <w:rFonts w:ascii="宋体" w:hAnsi="宋体"/>
          <w:szCs w:val="21"/>
          <w:u w:val="single"/>
        </w:rPr>
      </w:pPr>
      <w:bookmarkStart w:id="439" w:name="_Toc201998003"/>
      <w:bookmarkStart w:id="440" w:name="_Toc290993142"/>
      <w:bookmarkStart w:id="441" w:name="_Toc201742920"/>
      <w:bookmarkStart w:id="442" w:name="_Toc199215999"/>
      <w:bookmarkStart w:id="443" w:name="_Toc350871837"/>
      <w:bookmarkStart w:id="444" w:name="_Toc349224955"/>
      <w:bookmarkStart w:id="445" w:name="_Toc280341060"/>
      <w:bookmarkStart w:id="446" w:name="_Toc350769836"/>
      <w:bookmarkStart w:id="447" w:name="_Toc354072485"/>
      <w:bookmarkStart w:id="448" w:name="_Toc291178366"/>
      <w:bookmarkStart w:id="449" w:name="_Toc353110277"/>
      <w:bookmarkStart w:id="450" w:name="_Toc201743175"/>
      <w:bookmarkStart w:id="451" w:name="_Toc342473298"/>
      <w:bookmarkStart w:id="452" w:name="_Toc350770143"/>
      <w:bookmarkStart w:id="453" w:name="_Toc351032922"/>
      <w:bookmarkStart w:id="454" w:name="_Toc373075880"/>
      <w:bookmarkStart w:id="455" w:name="_Toc278893413"/>
      <w:bookmarkStart w:id="456" w:name="_Toc285611324"/>
      <w:bookmarkStart w:id="457" w:name="_Toc353538815"/>
      <w:bookmarkStart w:id="458" w:name="_Toc342056723"/>
      <w:bookmarkStart w:id="459" w:name="_Toc342394853"/>
      <w:bookmarkStart w:id="460" w:name="_Toc354928098"/>
      <w:bookmarkStart w:id="461" w:name="_Toc372450815"/>
      <w:bookmarkStart w:id="462" w:name="_Toc199213770"/>
      <w:bookmarkStart w:id="463" w:name="_Toc201401716"/>
      <w:bookmarkStart w:id="464" w:name="_Toc353179117"/>
      <w:bookmarkStart w:id="465" w:name="_Toc280341062"/>
      <w:bookmarkStart w:id="466" w:name="_Toc350774927"/>
      <w:bookmarkStart w:id="467" w:name="_Toc342064557"/>
      <w:bookmarkStart w:id="468" w:name="_Toc201719175"/>
      <w:bookmarkStart w:id="469" w:name="_Toc199215805"/>
      <w:r>
        <w:rPr>
          <w:rFonts w:hint="eastAsia" w:ascii="宋体" w:hAnsi="宋体"/>
          <w:szCs w:val="21"/>
        </w:rPr>
        <w:t>投标人：</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b/>
          <w:szCs w:val="21"/>
        </w:rPr>
      </w:pPr>
    </w:p>
    <w:p>
      <w:pPr>
        <w:numPr>
          <w:ilvl w:val="0"/>
          <w:numId w:val="0"/>
        </w:numPr>
        <w:rPr>
          <w:rFonts w:hint="eastAsia" w:ascii="宋体" w:hAnsi="宋体" w:eastAsia="宋体"/>
          <w:sz w:val="21"/>
        </w:rPr>
      </w:pPr>
      <w:r>
        <w:rPr>
          <w:rFonts w:hint="eastAsia" w:ascii="宋体" w:hAnsi="宋体" w:eastAsia="宋体"/>
          <w:sz w:val="21"/>
        </w:rPr>
        <w:t>本项目投标报价的注意事项如下：</w:t>
      </w:r>
    </w:p>
    <w:p>
      <w:pPr>
        <w:numPr>
          <w:ilvl w:val="0"/>
          <w:numId w:val="0"/>
        </w:numPr>
        <w:ind w:firstLine="420" w:firstLineChars="200"/>
        <w:rPr>
          <w:rFonts w:hint="eastAsia" w:ascii="宋体" w:hAnsi="宋体" w:cs="宋体"/>
          <w:b/>
          <w:color w:val="000000"/>
          <w:szCs w:val="21"/>
          <w:highlight w:val="none"/>
          <w:lang w:eastAsia="zh-CN"/>
        </w:rPr>
      </w:pPr>
      <w:r>
        <w:rPr>
          <w:rFonts w:hint="eastAsia" w:ascii="宋体" w:hAnsi="宋体" w:eastAsia="宋体"/>
          <w:sz w:val="21"/>
          <w:lang w:val="en-US" w:eastAsia="zh-CN"/>
        </w:rPr>
        <w:t>1、</w:t>
      </w:r>
      <w:r>
        <w:rPr>
          <w:rFonts w:hint="eastAsia" w:ascii="宋体" w:hAnsi="宋体" w:cs="宋体"/>
          <w:b/>
          <w:szCs w:val="21"/>
          <w:highlight w:val="none"/>
        </w:rPr>
        <w:t>本项目的</w:t>
      </w:r>
      <w:r>
        <w:rPr>
          <w:rFonts w:hint="eastAsia" w:ascii="宋体" w:hAnsi="宋体" w:cs="宋体"/>
          <w:b/>
          <w:szCs w:val="21"/>
          <w:highlight w:val="none"/>
          <w:lang w:eastAsia="zh-CN"/>
        </w:rPr>
        <w:t>预算金额</w:t>
      </w:r>
      <w:r>
        <w:rPr>
          <w:rFonts w:hint="eastAsia" w:ascii="宋体" w:hAnsi="宋体" w:cs="宋体"/>
          <w:b/>
          <w:szCs w:val="21"/>
          <w:highlight w:val="none"/>
        </w:rPr>
        <w:t>为人民</w:t>
      </w:r>
      <w:r>
        <w:rPr>
          <w:rFonts w:hint="eastAsia" w:ascii="宋体" w:hAnsi="宋体" w:cs="宋体"/>
          <w:b/>
          <w:color w:val="000000"/>
          <w:szCs w:val="21"/>
          <w:highlight w:val="none"/>
        </w:rPr>
        <w:t>币</w:t>
      </w:r>
      <w:r>
        <w:rPr>
          <w:rFonts w:hint="eastAsia" w:ascii="宋体" w:hAnsi="宋体" w:cs="宋体"/>
          <w:b/>
          <w:bCs/>
          <w:color w:val="auto"/>
          <w:u w:val="single"/>
          <w:lang w:val="en-US" w:eastAsia="zh-CN"/>
        </w:rPr>
        <w:t xml:space="preserve">             </w:t>
      </w:r>
      <w:r>
        <w:rPr>
          <w:rFonts w:hint="eastAsia" w:ascii="宋体" w:hAnsi="宋体" w:cs="宋体"/>
          <w:b/>
          <w:color w:val="000000"/>
          <w:szCs w:val="21"/>
          <w:highlight w:val="none"/>
        </w:rPr>
        <w:t>元</w:t>
      </w:r>
      <w:r>
        <w:rPr>
          <w:rFonts w:hint="eastAsia" w:ascii="宋体" w:hAnsi="宋体" w:cs="宋体"/>
          <w:b/>
          <w:color w:val="000000"/>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SimSun,Bold" w:hAnsi="SimSun,Bold" w:eastAsia="SimSun,Bold"/>
          <w:b/>
          <w:bCs w:val="0"/>
          <w:sz w:val="21"/>
          <w:lang w:val="en-US" w:eastAsia="zh-CN"/>
        </w:rPr>
      </w:pPr>
      <w:r>
        <w:rPr>
          <w:rFonts w:hint="eastAsia" w:ascii="SimSun,Bold" w:hAnsi="SimSun,Bold" w:eastAsia="SimSun,Bold"/>
          <w:b/>
          <w:bCs w:val="0"/>
          <w:sz w:val="21"/>
          <w:lang w:val="en-US" w:eastAsia="zh-CN"/>
        </w:rPr>
        <w:t>2、本项目投标报价应包括服务成本、法定税费和利润。由企业根据招标文件所提供的资料自行测算投标报价。</w:t>
      </w:r>
    </w:p>
    <w:p>
      <w:pPr>
        <w:widowControl w:val="0"/>
        <w:autoSpaceDE w:val="0"/>
        <w:autoSpaceDN w:val="0"/>
        <w:adjustRightInd w:val="0"/>
        <w:snapToGrid w:val="0"/>
        <w:ind w:firstLine="0" w:firstLineChars="0"/>
        <w:jc w:val="left"/>
        <w:rPr>
          <w:rFonts w:ascii="宋体" w:hAnsi="宋体"/>
          <w:b/>
          <w:szCs w:val="21"/>
          <w:highlight w:val="none"/>
        </w:rPr>
      </w:pPr>
    </w:p>
    <w:p>
      <w:pPr>
        <w:pStyle w:val="4"/>
        <w:numPr>
          <w:ilvl w:val="0"/>
          <w:numId w:val="0"/>
        </w:numPr>
        <w:spacing w:before="0" w:after="0" w:line="360" w:lineRule="auto"/>
        <w:jc w:val="both"/>
        <w:rPr>
          <w:rFonts w:hint="eastAsia" w:ascii="SimSun,Bold" w:hAnsi="SimSun,Bold" w:eastAsia="SimSun,Bold"/>
          <w:b/>
          <w:sz w:val="21"/>
        </w:rPr>
      </w:pPr>
      <w:bookmarkStart w:id="470" w:name="_Toc390444192"/>
      <w:r>
        <w:rPr>
          <w:rFonts w:hint="eastAsia" w:ascii="宋体" w:hAnsi="宋体"/>
          <w:b/>
          <w:szCs w:val="21"/>
        </w:rPr>
        <w:t>D</w:t>
      </w:r>
      <w:r>
        <w:rPr>
          <w:rFonts w:hint="eastAsia" w:ascii="宋体" w:hAnsi="宋体"/>
          <w:b/>
          <w:szCs w:val="21"/>
          <w:lang w:val="en-US" w:eastAsia="zh-CN"/>
        </w:rPr>
        <w:t>2</w:t>
      </w:r>
      <w:r>
        <w:rPr>
          <w:rFonts w:hint="eastAsia" w:ascii="宋体" w:hAnsi="宋体"/>
          <w:b/>
          <w:szCs w:val="21"/>
        </w:rPr>
        <w:t>、</w:t>
      </w:r>
      <w:r>
        <w:rPr>
          <w:rFonts w:hint="eastAsia" w:ascii="SimSun,Bold" w:hAnsi="SimSun,Bold" w:eastAsia="SimSun,Bold"/>
          <w:b/>
          <w:sz w:val="21"/>
        </w:rPr>
        <w:t>其他</w:t>
      </w:r>
    </w:p>
    <w:p>
      <w:pPr>
        <w:widowControl w:val="0"/>
        <w:autoSpaceDE w:val="0"/>
        <w:autoSpaceDN w:val="0"/>
        <w:adjustRightInd w:val="0"/>
        <w:snapToGrid w:val="0"/>
        <w:ind w:firstLine="0" w:firstLineChars="0"/>
        <w:jc w:val="left"/>
        <w:rPr>
          <w:rFonts w:hint="eastAsia" w:ascii="宋体" w:hAnsi="宋体" w:eastAsia="宋体"/>
          <w:sz w:val="21"/>
        </w:rPr>
      </w:pPr>
      <w:r>
        <w:rPr>
          <w:rFonts w:hint="eastAsia" w:ascii="宋体" w:hAnsi="宋体" w:eastAsia="宋体"/>
          <w:sz w:val="21"/>
        </w:rPr>
        <w:t>投标人认为应补充提供的其他文件资料或说明。</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pPr>
        <w:bidi w:val="0"/>
        <w:rPr>
          <w:rFonts w:hint="eastAsia" w:ascii="Times New Roman" w:hAnsi="Times New Roman" w:eastAsia="宋体" w:cs="Times New Roman"/>
          <w:kern w:val="2"/>
          <w:sz w:val="21"/>
          <w:szCs w:val="24"/>
          <w:lang w:val="en-US" w:eastAsia="zh-CN" w:bidi="ar-SA"/>
        </w:rPr>
      </w:pPr>
    </w:p>
    <w:p>
      <w:pPr>
        <w:tabs>
          <w:tab w:val="left" w:pos="511"/>
        </w:tabs>
        <w:bidi w:val="0"/>
        <w:jc w:val="left"/>
        <w:rPr>
          <w:rFonts w:hint="eastAsia"/>
          <w:lang w:val="en-US" w:eastAsia="zh-CN"/>
        </w:rPr>
      </w:pPr>
    </w:p>
    <w:sectPr>
      <w:pgSz w:w="11907" w:h="16840"/>
      <w:pgMar w:top="1440" w:right="1800" w:bottom="1440" w:left="1800" w:header="567" w:footer="567"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Palatino">
    <w:altName w:val="Palatino Linotype"/>
    <w:panose1 w:val="00000000000000000000"/>
    <w:charset w:val="00"/>
    <w:family w:val="modern"/>
    <w:pitch w:val="default"/>
    <w:sig w:usb0="00000000" w:usb1="00000000" w:usb2="00000000" w:usb3="00000000" w:csb0="00000093"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全真中明體">
    <w:altName w:val="Microsoft JhengHei"/>
    <w:panose1 w:val="00000000000000000000"/>
    <w:charset w:val="88"/>
    <w:family w:val="auto"/>
    <w:pitch w:val="default"/>
    <w:sig w:usb0="00000000" w:usb1="00000000" w:usb2="00000010" w:usb3="00000000" w:csb0="001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MS Mincho">
    <w:altName w:val="Yu Gothic UI"/>
    <w:panose1 w:val="02020609040205080304"/>
    <w:charset w:val="80"/>
    <w:family w:val="modern"/>
    <w:pitch w:val="default"/>
    <w:sig w:usb0="00000000" w:usb1="00000000" w:usb2="00000012" w:usb3="00000000" w:csb0="4002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SimSun,Bold">
    <w:altName w:val="宋体"/>
    <w:panose1 w:val="00000000000000000000"/>
    <w:charset w:val="86"/>
    <w:family w:val="auto"/>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Palatino Linotype">
    <w:panose1 w:val="02040502050505030304"/>
    <w:charset w:val="00"/>
    <w:family w:val="auto"/>
    <w:pitch w:val="default"/>
    <w:sig w:usb0="E0000287" w:usb1="40000013" w:usb2="00000000" w:usb3="00000000" w:csb0="200001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84</w:t>
    </w:r>
    <w:r>
      <w:rPr>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84</w:t>
    </w:r>
    <w:r>
      <w:rPr>
        <w:b/>
        <w:bCs/>
        <w:sz w:val="24"/>
        <w:szCs w:val="24"/>
      </w:rPr>
      <w:fldChar w:fldCharType="end"/>
    </w:r>
  </w:p>
  <w:p>
    <w:pPr>
      <w:pStyle w:val="3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spacing w:after="0" w:line="240" w:lineRule="auto"/>
      <w:ind w:firstLine="0" w:firstLineChars="0"/>
      <w:jc w:val="right"/>
      <w:rPr>
        <w:rFonts w:hint="default"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ind w:firstLine="360"/>
      <w:jc w:val="right"/>
    </w:pPr>
    <w:r>
      <w:rPr>
        <w:rFonts w:hint="eastAsia"/>
        <w:bCs/>
      </w:rPr>
      <w:drawing>
        <wp:inline distT="0" distB="0" distL="114300" distR="114300">
          <wp:extent cx="1548130" cy="360680"/>
          <wp:effectExtent l="0" t="0" r="13970" b="1270"/>
          <wp:docPr id="2" name="图片 2" descr="微信图片_20200818203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0818203312"/>
                  <pic:cNvPicPr>
                    <a:picLocks noChangeAspect="1"/>
                  </pic:cNvPicPr>
                </pic:nvPicPr>
                <pic:blipFill>
                  <a:blip r:embed="rId1"/>
                  <a:stretch>
                    <a:fillRect/>
                  </a:stretch>
                </pic:blipFill>
                <pic:spPr>
                  <a:xfrm>
                    <a:off x="0" y="0"/>
                    <a:ext cx="1548130" cy="3606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CA85A3"/>
    <w:multiLevelType w:val="singleLevel"/>
    <w:tmpl w:val="B1CA85A3"/>
    <w:lvl w:ilvl="0" w:tentative="0">
      <w:start w:val="4"/>
      <w:numFmt w:val="chineseCounting"/>
      <w:suff w:val="nothing"/>
      <w:lvlText w:val="%1、"/>
      <w:lvlJc w:val="left"/>
      <w:rPr>
        <w:rFonts w:hint="eastAsia"/>
      </w:rPr>
    </w:lvl>
  </w:abstractNum>
  <w:abstractNum w:abstractNumId="1">
    <w:nsid w:val="C4CA5778"/>
    <w:multiLevelType w:val="singleLevel"/>
    <w:tmpl w:val="C4CA5778"/>
    <w:lvl w:ilvl="0" w:tentative="0">
      <w:start w:val="3"/>
      <w:numFmt w:val="chineseCounting"/>
      <w:suff w:val="space"/>
      <w:lvlText w:val="第%1章"/>
      <w:lvlJc w:val="left"/>
      <w:rPr>
        <w:rFonts w:hint="eastAsia"/>
      </w:rPr>
    </w:lvl>
  </w:abstractNum>
  <w:abstractNum w:abstractNumId="2">
    <w:nsid w:val="0A76D104"/>
    <w:multiLevelType w:val="singleLevel"/>
    <w:tmpl w:val="0A76D104"/>
    <w:lvl w:ilvl="0" w:tentative="0">
      <w:start w:val="1"/>
      <w:numFmt w:val="decimal"/>
      <w:lvlText w:val="%1."/>
      <w:lvlJc w:val="left"/>
      <w:pPr>
        <w:tabs>
          <w:tab w:val="left" w:pos="312"/>
        </w:tabs>
      </w:pPr>
    </w:lvl>
  </w:abstractNum>
  <w:abstractNum w:abstractNumId="3">
    <w:nsid w:val="10AC4DA9"/>
    <w:multiLevelType w:val="multilevel"/>
    <w:tmpl w:val="10AC4DA9"/>
    <w:lvl w:ilvl="0" w:tentative="0">
      <w:start w:val="1"/>
      <w:numFmt w:val="decimal"/>
      <w:lvlText w:val="%1、"/>
      <w:lvlJc w:val="left"/>
      <w:pPr>
        <w:ind w:left="0" w:firstLine="0"/>
      </w:pPr>
      <w:rPr>
        <w:rFonts w:hint="default"/>
      </w:rPr>
    </w:lvl>
    <w:lvl w:ilvl="1" w:tentative="0">
      <w:start w:val="2"/>
      <w:numFmt w:val="decimal"/>
      <w:isLgl/>
      <w:lvlText w:val="%1.%2"/>
      <w:lvlJc w:val="left"/>
      <w:pPr>
        <w:ind w:left="0" w:firstLine="0"/>
      </w:pPr>
      <w:rPr>
        <w:rFonts w:hint="default"/>
        <w:b w:val="0"/>
      </w:rPr>
    </w:lvl>
    <w:lvl w:ilvl="2" w:tentative="0">
      <w:start w:val="1"/>
      <w:numFmt w:val="decimal"/>
      <w:isLgl/>
      <w:lvlText w:val="%1.%2.%3"/>
      <w:lvlJc w:val="left"/>
      <w:pPr>
        <w:ind w:left="0" w:firstLine="0"/>
      </w:pPr>
      <w:rPr>
        <w:rFonts w:hint="default"/>
      </w:rPr>
    </w:lvl>
    <w:lvl w:ilvl="3" w:tentative="0">
      <w:start w:val="1"/>
      <w:numFmt w:val="decimal"/>
      <w:isLgl/>
      <w:lvlText w:val="%1.%2.%3.%4"/>
      <w:lvlJc w:val="left"/>
      <w:pPr>
        <w:ind w:left="0" w:firstLine="0"/>
      </w:pPr>
      <w:rPr>
        <w:rFonts w:hint="default"/>
      </w:rPr>
    </w:lvl>
    <w:lvl w:ilvl="4" w:tentative="0">
      <w:start w:val="1"/>
      <w:numFmt w:val="decimal"/>
      <w:isLgl/>
      <w:lvlText w:val="%1.%2.%3.%4.%5"/>
      <w:lvlJc w:val="left"/>
      <w:pPr>
        <w:ind w:left="0" w:firstLine="0"/>
      </w:pPr>
      <w:rPr>
        <w:rFonts w:hint="default"/>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abstractNum w:abstractNumId="4">
    <w:nsid w:val="17456AA5"/>
    <w:multiLevelType w:val="multilevel"/>
    <w:tmpl w:val="17456AA5"/>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5">
    <w:nsid w:val="1BEF4EC0"/>
    <w:multiLevelType w:val="multilevel"/>
    <w:tmpl w:val="1BEF4EC0"/>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val="0"/>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
    <w:nsid w:val="2B33785C"/>
    <w:multiLevelType w:val="multilevel"/>
    <w:tmpl w:val="2B33785C"/>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b w:val="0"/>
      </w:rPr>
    </w:lvl>
    <w:lvl w:ilvl="4" w:tentative="0">
      <w:start w:val="1"/>
      <w:numFmt w:val="decimal"/>
      <w:lvlText w:val="%1.%2.%3.%4.%5"/>
      <w:lvlJc w:val="left"/>
      <w:pPr>
        <w:ind w:left="0" w:firstLine="0"/>
      </w:pPr>
      <w:rPr>
        <w:rFonts w:hint="eastAsia"/>
        <w:b w:val="0"/>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7">
    <w:nsid w:val="34620D8F"/>
    <w:multiLevelType w:val="singleLevel"/>
    <w:tmpl w:val="34620D8F"/>
    <w:lvl w:ilvl="0" w:tentative="0">
      <w:start w:val="1"/>
      <w:numFmt w:val="decimal"/>
      <w:lvlText w:val="%1."/>
      <w:lvlJc w:val="left"/>
      <w:pPr>
        <w:tabs>
          <w:tab w:val="left" w:pos="312"/>
        </w:tabs>
      </w:pPr>
    </w:lvl>
  </w:abstractNum>
  <w:abstractNum w:abstractNumId="8">
    <w:nsid w:val="421304F6"/>
    <w:multiLevelType w:val="multilevel"/>
    <w:tmpl w:val="421304F6"/>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val="0"/>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9">
    <w:nsid w:val="60DE72B9"/>
    <w:multiLevelType w:val="multilevel"/>
    <w:tmpl w:val="60DE72B9"/>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0">
    <w:nsid w:val="687F1834"/>
    <w:multiLevelType w:val="multilevel"/>
    <w:tmpl w:val="687F1834"/>
    <w:lvl w:ilvl="0" w:tentative="0">
      <w:start w:val="1"/>
      <w:numFmt w:val="decimal"/>
      <w:lvlText w:val="%1、"/>
      <w:lvlJc w:val="left"/>
      <w:pPr>
        <w:ind w:left="0" w:firstLine="0"/>
      </w:pPr>
      <w:rPr>
        <w:rFonts w:hint="default"/>
      </w:rPr>
    </w:lvl>
    <w:lvl w:ilvl="1" w:tentative="0">
      <w:start w:val="1"/>
      <w:numFmt w:val="decimal"/>
      <w:isLgl/>
      <w:lvlText w:val="%1.%2"/>
      <w:lvlJc w:val="left"/>
      <w:pPr>
        <w:ind w:left="0" w:firstLine="0"/>
      </w:pPr>
      <w:rPr>
        <w:rFonts w:hint="default"/>
        <w:b w:val="0"/>
      </w:rPr>
    </w:lvl>
    <w:lvl w:ilvl="2" w:tentative="0">
      <w:start w:val="1"/>
      <w:numFmt w:val="decimal"/>
      <w:isLgl/>
      <w:lvlText w:val="%1.%2.%3"/>
      <w:lvlJc w:val="left"/>
      <w:pPr>
        <w:ind w:left="0" w:firstLine="0"/>
      </w:pPr>
      <w:rPr>
        <w:rFonts w:hint="default"/>
      </w:rPr>
    </w:lvl>
    <w:lvl w:ilvl="3" w:tentative="0">
      <w:start w:val="1"/>
      <w:numFmt w:val="decimal"/>
      <w:isLgl/>
      <w:lvlText w:val="%1.%2.%3.%4"/>
      <w:lvlJc w:val="left"/>
      <w:pPr>
        <w:ind w:left="0" w:firstLine="0"/>
      </w:pPr>
      <w:rPr>
        <w:rFonts w:hint="default"/>
      </w:rPr>
    </w:lvl>
    <w:lvl w:ilvl="4" w:tentative="0">
      <w:start w:val="1"/>
      <w:numFmt w:val="decimal"/>
      <w:isLgl/>
      <w:lvlText w:val="%1.%2.%3.%4.%5"/>
      <w:lvlJc w:val="left"/>
      <w:pPr>
        <w:ind w:left="0" w:firstLine="0"/>
      </w:pPr>
      <w:rPr>
        <w:rFonts w:hint="default"/>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abstractNum w:abstractNumId="11">
    <w:nsid w:val="7F703CE0"/>
    <w:multiLevelType w:val="multilevel"/>
    <w:tmpl w:val="7F703CE0"/>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val="0"/>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6"/>
  </w:num>
  <w:num w:numId="2">
    <w:abstractNumId w:val="2"/>
  </w:num>
  <w:num w:numId="3">
    <w:abstractNumId w:val="7"/>
  </w:num>
  <w:num w:numId="4">
    <w:abstractNumId w:val="9"/>
  </w:num>
  <w:num w:numId="5">
    <w:abstractNumId w:val="4"/>
  </w:num>
  <w:num w:numId="6">
    <w:abstractNumId w:val="11"/>
  </w:num>
  <w:num w:numId="7">
    <w:abstractNumId w:val="8"/>
  </w:num>
  <w:num w:numId="8">
    <w:abstractNumId w:val="3"/>
  </w:num>
  <w:num w:numId="9">
    <w:abstractNumId w:val="10"/>
  </w:num>
  <w:num w:numId="10">
    <w:abstractNumId w:val="5"/>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1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1NzZiYTBhNDJlNzg0NWVmYWM1ZGVmMzk3ZjRhM2EifQ=="/>
  </w:docVars>
  <w:rsids>
    <w:rsidRoot w:val="00172A27"/>
    <w:rsid w:val="0000066C"/>
    <w:rsid w:val="00000EA6"/>
    <w:rsid w:val="00000EEA"/>
    <w:rsid w:val="000024E0"/>
    <w:rsid w:val="00002620"/>
    <w:rsid w:val="00004014"/>
    <w:rsid w:val="00004927"/>
    <w:rsid w:val="00005535"/>
    <w:rsid w:val="00006612"/>
    <w:rsid w:val="00007D34"/>
    <w:rsid w:val="00007E10"/>
    <w:rsid w:val="00007F87"/>
    <w:rsid w:val="00010405"/>
    <w:rsid w:val="000104A4"/>
    <w:rsid w:val="00010849"/>
    <w:rsid w:val="0001132F"/>
    <w:rsid w:val="000115B0"/>
    <w:rsid w:val="00012F50"/>
    <w:rsid w:val="0001510A"/>
    <w:rsid w:val="00015990"/>
    <w:rsid w:val="00016654"/>
    <w:rsid w:val="000168C5"/>
    <w:rsid w:val="00017578"/>
    <w:rsid w:val="000179AF"/>
    <w:rsid w:val="0002064D"/>
    <w:rsid w:val="00021009"/>
    <w:rsid w:val="0002127B"/>
    <w:rsid w:val="00021443"/>
    <w:rsid w:val="000218DE"/>
    <w:rsid w:val="00022817"/>
    <w:rsid w:val="000241C7"/>
    <w:rsid w:val="00025FA3"/>
    <w:rsid w:val="000263B5"/>
    <w:rsid w:val="00026910"/>
    <w:rsid w:val="000272F5"/>
    <w:rsid w:val="00027A6B"/>
    <w:rsid w:val="00027EC0"/>
    <w:rsid w:val="000316AB"/>
    <w:rsid w:val="00031B9F"/>
    <w:rsid w:val="00031F7E"/>
    <w:rsid w:val="00032258"/>
    <w:rsid w:val="00032881"/>
    <w:rsid w:val="00032BCD"/>
    <w:rsid w:val="0003334F"/>
    <w:rsid w:val="00034755"/>
    <w:rsid w:val="0003478E"/>
    <w:rsid w:val="0003488D"/>
    <w:rsid w:val="00034DFF"/>
    <w:rsid w:val="000355DE"/>
    <w:rsid w:val="00037D5D"/>
    <w:rsid w:val="00037DA6"/>
    <w:rsid w:val="00040403"/>
    <w:rsid w:val="0004104D"/>
    <w:rsid w:val="00041762"/>
    <w:rsid w:val="000417E5"/>
    <w:rsid w:val="00042FBF"/>
    <w:rsid w:val="00044AC6"/>
    <w:rsid w:val="000456FE"/>
    <w:rsid w:val="000458A3"/>
    <w:rsid w:val="000467DB"/>
    <w:rsid w:val="00046B5A"/>
    <w:rsid w:val="0005009A"/>
    <w:rsid w:val="000514C2"/>
    <w:rsid w:val="00051A43"/>
    <w:rsid w:val="000521B6"/>
    <w:rsid w:val="00052428"/>
    <w:rsid w:val="000525C6"/>
    <w:rsid w:val="00054FB1"/>
    <w:rsid w:val="000550B3"/>
    <w:rsid w:val="00055BB0"/>
    <w:rsid w:val="00056805"/>
    <w:rsid w:val="00057B99"/>
    <w:rsid w:val="0006123F"/>
    <w:rsid w:val="00061BFB"/>
    <w:rsid w:val="0006271F"/>
    <w:rsid w:val="000629EE"/>
    <w:rsid w:val="00062C6D"/>
    <w:rsid w:val="0006568B"/>
    <w:rsid w:val="00066198"/>
    <w:rsid w:val="00066662"/>
    <w:rsid w:val="00066A2B"/>
    <w:rsid w:val="00066CD3"/>
    <w:rsid w:val="00066F05"/>
    <w:rsid w:val="000679A5"/>
    <w:rsid w:val="00070264"/>
    <w:rsid w:val="000714CE"/>
    <w:rsid w:val="00071D71"/>
    <w:rsid w:val="00072DF7"/>
    <w:rsid w:val="00073034"/>
    <w:rsid w:val="00073394"/>
    <w:rsid w:val="00074BD9"/>
    <w:rsid w:val="00077ED7"/>
    <w:rsid w:val="00080897"/>
    <w:rsid w:val="000808D3"/>
    <w:rsid w:val="00080A86"/>
    <w:rsid w:val="00081101"/>
    <w:rsid w:val="00082212"/>
    <w:rsid w:val="0008249F"/>
    <w:rsid w:val="00083986"/>
    <w:rsid w:val="00083D5D"/>
    <w:rsid w:val="00086180"/>
    <w:rsid w:val="0008655B"/>
    <w:rsid w:val="000910F1"/>
    <w:rsid w:val="00092B9C"/>
    <w:rsid w:val="00093CD6"/>
    <w:rsid w:val="0009430E"/>
    <w:rsid w:val="00095872"/>
    <w:rsid w:val="00095E2A"/>
    <w:rsid w:val="00096C0E"/>
    <w:rsid w:val="000978C4"/>
    <w:rsid w:val="000A070D"/>
    <w:rsid w:val="000A39D5"/>
    <w:rsid w:val="000A3F78"/>
    <w:rsid w:val="000A3FD7"/>
    <w:rsid w:val="000A42DF"/>
    <w:rsid w:val="000A43B3"/>
    <w:rsid w:val="000A4A5F"/>
    <w:rsid w:val="000A4BE6"/>
    <w:rsid w:val="000A5141"/>
    <w:rsid w:val="000A525C"/>
    <w:rsid w:val="000A5C57"/>
    <w:rsid w:val="000A5CAC"/>
    <w:rsid w:val="000A61C9"/>
    <w:rsid w:val="000A6A4B"/>
    <w:rsid w:val="000A6D8F"/>
    <w:rsid w:val="000A7807"/>
    <w:rsid w:val="000B06D8"/>
    <w:rsid w:val="000B0C1C"/>
    <w:rsid w:val="000B1345"/>
    <w:rsid w:val="000B1C0F"/>
    <w:rsid w:val="000B203C"/>
    <w:rsid w:val="000B233F"/>
    <w:rsid w:val="000B27F2"/>
    <w:rsid w:val="000B2CE1"/>
    <w:rsid w:val="000B3E79"/>
    <w:rsid w:val="000B3F10"/>
    <w:rsid w:val="000B4140"/>
    <w:rsid w:val="000B47C2"/>
    <w:rsid w:val="000B4CEC"/>
    <w:rsid w:val="000B717F"/>
    <w:rsid w:val="000C042A"/>
    <w:rsid w:val="000C0A57"/>
    <w:rsid w:val="000C17DA"/>
    <w:rsid w:val="000C1A77"/>
    <w:rsid w:val="000C1C8B"/>
    <w:rsid w:val="000C23BF"/>
    <w:rsid w:val="000C2451"/>
    <w:rsid w:val="000C2533"/>
    <w:rsid w:val="000C27C3"/>
    <w:rsid w:val="000C37CC"/>
    <w:rsid w:val="000C3E0E"/>
    <w:rsid w:val="000C3EA3"/>
    <w:rsid w:val="000C4A36"/>
    <w:rsid w:val="000C4DA1"/>
    <w:rsid w:val="000C4F6C"/>
    <w:rsid w:val="000C5D07"/>
    <w:rsid w:val="000C6AE1"/>
    <w:rsid w:val="000C7830"/>
    <w:rsid w:val="000D0220"/>
    <w:rsid w:val="000D05ED"/>
    <w:rsid w:val="000D12FA"/>
    <w:rsid w:val="000D18CA"/>
    <w:rsid w:val="000D21BA"/>
    <w:rsid w:val="000D2823"/>
    <w:rsid w:val="000D2ADD"/>
    <w:rsid w:val="000D355D"/>
    <w:rsid w:val="000D37BB"/>
    <w:rsid w:val="000D38E6"/>
    <w:rsid w:val="000D473A"/>
    <w:rsid w:val="000D4C76"/>
    <w:rsid w:val="000D5169"/>
    <w:rsid w:val="000D5875"/>
    <w:rsid w:val="000D5FD1"/>
    <w:rsid w:val="000D6A89"/>
    <w:rsid w:val="000D6DFE"/>
    <w:rsid w:val="000D6FF0"/>
    <w:rsid w:val="000E0369"/>
    <w:rsid w:val="000E050E"/>
    <w:rsid w:val="000E1458"/>
    <w:rsid w:val="000E2D66"/>
    <w:rsid w:val="000E312E"/>
    <w:rsid w:val="000E3AC4"/>
    <w:rsid w:val="000E3FAC"/>
    <w:rsid w:val="000E404E"/>
    <w:rsid w:val="000E4113"/>
    <w:rsid w:val="000E6BD6"/>
    <w:rsid w:val="000E72C8"/>
    <w:rsid w:val="000F1DA5"/>
    <w:rsid w:val="000F2097"/>
    <w:rsid w:val="000F3266"/>
    <w:rsid w:val="000F356D"/>
    <w:rsid w:val="000F37C8"/>
    <w:rsid w:val="000F3DF1"/>
    <w:rsid w:val="000F40DE"/>
    <w:rsid w:val="000F41FF"/>
    <w:rsid w:val="000F6454"/>
    <w:rsid w:val="000F73CB"/>
    <w:rsid w:val="00100091"/>
    <w:rsid w:val="0010019F"/>
    <w:rsid w:val="00100FA0"/>
    <w:rsid w:val="00101788"/>
    <w:rsid w:val="00101B56"/>
    <w:rsid w:val="00101D33"/>
    <w:rsid w:val="001020DF"/>
    <w:rsid w:val="001026E1"/>
    <w:rsid w:val="00102796"/>
    <w:rsid w:val="0010577C"/>
    <w:rsid w:val="001065B2"/>
    <w:rsid w:val="00106A66"/>
    <w:rsid w:val="001073E7"/>
    <w:rsid w:val="001074D8"/>
    <w:rsid w:val="001077DC"/>
    <w:rsid w:val="00107AFF"/>
    <w:rsid w:val="00112004"/>
    <w:rsid w:val="0011204C"/>
    <w:rsid w:val="0011281C"/>
    <w:rsid w:val="00114BEC"/>
    <w:rsid w:val="001208C5"/>
    <w:rsid w:val="001212A7"/>
    <w:rsid w:val="001219F6"/>
    <w:rsid w:val="00122A62"/>
    <w:rsid w:val="00123106"/>
    <w:rsid w:val="001234B6"/>
    <w:rsid w:val="001245AF"/>
    <w:rsid w:val="00124E0A"/>
    <w:rsid w:val="00125CBE"/>
    <w:rsid w:val="0012698A"/>
    <w:rsid w:val="0012724A"/>
    <w:rsid w:val="001300A6"/>
    <w:rsid w:val="00130D96"/>
    <w:rsid w:val="001314CD"/>
    <w:rsid w:val="00131E9F"/>
    <w:rsid w:val="00133EBE"/>
    <w:rsid w:val="00134555"/>
    <w:rsid w:val="00135289"/>
    <w:rsid w:val="00136613"/>
    <w:rsid w:val="00136D19"/>
    <w:rsid w:val="00137B4D"/>
    <w:rsid w:val="001402F9"/>
    <w:rsid w:val="00141814"/>
    <w:rsid w:val="001430D8"/>
    <w:rsid w:val="001456F1"/>
    <w:rsid w:val="0014584F"/>
    <w:rsid w:val="00145B2A"/>
    <w:rsid w:val="00145C80"/>
    <w:rsid w:val="00145CB5"/>
    <w:rsid w:val="00145FD7"/>
    <w:rsid w:val="00147284"/>
    <w:rsid w:val="00147BC3"/>
    <w:rsid w:val="00150FD0"/>
    <w:rsid w:val="00151249"/>
    <w:rsid w:val="00152026"/>
    <w:rsid w:val="00152A6D"/>
    <w:rsid w:val="00152DD3"/>
    <w:rsid w:val="00153A91"/>
    <w:rsid w:val="00153FCE"/>
    <w:rsid w:val="00154BE0"/>
    <w:rsid w:val="001550CE"/>
    <w:rsid w:val="00155245"/>
    <w:rsid w:val="00156652"/>
    <w:rsid w:val="0015797A"/>
    <w:rsid w:val="00157A50"/>
    <w:rsid w:val="00157E3F"/>
    <w:rsid w:val="00160F59"/>
    <w:rsid w:val="001610E0"/>
    <w:rsid w:val="0016125D"/>
    <w:rsid w:val="001613E5"/>
    <w:rsid w:val="00162196"/>
    <w:rsid w:val="001624B6"/>
    <w:rsid w:val="001626FC"/>
    <w:rsid w:val="00162E32"/>
    <w:rsid w:val="001634F7"/>
    <w:rsid w:val="00164D6B"/>
    <w:rsid w:val="00165A42"/>
    <w:rsid w:val="00166609"/>
    <w:rsid w:val="00166BB3"/>
    <w:rsid w:val="0016727C"/>
    <w:rsid w:val="0016783C"/>
    <w:rsid w:val="001700AF"/>
    <w:rsid w:val="00170146"/>
    <w:rsid w:val="001706D6"/>
    <w:rsid w:val="0017158F"/>
    <w:rsid w:val="00171D42"/>
    <w:rsid w:val="001723CD"/>
    <w:rsid w:val="00172A27"/>
    <w:rsid w:val="00173112"/>
    <w:rsid w:val="001734CA"/>
    <w:rsid w:val="00173E36"/>
    <w:rsid w:val="00174572"/>
    <w:rsid w:val="00176425"/>
    <w:rsid w:val="0017648C"/>
    <w:rsid w:val="001779C9"/>
    <w:rsid w:val="00180048"/>
    <w:rsid w:val="00180071"/>
    <w:rsid w:val="001800DD"/>
    <w:rsid w:val="001802F6"/>
    <w:rsid w:val="0018030A"/>
    <w:rsid w:val="00180A18"/>
    <w:rsid w:val="001821C5"/>
    <w:rsid w:val="0018359D"/>
    <w:rsid w:val="00183D04"/>
    <w:rsid w:val="001840A0"/>
    <w:rsid w:val="00184EF8"/>
    <w:rsid w:val="00185FCD"/>
    <w:rsid w:val="00186118"/>
    <w:rsid w:val="001861D6"/>
    <w:rsid w:val="0018719B"/>
    <w:rsid w:val="0018748D"/>
    <w:rsid w:val="0018754D"/>
    <w:rsid w:val="00190564"/>
    <w:rsid w:val="00191D8A"/>
    <w:rsid w:val="00192CF4"/>
    <w:rsid w:val="00194824"/>
    <w:rsid w:val="00194BB7"/>
    <w:rsid w:val="00194D12"/>
    <w:rsid w:val="001955BC"/>
    <w:rsid w:val="00195B58"/>
    <w:rsid w:val="00196486"/>
    <w:rsid w:val="00196A9E"/>
    <w:rsid w:val="00196E98"/>
    <w:rsid w:val="001975FD"/>
    <w:rsid w:val="00197F01"/>
    <w:rsid w:val="001A0618"/>
    <w:rsid w:val="001A3F64"/>
    <w:rsid w:val="001A427A"/>
    <w:rsid w:val="001A457C"/>
    <w:rsid w:val="001A63FF"/>
    <w:rsid w:val="001A66B4"/>
    <w:rsid w:val="001A68B4"/>
    <w:rsid w:val="001A7D58"/>
    <w:rsid w:val="001B1AAE"/>
    <w:rsid w:val="001B201A"/>
    <w:rsid w:val="001B2C8C"/>
    <w:rsid w:val="001B527B"/>
    <w:rsid w:val="001B5630"/>
    <w:rsid w:val="001B5DFA"/>
    <w:rsid w:val="001B63B3"/>
    <w:rsid w:val="001B68FD"/>
    <w:rsid w:val="001B7748"/>
    <w:rsid w:val="001C0089"/>
    <w:rsid w:val="001C0442"/>
    <w:rsid w:val="001C09D6"/>
    <w:rsid w:val="001C0F3D"/>
    <w:rsid w:val="001C2AE8"/>
    <w:rsid w:val="001C3134"/>
    <w:rsid w:val="001C3C73"/>
    <w:rsid w:val="001C3F29"/>
    <w:rsid w:val="001C4787"/>
    <w:rsid w:val="001C4B7E"/>
    <w:rsid w:val="001C6382"/>
    <w:rsid w:val="001C6CD7"/>
    <w:rsid w:val="001C7975"/>
    <w:rsid w:val="001D2292"/>
    <w:rsid w:val="001D388B"/>
    <w:rsid w:val="001D3F92"/>
    <w:rsid w:val="001D450E"/>
    <w:rsid w:val="001D474B"/>
    <w:rsid w:val="001D4753"/>
    <w:rsid w:val="001D4CB6"/>
    <w:rsid w:val="001D62B9"/>
    <w:rsid w:val="001D6EF9"/>
    <w:rsid w:val="001E1FC8"/>
    <w:rsid w:val="001E227F"/>
    <w:rsid w:val="001E2B7C"/>
    <w:rsid w:val="001E34A2"/>
    <w:rsid w:val="001E5A5C"/>
    <w:rsid w:val="001E7091"/>
    <w:rsid w:val="001F0B7B"/>
    <w:rsid w:val="001F0F51"/>
    <w:rsid w:val="001F128E"/>
    <w:rsid w:val="001F4623"/>
    <w:rsid w:val="001F5AE8"/>
    <w:rsid w:val="001F6D56"/>
    <w:rsid w:val="001F7877"/>
    <w:rsid w:val="002003B4"/>
    <w:rsid w:val="00200A84"/>
    <w:rsid w:val="00200C58"/>
    <w:rsid w:val="00200D96"/>
    <w:rsid w:val="002043DC"/>
    <w:rsid w:val="002046C9"/>
    <w:rsid w:val="00204741"/>
    <w:rsid w:val="00204E1C"/>
    <w:rsid w:val="002056D0"/>
    <w:rsid w:val="002060B5"/>
    <w:rsid w:val="0020652A"/>
    <w:rsid w:val="002067E0"/>
    <w:rsid w:val="00206D4E"/>
    <w:rsid w:val="00206DCB"/>
    <w:rsid w:val="00206DDA"/>
    <w:rsid w:val="00206EA8"/>
    <w:rsid w:val="002070C3"/>
    <w:rsid w:val="00207C9A"/>
    <w:rsid w:val="0021008C"/>
    <w:rsid w:val="0021041A"/>
    <w:rsid w:val="0021049B"/>
    <w:rsid w:val="00210BE5"/>
    <w:rsid w:val="0021318B"/>
    <w:rsid w:val="00213BA8"/>
    <w:rsid w:val="00214562"/>
    <w:rsid w:val="00215B14"/>
    <w:rsid w:val="00215B7D"/>
    <w:rsid w:val="00215C16"/>
    <w:rsid w:val="002162E3"/>
    <w:rsid w:val="00216ADD"/>
    <w:rsid w:val="0021762D"/>
    <w:rsid w:val="00217894"/>
    <w:rsid w:val="00220618"/>
    <w:rsid w:val="00220B6C"/>
    <w:rsid w:val="00220B8A"/>
    <w:rsid w:val="002211B9"/>
    <w:rsid w:val="00221941"/>
    <w:rsid w:val="00221D82"/>
    <w:rsid w:val="00222ECD"/>
    <w:rsid w:val="00222F36"/>
    <w:rsid w:val="00223DF0"/>
    <w:rsid w:val="002243AF"/>
    <w:rsid w:val="00224C8F"/>
    <w:rsid w:val="00224D7E"/>
    <w:rsid w:val="0022503F"/>
    <w:rsid w:val="00226571"/>
    <w:rsid w:val="00227E63"/>
    <w:rsid w:val="002310DF"/>
    <w:rsid w:val="002311A6"/>
    <w:rsid w:val="00231DEF"/>
    <w:rsid w:val="00232304"/>
    <w:rsid w:val="002328C4"/>
    <w:rsid w:val="00232B9D"/>
    <w:rsid w:val="002330EB"/>
    <w:rsid w:val="00233DAE"/>
    <w:rsid w:val="00233E2E"/>
    <w:rsid w:val="0023433B"/>
    <w:rsid w:val="00234818"/>
    <w:rsid w:val="00234890"/>
    <w:rsid w:val="00234CBD"/>
    <w:rsid w:val="002351F6"/>
    <w:rsid w:val="002352C6"/>
    <w:rsid w:val="00235614"/>
    <w:rsid w:val="00235BCB"/>
    <w:rsid w:val="00235D1D"/>
    <w:rsid w:val="0023613A"/>
    <w:rsid w:val="00236490"/>
    <w:rsid w:val="00236E08"/>
    <w:rsid w:val="002377FB"/>
    <w:rsid w:val="0023794F"/>
    <w:rsid w:val="002417F8"/>
    <w:rsid w:val="00242634"/>
    <w:rsid w:val="002430C4"/>
    <w:rsid w:val="00243424"/>
    <w:rsid w:val="00243F18"/>
    <w:rsid w:val="00244719"/>
    <w:rsid w:val="002451ED"/>
    <w:rsid w:val="00246562"/>
    <w:rsid w:val="00246967"/>
    <w:rsid w:val="00247623"/>
    <w:rsid w:val="002477A3"/>
    <w:rsid w:val="00247EFD"/>
    <w:rsid w:val="00250703"/>
    <w:rsid w:val="00250C64"/>
    <w:rsid w:val="0025131A"/>
    <w:rsid w:val="002519C5"/>
    <w:rsid w:val="00251A4F"/>
    <w:rsid w:val="00251BA1"/>
    <w:rsid w:val="00251F6D"/>
    <w:rsid w:val="00254704"/>
    <w:rsid w:val="0025508E"/>
    <w:rsid w:val="00255A59"/>
    <w:rsid w:val="0026185A"/>
    <w:rsid w:val="002619DA"/>
    <w:rsid w:val="00262D11"/>
    <w:rsid w:val="002631C6"/>
    <w:rsid w:val="00265060"/>
    <w:rsid w:val="00265CE2"/>
    <w:rsid w:val="0026650C"/>
    <w:rsid w:val="002668DE"/>
    <w:rsid w:val="00266B14"/>
    <w:rsid w:val="00266C1D"/>
    <w:rsid w:val="002677C1"/>
    <w:rsid w:val="00267A65"/>
    <w:rsid w:val="00267AA7"/>
    <w:rsid w:val="00270DBE"/>
    <w:rsid w:val="00272389"/>
    <w:rsid w:val="002724CD"/>
    <w:rsid w:val="002743FC"/>
    <w:rsid w:val="00275E8E"/>
    <w:rsid w:val="0027687B"/>
    <w:rsid w:val="00276968"/>
    <w:rsid w:val="00280571"/>
    <w:rsid w:val="0028094B"/>
    <w:rsid w:val="00281E81"/>
    <w:rsid w:val="00282CA7"/>
    <w:rsid w:val="00282E3F"/>
    <w:rsid w:val="00283641"/>
    <w:rsid w:val="00283668"/>
    <w:rsid w:val="00286005"/>
    <w:rsid w:val="00286087"/>
    <w:rsid w:val="002901B3"/>
    <w:rsid w:val="00291685"/>
    <w:rsid w:val="00292E01"/>
    <w:rsid w:val="002942C8"/>
    <w:rsid w:val="00295C40"/>
    <w:rsid w:val="00296208"/>
    <w:rsid w:val="0029622A"/>
    <w:rsid w:val="0029763D"/>
    <w:rsid w:val="002977E7"/>
    <w:rsid w:val="002A0081"/>
    <w:rsid w:val="002A01AA"/>
    <w:rsid w:val="002A0398"/>
    <w:rsid w:val="002A0C0D"/>
    <w:rsid w:val="002A144C"/>
    <w:rsid w:val="002A15C2"/>
    <w:rsid w:val="002A1A78"/>
    <w:rsid w:val="002A1D87"/>
    <w:rsid w:val="002A287F"/>
    <w:rsid w:val="002A2DC7"/>
    <w:rsid w:val="002A34D1"/>
    <w:rsid w:val="002A3E7C"/>
    <w:rsid w:val="002A3FB6"/>
    <w:rsid w:val="002A5F20"/>
    <w:rsid w:val="002A64BD"/>
    <w:rsid w:val="002A68A2"/>
    <w:rsid w:val="002A691B"/>
    <w:rsid w:val="002A6FE6"/>
    <w:rsid w:val="002A77AE"/>
    <w:rsid w:val="002B18F3"/>
    <w:rsid w:val="002B1EA9"/>
    <w:rsid w:val="002B23DA"/>
    <w:rsid w:val="002B2815"/>
    <w:rsid w:val="002B2FA2"/>
    <w:rsid w:val="002B302C"/>
    <w:rsid w:val="002B55E0"/>
    <w:rsid w:val="002B597E"/>
    <w:rsid w:val="002B5F71"/>
    <w:rsid w:val="002B6211"/>
    <w:rsid w:val="002B68B4"/>
    <w:rsid w:val="002B7090"/>
    <w:rsid w:val="002B7A44"/>
    <w:rsid w:val="002C030E"/>
    <w:rsid w:val="002C26C5"/>
    <w:rsid w:val="002C309C"/>
    <w:rsid w:val="002C30EC"/>
    <w:rsid w:val="002C35B7"/>
    <w:rsid w:val="002C51D1"/>
    <w:rsid w:val="002C6076"/>
    <w:rsid w:val="002C62E0"/>
    <w:rsid w:val="002C6A24"/>
    <w:rsid w:val="002C714E"/>
    <w:rsid w:val="002C758D"/>
    <w:rsid w:val="002D0EB1"/>
    <w:rsid w:val="002D1F6C"/>
    <w:rsid w:val="002D27DB"/>
    <w:rsid w:val="002D3B4A"/>
    <w:rsid w:val="002D3EAF"/>
    <w:rsid w:val="002D3FED"/>
    <w:rsid w:val="002D4052"/>
    <w:rsid w:val="002D4081"/>
    <w:rsid w:val="002D45DF"/>
    <w:rsid w:val="002D4C57"/>
    <w:rsid w:val="002D5CA9"/>
    <w:rsid w:val="002D5CCA"/>
    <w:rsid w:val="002D6378"/>
    <w:rsid w:val="002D6884"/>
    <w:rsid w:val="002D6E65"/>
    <w:rsid w:val="002D7A3B"/>
    <w:rsid w:val="002E0A1A"/>
    <w:rsid w:val="002E0A3D"/>
    <w:rsid w:val="002E15ED"/>
    <w:rsid w:val="002E215D"/>
    <w:rsid w:val="002E2C72"/>
    <w:rsid w:val="002E3F8C"/>
    <w:rsid w:val="002E4079"/>
    <w:rsid w:val="002E4893"/>
    <w:rsid w:val="002E4CC9"/>
    <w:rsid w:val="002E5529"/>
    <w:rsid w:val="002E6580"/>
    <w:rsid w:val="002E77F4"/>
    <w:rsid w:val="002F012D"/>
    <w:rsid w:val="002F0F41"/>
    <w:rsid w:val="002F135F"/>
    <w:rsid w:val="002F3C52"/>
    <w:rsid w:val="002F3D4C"/>
    <w:rsid w:val="002F4CE7"/>
    <w:rsid w:val="002F5C9D"/>
    <w:rsid w:val="002F5DB0"/>
    <w:rsid w:val="002F696B"/>
    <w:rsid w:val="002F6DE5"/>
    <w:rsid w:val="002F78FC"/>
    <w:rsid w:val="0030013D"/>
    <w:rsid w:val="0030091C"/>
    <w:rsid w:val="00301552"/>
    <w:rsid w:val="00301AED"/>
    <w:rsid w:val="00303392"/>
    <w:rsid w:val="003035E8"/>
    <w:rsid w:val="0030362A"/>
    <w:rsid w:val="0030436B"/>
    <w:rsid w:val="00304568"/>
    <w:rsid w:val="00304956"/>
    <w:rsid w:val="00304C95"/>
    <w:rsid w:val="003071BA"/>
    <w:rsid w:val="00307A3B"/>
    <w:rsid w:val="0031065E"/>
    <w:rsid w:val="00310B04"/>
    <w:rsid w:val="00310FBF"/>
    <w:rsid w:val="003124CC"/>
    <w:rsid w:val="00312B75"/>
    <w:rsid w:val="00312C8A"/>
    <w:rsid w:val="00312EFD"/>
    <w:rsid w:val="003139A4"/>
    <w:rsid w:val="003162EB"/>
    <w:rsid w:val="00320243"/>
    <w:rsid w:val="003203A4"/>
    <w:rsid w:val="00320595"/>
    <w:rsid w:val="00320612"/>
    <w:rsid w:val="00320B53"/>
    <w:rsid w:val="00322E5E"/>
    <w:rsid w:val="003233A5"/>
    <w:rsid w:val="0032402B"/>
    <w:rsid w:val="003261E2"/>
    <w:rsid w:val="00326895"/>
    <w:rsid w:val="00326A09"/>
    <w:rsid w:val="00327A75"/>
    <w:rsid w:val="00327B67"/>
    <w:rsid w:val="00330EA4"/>
    <w:rsid w:val="003316BE"/>
    <w:rsid w:val="00332C4B"/>
    <w:rsid w:val="00334B63"/>
    <w:rsid w:val="003350B7"/>
    <w:rsid w:val="003354EE"/>
    <w:rsid w:val="00337727"/>
    <w:rsid w:val="00337C3A"/>
    <w:rsid w:val="00337FCF"/>
    <w:rsid w:val="00340DBF"/>
    <w:rsid w:val="00341D13"/>
    <w:rsid w:val="00342071"/>
    <w:rsid w:val="0034298B"/>
    <w:rsid w:val="00342EAC"/>
    <w:rsid w:val="00345202"/>
    <w:rsid w:val="0034613D"/>
    <w:rsid w:val="0034625C"/>
    <w:rsid w:val="00346823"/>
    <w:rsid w:val="003471FF"/>
    <w:rsid w:val="00347474"/>
    <w:rsid w:val="003476E7"/>
    <w:rsid w:val="00347D3A"/>
    <w:rsid w:val="00347E57"/>
    <w:rsid w:val="00350234"/>
    <w:rsid w:val="003503FE"/>
    <w:rsid w:val="00350D98"/>
    <w:rsid w:val="00351411"/>
    <w:rsid w:val="00352E08"/>
    <w:rsid w:val="003540EA"/>
    <w:rsid w:val="00354183"/>
    <w:rsid w:val="003546CF"/>
    <w:rsid w:val="003549B1"/>
    <w:rsid w:val="00356966"/>
    <w:rsid w:val="00360575"/>
    <w:rsid w:val="00360F49"/>
    <w:rsid w:val="00361155"/>
    <w:rsid w:val="003617ED"/>
    <w:rsid w:val="00361A09"/>
    <w:rsid w:val="00361C67"/>
    <w:rsid w:val="003621E7"/>
    <w:rsid w:val="00363E92"/>
    <w:rsid w:val="00364FFB"/>
    <w:rsid w:val="00365668"/>
    <w:rsid w:val="00365F45"/>
    <w:rsid w:val="00365FD4"/>
    <w:rsid w:val="00366002"/>
    <w:rsid w:val="003661FE"/>
    <w:rsid w:val="003665E0"/>
    <w:rsid w:val="00367964"/>
    <w:rsid w:val="00367C85"/>
    <w:rsid w:val="00367E52"/>
    <w:rsid w:val="003702E1"/>
    <w:rsid w:val="00370B57"/>
    <w:rsid w:val="003713D6"/>
    <w:rsid w:val="0037160D"/>
    <w:rsid w:val="003717C3"/>
    <w:rsid w:val="003725FD"/>
    <w:rsid w:val="00373151"/>
    <w:rsid w:val="003743A3"/>
    <w:rsid w:val="0037505A"/>
    <w:rsid w:val="0037548D"/>
    <w:rsid w:val="00375546"/>
    <w:rsid w:val="00375E8D"/>
    <w:rsid w:val="003760BB"/>
    <w:rsid w:val="00376ABC"/>
    <w:rsid w:val="00376CE0"/>
    <w:rsid w:val="0037748D"/>
    <w:rsid w:val="00377CBB"/>
    <w:rsid w:val="00381553"/>
    <w:rsid w:val="003824CC"/>
    <w:rsid w:val="003825A2"/>
    <w:rsid w:val="00382D72"/>
    <w:rsid w:val="00382FD1"/>
    <w:rsid w:val="00383F10"/>
    <w:rsid w:val="00384D21"/>
    <w:rsid w:val="00384ECB"/>
    <w:rsid w:val="003851FE"/>
    <w:rsid w:val="00385E0E"/>
    <w:rsid w:val="00386368"/>
    <w:rsid w:val="0038714E"/>
    <w:rsid w:val="003879C4"/>
    <w:rsid w:val="0039086A"/>
    <w:rsid w:val="00390F9C"/>
    <w:rsid w:val="0039119A"/>
    <w:rsid w:val="003919E9"/>
    <w:rsid w:val="00392264"/>
    <w:rsid w:val="003945E6"/>
    <w:rsid w:val="00394B37"/>
    <w:rsid w:val="00394F4F"/>
    <w:rsid w:val="003958BD"/>
    <w:rsid w:val="00395E08"/>
    <w:rsid w:val="00397311"/>
    <w:rsid w:val="0039775F"/>
    <w:rsid w:val="00397A29"/>
    <w:rsid w:val="003A1A3D"/>
    <w:rsid w:val="003A44ED"/>
    <w:rsid w:val="003A4B14"/>
    <w:rsid w:val="003A4D34"/>
    <w:rsid w:val="003A4D85"/>
    <w:rsid w:val="003A501D"/>
    <w:rsid w:val="003A58F1"/>
    <w:rsid w:val="003A5AAE"/>
    <w:rsid w:val="003A62F5"/>
    <w:rsid w:val="003A6E38"/>
    <w:rsid w:val="003A70E8"/>
    <w:rsid w:val="003A7F69"/>
    <w:rsid w:val="003B045A"/>
    <w:rsid w:val="003B0981"/>
    <w:rsid w:val="003B2C85"/>
    <w:rsid w:val="003B36E2"/>
    <w:rsid w:val="003B3D68"/>
    <w:rsid w:val="003B3F28"/>
    <w:rsid w:val="003B4BB1"/>
    <w:rsid w:val="003B5313"/>
    <w:rsid w:val="003B5F30"/>
    <w:rsid w:val="003B7CA0"/>
    <w:rsid w:val="003B7D5B"/>
    <w:rsid w:val="003C125E"/>
    <w:rsid w:val="003C22B4"/>
    <w:rsid w:val="003C28D2"/>
    <w:rsid w:val="003C3CAF"/>
    <w:rsid w:val="003C4CA3"/>
    <w:rsid w:val="003C5CE2"/>
    <w:rsid w:val="003C63FF"/>
    <w:rsid w:val="003C6706"/>
    <w:rsid w:val="003C7293"/>
    <w:rsid w:val="003C77FA"/>
    <w:rsid w:val="003C7872"/>
    <w:rsid w:val="003D0048"/>
    <w:rsid w:val="003D10C1"/>
    <w:rsid w:val="003D1128"/>
    <w:rsid w:val="003D16A3"/>
    <w:rsid w:val="003D1A3E"/>
    <w:rsid w:val="003D29B8"/>
    <w:rsid w:val="003D2FEB"/>
    <w:rsid w:val="003D4B8A"/>
    <w:rsid w:val="003D4D2E"/>
    <w:rsid w:val="003D53F8"/>
    <w:rsid w:val="003D62F5"/>
    <w:rsid w:val="003D65AF"/>
    <w:rsid w:val="003D7171"/>
    <w:rsid w:val="003E0088"/>
    <w:rsid w:val="003E0CBE"/>
    <w:rsid w:val="003E1360"/>
    <w:rsid w:val="003E18DB"/>
    <w:rsid w:val="003E1DD4"/>
    <w:rsid w:val="003E1FA5"/>
    <w:rsid w:val="003E3D5F"/>
    <w:rsid w:val="003E3FC0"/>
    <w:rsid w:val="003E42E9"/>
    <w:rsid w:val="003E5758"/>
    <w:rsid w:val="003E5837"/>
    <w:rsid w:val="003E642D"/>
    <w:rsid w:val="003E64E1"/>
    <w:rsid w:val="003E6735"/>
    <w:rsid w:val="003E6ACE"/>
    <w:rsid w:val="003E7137"/>
    <w:rsid w:val="003E77D5"/>
    <w:rsid w:val="003E7FD8"/>
    <w:rsid w:val="003F03D6"/>
    <w:rsid w:val="003F03E6"/>
    <w:rsid w:val="003F097A"/>
    <w:rsid w:val="003F0C3C"/>
    <w:rsid w:val="003F1790"/>
    <w:rsid w:val="003F270D"/>
    <w:rsid w:val="003F2F50"/>
    <w:rsid w:val="003F41C6"/>
    <w:rsid w:val="003F43C4"/>
    <w:rsid w:val="003F4A3F"/>
    <w:rsid w:val="003F5B4C"/>
    <w:rsid w:val="003F6351"/>
    <w:rsid w:val="003F7631"/>
    <w:rsid w:val="003F7C80"/>
    <w:rsid w:val="0040043D"/>
    <w:rsid w:val="00402CD5"/>
    <w:rsid w:val="004032CE"/>
    <w:rsid w:val="004034F9"/>
    <w:rsid w:val="00403648"/>
    <w:rsid w:val="00403860"/>
    <w:rsid w:val="004038DA"/>
    <w:rsid w:val="00404A5A"/>
    <w:rsid w:val="0040522E"/>
    <w:rsid w:val="00405C40"/>
    <w:rsid w:val="00405CB1"/>
    <w:rsid w:val="004060E2"/>
    <w:rsid w:val="00407716"/>
    <w:rsid w:val="00407DCA"/>
    <w:rsid w:val="004107A4"/>
    <w:rsid w:val="00411849"/>
    <w:rsid w:val="00412CDB"/>
    <w:rsid w:val="00412FA0"/>
    <w:rsid w:val="00413046"/>
    <w:rsid w:val="0041475B"/>
    <w:rsid w:val="004160CA"/>
    <w:rsid w:val="004177BB"/>
    <w:rsid w:val="00417F47"/>
    <w:rsid w:val="00420232"/>
    <w:rsid w:val="004205CC"/>
    <w:rsid w:val="004209D9"/>
    <w:rsid w:val="00420D40"/>
    <w:rsid w:val="0042104F"/>
    <w:rsid w:val="004215DE"/>
    <w:rsid w:val="00421E5C"/>
    <w:rsid w:val="004220A7"/>
    <w:rsid w:val="00422AB7"/>
    <w:rsid w:val="0042312D"/>
    <w:rsid w:val="00423F33"/>
    <w:rsid w:val="0042685F"/>
    <w:rsid w:val="00426E25"/>
    <w:rsid w:val="00427118"/>
    <w:rsid w:val="00427389"/>
    <w:rsid w:val="00427BF6"/>
    <w:rsid w:val="00430055"/>
    <w:rsid w:val="00431033"/>
    <w:rsid w:val="00433628"/>
    <w:rsid w:val="00433D50"/>
    <w:rsid w:val="004347DB"/>
    <w:rsid w:val="0043502C"/>
    <w:rsid w:val="00435D98"/>
    <w:rsid w:val="004405A7"/>
    <w:rsid w:val="00440A15"/>
    <w:rsid w:val="00440DD1"/>
    <w:rsid w:val="00441814"/>
    <w:rsid w:val="00444875"/>
    <w:rsid w:val="00444944"/>
    <w:rsid w:val="00444F2D"/>
    <w:rsid w:val="00444FBF"/>
    <w:rsid w:val="00444FEA"/>
    <w:rsid w:val="004455E0"/>
    <w:rsid w:val="0044566F"/>
    <w:rsid w:val="0044590A"/>
    <w:rsid w:val="00445A29"/>
    <w:rsid w:val="00445C68"/>
    <w:rsid w:val="004463FA"/>
    <w:rsid w:val="00451601"/>
    <w:rsid w:val="00451670"/>
    <w:rsid w:val="00452D7C"/>
    <w:rsid w:val="00453A01"/>
    <w:rsid w:val="0045446F"/>
    <w:rsid w:val="00454764"/>
    <w:rsid w:val="0045573F"/>
    <w:rsid w:val="004558C0"/>
    <w:rsid w:val="0045697D"/>
    <w:rsid w:val="00456DC5"/>
    <w:rsid w:val="00457BA2"/>
    <w:rsid w:val="00457D13"/>
    <w:rsid w:val="00460875"/>
    <w:rsid w:val="00460DA2"/>
    <w:rsid w:val="00461271"/>
    <w:rsid w:val="004613CB"/>
    <w:rsid w:val="00461BB3"/>
    <w:rsid w:val="00461FA0"/>
    <w:rsid w:val="004649E8"/>
    <w:rsid w:val="00464E44"/>
    <w:rsid w:val="00466777"/>
    <w:rsid w:val="00466C5E"/>
    <w:rsid w:val="004675EF"/>
    <w:rsid w:val="00467C8F"/>
    <w:rsid w:val="00470A1B"/>
    <w:rsid w:val="004717E6"/>
    <w:rsid w:val="00472A3D"/>
    <w:rsid w:val="0047326D"/>
    <w:rsid w:val="004738E6"/>
    <w:rsid w:val="00473C16"/>
    <w:rsid w:val="00474050"/>
    <w:rsid w:val="004748DF"/>
    <w:rsid w:val="004751E7"/>
    <w:rsid w:val="00475421"/>
    <w:rsid w:val="004757C0"/>
    <w:rsid w:val="00476473"/>
    <w:rsid w:val="00476625"/>
    <w:rsid w:val="00476E54"/>
    <w:rsid w:val="004771AF"/>
    <w:rsid w:val="004805FB"/>
    <w:rsid w:val="00480707"/>
    <w:rsid w:val="00481023"/>
    <w:rsid w:val="0048103F"/>
    <w:rsid w:val="00481C0C"/>
    <w:rsid w:val="00481C7F"/>
    <w:rsid w:val="00483609"/>
    <w:rsid w:val="004879B0"/>
    <w:rsid w:val="00490DF0"/>
    <w:rsid w:val="00491E86"/>
    <w:rsid w:val="0049360B"/>
    <w:rsid w:val="00493983"/>
    <w:rsid w:val="00494183"/>
    <w:rsid w:val="004942E2"/>
    <w:rsid w:val="00495024"/>
    <w:rsid w:val="0049512B"/>
    <w:rsid w:val="00495A8F"/>
    <w:rsid w:val="00495EE7"/>
    <w:rsid w:val="004A160E"/>
    <w:rsid w:val="004A2614"/>
    <w:rsid w:val="004A305B"/>
    <w:rsid w:val="004A3C36"/>
    <w:rsid w:val="004A44F9"/>
    <w:rsid w:val="004A4AF6"/>
    <w:rsid w:val="004A4E63"/>
    <w:rsid w:val="004A566C"/>
    <w:rsid w:val="004A6544"/>
    <w:rsid w:val="004A6DEF"/>
    <w:rsid w:val="004A7269"/>
    <w:rsid w:val="004A764A"/>
    <w:rsid w:val="004A7D76"/>
    <w:rsid w:val="004A7EB2"/>
    <w:rsid w:val="004B003B"/>
    <w:rsid w:val="004B0CAF"/>
    <w:rsid w:val="004B1BB4"/>
    <w:rsid w:val="004B2ECC"/>
    <w:rsid w:val="004B349C"/>
    <w:rsid w:val="004B478C"/>
    <w:rsid w:val="004B6919"/>
    <w:rsid w:val="004B7964"/>
    <w:rsid w:val="004C02C5"/>
    <w:rsid w:val="004C05A3"/>
    <w:rsid w:val="004C0661"/>
    <w:rsid w:val="004C0BF6"/>
    <w:rsid w:val="004C1786"/>
    <w:rsid w:val="004C19ED"/>
    <w:rsid w:val="004C2D4C"/>
    <w:rsid w:val="004C3FFD"/>
    <w:rsid w:val="004C4152"/>
    <w:rsid w:val="004C427D"/>
    <w:rsid w:val="004C43D4"/>
    <w:rsid w:val="004C512B"/>
    <w:rsid w:val="004C6568"/>
    <w:rsid w:val="004C6B05"/>
    <w:rsid w:val="004C7139"/>
    <w:rsid w:val="004C7240"/>
    <w:rsid w:val="004C7F81"/>
    <w:rsid w:val="004D0303"/>
    <w:rsid w:val="004D06CF"/>
    <w:rsid w:val="004D2893"/>
    <w:rsid w:val="004D3DC2"/>
    <w:rsid w:val="004D410E"/>
    <w:rsid w:val="004D4BB7"/>
    <w:rsid w:val="004D4C0A"/>
    <w:rsid w:val="004D4E06"/>
    <w:rsid w:val="004D58E6"/>
    <w:rsid w:val="004D608D"/>
    <w:rsid w:val="004D7889"/>
    <w:rsid w:val="004E0C0B"/>
    <w:rsid w:val="004E1725"/>
    <w:rsid w:val="004E3116"/>
    <w:rsid w:val="004E31F5"/>
    <w:rsid w:val="004E3619"/>
    <w:rsid w:val="004E376B"/>
    <w:rsid w:val="004E3CDE"/>
    <w:rsid w:val="004E3E9E"/>
    <w:rsid w:val="004E477E"/>
    <w:rsid w:val="004E47CE"/>
    <w:rsid w:val="004E7BEF"/>
    <w:rsid w:val="004F03DE"/>
    <w:rsid w:val="004F109D"/>
    <w:rsid w:val="004F2E08"/>
    <w:rsid w:val="004F3582"/>
    <w:rsid w:val="004F36A1"/>
    <w:rsid w:val="004F4EB7"/>
    <w:rsid w:val="004F5037"/>
    <w:rsid w:val="004F58B6"/>
    <w:rsid w:val="004F6166"/>
    <w:rsid w:val="004F6D43"/>
    <w:rsid w:val="004F7AFB"/>
    <w:rsid w:val="004F7F83"/>
    <w:rsid w:val="00501404"/>
    <w:rsid w:val="00501517"/>
    <w:rsid w:val="005029DA"/>
    <w:rsid w:val="005043D8"/>
    <w:rsid w:val="0050689B"/>
    <w:rsid w:val="005069C5"/>
    <w:rsid w:val="005070D6"/>
    <w:rsid w:val="005072F9"/>
    <w:rsid w:val="00507859"/>
    <w:rsid w:val="00507FED"/>
    <w:rsid w:val="00510229"/>
    <w:rsid w:val="00511286"/>
    <w:rsid w:val="00511534"/>
    <w:rsid w:val="005118A7"/>
    <w:rsid w:val="0051381F"/>
    <w:rsid w:val="00513B7F"/>
    <w:rsid w:val="0051674E"/>
    <w:rsid w:val="00516EC0"/>
    <w:rsid w:val="005173CD"/>
    <w:rsid w:val="005222CB"/>
    <w:rsid w:val="005229BA"/>
    <w:rsid w:val="00523CDE"/>
    <w:rsid w:val="00523F54"/>
    <w:rsid w:val="0052486F"/>
    <w:rsid w:val="005254C3"/>
    <w:rsid w:val="005261D5"/>
    <w:rsid w:val="00526CB0"/>
    <w:rsid w:val="00526D36"/>
    <w:rsid w:val="0052772E"/>
    <w:rsid w:val="00527C84"/>
    <w:rsid w:val="0053016B"/>
    <w:rsid w:val="00530C01"/>
    <w:rsid w:val="00530EE1"/>
    <w:rsid w:val="0053122C"/>
    <w:rsid w:val="00531550"/>
    <w:rsid w:val="00531DE3"/>
    <w:rsid w:val="005323F4"/>
    <w:rsid w:val="005324FB"/>
    <w:rsid w:val="0053256D"/>
    <w:rsid w:val="00532CB4"/>
    <w:rsid w:val="00533802"/>
    <w:rsid w:val="00533A2B"/>
    <w:rsid w:val="00533AD3"/>
    <w:rsid w:val="00535C23"/>
    <w:rsid w:val="00535EC1"/>
    <w:rsid w:val="00535F15"/>
    <w:rsid w:val="0053724C"/>
    <w:rsid w:val="005377D6"/>
    <w:rsid w:val="0053789C"/>
    <w:rsid w:val="005405EF"/>
    <w:rsid w:val="00540A1C"/>
    <w:rsid w:val="00540D00"/>
    <w:rsid w:val="005418AC"/>
    <w:rsid w:val="00543147"/>
    <w:rsid w:val="005445A9"/>
    <w:rsid w:val="00546683"/>
    <w:rsid w:val="00546BD8"/>
    <w:rsid w:val="0055298B"/>
    <w:rsid w:val="00554BB2"/>
    <w:rsid w:val="0055552A"/>
    <w:rsid w:val="005559B0"/>
    <w:rsid w:val="005561E4"/>
    <w:rsid w:val="00556A2E"/>
    <w:rsid w:val="005575D9"/>
    <w:rsid w:val="005601A0"/>
    <w:rsid w:val="00561822"/>
    <w:rsid w:val="00561E64"/>
    <w:rsid w:val="00562F72"/>
    <w:rsid w:val="00563059"/>
    <w:rsid w:val="0056314F"/>
    <w:rsid w:val="005636B2"/>
    <w:rsid w:val="0056385D"/>
    <w:rsid w:val="00563A5E"/>
    <w:rsid w:val="00564F6A"/>
    <w:rsid w:val="00565347"/>
    <w:rsid w:val="00565794"/>
    <w:rsid w:val="00565D56"/>
    <w:rsid w:val="00566255"/>
    <w:rsid w:val="00566672"/>
    <w:rsid w:val="00566B3E"/>
    <w:rsid w:val="00567543"/>
    <w:rsid w:val="00567C00"/>
    <w:rsid w:val="005702CB"/>
    <w:rsid w:val="005713B5"/>
    <w:rsid w:val="00571458"/>
    <w:rsid w:val="00571548"/>
    <w:rsid w:val="00571781"/>
    <w:rsid w:val="00571BBD"/>
    <w:rsid w:val="00572AAE"/>
    <w:rsid w:val="00573D9D"/>
    <w:rsid w:val="00574420"/>
    <w:rsid w:val="00574752"/>
    <w:rsid w:val="00574838"/>
    <w:rsid w:val="005809E2"/>
    <w:rsid w:val="005820D0"/>
    <w:rsid w:val="00583B8F"/>
    <w:rsid w:val="005844A5"/>
    <w:rsid w:val="0058464C"/>
    <w:rsid w:val="00585209"/>
    <w:rsid w:val="0058539E"/>
    <w:rsid w:val="00587556"/>
    <w:rsid w:val="005875A9"/>
    <w:rsid w:val="00587734"/>
    <w:rsid w:val="00590135"/>
    <w:rsid w:val="00590AF8"/>
    <w:rsid w:val="00592D0D"/>
    <w:rsid w:val="0059355F"/>
    <w:rsid w:val="00593A0F"/>
    <w:rsid w:val="00593E7B"/>
    <w:rsid w:val="00593F62"/>
    <w:rsid w:val="005942B8"/>
    <w:rsid w:val="005946A1"/>
    <w:rsid w:val="005955E8"/>
    <w:rsid w:val="00595B5B"/>
    <w:rsid w:val="00596552"/>
    <w:rsid w:val="005973F1"/>
    <w:rsid w:val="00597BD5"/>
    <w:rsid w:val="005A18D1"/>
    <w:rsid w:val="005A195B"/>
    <w:rsid w:val="005A1D4E"/>
    <w:rsid w:val="005A28E2"/>
    <w:rsid w:val="005A2EDF"/>
    <w:rsid w:val="005A2FB6"/>
    <w:rsid w:val="005A30E8"/>
    <w:rsid w:val="005A3641"/>
    <w:rsid w:val="005A38FE"/>
    <w:rsid w:val="005A44FB"/>
    <w:rsid w:val="005A5911"/>
    <w:rsid w:val="005A7084"/>
    <w:rsid w:val="005B0070"/>
    <w:rsid w:val="005B063F"/>
    <w:rsid w:val="005B0E62"/>
    <w:rsid w:val="005B2086"/>
    <w:rsid w:val="005B3201"/>
    <w:rsid w:val="005B336E"/>
    <w:rsid w:val="005B38F6"/>
    <w:rsid w:val="005B53B5"/>
    <w:rsid w:val="005B5DBA"/>
    <w:rsid w:val="005B5DEE"/>
    <w:rsid w:val="005B635E"/>
    <w:rsid w:val="005B69C0"/>
    <w:rsid w:val="005B6FF1"/>
    <w:rsid w:val="005B7F1A"/>
    <w:rsid w:val="005B7FD0"/>
    <w:rsid w:val="005C13D6"/>
    <w:rsid w:val="005C26FA"/>
    <w:rsid w:val="005C2C78"/>
    <w:rsid w:val="005C2CA9"/>
    <w:rsid w:val="005C3221"/>
    <w:rsid w:val="005C32D3"/>
    <w:rsid w:val="005C34B4"/>
    <w:rsid w:val="005C34F5"/>
    <w:rsid w:val="005C45F2"/>
    <w:rsid w:val="005C5C1E"/>
    <w:rsid w:val="005C6A43"/>
    <w:rsid w:val="005C6BF7"/>
    <w:rsid w:val="005C7843"/>
    <w:rsid w:val="005C7D0E"/>
    <w:rsid w:val="005C7E4A"/>
    <w:rsid w:val="005D1035"/>
    <w:rsid w:val="005D124C"/>
    <w:rsid w:val="005D1E8D"/>
    <w:rsid w:val="005D20C6"/>
    <w:rsid w:val="005D281F"/>
    <w:rsid w:val="005D2AAD"/>
    <w:rsid w:val="005D54A2"/>
    <w:rsid w:val="005D54F8"/>
    <w:rsid w:val="005D5D73"/>
    <w:rsid w:val="005D630F"/>
    <w:rsid w:val="005D6B09"/>
    <w:rsid w:val="005D6B5B"/>
    <w:rsid w:val="005D6E9A"/>
    <w:rsid w:val="005D7222"/>
    <w:rsid w:val="005D762C"/>
    <w:rsid w:val="005E0CB9"/>
    <w:rsid w:val="005E29E0"/>
    <w:rsid w:val="005E4904"/>
    <w:rsid w:val="005E5B15"/>
    <w:rsid w:val="005E6370"/>
    <w:rsid w:val="005E6C42"/>
    <w:rsid w:val="005E6F36"/>
    <w:rsid w:val="005E710B"/>
    <w:rsid w:val="005E7218"/>
    <w:rsid w:val="005E7317"/>
    <w:rsid w:val="005E7738"/>
    <w:rsid w:val="005E777D"/>
    <w:rsid w:val="005F0D16"/>
    <w:rsid w:val="005F13BC"/>
    <w:rsid w:val="005F1908"/>
    <w:rsid w:val="005F1AAA"/>
    <w:rsid w:val="005F2006"/>
    <w:rsid w:val="005F523A"/>
    <w:rsid w:val="005F5AE4"/>
    <w:rsid w:val="005F64A0"/>
    <w:rsid w:val="005F661E"/>
    <w:rsid w:val="005F73D8"/>
    <w:rsid w:val="005F7C8C"/>
    <w:rsid w:val="00600326"/>
    <w:rsid w:val="00600824"/>
    <w:rsid w:val="0060155D"/>
    <w:rsid w:val="006019B3"/>
    <w:rsid w:val="00601BDC"/>
    <w:rsid w:val="006035BD"/>
    <w:rsid w:val="006059B7"/>
    <w:rsid w:val="006064DA"/>
    <w:rsid w:val="006067DD"/>
    <w:rsid w:val="00606FE8"/>
    <w:rsid w:val="006074F1"/>
    <w:rsid w:val="006075B7"/>
    <w:rsid w:val="006078E9"/>
    <w:rsid w:val="0061070A"/>
    <w:rsid w:val="00610E9D"/>
    <w:rsid w:val="006112D4"/>
    <w:rsid w:val="0061173F"/>
    <w:rsid w:val="00611C20"/>
    <w:rsid w:val="00611DA1"/>
    <w:rsid w:val="0061217D"/>
    <w:rsid w:val="00612231"/>
    <w:rsid w:val="00612374"/>
    <w:rsid w:val="00612815"/>
    <w:rsid w:val="006136B4"/>
    <w:rsid w:val="00615379"/>
    <w:rsid w:val="006166D3"/>
    <w:rsid w:val="0061695B"/>
    <w:rsid w:val="006170A7"/>
    <w:rsid w:val="00617D08"/>
    <w:rsid w:val="00620500"/>
    <w:rsid w:val="00620C37"/>
    <w:rsid w:val="006225BC"/>
    <w:rsid w:val="0062271C"/>
    <w:rsid w:val="00622AB6"/>
    <w:rsid w:val="0062404A"/>
    <w:rsid w:val="00624236"/>
    <w:rsid w:val="00624E5F"/>
    <w:rsid w:val="00624E70"/>
    <w:rsid w:val="00625602"/>
    <w:rsid w:val="00625F5F"/>
    <w:rsid w:val="006274C7"/>
    <w:rsid w:val="006278B6"/>
    <w:rsid w:val="00630869"/>
    <w:rsid w:val="00630BA3"/>
    <w:rsid w:val="00630FB6"/>
    <w:rsid w:val="00632AB6"/>
    <w:rsid w:val="006340B0"/>
    <w:rsid w:val="0063501D"/>
    <w:rsid w:val="00635C7B"/>
    <w:rsid w:val="00636868"/>
    <w:rsid w:val="00637DA4"/>
    <w:rsid w:val="00640832"/>
    <w:rsid w:val="00640A6A"/>
    <w:rsid w:val="00643602"/>
    <w:rsid w:val="00643C9F"/>
    <w:rsid w:val="006445B4"/>
    <w:rsid w:val="006454C4"/>
    <w:rsid w:val="00645A96"/>
    <w:rsid w:val="00645D5E"/>
    <w:rsid w:val="006464EB"/>
    <w:rsid w:val="0064734F"/>
    <w:rsid w:val="0064788B"/>
    <w:rsid w:val="00650011"/>
    <w:rsid w:val="00650C5F"/>
    <w:rsid w:val="00651FD1"/>
    <w:rsid w:val="006521FB"/>
    <w:rsid w:val="006522BB"/>
    <w:rsid w:val="00652F23"/>
    <w:rsid w:val="0065304D"/>
    <w:rsid w:val="0065345B"/>
    <w:rsid w:val="00653557"/>
    <w:rsid w:val="00654350"/>
    <w:rsid w:val="0066001B"/>
    <w:rsid w:val="006602F6"/>
    <w:rsid w:val="006605F5"/>
    <w:rsid w:val="00661041"/>
    <w:rsid w:val="0066130E"/>
    <w:rsid w:val="00661598"/>
    <w:rsid w:val="00661AFB"/>
    <w:rsid w:val="00661C84"/>
    <w:rsid w:val="00662B73"/>
    <w:rsid w:val="006630FE"/>
    <w:rsid w:val="00663A25"/>
    <w:rsid w:val="00663C0A"/>
    <w:rsid w:val="00663C7B"/>
    <w:rsid w:val="0066409E"/>
    <w:rsid w:val="00664410"/>
    <w:rsid w:val="00664DB3"/>
    <w:rsid w:val="00666661"/>
    <w:rsid w:val="006709E1"/>
    <w:rsid w:val="00671AD8"/>
    <w:rsid w:val="00674271"/>
    <w:rsid w:val="0067478D"/>
    <w:rsid w:val="00674CA3"/>
    <w:rsid w:val="006751F8"/>
    <w:rsid w:val="00675AB7"/>
    <w:rsid w:val="00675E75"/>
    <w:rsid w:val="006761D0"/>
    <w:rsid w:val="00676382"/>
    <w:rsid w:val="006774B4"/>
    <w:rsid w:val="00680592"/>
    <w:rsid w:val="00680605"/>
    <w:rsid w:val="00680E84"/>
    <w:rsid w:val="0068138E"/>
    <w:rsid w:val="0068184D"/>
    <w:rsid w:val="00681CB7"/>
    <w:rsid w:val="0068260E"/>
    <w:rsid w:val="00682817"/>
    <w:rsid w:val="00682A53"/>
    <w:rsid w:val="00683099"/>
    <w:rsid w:val="00683564"/>
    <w:rsid w:val="00684552"/>
    <w:rsid w:val="00684E16"/>
    <w:rsid w:val="006865AB"/>
    <w:rsid w:val="006867F8"/>
    <w:rsid w:val="0068792D"/>
    <w:rsid w:val="00687CD4"/>
    <w:rsid w:val="00690390"/>
    <w:rsid w:val="00690942"/>
    <w:rsid w:val="0069136E"/>
    <w:rsid w:val="00691971"/>
    <w:rsid w:val="00691BC8"/>
    <w:rsid w:val="006928A2"/>
    <w:rsid w:val="00692FA9"/>
    <w:rsid w:val="00694BBA"/>
    <w:rsid w:val="00694D49"/>
    <w:rsid w:val="00695327"/>
    <w:rsid w:val="00695E9D"/>
    <w:rsid w:val="00696D3B"/>
    <w:rsid w:val="006971FF"/>
    <w:rsid w:val="00697623"/>
    <w:rsid w:val="0069765D"/>
    <w:rsid w:val="00697B9A"/>
    <w:rsid w:val="006A1A33"/>
    <w:rsid w:val="006A21DC"/>
    <w:rsid w:val="006A24AE"/>
    <w:rsid w:val="006A343B"/>
    <w:rsid w:val="006A48AF"/>
    <w:rsid w:val="006A586C"/>
    <w:rsid w:val="006A59CB"/>
    <w:rsid w:val="006A6B7A"/>
    <w:rsid w:val="006B06C1"/>
    <w:rsid w:val="006B1048"/>
    <w:rsid w:val="006B1CB0"/>
    <w:rsid w:val="006B27C1"/>
    <w:rsid w:val="006B2B86"/>
    <w:rsid w:val="006B4B0F"/>
    <w:rsid w:val="006B563A"/>
    <w:rsid w:val="006B59E5"/>
    <w:rsid w:val="006B5A45"/>
    <w:rsid w:val="006B5A80"/>
    <w:rsid w:val="006B5D23"/>
    <w:rsid w:val="006B636B"/>
    <w:rsid w:val="006B6D15"/>
    <w:rsid w:val="006B74F9"/>
    <w:rsid w:val="006B7579"/>
    <w:rsid w:val="006B772D"/>
    <w:rsid w:val="006C0093"/>
    <w:rsid w:val="006C03C5"/>
    <w:rsid w:val="006C14DD"/>
    <w:rsid w:val="006C17BF"/>
    <w:rsid w:val="006C251E"/>
    <w:rsid w:val="006C2964"/>
    <w:rsid w:val="006C2FD8"/>
    <w:rsid w:val="006C3D96"/>
    <w:rsid w:val="006C4A69"/>
    <w:rsid w:val="006C5305"/>
    <w:rsid w:val="006C5748"/>
    <w:rsid w:val="006C5D7C"/>
    <w:rsid w:val="006C5E9F"/>
    <w:rsid w:val="006C6414"/>
    <w:rsid w:val="006C7756"/>
    <w:rsid w:val="006C77E2"/>
    <w:rsid w:val="006C7B44"/>
    <w:rsid w:val="006D0E17"/>
    <w:rsid w:val="006D1646"/>
    <w:rsid w:val="006D2109"/>
    <w:rsid w:val="006D21EB"/>
    <w:rsid w:val="006D3A8F"/>
    <w:rsid w:val="006D3B74"/>
    <w:rsid w:val="006D3E0B"/>
    <w:rsid w:val="006D4066"/>
    <w:rsid w:val="006D4C42"/>
    <w:rsid w:val="006D60F0"/>
    <w:rsid w:val="006D6FB9"/>
    <w:rsid w:val="006D7722"/>
    <w:rsid w:val="006D7D9C"/>
    <w:rsid w:val="006E136C"/>
    <w:rsid w:val="006E2549"/>
    <w:rsid w:val="006E2D69"/>
    <w:rsid w:val="006E3329"/>
    <w:rsid w:val="006E3820"/>
    <w:rsid w:val="006E3A0F"/>
    <w:rsid w:val="006E3C47"/>
    <w:rsid w:val="006E47A6"/>
    <w:rsid w:val="006E559A"/>
    <w:rsid w:val="006E63B5"/>
    <w:rsid w:val="006E79C9"/>
    <w:rsid w:val="006E7A12"/>
    <w:rsid w:val="006E7DAF"/>
    <w:rsid w:val="006F1C55"/>
    <w:rsid w:val="006F222E"/>
    <w:rsid w:val="006F2B4C"/>
    <w:rsid w:val="006F374F"/>
    <w:rsid w:val="006F3D25"/>
    <w:rsid w:val="006F47D0"/>
    <w:rsid w:val="006F4879"/>
    <w:rsid w:val="006F5529"/>
    <w:rsid w:val="006F6D62"/>
    <w:rsid w:val="0070035E"/>
    <w:rsid w:val="00700934"/>
    <w:rsid w:val="007031A4"/>
    <w:rsid w:val="00703563"/>
    <w:rsid w:val="007038F6"/>
    <w:rsid w:val="00703BEC"/>
    <w:rsid w:val="00705B79"/>
    <w:rsid w:val="00705D88"/>
    <w:rsid w:val="00707CC5"/>
    <w:rsid w:val="0071021B"/>
    <w:rsid w:val="00710D16"/>
    <w:rsid w:val="007110A9"/>
    <w:rsid w:val="007110AC"/>
    <w:rsid w:val="007130CC"/>
    <w:rsid w:val="00713E3F"/>
    <w:rsid w:val="007147DF"/>
    <w:rsid w:val="0071574E"/>
    <w:rsid w:val="007162EA"/>
    <w:rsid w:val="00716AD7"/>
    <w:rsid w:val="007174A6"/>
    <w:rsid w:val="00720261"/>
    <w:rsid w:val="0072086D"/>
    <w:rsid w:val="007212CA"/>
    <w:rsid w:val="007217ED"/>
    <w:rsid w:val="00721FE4"/>
    <w:rsid w:val="00722C55"/>
    <w:rsid w:val="00723D06"/>
    <w:rsid w:val="007242AD"/>
    <w:rsid w:val="0072501D"/>
    <w:rsid w:val="00725C1D"/>
    <w:rsid w:val="00725C62"/>
    <w:rsid w:val="00726533"/>
    <w:rsid w:val="00726B80"/>
    <w:rsid w:val="007275E0"/>
    <w:rsid w:val="007302C4"/>
    <w:rsid w:val="0073089A"/>
    <w:rsid w:val="007308FA"/>
    <w:rsid w:val="00730BF4"/>
    <w:rsid w:val="00731570"/>
    <w:rsid w:val="00733278"/>
    <w:rsid w:val="0073352C"/>
    <w:rsid w:val="00733CA4"/>
    <w:rsid w:val="0073463C"/>
    <w:rsid w:val="007349CB"/>
    <w:rsid w:val="00734DE8"/>
    <w:rsid w:val="0073679C"/>
    <w:rsid w:val="007370BF"/>
    <w:rsid w:val="00737531"/>
    <w:rsid w:val="00740BDE"/>
    <w:rsid w:val="00741503"/>
    <w:rsid w:val="00741DC8"/>
    <w:rsid w:val="0074275D"/>
    <w:rsid w:val="0074289D"/>
    <w:rsid w:val="007429CA"/>
    <w:rsid w:val="0074336A"/>
    <w:rsid w:val="00743567"/>
    <w:rsid w:val="00743D51"/>
    <w:rsid w:val="00744BAE"/>
    <w:rsid w:val="00744EC5"/>
    <w:rsid w:val="007453E5"/>
    <w:rsid w:val="00745E1A"/>
    <w:rsid w:val="00746DA9"/>
    <w:rsid w:val="00746E0D"/>
    <w:rsid w:val="007508B9"/>
    <w:rsid w:val="007511A4"/>
    <w:rsid w:val="0075139B"/>
    <w:rsid w:val="007517D3"/>
    <w:rsid w:val="00751FE1"/>
    <w:rsid w:val="007531E4"/>
    <w:rsid w:val="0075320D"/>
    <w:rsid w:val="0075345D"/>
    <w:rsid w:val="00753CBF"/>
    <w:rsid w:val="00754063"/>
    <w:rsid w:val="00754264"/>
    <w:rsid w:val="007548A2"/>
    <w:rsid w:val="007553D7"/>
    <w:rsid w:val="0075634C"/>
    <w:rsid w:val="0075689D"/>
    <w:rsid w:val="00756942"/>
    <w:rsid w:val="0076017E"/>
    <w:rsid w:val="00760405"/>
    <w:rsid w:val="0076119E"/>
    <w:rsid w:val="0076174C"/>
    <w:rsid w:val="00761D88"/>
    <w:rsid w:val="00762AA9"/>
    <w:rsid w:val="00762D5A"/>
    <w:rsid w:val="00763D0F"/>
    <w:rsid w:val="007645CC"/>
    <w:rsid w:val="00765159"/>
    <w:rsid w:val="00765DD0"/>
    <w:rsid w:val="00767759"/>
    <w:rsid w:val="007677EF"/>
    <w:rsid w:val="007679E9"/>
    <w:rsid w:val="00767A5A"/>
    <w:rsid w:val="00770B8B"/>
    <w:rsid w:val="00770BE6"/>
    <w:rsid w:val="00771CF1"/>
    <w:rsid w:val="0077240A"/>
    <w:rsid w:val="00772CAC"/>
    <w:rsid w:val="00772F59"/>
    <w:rsid w:val="0077323F"/>
    <w:rsid w:val="00773797"/>
    <w:rsid w:val="00776539"/>
    <w:rsid w:val="00777476"/>
    <w:rsid w:val="00777E03"/>
    <w:rsid w:val="00782672"/>
    <w:rsid w:val="007843B8"/>
    <w:rsid w:val="00784CED"/>
    <w:rsid w:val="00784F49"/>
    <w:rsid w:val="0078601D"/>
    <w:rsid w:val="00786EDD"/>
    <w:rsid w:val="00790F8B"/>
    <w:rsid w:val="00791F58"/>
    <w:rsid w:val="007928F6"/>
    <w:rsid w:val="00792BE0"/>
    <w:rsid w:val="00792D75"/>
    <w:rsid w:val="007934EC"/>
    <w:rsid w:val="00793582"/>
    <w:rsid w:val="0079391D"/>
    <w:rsid w:val="00794A80"/>
    <w:rsid w:val="00794BFF"/>
    <w:rsid w:val="00794CD1"/>
    <w:rsid w:val="00794D24"/>
    <w:rsid w:val="00795A8A"/>
    <w:rsid w:val="00796D1E"/>
    <w:rsid w:val="0079720E"/>
    <w:rsid w:val="007A0CBE"/>
    <w:rsid w:val="007A213B"/>
    <w:rsid w:val="007A2A86"/>
    <w:rsid w:val="007A33D6"/>
    <w:rsid w:val="007A4021"/>
    <w:rsid w:val="007A4361"/>
    <w:rsid w:val="007A47CD"/>
    <w:rsid w:val="007A4BCF"/>
    <w:rsid w:val="007A5C53"/>
    <w:rsid w:val="007A5E3A"/>
    <w:rsid w:val="007A65BB"/>
    <w:rsid w:val="007A6CC1"/>
    <w:rsid w:val="007A7B85"/>
    <w:rsid w:val="007A7C76"/>
    <w:rsid w:val="007B07A0"/>
    <w:rsid w:val="007B0CED"/>
    <w:rsid w:val="007B1959"/>
    <w:rsid w:val="007B1BF8"/>
    <w:rsid w:val="007B2684"/>
    <w:rsid w:val="007B2EAC"/>
    <w:rsid w:val="007B396D"/>
    <w:rsid w:val="007B3CB3"/>
    <w:rsid w:val="007B3D53"/>
    <w:rsid w:val="007B4878"/>
    <w:rsid w:val="007B4FAD"/>
    <w:rsid w:val="007B55AE"/>
    <w:rsid w:val="007B5AEB"/>
    <w:rsid w:val="007B751D"/>
    <w:rsid w:val="007B754E"/>
    <w:rsid w:val="007B7C5F"/>
    <w:rsid w:val="007C0E63"/>
    <w:rsid w:val="007C1BE0"/>
    <w:rsid w:val="007C22DC"/>
    <w:rsid w:val="007C39B4"/>
    <w:rsid w:val="007C42E3"/>
    <w:rsid w:val="007C5658"/>
    <w:rsid w:val="007C6EE3"/>
    <w:rsid w:val="007C70F8"/>
    <w:rsid w:val="007C77FE"/>
    <w:rsid w:val="007D2278"/>
    <w:rsid w:val="007D2B28"/>
    <w:rsid w:val="007D476F"/>
    <w:rsid w:val="007D53D4"/>
    <w:rsid w:val="007D71D6"/>
    <w:rsid w:val="007D7E48"/>
    <w:rsid w:val="007E0E94"/>
    <w:rsid w:val="007E0F8C"/>
    <w:rsid w:val="007E1CFB"/>
    <w:rsid w:val="007E26E9"/>
    <w:rsid w:val="007E2FAA"/>
    <w:rsid w:val="007E362A"/>
    <w:rsid w:val="007E528C"/>
    <w:rsid w:val="007E5332"/>
    <w:rsid w:val="007E6393"/>
    <w:rsid w:val="007E6E2C"/>
    <w:rsid w:val="007F038A"/>
    <w:rsid w:val="007F1024"/>
    <w:rsid w:val="007F152E"/>
    <w:rsid w:val="007F2FC7"/>
    <w:rsid w:val="007F3E41"/>
    <w:rsid w:val="007F4824"/>
    <w:rsid w:val="007F54F9"/>
    <w:rsid w:val="007F5987"/>
    <w:rsid w:val="007F677E"/>
    <w:rsid w:val="007F6F6E"/>
    <w:rsid w:val="007F7997"/>
    <w:rsid w:val="008006A5"/>
    <w:rsid w:val="00800824"/>
    <w:rsid w:val="00801054"/>
    <w:rsid w:val="0080150D"/>
    <w:rsid w:val="008015BF"/>
    <w:rsid w:val="008020C3"/>
    <w:rsid w:val="00802D54"/>
    <w:rsid w:val="00802DF4"/>
    <w:rsid w:val="00803683"/>
    <w:rsid w:val="00803C24"/>
    <w:rsid w:val="00804CF8"/>
    <w:rsid w:val="008052CB"/>
    <w:rsid w:val="00805CE5"/>
    <w:rsid w:val="008070AF"/>
    <w:rsid w:val="00810BC3"/>
    <w:rsid w:val="008111ED"/>
    <w:rsid w:val="008117B4"/>
    <w:rsid w:val="00811C1A"/>
    <w:rsid w:val="00812104"/>
    <w:rsid w:val="0081242F"/>
    <w:rsid w:val="0081289B"/>
    <w:rsid w:val="008136BA"/>
    <w:rsid w:val="00813CED"/>
    <w:rsid w:val="0081551D"/>
    <w:rsid w:val="0081562C"/>
    <w:rsid w:val="00815B61"/>
    <w:rsid w:val="0081677D"/>
    <w:rsid w:val="00816C92"/>
    <w:rsid w:val="00817884"/>
    <w:rsid w:val="00817E69"/>
    <w:rsid w:val="00820DFB"/>
    <w:rsid w:val="0082113D"/>
    <w:rsid w:val="008217A7"/>
    <w:rsid w:val="00821862"/>
    <w:rsid w:val="0082222E"/>
    <w:rsid w:val="00822692"/>
    <w:rsid w:val="00824F27"/>
    <w:rsid w:val="00826B16"/>
    <w:rsid w:val="008272E7"/>
    <w:rsid w:val="00827AB2"/>
    <w:rsid w:val="008302E8"/>
    <w:rsid w:val="00830698"/>
    <w:rsid w:val="0083167E"/>
    <w:rsid w:val="00832121"/>
    <w:rsid w:val="0083212F"/>
    <w:rsid w:val="00832BCA"/>
    <w:rsid w:val="00832CCD"/>
    <w:rsid w:val="0083311E"/>
    <w:rsid w:val="00833CEC"/>
    <w:rsid w:val="008358E6"/>
    <w:rsid w:val="00836087"/>
    <w:rsid w:val="008360C7"/>
    <w:rsid w:val="00836675"/>
    <w:rsid w:val="00836FE9"/>
    <w:rsid w:val="00837BBB"/>
    <w:rsid w:val="00843EEA"/>
    <w:rsid w:val="00843F2B"/>
    <w:rsid w:val="00844453"/>
    <w:rsid w:val="00844A6E"/>
    <w:rsid w:val="00844A79"/>
    <w:rsid w:val="00847AF8"/>
    <w:rsid w:val="00850182"/>
    <w:rsid w:val="00851A89"/>
    <w:rsid w:val="00852330"/>
    <w:rsid w:val="00852693"/>
    <w:rsid w:val="0085360B"/>
    <w:rsid w:val="00854976"/>
    <w:rsid w:val="008551B5"/>
    <w:rsid w:val="00855419"/>
    <w:rsid w:val="00856490"/>
    <w:rsid w:val="00857215"/>
    <w:rsid w:val="00861855"/>
    <w:rsid w:val="00862468"/>
    <w:rsid w:val="008628FF"/>
    <w:rsid w:val="00862C4C"/>
    <w:rsid w:val="00862C94"/>
    <w:rsid w:val="00862EA2"/>
    <w:rsid w:val="00862F7C"/>
    <w:rsid w:val="0086331C"/>
    <w:rsid w:val="00863F5B"/>
    <w:rsid w:val="00864DFE"/>
    <w:rsid w:val="00865CBC"/>
    <w:rsid w:val="0086637F"/>
    <w:rsid w:val="0086661C"/>
    <w:rsid w:val="00867C01"/>
    <w:rsid w:val="00870A5B"/>
    <w:rsid w:val="00870DC7"/>
    <w:rsid w:val="00871476"/>
    <w:rsid w:val="0087164C"/>
    <w:rsid w:val="00871B04"/>
    <w:rsid w:val="00874350"/>
    <w:rsid w:val="00874791"/>
    <w:rsid w:val="00874A3F"/>
    <w:rsid w:val="00874AE2"/>
    <w:rsid w:val="008758B2"/>
    <w:rsid w:val="00875B77"/>
    <w:rsid w:val="00875D89"/>
    <w:rsid w:val="00876640"/>
    <w:rsid w:val="00877913"/>
    <w:rsid w:val="00877B9E"/>
    <w:rsid w:val="008808F9"/>
    <w:rsid w:val="00883DD6"/>
    <w:rsid w:val="00885EF2"/>
    <w:rsid w:val="008863AD"/>
    <w:rsid w:val="0088691B"/>
    <w:rsid w:val="00886E79"/>
    <w:rsid w:val="008873F9"/>
    <w:rsid w:val="00887692"/>
    <w:rsid w:val="00887C23"/>
    <w:rsid w:val="00887DB2"/>
    <w:rsid w:val="00891368"/>
    <w:rsid w:val="00891376"/>
    <w:rsid w:val="00892D7B"/>
    <w:rsid w:val="00893126"/>
    <w:rsid w:val="00893165"/>
    <w:rsid w:val="00893FDF"/>
    <w:rsid w:val="008942DE"/>
    <w:rsid w:val="00895338"/>
    <w:rsid w:val="00895C04"/>
    <w:rsid w:val="00896018"/>
    <w:rsid w:val="0089671E"/>
    <w:rsid w:val="00897DF6"/>
    <w:rsid w:val="008A02C4"/>
    <w:rsid w:val="008A0389"/>
    <w:rsid w:val="008A07EF"/>
    <w:rsid w:val="008A0828"/>
    <w:rsid w:val="008A1AF4"/>
    <w:rsid w:val="008A1D80"/>
    <w:rsid w:val="008A1F53"/>
    <w:rsid w:val="008A3A35"/>
    <w:rsid w:val="008A3B90"/>
    <w:rsid w:val="008A3E06"/>
    <w:rsid w:val="008A405D"/>
    <w:rsid w:val="008A430C"/>
    <w:rsid w:val="008A515C"/>
    <w:rsid w:val="008A52AF"/>
    <w:rsid w:val="008A5B28"/>
    <w:rsid w:val="008A626E"/>
    <w:rsid w:val="008A63A0"/>
    <w:rsid w:val="008A6BA1"/>
    <w:rsid w:val="008A77C4"/>
    <w:rsid w:val="008B0163"/>
    <w:rsid w:val="008B0686"/>
    <w:rsid w:val="008B0E0F"/>
    <w:rsid w:val="008B14D9"/>
    <w:rsid w:val="008B1BEC"/>
    <w:rsid w:val="008B228E"/>
    <w:rsid w:val="008B3B6F"/>
    <w:rsid w:val="008B4C66"/>
    <w:rsid w:val="008B500A"/>
    <w:rsid w:val="008B51E6"/>
    <w:rsid w:val="008B5632"/>
    <w:rsid w:val="008B698E"/>
    <w:rsid w:val="008B7F30"/>
    <w:rsid w:val="008C0951"/>
    <w:rsid w:val="008C12CD"/>
    <w:rsid w:val="008C1917"/>
    <w:rsid w:val="008C1AC3"/>
    <w:rsid w:val="008C1BFF"/>
    <w:rsid w:val="008C248B"/>
    <w:rsid w:val="008C3BF7"/>
    <w:rsid w:val="008C5299"/>
    <w:rsid w:val="008C5763"/>
    <w:rsid w:val="008C58C3"/>
    <w:rsid w:val="008C5B4E"/>
    <w:rsid w:val="008C5BD3"/>
    <w:rsid w:val="008C62AC"/>
    <w:rsid w:val="008C69DA"/>
    <w:rsid w:val="008C6BA2"/>
    <w:rsid w:val="008C7CAE"/>
    <w:rsid w:val="008D0EC6"/>
    <w:rsid w:val="008D13C7"/>
    <w:rsid w:val="008D1884"/>
    <w:rsid w:val="008D21E0"/>
    <w:rsid w:val="008D2BE3"/>
    <w:rsid w:val="008D2C0E"/>
    <w:rsid w:val="008D4064"/>
    <w:rsid w:val="008D409C"/>
    <w:rsid w:val="008D44D8"/>
    <w:rsid w:val="008D4C95"/>
    <w:rsid w:val="008D53EE"/>
    <w:rsid w:val="008D60B6"/>
    <w:rsid w:val="008D6631"/>
    <w:rsid w:val="008D7035"/>
    <w:rsid w:val="008D774B"/>
    <w:rsid w:val="008D7E89"/>
    <w:rsid w:val="008E2307"/>
    <w:rsid w:val="008E237B"/>
    <w:rsid w:val="008E2996"/>
    <w:rsid w:val="008E29B7"/>
    <w:rsid w:val="008E3528"/>
    <w:rsid w:val="008E3E16"/>
    <w:rsid w:val="008E4327"/>
    <w:rsid w:val="008E499A"/>
    <w:rsid w:val="008E4E74"/>
    <w:rsid w:val="008E5818"/>
    <w:rsid w:val="008E64FC"/>
    <w:rsid w:val="008E70A4"/>
    <w:rsid w:val="008E70F2"/>
    <w:rsid w:val="008E765B"/>
    <w:rsid w:val="008E7D03"/>
    <w:rsid w:val="008F0196"/>
    <w:rsid w:val="008F144F"/>
    <w:rsid w:val="008F1BDE"/>
    <w:rsid w:val="008F21B5"/>
    <w:rsid w:val="008F26B8"/>
    <w:rsid w:val="008F2F99"/>
    <w:rsid w:val="008F41E3"/>
    <w:rsid w:val="008F634C"/>
    <w:rsid w:val="008F63C1"/>
    <w:rsid w:val="008F6835"/>
    <w:rsid w:val="008F6D3D"/>
    <w:rsid w:val="008F6F5C"/>
    <w:rsid w:val="008F7305"/>
    <w:rsid w:val="008F79AC"/>
    <w:rsid w:val="008F7B73"/>
    <w:rsid w:val="008F7C46"/>
    <w:rsid w:val="0090048F"/>
    <w:rsid w:val="00900C75"/>
    <w:rsid w:val="00900D54"/>
    <w:rsid w:val="0090192D"/>
    <w:rsid w:val="00901985"/>
    <w:rsid w:val="0090347E"/>
    <w:rsid w:val="00903773"/>
    <w:rsid w:val="0090546C"/>
    <w:rsid w:val="00905E1B"/>
    <w:rsid w:val="0090794B"/>
    <w:rsid w:val="00907D8C"/>
    <w:rsid w:val="0091021B"/>
    <w:rsid w:val="009102AC"/>
    <w:rsid w:val="00912E4E"/>
    <w:rsid w:val="00913CFC"/>
    <w:rsid w:val="00914899"/>
    <w:rsid w:val="00914D7A"/>
    <w:rsid w:val="009163F6"/>
    <w:rsid w:val="009167C8"/>
    <w:rsid w:val="00917CDC"/>
    <w:rsid w:val="00920092"/>
    <w:rsid w:val="0092037B"/>
    <w:rsid w:val="00921E0A"/>
    <w:rsid w:val="0092288B"/>
    <w:rsid w:val="00923541"/>
    <w:rsid w:val="00923BB8"/>
    <w:rsid w:val="00923C78"/>
    <w:rsid w:val="00923D6A"/>
    <w:rsid w:val="00926584"/>
    <w:rsid w:val="00926B4C"/>
    <w:rsid w:val="00926D6E"/>
    <w:rsid w:val="00927471"/>
    <w:rsid w:val="009278CA"/>
    <w:rsid w:val="00927C81"/>
    <w:rsid w:val="00927E08"/>
    <w:rsid w:val="00927E3C"/>
    <w:rsid w:val="009304CE"/>
    <w:rsid w:val="00930E81"/>
    <w:rsid w:val="00931259"/>
    <w:rsid w:val="00932775"/>
    <w:rsid w:val="00932AB0"/>
    <w:rsid w:val="00932D35"/>
    <w:rsid w:val="00933C49"/>
    <w:rsid w:val="009342F8"/>
    <w:rsid w:val="00934BB4"/>
    <w:rsid w:val="00934CE9"/>
    <w:rsid w:val="00934CF7"/>
    <w:rsid w:val="00934E0A"/>
    <w:rsid w:val="00935554"/>
    <w:rsid w:val="00935F1B"/>
    <w:rsid w:val="0093604D"/>
    <w:rsid w:val="009360BF"/>
    <w:rsid w:val="00936183"/>
    <w:rsid w:val="00937CAA"/>
    <w:rsid w:val="00937E5F"/>
    <w:rsid w:val="00940086"/>
    <w:rsid w:val="00940C5B"/>
    <w:rsid w:val="00940D33"/>
    <w:rsid w:val="009417C1"/>
    <w:rsid w:val="00941BD7"/>
    <w:rsid w:val="00943F60"/>
    <w:rsid w:val="0094551A"/>
    <w:rsid w:val="00946178"/>
    <w:rsid w:val="00946E58"/>
    <w:rsid w:val="00947B1B"/>
    <w:rsid w:val="00950EAD"/>
    <w:rsid w:val="00953180"/>
    <w:rsid w:val="009532AD"/>
    <w:rsid w:val="0095337B"/>
    <w:rsid w:val="009547F7"/>
    <w:rsid w:val="0095496F"/>
    <w:rsid w:val="00955D9A"/>
    <w:rsid w:val="0095658E"/>
    <w:rsid w:val="00957529"/>
    <w:rsid w:val="00957EED"/>
    <w:rsid w:val="00960799"/>
    <w:rsid w:val="00960B4A"/>
    <w:rsid w:val="00961E0F"/>
    <w:rsid w:val="00962477"/>
    <w:rsid w:val="0096259B"/>
    <w:rsid w:val="00963390"/>
    <w:rsid w:val="0096422A"/>
    <w:rsid w:val="00964B96"/>
    <w:rsid w:val="00964E4F"/>
    <w:rsid w:val="009660BF"/>
    <w:rsid w:val="00966250"/>
    <w:rsid w:val="009667AE"/>
    <w:rsid w:val="00966A71"/>
    <w:rsid w:val="009670B3"/>
    <w:rsid w:val="0097067D"/>
    <w:rsid w:val="0097074C"/>
    <w:rsid w:val="00970AD2"/>
    <w:rsid w:val="00970D85"/>
    <w:rsid w:val="00970E05"/>
    <w:rsid w:val="00971B03"/>
    <w:rsid w:val="00971CF7"/>
    <w:rsid w:val="009722D2"/>
    <w:rsid w:val="00972721"/>
    <w:rsid w:val="00972914"/>
    <w:rsid w:val="0097292C"/>
    <w:rsid w:val="00973259"/>
    <w:rsid w:val="00974307"/>
    <w:rsid w:val="009749F5"/>
    <w:rsid w:val="00974D57"/>
    <w:rsid w:val="00974E9D"/>
    <w:rsid w:val="009754B1"/>
    <w:rsid w:val="009763AE"/>
    <w:rsid w:val="00976C05"/>
    <w:rsid w:val="009779AC"/>
    <w:rsid w:val="00977A84"/>
    <w:rsid w:val="0098019A"/>
    <w:rsid w:val="0098055B"/>
    <w:rsid w:val="009817AA"/>
    <w:rsid w:val="00983F49"/>
    <w:rsid w:val="0098438A"/>
    <w:rsid w:val="009852B8"/>
    <w:rsid w:val="009862C6"/>
    <w:rsid w:val="00986BB5"/>
    <w:rsid w:val="009914A7"/>
    <w:rsid w:val="00992AEE"/>
    <w:rsid w:val="00992CDC"/>
    <w:rsid w:val="00993442"/>
    <w:rsid w:val="00993C1A"/>
    <w:rsid w:val="00993F3C"/>
    <w:rsid w:val="00994945"/>
    <w:rsid w:val="00994B7E"/>
    <w:rsid w:val="00996253"/>
    <w:rsid w:val="009966A3"/>
    <w:rsid w:val="00997995"/>
    <w:rsid w:val="00997D4C"/>
    <w:rsid w:val="009A1A60"/>
    <w:rsid w:val="009A20E6"/>
    <w:rsid w:val="009A26B5"/>
    <w:rsid w:val="009A3519"/>
    <w:rsid w:val="009A3DE9"/>
    <w:rsid w:val="009A41D2"/>
    <w:rsid w:val="009A4DDF"/>
    <w:rsid w:val="009A5437"/>
    <w:rsid w:val="009A5625"/>
    <w:rsid w:val="009A73FF"/>
    <w:rsid w:val="009A7CE8"/>
    <w:rsid w:val="009A7E76"/>
    <w:rsid w:val="009B093B"/>
    <w:rsid w:val="009B0A5E"/>
    <w:rsid w:val="009B10C1"/>
    <w:rsid w:val="009B1AAD"/>
    <w:rsid w:val="009B2295"/>
    <w:rsid w:val="009B25B6"/>
    <w:rsid w:val="009B2DF5"/>
    <w:rsid w:val="009B4B16"/>
    <w:rsid w:val="009B518E"/>
    <w:rsid w:val="009B53D7"/>
    <w:rsid w:val="009B5FB5"/>
    <w:rsid w:val="009B6BA8"/>
    <w:rsid w:val="009B707D"/>
    <w:rsid w:val="009C03D8"/>
    <w:rsid w:val="009C0488"/>
    <w:rsid w:val="009C23D4"/>
    <w:rsid w:val="009C2B2B"/>
    <w:rsid w:val="009C4125"/>
    <w:rsid w:val="009C4425"/>
    <w:rsid w:val="009C4AE9"/>
    <w:rsid w:val="009C62C7"/>
    <w:rsid w:val="009C651B"/>
    <w:rsid w:val="009C69EE"/>
    <w:rsid w:val="009C7B68"/>
    <w:rsid w:val="009D0290"/>
    <w:rsid w:val="009D07E1"/>
    <w:rsid w:val="009D0935"/>
    <w:rsid w:val="009D173C"/>
    <w:rsid w:val="009D2D4D"/>
    <w:rsid w:val="009D3371"/>
    <w:rsid w:val="009D3CE7"/>
    <w:rsid w:val="009D4783"/>
    <w:rsid w:val="009D4ADB"/>
    <w:rsid w:val="009D4DED"/>
    <w:rsid w:val="009D539F"/>
    <w:rsid w:val="009D5679"/>
    <w:rsid w:val="009D57C6"/>
    <w:rsid w:val="009D6322"/>
    <w:rsid w:val="009D6AAD"/>
    <w:rsid w:val="009D71FB"/>
    <w:rsid w:val="009D74C4"/>
    <w:rsid w:val="009D7A8C"/>
    <w:rsid w:val="009E03CA"/>
    <w:rsid w:val="009E0497"/>
    <w:rsid w:val="009E0FE2"/>
    <w:rsid w:val="009E19B8"/>
    <w:rsid w:val="009E1E02"/>
    <w:rsid w:val="009E2507"/>
    <w:rsid w:val="009E2739"/>
    <w:rsid w:val="009E27EC"/>
    <w:rsid w:val="009E30DF"/>
    <w:rsid w:val="009E6058"/>
    <w:rsid w:val="009E68A9"/>
    <w:rsid w:val="009E7725"/>
    <w:rsid w:val="009E7BE4"/>
    <w:rsid w:val="009E7EC2"/>
    <w:rsid w:val="009F10FF"/>
    <w:rsid w:val="009F2720"/>
    <w:rsid w:val="009F2C63"/>
    <w:rsid w:val="009F438F"/>
    <w:rsid w:val="009F549E"/>
    <w:rsid w:val="009F5CC8"/>
    <w:rsid w:val="009F62F9"/>
    <w:rsid w:val="009F6674"/>
    <w:rsid w:val="009F68F3"/>
    <w:rsid w:val="009F6D3B"/>
    <w:rsid w:val="009F7E54"/>
    <w:rsid w:val="00A0027B"/>
    <w:rsid w:val="00A00C69"/>
    <w:rsid w:val="00A0239F"/>
    <w:rsid w:val="00A027AD"/>
    <w:rsid w:val="00A027C9"/>
    <w:rsid w:val="00A02F44"/>
    <w:rsid w:val="00A03850"/>
    <w:rsid w:val="00A05109"/>
    <w:rsid w:val="00A0541B"/>
    <w:rsid w:val="00A05CB1"/>
    <w:rsid w:val="00A062CC"/>
    <w:rsid w:val="00A06D76"/>
    <w:rsid w:val="00A06E90"/>
    <w:rsid w:val="00A1089F"/>
    <w:rsid w:val="00A108A7"/>
    <w:rsid w:val="00A10BB5"/>
    <w:rsid w:val="00A11A55"/>
    <w:rsid w:val="00A1228C"/>
    <w:rsid w:val="00A12622"/>
    <w:rsid w:val="00A129F7"/>
    <w:rsid w:val="00A1330F"/>
    <w:rsid w:val="00A135AE"/>
    <w:rsid w:val="00A13928"/>
    <w:rsid w:val="00A13ABF"/>
    <w:rsid w:val="00A15818"/>
    <w:rsid w:val="00A15983"/>
    <w:rsid w:val="00A15CAB"/>
    <w:rsid w:val="00A16AE4"/>
    <w:rsid w:val="00A16E3E"/>
    <w:rsid w:val="00A17267"/>
    <w:rsid w:val="00A202E7"/>
    <w:rsid w:val="00A20E33"/>
    <w:rsid w:val="00A20FD4"/>
    <w:rsid w:val="00A21FED"/>
    <w:rsid w:val="00A25604"/>
    <w:rsid w:val="00A3067C"/>
    <w:rsid w:val="00A308CA"/>
    <w:rsid w:val="00A3090B"/>
    <w:rsid w:val="00A309E7"/>
    <w:rsid w:val="00A30A0A"/>
    <w:rsid w:val="00A316F0"/>
    <w:rsid w:val="00A321E6"/>
    <w:rsid w:val="00A3267E"/>
    <w:rsid w:val="00A33A11"/>
    <w:rsid w:val="00A349B2"/>
    <w:rsid w:val="00A353CF"/>
    <w:rsid w:val="00A3706A"/>
    <w:rsid w:val="00A37368"/>
    <w:rsid w:val="00A37646"/>
    <w:rsid w:val="00A400AC"/>
    <w:rsid w:val="00A4129D"/>
    <w:rsid w:val="00A41D25"/>
    <w:rsid w:val="00A4242C"/>
    <w:rsid w:val="00A42540"/>
    <w:rsid w:val="00A42891"/>
    <w:rsid w:val="00A42947"/>
    <w:rsid w:val="00A42F0E"/>
    <w:rsid w:val="00A436C1"/>
    <w:rsid w:val="00A43967"/>
    <w:rsid w:val="00A43E05"/>
    <w:rsid w:val="00A44590"/>
    <w:rsid w:val="00A44A7C"/>
    <w:rsid w:val="00A44CEA"/>
    <w:rsid w:val="00A45A97"/>
    <w:rsid w:val="00A45BFC"/>
    <w:rsid w:val="00A463CC"/>
    <w:rsid w:val="00A47579"/>
    <w:rsid w:val="00A47D28"/>
    <w:rsid w:val="00A50781"/>
    <w:rsid w:val="00A52978"/>
    <w:rsid w:val="00A530DD"/>
    <w:rsid w:val="00A53971"/>
    <w:rsid w:val="00A53FE9"/>
    <w:rsid w:val="00A5418C"/>
    <w:rsid w:val="00A5475B"/>
    <w:rsid w:val="00A551B5"/>
    <w:rsid w:val="00A553F8"/>
    <w:rsid w:val="00A56914"/>
    <w:rsid w:val="00A570F2"/>
    <w:rsid w:val="00A6082D"/>
    <w:rsid w:val="00A611E6"/>
    <w:rsid w:val="00A6298F"/>
    <w:rsid w:val="00A63230"/>
    <w:rsid w:val="00A63B4A"/>
    <w:rsid w:val="00A63F75"/>
    <w:rsid w:val="00A651C6"/>
    <w:rsid w:val="00A65A6A"/>
    <w:rsid w:val="00A671A6"/>
    <w:rsid w:val="00A67680"/>
    <w:rsid w:val="00A70355"/>
    <w:rsid w:val="00A70798"/>
    <w:rsid w:val="00A712FE"/>
    <w:rsid w:val="00A71E55"/>
    <w:rsid w:val="00A72D5D"/>
    <w:rsid w:val="00A734A4"/>
    <w:rsid w:val="00A73505"/>
    <w:rsid w:val="00A73762"/>
    <w:rsid w:val="00A73AE1"/>
    <w:rsid w:val="00A73C82"/>
    <w:rsid w:val="00A74603"/>
    <w:rsid w:val="00A7471A"/>
    <w:rsid w:val="00A76B47"/>
    <w:rsid w:val="00A77093"/>
    <w:rsid w:val="00A80529"/>
    <w:rsid w:val="00A8078C"/>
    <w:rsid w:val="00A807AB"/>
    <w:rsid w:val="00A808A0"/>
    <w:rsid w:val="00A82444"/>
    <w:rsid w:val="00A8324C"/>
    <w:rsid w:val="00A83A25"/>
    <w:rsid w:val="00A83ADE"/>
    <w:rsid w:val="00A83CBB"/>
    <w:rsid w:val="00A84462"/>
    <w:rsid w:val="00A849C7"/>
    <w:rsid w:val="00A84D7C"/>
    <w:rsid w:val="00A8646D"/>
    <w:rsid w:val="00A8699F"/>
    <w:rsid w:val="00A87074"/>
    <w:rsid w:val="00A870A6"/>
    <w:rsid w:val="00A875AC"/>
    <w:rsid w:val="00A87772"/>
    <w:rsid w:val="00A87F35"/>
    <w:rsid w:val="00A87F8E"/>
    <w:rsid w:val="00A90A5C"/>
    <w:rsid w:val="00A90A75"/>
    <w:rsid w:val="00A917F8"/>
    <w:rsid w:val="00A91A75"/>
    <w:rsid w:val="00A92DFE"/>
    <w:rsid w:val="00A9398D"/>
    <w:rsid w:val="00A9417F"/>
    <w:rsid w:val="00A94A05"/>
    <w:rsid w:val="00A951DF"/>
    <w:rsid w:val="00A957A2"/>
    <w:rsid w:val="00A95F1A"/>
    <w:rsid w:val="00A96629"/>
    <w:rsid w:val="00A97189"/>
    <w:rsid w:val="00A97B7F"/>
    <w:rsid w:val="00AA0496"/>
    <w:rsid w:val="00AA1112"/>
    <w:rsid w:val="00AA1897"/>
    <w:rsid w:val="00AA1CE0"/>
    <w:rsid w:val="00AA2C10"/>
    <w:rsid w:val="00AA3022"/>
    <w:rsid w:val="00AA3D7D"/>
    <w:rsid w:val="00AA53F1"/>
    <w:rsid w:val="00AA6F17"/>
    <w:rsid w:val="00AB089E"/>
    <w:rsid w:val="00AB13EF"/>
    <w:rsid w:val="00AB313B"/>
    <w:rsid w:val="00AB32F3"/>
    <w:rsid w:val="00AB4089"/>
    <w:rsid w:val="00AB5795"/>
    <w:rsid w:val="00AB6D57"/>
    <w:rsid w:val="00AB76A4"/>
    <w:rsid w:val="00AC1265"/>
    <w:rsid w:val="00AC153B"/>
    <w:rsid w:val="00AC16EF"/>
    <w:rsid w:val="00AC2309"/>
    <w:rsid w:val="00AC2F5F"/>
    <w:rsid w:val="00AC470E"/>
    <w:rsid w:val="00AC4AF6"/>
    <w:rsid w:val="00AC5826"/>
    <w:rsid w:val="00AC6B8C"/>
    <w:rsid w:val="00AC7A56"/>
    <w:rsid w:val="00AD0468"/>
    <w:rsid w:val="00AD151D"/>
    <w:rsid w:val="00AD2BB1"/>
    <w:rsid w:val="00AD4A0A"/>
    <w:rsid w:val="00AD4FBF"/>
    <w:rsid w:val="00AD5C8E"/>
    <w:rsid w:val="00AD5F68"/>
    <w:rsid w:val="00AD6821"/>
    <w:rsid w:val="00AD6A9B"/>
    <w:rsid w:val="00AE17DF"/>
    <w:rsid w:val="00AE1A55"/>
    <w:rsid w:val="00AE1FD5"/>
    <w:rsid w:val="00AE257D"/>
    <w:rsid w:val="00AE31E8"/>
    <w:rsid w:val="00AE4A83"/>
    <w:rsid w:val="00AE4A9E"/>
    <w:rsid w:val="00AE5333"/>
    <w:rsid w:val="00AE656D"/>
    <w:rsid w:val="00AE7871"/>
    <w:rsid w:val="00AE7A85"/>
    <w:rsid w:val="00AE7EC5"/>
    <w:rsid w:val="00AF07C1"/>
    <w:rsid w:val="00AF1B38"/>
    <w:rsid w:val="00AF25DB"/>
    <w:rsid w:val="00AF40C7"/>
    <w:rsid w:val="00AF466C"/>
    <w:rsid w:val="00AF4B93"/>
    <w:rsid w:val="00AF4F9E"/>
    <w:rsid w:val="00AF54DB"/>
    <w:rsid w:val="00AF57A8"/>
    <w:rsid w:val="00AF5DE5"/>
    <w:rsid w:val="00AF6A92"/>
    <w:rsid w:val="00AF79CD"/>
    <w:rsid w:val="00B004C9"/>
    <w:rsid w:val="00B00CDB"/>
    <w:rsid w:val="00B01418"/>
    <w:rsid w:val="00B03453"/>
    <w:rsid w:val="00B037CF"/>
    <w:rsid w:val="00B04F7D"/>
    <w:rsid w:val="00B053C3"/>
    <w:rsid w:val="00B054DA"/>
    <w:rsid w:val="00B0606C"/>
    <w:rsid w:val="00B0653C"/>
    <w:rsid w:val="00B07777"/>
    <w:rsid w:val="00B077C9"/>
    <w:rsid w:val="00B07B5F"/>
    <w:rsid w:val="00B10484"/>
    <w:rsid w:val="00B11862"/>
    <w:rsid w:val="00B11ACD"/>
    <w:rsid w:val="00B12470"/>
    <w:rsid w:val="00B12568"/>
    <w:rsid w:val="00B133BE"/>
    <w:rsid w:val="00B1447D"/>
    <w:rsid w:val="00B14D82"/>
    <w:rsid w:val="00B1555C"/>
    <w:rsid w:val="00B15732"/>
    <w:rsid w:val="00B15742"/>
    <w:rsid w:val="00B17BEB"/>
    <w:rsid w:val="00B17E8D"/>
    <w:rsid w:val="00B20460"/>
    <w:rsid w:val="00B20725"/>
    <w:rsid w:val="00B20959"/>
    <w:rsid w:val="00B21B68"/>
    <w:rsid w:val="00B21D53"/>
    <w:rsid w:val="00B22422"/>
    <w:rsid w:val="00B22675"/>
    <w:rsid w:val="00B22E99"/>
    <w:rsid w:val="00B23380"/>
    <w:rsid w:val="00B237C6"/>
    <w:rsid w:val="00B24B43"/>
    <w:rsid w:val="00B25109"/>
    <w:rsid w:val="00B259DF"/>
    <w:rsid w:val="00B25D3B"/>
    <w:rsid w:val="00B26FCC"/>
    <w:rsid w:val="00B27F92"/>
    <w:rsid w:val="00B30101"/>
    <w:rsid w:val="00B30162"/>
    <w:rsid w:val="00B3135A"/>
    <w:rsid w:val="00B31FDF"/>
    <w:rsid w:val="00B34450"/>
    <w:rsid w:val="00B349DD"/>
    <w:rsid w:val="00B353F1"/>
    <w:rsid w:val="00B35A5F"/>
    <w:rsid w:val="00B35A8C"/>
    <w:rsid w:val="00B35D7C"/>
    <w:rsid w:val="00B36476"/>
    <w:rsid w:val="00B37A06"/>
    <w:rsid w:val="00B402C8"/>
    <w:rsid w:val="00B40C0D"/>
    <w:rsid w:val="00B40C20"/>
    <w:rsid w:val="00B4238E"/>
    <w:rsid w:val="00B429CC"/>
    <w:rsid w:val="00B441AC"/>
    <w:rsid w:val="00B44770"/>
    <w:rsid w:val="00B460DC"/>
    <w:rsid w:val="00B46980"/>
    <w:rsid w:val="00B46F9D"/>
    <w:rsid w:val="00B47465"/>
    <w:rsid w:val="00B50239"/>
    <w:rsid w:val="00B5068F"/>
    <w:rsid w:val="00B510EE"/>
    <w:rsid w:val="00B51329"/>
    <w:rsid w:val="00B53FBE"/>
    <w:rsid w:val="00B54E89"/>
    <w:rsid w:val="00B55312"/>
    <w:rsid w:val="00B5592B"/>
    <w:rsid w:val="00B56166"/>
    <w:rsid w:val="00B562E0"/>
    <w:rsid w:val="00B56DF2"/>
    <w:rsid w:val="00B572BA"/>
    <w:rsid w:val="00B5746E"/>
    <w:rsid w:val="00B57FC0"/>
    <w:rsid w:val="00B60003"/>
    <w:rsid w:val="00B6220F"/>
    <w:rsid w:val="00B6258F"/>
    <w:rsid w:val="00B628F3"/>
    <w:rsid w:val="00B62CEA"/>
    <w:rsid w:val="00B63009"/>
    <w:rsid w:val="00B63A9B"/>
    <w:rsid w:val="00B650E0"/>
    <w:rsid w:val="00B65556"/>
    <w:rsid w:val="00B66B55"/>
    <w:rsid w:val="00B67675"/>
    <w:rsid w:val="00B67F9F"/>
    <w:rsid w:val="00B70CB9"/>
    <w:rsid w:val="00B711BB"/>
    <w:rsid w:val="00B724F1"/>
    <w:rsid w:val="00B73DBA"/>
    <w:rsid w:val="00B762F9"/>
    <w:rsid w:val="00B776A1"/>
    <w:rsid w:val="00B801ED"/>
    <w:rsid w:val="00B8023B"/>
    <w:rsid w:val="00B8062B"/>
    <w:rsid w:val="00B80C19"/>
    <w:rsid w:val="00B832C9"/>
    <w:rsid w:val="00B83720"/>
    <w:rsid w:val="00B83A53"/>
    <w:rsid w:val="00B83B53"/>
    <w:rsid w:val="00B83F38"/>
    <w:rsid w:val="00B84729"/>
    <w:rsid w:val="00B8563B"/>
    <w:rsid w:val="00B85972"/>
    <w:rsid w:val="00B86295"/>
    <w:rsid w:val="00B865A8"/>
    <w:rsid w:val="00B875AE"/>
    <w:rsid w:val="00B9013A"/>
    <w:rsid w:val="00B90304"/>
    <w:rsid w:val="00B9030A"/>
    <w:rsid w:val="00B90AC0"/>
    <w:rsid w:val="00B90DE3"/>
    <w:rsid w:val="00B914B4"/>
    <w:rsid w:val="00B92D26"/>
    <w:rsid w:val="00B92E71"/>
    <w:rsid w:val="00B933B6"/>
    <w:rsid w:val="00B94383"/>
    <w:rsid w:val="00B94B50"/>
    <w:rsid w:val="00B94DF8"/>
    <w:rsid w:val="00B95F62"/>
    <w:rsid w:val="00B97277"/>
    <w:rsid w:val="00BA01F5"/>
    <w:rsid w:val="00BA18D2"/>
    <w:rsid w:val="00BA1CF5"/>
    <w:rsid w:val="00BA325C"/>
    <w:rsid w:val="00BA3C86"/>
    <w:rsid w:val="00BA4258"/>
    <w:rsid w:val="00BA4B72"/>
    <w:rsid w:val="00BA4CAC"/>
    <w:rsid w:val="00BA544D"/>
    <w:rsid w:val="00BA5DAB"/>
    <w:rsid w:val="00BA5E95"/>
    <w:rsid w:val="00BA670B"/>
    <w:rsid w:val="00BA6F32"/>
    <w:rsid w:val="00BB0398"/>
    <w:rsid w:val="00BB048D"/>
    <w:rsid w:val="00BB1C72"/>
    <w:rsid w:val="00BB2290"/>
    <w:rsid w:val="00BB2499"/>
    <w:rsid w:val="00BB34FA"/>
    <w:rsid w:val="00BB35A1"/>
    <w:rsid w:val="00BB3A26"/>
    <w:rsid w:val="00BB4E77"/>
    <w:rsid w:val="00BB707A"/>
    <w:rsid w:val="00BB7AA0"/>
    <w:rsid w:val="00BB7BB9"/>
    <w:rsid w:val="00BC1027"/>
    <w:rsid w:val="00BC2560"/>
    <w:rsid w:val="00BC2588"/>
    <w:rsid w:val="00BC266B"/>
    <w:rsid w:val="00BC3A6F"/>
    <w:rsid w:val="00BC3F2B"/>
    <w:rsid w:val="00BC41CC"/>
    <w:rsid w:val="00BC4342"/>
    <w:rsid w:val="00BC510F"/>
    <w:rsid w:val="00BC6530"/>
    <w:rsid w:val="00BC6DC5"/>
    <w:rsid w:val="00BC70E6"/>
    <w:rsid w:val="00BC7779"/>
    <w:rsid w:val="00BC796A"/>
    <w:rsid w:val="00BD1EC0"/>
    <w:rsid w:val="00BD3723"/>
    <w:rsid w:val="00BD3BE2"/>
    <w:rsid w:val="00BD44A3"/>
    <w:rsid w:val="00BD5550"/>
    <w:rsid w:val="00BD55C6"/>
    <w:rsid w:val="00BD55FC"/>
    <w:rsid w:val="00BD607A"/>
    <w:rsid w:val="00BD684A"/>
    <w:rsid w:val="00BD7DFF"/>
    <w:rsid w:val="00BE1DEF"/>
    <w:rsid w:val="00BE1FC9"/>
    <w:rsid w:val="00BE2399"/>
    <w:rsid w:val="00BE3214"/>
    <w:rsid w:val="00BE3364"/>
    <w:rsid w:val="00BE3BF2"/>
    <w:rsid w:val="00BE3C2E"/>
    <w:rsid w:val="00BE3F39"/>
    <w:rsid w:val="00BE4373"/>
    <w:rsid w:val="00BE4848"/>
    <w:rsid w:val="00BE579F"/>
    <w:rsid w:val="00BE5A7B"/>
    <w:rsid w:val="00BE5E2F"/>
    <w:rsid w:val="00BE6906"/>
    <w:rsid w:val="00BE753A"/>
    <w:rsid w:val="00BF0328"/>
    <w:rsid w:val="00BF06DD"/>
    <w:rsid w:val="00BF079A"/>
    <w:rsid w:val="00BF0BBB"/>
    <w:rsid w:val="00BF13FF"/>
    <w:rsid w:val="00BF16A3"/>
    <w:rsid w:val="00BF2C1F"/>
    <w:rsid w:val="00BF5A8B"/>
    <w:rsid w:val="00BF5CFE"/>
    <w:rsid w:val="00BF639A"/>
    <w:rsid w:val="00BF6F05"/>
    <w:rsid w:val="00BF7369"/>
    <w:rsid w:val="00C00C81"/>
    <w:rsid w:val="00C00D88"/>
    <w:rsid w:val="00C00F7B"/>
    <w:rsid w:val="00C0112C"/>
    <w:rsid w:val="00C02540"/>
    <w:rsid w:val="00C03145"/>
    <w:rsid w:val="00C0365C"/>
    <w:rsid w:val="00C036E7"/>
    <w:rsid w:val="00C03AD0"/>
    <w:rsid w:val="00C03C46"/>
    <w:rsid w:val="00C04083"/>
    <w:rsid w:val="00C040FB"/>
    <w:rsid w:val="00C048BC"/>
    <w:rsid w:val="00C049BA"/>
    <w:rsid w:val="00C05E75"/>
    <w:rsid w:val="00C0600B"/>
    <w:rsid w:val="00C06EE2"/>
    <w:rsid w:val="00C074FF"/>
    <w:rsid w:val="00C0754B"/>
    <w:rsid w:val="00C07C93"/>
    <w:rsid w:val="00C1078D"/>
    <w:rsid w:val="00C10D59"/>
    <w:rsid w:val="00C10DF0"/>
    <w:rsid w:val="00C11A88"/>
    <w:rsid w:val="00C129D4"/>
    <w:rsid w:val="00C12BBD"/>
    <w:rsid w:val="00C149A5"/>
    <w:rsid w:val="00C15F8B"/>
    <w:rsid w:val="00C16EF3"/>
    <w:rsid w:val="00C17BD0"/>
    <w:rsid w:val="00C17E26"/>
    <w:rsid w:val="00C201ED"/>
    <w:rsid w:val="00C2209E"/>
    <w:rsid w:val="00C2530E"/>
    <w:rsid w:val="00C25831"/>
    <w:rsid w:val="00C25A1B"/>
    <w:rsid w:val="00C26CBB"/>
    <w:rsid w:val="00C26EFF"/>
    <w:rsid w:val="00C30287"/>
    <w:rsid w:val="00C30D8D"/>
    <w:rsid w:val="00C31119"/>
    <w:rsid w:val="00C3229C"/>
    <w:rsid w:val="00C33D04"/>
    <w:rsid w:val="00C33ECE"/>
    <w:rsid w:val="00C34D57"/>
    <w:rsid w:val="00C35298"/>
    <w:rsid w:val="00C35A45"/>
    <w:rsid w:val="00C36858"/>
    <w:rsid w:val="00C368DA"/>
    <w:rsid w:val="00C36BCF"/>
    <w:rsid w:val="00C412DD"/>
    <w:rsid w:val="00C41A4C"/>
    <w:rsid w:val="00C41AD6"/>
    <w:rsid w:val="00C41C9E"/>
    <w:rsid w:val="00C42190"/>
    <w:rsid w:val="00C42B45"/>
    <w:rsid w:val="00C441CE"/>
    <w:rsid w:val="00C44C3D"/>
    <w:rsid w:val="00C45961"/>
    <w:rsid w:val="00C45DC6"/>
    <w:rsid w:val="00C46775"/>
    <w:rsid w:val="00C4690E"/>
    <w:rsid w:val="00C469AC"/>
    <w:rsid w:val="00C46B37"/>
    <w:rsid w:val="00C46E9C"/>
    <w:rsid w:val="00C47357"/>
    <w:rsid w:val="00C5111B"/>
    <w:rsid w:val="00C52061"/>
    <w:rsid w:val="00C52315"/>
    <w:rsid w:val="00C5270A"/>
    <w:rsid w:val="00C5280A"/>
    <w:rsid w:val="00C52DC9"/>
    <w:rsid w:val="00C52FE2"/>
    <w:rsid w:val="00C53680"/>
    <w:rsid w:val="00C54436"/>
    <w:rsid w:val="00C55F26"/>
    <w:rsid w:val="00C575EB"/>
    <w:rsid w:val="00C6030B"/>
    <w:rsid w:val="00C60417"/>
    <w:rsid w:val="00C60EFB"/>
    <w:rsid w:val="00C617E0"/>
    <w:rsid w:val="00C621BA"/>
    <w:rsid w:val="00C62F2A"/>
    <w:rsid w:val="00C6344D"/>
    <w:rsid w:val="00C63E4D"/>
    <w:rsid w:val="00C654F5"/>
    <w:rsid w:val="00C6563D"/>
    <w:rsid w:val="00C67109"/>
    <w:rsid w:val="00C67D6D"/>
    <w:rsid w:val="00C7044E"/>
    <w:rsid w:val="00C713B3"/>
    <w:rsid w:val="00C73522"/>
    <w:rsid w:val="00C74A02"/>
    <w:rsid w:val="00C752A2"/>
    <w:rsid w:val="00C758E2"/>
    <w:rsid w:val="00C75FAC"/>
    <w:rsid w:val="00C76232"/>
    <w:rsid w:val="00C76FE1"/>
    <w:rsid w:val="00C77114"/>
    <w:rsid w:val="00C77283"/>
    <w:rsid w:val="00C772A1"/>
    <w:rsid w:val="00C77383"/>
    <w:rsid w:val="00C77C81"/>
    <w:rsid w:val="00C80E2B"/>
    <w:rsid w:val="00C8124C"/>
    <w:rsid w:val="00C82418"/>
    <w:rsid w:val="00C82D61"/>
    <w:rsid w:val="00C832D8"/>
    <w:rsid w:val="00C835CB"/>
    <w:rsid w:val="00C84268"/>
    <w:rsid w:val="00C84809"/>
    <w:rsid w:val="00C856C9"/>
    <w:rsid w:val="00C85E47"/>
    <w:rsid w:val="00C862E9"/>
    <w:rsid w:val="00C864D7"/>
    <w:rsid w:val="00C86548"/>
    <w:rsid w:val="00C86DA0"/>
    <w:rsid w:val="00C87296"/>
    <w:rsid w:val="00C8780D"/>
    <w:rsid w:val="00C87A97"/>
    <w:rsid w:val="00C90A5C"/>
    <w:rsid w:val="00C90ABF"/>
    <w:rsid w:val="00C90C57"/>
    <w:rsid w:val="00C90C62"/>
    <w:rsid w:val="00C91415"/>
    <w:rsid w:val="00C9143C"/>
    <w:rsid w:val="00C91684"/>
    <w:rsid w:val="00C91B2B"/>
    <w:rsid w:val="00C91E4F"/>
    <w:rsid w:val="00C92408"/>
    <w:rsid w:val="00C92D54"/>
    <w:rsid w:val="00C94112"/>
    <w:rsid w:val="00C941B1"/>
    <w:rsid w:val="00C94B27"/>
    <w:rsid w:val="00C95431"/>
    <w:rsid w:val="00C958B9"/>
    <w:rsid w:val="00C95AE6"/>
    <w:rsid w:val="00C9662B"/>
    <w:rsid w:val="00C97A23"/>
    <w:rsid w:val="00CA1267"/>
    <w:rsid w:val="00CA1643"/>
    <w:rsid w:val="00CA1C96"/>
    <w:rsid w:val="00CA1F6B"/>
    <w:rsid w:val="00CA2541"/>
    <w:rsid w:val="00CA46FE"/>
    <w:rsid w:val="00CA5F19"/>
    <w:rsid w:val="00CA6671"/>
    <w:rsid w:val="00CA6742"/>
    <w:rsid w:val="00CA6AA2"/>
    <w:rsid w:val="00CA7C6D"/>
    <w:rsid w:val="00CB0D9C"/>
    <w:rsid w:val="00CB0E0C"/>
    <w:rsid w:val="00CB10F2"/>
    <w:rsid w:val="00CB17C8"/>
    <w:rsid w:val="00CB184A"/>
    <w:rsid w:val="00CB1945"/>
    <w:rsid w:val="00CB19D3"/>
    <w:rsid w:val="00CB2693"/>
    <w:rsid w:val="00CB36F6"/>
    <w:rsid w:val="00CB5363"/>
    <w:rsid w:val="00CB59ED"/>
    <w:rsid w:val="00CB5B80"/>
    <w:rsid w:val="00CB5C2B"/>
    <w:rsid w:val="00CB5D6F"/>
    <w:rsid w:val="00CB5F6F"/>
    <w:rsid w:val="00CB7A66"/>
    <w:rsid w:val="00CC0787"/>
    <w:rsid w:val="00CC09EE"/>
    <w:rsid w:val="00CC0D89"/>
    <w:rsid w:val="00CC1863"/>
    <w:rsid w:val="00CC196B"/>
    <w:rsid w:val="00CC2FFD"/>
    <w:rsid w:val="00CC3FC8"/>
    <w:rsid w:val="00CC4305"/>
    <w:rsid w:val="00CC45A4"/>
    <w:rsid w:val="00CC477B"/>
    <w:rsid w:val="00CC4F9E"/>
    <w:rsid w:val="00CC512C"/>
    <w:rsid w:val="00CC5B0A"/>
    <w:rsid w:val="00CC649E"/>
    <w:rsid w:val="00CC6F26"/>
    <w:rsid w:val="00CC6F9A"/>
    <w:rsid w:val="00CC72C7"/>
    <w:rsid w:val="00CD0632"/>
    <w:rsid w:val="00CD0EEA"/>
    <w:rsid w:val="00CD13E9"/>
    <w:rsid w:val="00CD1911"/>
    <w:rsid w:val="00CD1D48"/>
    <w:rsid w:val="00CD21A3"/>
    <w:rsid w:val="00CD225F"/>
    <w:rsid w:val="00CD40A3"/>
    <w:rsid w:val="00CD55D4"/>
    <w:rsid w:val="00CD5EB5"/>
    <w:rsid w:val="00CE0D32"/>
    <w:rsid w:val="00CE22C1"/>
    <w:rsid w:val="00CE374D"/>
    <w:rsid w:val="00CE3A00"/>
    <w:rsid w:val="00CE3B54"/>
    <w:rsid w:val="00CE4249"/>
    <w:rsid w:val="00CE44C4"/>
    <w:rsid w:val="00CE467E"/>
    <w:rsid w:val="00CE4C09"/>
    <w:rsid w:val="00CE7BCC"/>
    <w:rsid w:val="00CE7D22"/>
    <w:rsid w:val="00CF0A47"/>
    <w:rsid w:val="00CF0A5C"/>
    <w:rsid w:val="00CF0D83"/>
    <w:rsid w:val="00CF15A0"/>
    <w:rsid w:val="00CF2674"/>
    <w:rsid w:val="00CF26C8"/>
    <w:rsid w:val="00CF299D"/>
    <w:rsid w:val="00CF2BEB"/>
    <w:rsid w:val="00CF31BA"/>
    <w:rsid w:val="00CF4994"/>
    <w:rsid w:val="00CF4A0A"/>
    <w:rsid w:val="00CF4C5C"/>
    <w:rsid w:val="00CF4E21"/>
    <w:rsid w:val="00CF57D6"/>
    <w:rsid w:val="00CF5DD7"/>
    <w:rsid w:val="00CF62B4"/>
    <w:rsid w:val="00CF760F"/>
    <w:rsid w:val="00CF7949"/>
    <w:rsid w:val="00D00161"/>
    <w:rsid w:val="00D00F27"/>
    <w:rsid w:val="00D00FDB"/>
    <w:rsid w:val="00D015AC"/>
    <w:rsid w:val="00D017C1"/>
    <w:rsid w:val="00D029A8"/>
    <w:rsid w:val="00D02F01"/>
    <w:rsid w:val="00D036E8"/>
    <w:rsid w:val="00D03F1A"/>
    <w:rsid w:val="00D043DE"/>
    <w:rsid w:val="00D049D8"/>
    <w:rsid w:val="00D05556"/>
    <w:rsid w:val="00D05714"/>
    <w:rsid w:val="00D05FB8"/>
    <w:rsid w:val="00D07200"/>
    <w:rsid w:val="00D07C78"/>
    <w:rsid w:val="00D1058B"/>
    <w:rsid w:val="00D10598"/>
    <w:rsid w:val="00D11157"/>
    <w:rsid w:val="00D113DE"/>
    <w:rsid w:val="00D11A6D"/>
    <w:rsid w:val="00D1238B"/>
    <w:rsid w:val="00D134AD"/>
    <w:rsid w:val="00D1418E"/>
    <w:rsid w:val="00D156A8"/>
    <w:rsid w:val="00D177EC"/>
    <w:rsid w:val="00D20CC6"/>
    <w:rsid w:val="00D20DF6"/>
    <w:rsid w:val="00D21B12"/>
    <w:rsid w:val="00D22A50"/>
    <w:rsid w:val="00D2359D"/>
    <w:rsid w:val="00D236BE"/>
    <w:rsid w:val="00D23F5C"/>
    <w:rsid w:val="00D249D9"/>
    <w:rsid w:val="00D24F2F"/>
    <w:rsid w:val="00D25148"/>
    <w:rsid w:val="00D2637D"/>
    <w:rsid w:val="00D26808"/>
    <w:rsid w:val="00D277A8"/>
    <w:rsid w:val="00D31576"/>
    <w:rsid w:val="00D31836"/>
    <w:rsid w:val="00D32C65"/>
    <w:rsid w:val="00D32D64"/>
    <w:rsid w:val="00D34562"/>
    <w:rsid w:val="00D3638E"/>
    <w:rsid w:val="00D36456"/>
    <w:rsid w:val="00D36795"/>
    <w:rsid w:val="00D36F7B"/>
    <w:rsid w:val="00D37FF8"/>
    <w:rsid w:val="00D40DAD"/>
    <w:rsid w:val="00D4146E"/>
    <w:rsid w:val="00D43E28"/>
    <w:rsid w:val="00D4450D"/>
    <w:rsid w:val="00D4459B"/>
    <w:rsid w:val="00D44A70"/>
    <w:rsid w:val="00D455CC"/>
    <w:rsid w:val="00D47ED1"/>
    <w:rsid w:val="00D47FF1"/>
    <w:rsid w:val="00D50D89"/>
    <w:rsid w:val="00D510F2"/>
    <w:rsid w:val="00D51F5D"/>
    <w:rsid w:val="00D527EF"/>
    <w:rsid w:val="00D52D4C"/>
    <w:rsid w:val="00D55724"/>
    <w:rsid w:val="00D55A69"/>
    <w:rsid w:val="00D55CEB"/>
    <w:rsid w:val="00D55E2F"/>
    <w:rsid w:val="00D55EB7"/>
    <w:rsid w:val="00D56C43"/>
    <w:rsid w:val="00D56F76"/>
    <w:rsid w:val="00D5798B"/>
    <w:rsid w:val="00D60339"/>
    <w:rsid w:val="00D61705"/>
    <w:rsid w:val="00D61BAA"/>
    <w:rsid w:val="00D62B00"/>
    <w:rsid w:val="00D631DE"/>
    <w:rsid w:val="00D6323D"/>
    <w:rsid w:val="00D632B9"/>
    <w:rsid w:val="00D6348E"/>
    <w:rsid w:val="00D64618"/>
    <w:rsid w:val="00D6513A"/>
    <w:rsid w:val="00D6514C"/>
    <w:rsid w:val="00D656C5"/>
    <w:rsid w:val="00D6599F"/>
    <w:rsid w:val="00D66F92"/>
    <w:rsid w:val="00D70C7A"/>
    <w:rsid w:val="00D71116"/>
    <w:rsid w:val="00D7194B"/>
    <w:rsid w:val="00D7248F"/>
    <w:rsid w:val="00D72546"/>
    <w:rsid w:val="00D73E63"/>
    <w:rsid w:val="00D73F07"/>
    <w:rsid w:val="00D73F4C"/>
    <w:rsid w:val="00D74186"/>
    <w:rsid w:val="00D7517B"/>
    <w:rsid w:val="00D7554C"/>
    <w:rsid w:val="00D75814"/>
    <w:rsid w:val="00D75F04"/>
    <w:rsid w:val="00D763D0"/>
    <w:rsid w:val="00D76636"/>
    <w:rsid w:val="00D76CD9"/>
    <w:rsid w:val="00D76D6E"/>
    <w:rsid w:val="00D76EDB"/>
    <w:rsid w:val="00D77856"/>
    <w:rsid w:val="00D80438"/>
    <w:rsid w:val="00D804B2"/>
    <w:rsid w:val="00D80C2A"/>
    <w:rsid w:val="00D80DA9"/>
    <w:rsid w:val="00D83865"/>
    <w:rsid w:val="00D838BE"/>
    <w:rsid w:val="00D8408D"/>
    <w:rsid w:val="00D84191"/>
    <w:rsid w:val="00D85235"/>
    <w:rsid w:val="00D861C6"/>
    <w:rsid w:val="00D86ACC"/>
    <w:rsid w:val="00D87C02"/>
    <w:rsid w:val="00D90818"/>
    <w:rsid w:val="00D91088"/>
    <w:rsid w:val="00D92BEB"/>
    <w:rsid w:val="00D938DD"/>
    <w:rsid w:val="00D94E0F"/>
    <w:rsid w:val="00D952F9"/>
    <w:rsid w:val="00D95E73"/>
    <w:rsid w:val="00D95EF1"/>
    <w:rsid w:val="00D96F90"/>
    <w:rsid w:val="00D972C6"/>
    <w:rsid w:val="00D974D3"/>
    <w:rsid w:val="00D978B9"/>
    <w:rsid w:val="00DA130A"/>
    <w:rsid w:val="00DA2067"/>
    <w:rsid w:val="00DA2DDB"/>
    <w:rsid w:val="00DA34C9"/>
    <w:rsid w:val="00DA5104"/>
    <w:rsid w:val="00DA5133"/>
    <w:rsid w:val="00DA5754"/>
    <w:rsid w:val="00DA653F"/>
    <w:rsid w:val="00DA6736"/>
    <w:rsid w:val="00DA67D4"/>
    <w:rsid w:val="00DA6CE3"/>
    <w:rsid w:val="00DB0180"/>
    <w:rsid w:val="00DB08A9"/>
    <w:rsid w:val="00DB0B06"/>
    <w:rsid w:val="00DB166B"/>
    <w:rsid w:val="00DB181E"/>
    <w:rsid w:val="00DB1AFC"/>
    <w:rsid w:val="00DB2B18"/>
    <w:rsid w:val="00DB4896"/>
    <w:rsid w:val="00DB49DE"/>
    <w:rsid w:val="00DB4E71"/>
    <w:rsid w:val="00DB55B8"/>
    <w:rsid w:val="00DB599C"/>
    <w:rsid w:val="00DB5FEC"/>
    <w:rsid w:val="00DB661E"/>
    <w:rsid w:val="00DC01A1"/>
    <w:rsid w:val="00DC0DD5"/>
    <w:rsid w:val="00DC1852"/>
    <w:rsid w:val="00DC19B1"/>
    <w:rsid w:val="00DC1AC6"/>
    <w:rsid w:val="00DC38A4"/>
    <w:rsid w:val="00DC3ED6"/>
    <w:rsid w:val="00DC487F"/>
    <w:rsid w:val="00DC5B32"/>
    <w:rsid w:val="00DC7071"/>
    <w:rsid w:val="00DC7690"/>
    <w:rsid w:val="00DC7AB5"/>
    <w:rsid w:val="00DD1799"/>
    <w:rsid w:val="00DD1B35"/>
    <w:rsid w:val="00DD3250"/>
    <w:rsid w:val="00DD32CF"/>
    <w:rsid w:val="00DD3F91"/>
    <w:rsid w:val="00DD4883"/>
    <w:rsid w:val="00DD4F2D"/>
    <w:rsid w:val="00DD5561"/>
    <w:rsid w:val="00DD59ED"/>
    <w:rsid w:val="00DD5DEF"/>
    <w:rsid w:val="00DD62F6"/>
    <w:rsid w:val="00DD6858"/>
    <w:rsid w:val="00DE00B2"/>
    <w:rsid w:val="00DE024A"/>
    <w:rsid w:val="00DE0D7A"/>
    <w:rsid w:val="00DE1648"/>
    <w:rsid w:val="00DE1882"/>
    <w:rsid w:val="00DE19F5"/>
    <w:rsid w:val="00DE1B94"/>
    <w:rsid w:val="00DE1D8E"/>
    <w:rsid w:val="00DE26AE"/>
    <w:rsid w:val="00DE2FB9"/>
    <w:rsid w:val="00DE34AB"/>
    <w:rsid w:val="00DE457F"/>
    <w:rsid w:val="00DE514D"/>
    <w:rsid w:val="00DE55B2"/>
    <w:rsid w:val="00DE746D"/>
    <w:rsid w:val="00DF18D4"/>
    <w:rsid w:val="00DF1954"/>
    <w:rsid w:val="00DF2CDC"/>
    <w:rsid w:val="00DF40B0"/>
    <w:rsid w:val="00DF41B4"/>
    <w:rsid w:val="00DF42CB"/>
    <w:rsid w:val="00DF66ED"/>
    <w:rsid w:val="00DF67F3"/>
    <w:rsid w:val="00DF693F"/>
    <w:rsid w:val="00E007D7"/>
    <w:rsid w:val="00E01D43"/>
    <w:rsid w:val="00E0249B"/>
    <w:rsid w:val="00E02C40"/>
    <w:rsid w:val="00E02DC1"/>
    <w:rsid w:val="00E02F54"/>
    <w:rsid w:val="00E03701"/>
    <w:rsid w:val="00E040CB"/>
    <w:rsid w:val="00E04176"/>
    <w:rsid w:val="00E048B5"/>
    <w:rsid w:val="00E0557A"/>
    <w:rsid w:val="00E05E2C"/>
    <w:rsid w:val="00E066FB"/>
    <w:rsid w:val="00E07896"/>
    <w:rsid w:val="00E07A18"/>
    <w:rsid w:val="00E10D2B"/>
    <w:rsid w:val="00E114BD"/>
    <w:rsid w:val="00E124BF"/>
    <w:rsid w:val="00E1353F"/>
    <w:rsid w:val="00E13BD8"/>
    <w:rsid w:val="00E13E21"/>
    <w:rsid w:val="00E142DB"/>
    <w:rsid w:val="00E14921"/>
    <w:rsid w:val="00E14D38"/>
    <w:rsid w:val="00E15185"/>
    <w:rsid w:val="00E15977"/>
    <w:rsid w:val="00E1624E"/>
    <w:rsid w:val="00E17D11"/>
    <w:rsid w:val="00E20645"/>
    <w:rsid w:val="00E20655"/>
    <w:rsid w:val="00E2083C"/>
    <w:rsid w:val="00E215B3"/>
    <w:rsid w:val="00E21700"/>
    <w:rsid w:val="00E21792"/>
    <w:rsid w:val="00E21C7D"/>
    <w:rsid w:val="00E21FA7"/>
    <w:rsid w:val="00E22A90"/>
    <w:rsid w:val="00E22C5B"/>
    <w:rsid w:val="00E22D6B"/>
    <w:rsid w:val="00E23681"/>
    <w:rsid w:val="00E23731"/>
    <w:rsid w:val="00E245D8"/>
    <w:rsid w:val="00E24681"/>
    <w:rsid w:val="00E248F9"/>
    <w:rsid w:val="00E25F6A"/>
    <w:rsid w:val="00E2656B"/>
    <w:rsid w:val="00E269B4"/>
    <w:rsid w:val="00E27167"/>
    <w:rsid w:val="00E27170"/>
    <w:rsid w:val="00E3151C"/>
    <w:rsid w:val="00E31FE6"/>
    <w:rsid w:val="00E323A0"/>
    <w:rsid w:val="00E323C2"/>
    <w:rsid w:val="00E3244A"/>
    <w:rsid w:val="00E3291E"/>
    <w:rsid w:val="00E32CD2"/>
    <w:rsid w:val="00E32E7F"/>
    <w:rsid w:val="00E35C82"/>
    <w:rsid w:val="00E366CB"/>
    <w:rsid w:val="00E372CF"/>
    <w:rsid w:val="00E37AA4"/>
    <w:rsid w:val="00E403C5"/>
    <w:rsid w:val="00E40B27"/>
    <w:rsid w:val="00E412A6"/>
    <w:rsid w:val="00E41E26"/>
    <w:rsid w:val="00E41F58"/>
    <w:rsid w:val="00E41FF3"/>
    <w:rsid w:val="00E42507"/>
    <w:rsid w:val="00E42620"/>
    <w:rsid w:val="00E4313E"/>
    <w:rsid w:val="00E43195"/>
    <w:rsid w:val="00E431B6"/>
    <w:rsid w:val="00E43341"/>
    <w:rsid w:val="00E43967"/>
    <w:rsid w:val="00E43A51"/>
    <w:rsid w:val="00E445B5"/>
    <w:rsid w:val="00E4629A"/>
    <w:rsid w:val="00E473A6"/>
    <w:rsid w:val="00E47C93"/>
    <w:rsid w:val="00E5107D"/>
    <w:rsid w:val="00E51448"/>
    <w:rsid w:val="00E51B43"/>
    <w:rsid w:val="00E532CC"/>
    <w:rsid w:val="00E53304"/>
    <w:rsid w:val="00E5410B"/>
    <w:rsid w:val="00E54A88"/>
    <w:rsid w:val="00E554D7"/>
    <w:rsid w:val="00E55608"/>
    <w:rsid w:val="00E55A85"/>
    <w:rsid w:val="00E567BC"/>
    <w:rsid w:val="00E5727A"/>
    <w:rsid w:val="00E579F1"/>
    <w:rsid w:val="00E60593"/>
    <w:rsid w:val="00E60625"/>
    <w:rsid w:val="00E612D6"/>
    <w:rsid w:val="00E6190B"/>
    <w:rsid w:val="00E61E34"/>
    <w:rsid w:val="00E63888"/>
    <w:rsid w:val="00E65C37"/>
    <w:rsid w:val="00E65D65"/>
    <w:rsid w:val="00E65F9F"/>
    <w:rsid w:val="00E670A3"/>
    <w:rsid w:val="00E6774E"/>
    <w:rsid w:val="00E67DB4"/>
    <w:rsid w:val="00E71782"/>
    <w:rsid w:val="00E728F4"/>
    <w:rsid w:val="00E7306F"/>
    <w:rsid w:val="00E73611"/>
    <w:rsid w:val="00E7477E"/>
    <w:rsid w:val="00E748D0"/>
    <w:rsid w:val="00E74A6F"/>
    <w:rsid w:val="00E75773"/>
    <w:rsid w:val="00E76349"/>
    <w:rsid w:val="00E76A99"/>
    <w:rsid w:val="00E77E01"/>
    <w:rsid w:val="00E80D57"/>
    <w:rsid w:val="00E81500"/>
    <w:rsid w:val="00E828DE"/>
    <w:rsid w:val="00E82C8E"/>
    <w:rsid w:val="00E83B8E"/>
    <w:rsid w:val="00E855E8"/>
    <w:rsid w:val="00E855F4"/>
    <w:rsid w:val="00E86948"/>
    <w:rsid w:val="00E90369"/>
    <w:rsid w:val="00E91005"/>
    <w:rsid w:val="00E92240"/>
    <w:rsid w:val="00E92450"/>
    <w:rsid w:val="00E94558"/>
    <w:rsid w:val="00E94A3E"/>
    <w:rsid w:val="00E9590D"/>
    <w:rsid w:val="00E96BA0"/>
    <w:rsid w:val="00E973B5"/>
    <w:rsid w:val="00E97856"/>
    <w:rsid w:val="00E97CD7"/>
    <w:rsid w:val="00E97FD4"/>
    <w:rsid w:val="00EA08E3"/>
    <w:rsid w:val="00EA1D55"/>
    <w:rsid w:val="00EA3907"/>
    <w:rsid w:val="00EA39FA"/>
    <w:rsid w:val="00EA455D"/>
    <w:rsid w:val="00EA68C3"/>
    <w:rsid w:val="00EA7741"/>
    <w:rsid w:val="00EA7F8C"/>
    <w:rsid w:val="00EB0028"/>
    <w:rsid w:val="00EB06A3"/>
    <w:rsid w:val="00EB0B2A"/>
    <w:rsid w:val="00EB336F"/>
    <w:rsid w:val="00EB37F8"/>
    <w:rsid w:val="00EB40AA"/>
    <w:rsid w:val="00EB439E"/>
    <w:rsid w:val="00EB4614"/>
    <w:rsid w:val="00EB4D8D"/>
    <w:rsid w:val="00EB568A"/>
    <w:rsid w:val="00EB60C1"/>
    <w:rsid w:val="00EB6346"/>
    <w:rsid w:val="00EB6960"/>
    <w:rsid w:val="00EB7310"/>
    <w:rsid w:val="00EC10B3"/>
    <w:rsid w:val="00EC21BA"/>
    <w:rsid w:val="00EC2958"/>
    <w:rsid w:val="00EC2EF8"/>
    <w:rsid w:val="00EC38A3"/>
    <w:rsid w:val="00EC3906"/>
    <w:rsid w:val="00EC39D2"/>
    <w:rsid w:val="00EC4820"/>
    <w:rsid w:val="00EC4E88"/>
    <w:rsid w:val="00EC571C"/>
    <w:rsid w:val="00EC5EF2"/>
    <w:rsid w:val="00EC6256"/>
    <w:rsid w:val="00EC6295"/>
    <w:rsid w:val="00EC7262"/>
    <w:rsid w:val="00EC738D"/>
    <w:rsid w:val="00EC7D45"/>
    <w:rsid w:val="00ED029B"/>
    <w:rsid w:val="00ED0382"/>
    <w:rsid w:val="00ED076A"/>
    <w:rsid w:val="00ED1B0A"/>
    <w:rsid w:val="00ED235A"/>
    <w:rsid w:val="00ED32E2"/>
    <w:rsid w:val="00ED3CB8"/>
    <w:rsid w:val="00ED3E9F"/>
    <w:rsid w:val="00ED4787"/>
    <w:rsid w:val="00ED47F2"/>
    <w:rsid w:val="00ED5607"/>
    <w:rsid w:val="00ED68B8"/>
    <w:rsid w:val="00ED6E6F"/>
    <w:rsid w:val="00ED7821"/>
    <w:rsid w:val="00ED7D95"/>
    <w:rsid w:val="00EE0536"/>
    <w:rsid w:val="00EE08BC"/>
    <w:rsid w:val="00EE3654"/>
    <w:rsid w:val="00EE3BBA"/>
    <w:rsid w:val="00EE4482"/>
    <w:rsid w:val="00EE451B"/>
    <w:rsid w:val="00EE5173"/>
    <w:rsid w:val="00EE52A2"/>
    <w:rsid w:val="00EE5B2D"/>
    <w:rsid w:val="00EE5B2F"/>
    <w:rsid w:val="00EE5EB0"/>
    <w:rsid w:val="00EE60A3"/>
    <w:rsid w:val="00EE60EB"/>
    <w:rsid w:val="00EE6C76"/>
    <w:rsid w:val="00EE776F"/>
    <w:rsid w:val="00EF0B73"/>
    <w:rsid w:val="00EF1DBD"/>
    <w:rsid w:val="00EF1F4C"/>
    <w:rsid w:val="00EF38CF"/>
    <w:rsid w:val="00EF3EC5"/>
    <w:rsid w:val="00EF5E85"/>
    <w:rsid w:val="00EF5FB0"/>
    <w:rsid w:val="00EF61DF"/>
    <w:rsid w:val="00EF6A3B"/>
    <w:rsid w:val="00EF743D"/>
    <w:rsid w:val="00EF7B75"/>
    <w:rsid w:val="00F02796"/>
    <w:rsid w:val="00F02A0B"/>
    <w:rsid w:val="00F02C32"/>
    <w:rsid w:val="00F02ECF"/>
    <w:rsid w:val="00F04D21"/>
    <w:rsid w:val="00F0574B"/>
    <w:rsid w:val="00F058E3"/>
    <w:rsid w:val="00F05E15"/>
    <w:rsid w:val="00F0664B"/>
    <w:rsid w:val="00F069F6"/>
    <w:rsid w:val="00F070D5"/>
    <w:rsid w:val="00F070E1"/>
    <w:rsid w:val="00F07991"/>
    <w:rsid w:val="00F07F05"/>
    <w:rsid w:val="00F1043D"/>
    <w:rsid w:val="00F1050D"/>
    <w:rsid w:val="00F10D57"/>
    <w:rsid w:val="00F12882"/>
    <w:rsid w:val="00F1302E"/>
    <w:rsid w:val="00F1383A"/>
    <w:rsid w:val="00F14950"/>
    <w:rsid w:val="00F16866"/>
    <w:rsid w:val="00F170AD"/>
    <w:rsid w:val="00F17C19"/>
    <w:rsid w:val="00F17D10"/>
    <w:rsid w:val="00F17FEF"/>
    <w:rsid w:val="00F20A4D"/>
    <w:rsid w:val="00F22079"/>
    <w:rsid w:val="00F2225F"/>
    <w:rsid w:val="00F231EA"/>
    <w:rsid w:val="00F236E6"/>
    <w:rsid w:val="00F2422D"/>
    <w:rsid w:val="00F24FE6"/>
    <w:rsid w:val="00F25E97"/>
    <w:rsid w:val="00F273CB"/>
    <w:rsid w:val="00F27B04"/>
    <w:rsid w:val="00F27D75"/>
    <w:rsid w:val="00F312C5"/>
    <w:rsid w:val="00F327D4"/>
    <w:rsid w:val="00F343B2"/>
    <w:rsid w:val="00F37811"/>
    <w:rsid w:val="00F412AC"/>
    <w:rsid w:val="00F416C9"/>
    <w:rsid w:val="00F41E8F"/>
    <w:rsid w:val="00F46B16"/>
    <w:rsid w:val="00F477CD"/>
    <w:rsid w:val="00F47CB4"/>
    <w:rsid w:val="00F47E8C"/>
    <w:rsid w:val="00F5015A"/>
    <w:rsid w:val="00F5071E"/>
    <w:rsid w:val="00F508DF"/>
    <w:rsid w:val="00F515A7"/>
    <w:rsid w:val="00F52C87"/>
    <w:rsid w:val="00F52D7F"/>
    <w:rsid w:val="00F52F8B"/>
    <w:rsid w:val="00F53749"/>
    <w:rsid w:val="00F5399A"/>
    <w:rsid w:val="00F550CE"/>
    <w:rsid w:val="00F5565E"/>
    <w:rsid w:val="00F55761"/>
    <w:rsid w:val="00F565D6"/>
    <w:rsid w:val="00F56FF9"/>
    <w:rsid w:val="00F600BE"/>
    <w:rsid w:val="00F6135D"/>
    <w:rsid w:val="00F6199E"/>
    <w:rsid w:val="00F6234B"/>
    <w:rsid w:val="00F62547"/>
    <w:rsid w:val="00F6313C"/>
    <w:rsid w:val="00F63198"/>
    <w:rsid w:val="00F634E6"/>
    <w:rsid w:val="00F63501"/>
    <w:rsid w:val="00F63724"/>
    <w:rsid w:val="00F63927"/>
    <w:rsid w:val="00F64294"/>
    <w:rsid w:val="00F647BF"/>
    <w:rsid w:val="00F655B3"/>
    <w:rsid w:val="00F65732"/>
    <w:rsid w:val="00F66CA7"/>
    <w:rsid w:val="00F67809"/>
    <w:rsid w:val="00F70C03"/>
    <w:rsid w:val="00F71900"/>
    <w:rsid w:val="00F71C29"/>
    <w:rsid w:val="00F71F1A"/>
    <w:rsid w:val="00F723FB"/>
    <w:rsid w:val="00F7381C"/>
    <w:rsid w:val="00F746F9"/>
    <w:rsid w:val="00F76315"/>
    <w:rsid w:val="00F76BA4"/>
    <w:rsid w:val="00F81084"/>
    <w:rsid w:val="00F8264C"/>
    <w:rsid w:val="00F83175"/>
    <w:rsid w:val="00F8327B"/>
    <w:rsid w:val="00F832C3"/>
    <w:rsid w:val="00F83AF4"/>
    <w:rsid w:val="00F83EF3"/>
    <w:rsid w:val="00F84676"/>
    <w:rsid w:val="00F846FE"/>
    <w:rsid w:val="00F84E60"/>
    <w:rsid w:val="00F84FCA"/>
    <w:rsid w:val="00F85130"/>
    <w:rsid w:val="00F8563A"/>
    <w:rsid w:val="00F857E4"/>
    <w:rsid w:val="00F86847"/>
    <w:rsid w:val="00F87B0C"/>
    <w:rsid w:val="00F87EB1"/>
    <w:rsid w:val="00F90015"/>
    <w:rsid w:val="00F91853"/>
    <w:rsid w:val="00F91909"/>
    <w:rsid w:val="00F92340"/>
    <w:rsid w:val="00F93E5C"/>
    <w:rsid w:val="00F950C2"/>
    <w:rsid w:val="00F95531"/>
    <w:rsid w:val="00F96093"/>
    <w:rsid w:val="00F961B0"/>
    <w:rsid w:val="00F963BA"/>
    <w:rsid w:val="00F96625"/>
    <w:rsid w:val="00F966CC"/>
    <w:rsid w:val="00F97DB9"/>
    <w:rsid w:val="00FA055D"/>
    <w:rsid w:val="00FA15A0"/>
    <w:rsid w:val="00FA15E6"/>
    <w:rsid w:val="00FA2664"/>
    <w:rsid w:val="00FA2D47"/>
    <w:rsid w:val="00FA3CFD"/>
    <w:rsid w:val="00FA48A7"/>
    <w:rsid w:val="00FA4AB3"/>
    <w:rsid w:val="00FA4F1F"/>
    <w:rsid w:val="00FA7883"/>
    <w:rsid w:val="00FA7FE8"/>
    <w:rsid w:val="00FB08E3"/>
    <w:rsid w:val="00FB0B9C"/>
    <w:rsid w:val="00FB1853"/>
    <w:rsid w:val="00FB1FB3"/>
    <w:rsid w:val="00FB304F"/>
    <w:rsid w:val="00FB40A0"/>
    <w:rsid w:val="00FB4143"/>
    <w:rsid w:val="00FB5BE8"/>
    <w:rsid w:val="00FB771A"/>
    <w:rsid w:val="00FB7934"/>
    <w:rsid w:val="00FC0317"/>
    <w:rsid w:val="00FC1484"/>
    <w:rsid w:val="00FC15EE"/>
    <w:rsid w:val="00FC18DA"/>
    <w:rsid w:val="00FC24C9"/>
    <w:rsid w:val="00FC2A07"/>
    <w:rsid w:val="00FC2A15"/>
    <w:rsid w:val="00FC300E"/>
    <w:rsid w:val="00FC362E"/>
    <w:rsid w:val="00FC4256"/>
    <w:rsid w:val="00FC5DDA"/>
    <w:rsid w:val="00FC7725"/>
    <w:rsid w:val="00FD059D"/>
    <w:rsid w:val="00FD06FE"/>
    <w:rsid w:val="00FD0CAC"/>
    <w:rsid w:val="00FD111A"/>
    <w:rsid w:val="00FD2987"/>
    <w:rsid w:val="00FD3BB9"/>
    <w:rsid w:val="00FD4D38"/>
    <w:rsid w:val="00FD4E5E"/>
    <w:rsid w:val="00FD5367"/>
    <w:rsid w:val="00FD6712"/>
    <w:rsid w:val="00FD6E82"/>
    <w:rsid w:val="00FD76E2"/>
    <w:rsid w:val="00FD7B37"/>
    <w:rsid w:val="00FD7BF5"/>
    <w:rsid w:val="00FE0357"/>
    <w:rsid w:val="00FE2CBB"/>
    <w:rsid w:val="00FE3D5E"/>
    <w:rsid w:val="00FE5015"/>
    <w:rsid w:val="00FE6333"/>
    <w:rsid w:val="00FE7075"/>
    <w:rsid w:val="00FE7888"/>
    <w:rsid w:val="00FF0613"/>
    <w:rsid w:val="00FF1FD1"/>
    <w:rsid w:val="00FF2449"/>
    <w:rsid w:val="00FF30AD"/>
    <w:rsid w:val="00FF3945"/>
    <w:rsid w:val="00FF474A"/>
    <w:rsid w:val="00FF4E84"/>
    <w:rsid w:val="00FF5525"/>
    <w:rsid w:val="00FF5686"/>
    <w:rsid w:val="00FF68ED"/>
    <w:rsid w:val="00FF7951"/>
    <w:rsid w:val="01356FF7"/>
    <w:rsid w:val="01445E56"/>
    <w:rsid w:val="01C04584"/>
    <w:rsid w:val="028D70F3"/>
    <w:rsid w:val="02FE753E"/>
    <w:rsid w:val="032A3071"/>
    <w:rsid w:val="03722DEF"/>
    <w:rsid w:val="039E75ED"/>
    <w:rsid w:val="03BF6FFE"/>
    <w:rsid w:val="03D2714E"/>
    <w:rsid w:val="041F1663"/>
    <w:rsid w:val="0488418C"/>
    <w:rsid w:val="04D0472C"/>
    <w:rsid w:val="04F26C4C"/>
    <w:rsid w:val="05173D32"/>
    <w:rsid w:val="05331661"/>
    <w:rsid w:val="054E1CAB"/>
    <w:rsid w:val="05FE7A46"/>
    <w:rsid w:val="06677015"/>
    <w:rsid w:val="06A71808"/>
    <w:rsid w:val="06E33CC5"/>
    <w:rsid w:val="07BD4596"/>
    <w:rsid w:val="083D0560"/>
    <w:rsid w:val="08847D7A"/>
    <w:rsid w:val="09C45CB0"/>
    <w:rsid w:val="0AA868BA"/>
    <w:rsid w:val="0AB07C37"/>
    <w:rsid w:val="0AD310EE"/>
    <w:rsid w:val="0B345D5E"/>
    <w:rsid w:val="0B3A3A7B"/>
    <w:rsid w:val="0BF54077"/>
    <w:rsid w:val="0C2D5014"/>
    <w:rsid w:val="0C3A1285"/>
    <w:rsid w:val="0C5C409F"/>
    <w:rsid w:val="0CF21234"/>
    <w:rsid w:val="0CFB02B0"/>
    <w:rsid w:val="0D36357C"/>
    <w:rsid w:val="0D3B5E2E"/>
    <w:rsid w:val="0D50184D"/>
    <w:rsid w:val="0D662477"/>
    <w:rsid w:val="0E066764"/>
    <w:rsid w:val="0E3A7736"/>
    <w:rsid w:val="0E3F17ED"/>
    <w:rsid w:val="0E8545A1"/>
    <w:rsid w:val="0EEB42E3"/>
    <w:rsid w:val="0EFA5C62"/>
    <w:rsid w:val="0EFE7FA9"/>
    <w:rsid w:val="0F646F0A"/>
    <w:rsid w:val="0FDC2CFC"/>
    <w:rsid w:val="10D80EA2"/>
    <w:rsid w:val="11AF0294"/>
    <w:rsid w:val="13B264FC"/>
    <w:rsid w:val="14042F31"/>
    <w:rsid w:val="15260DCB"/>
    <w:rsid w:val="15392FDE"/>
    <w:rsid w:val="15F776F0"/>
    <w:rsid w:val="165C4031"/>
    <w:rsid w:val="17171F2D"/>
    <w:rsid w:val="17205C8A"/>
    <w:rsid w:val="17517DEE"/>
    <w:rsid w:val="17621691"/>
    <w:rsid w:val="18036A7A"/>
    <w:rsid w:val="183C35BB"/>
    <w:rsid w:val="1859395D"/>
    <w:rsid w:val="18E64D5A"/>
    <w:rsid w:val="1933506E"/>
    <w:rsid w:val="195255FA"/>
    <w:rsid w:val="19BF617D"/>
    <w:rsid w:val="1A1E7181"/>
    <w:rsid w:val="1A340C5A"/>
    <w:rsid w:val="1AA06C83"/>
    <w:rsid w:val="1AA2410C"/>
    <w:rsid w:val="1AAE0B85"/>
    <w:rsid w:val="1B12752D"/>
    <w:rsid w:val="1BA337AA"/>
    <w:rsid w:val="1BDA570D"/>
    <w:rsid w:val="1BF170D8"/>
    <w:rsid w:val="1C470B95"/>
    <w:rsid w:val="1C6162E5"/>
    <w:rsid w:val="1C9A5AF7"/>
    <w:rsid w:val="1D2E3180"/>
    <w:rsid w:val="1DA543D0"/>
    <w:rsid w:val="1DAD4C2F"/>
    <w:rsid w:val="1EA72574"/>
    <w:rsid w:val="1F2A63C2"/>
    <w:rsid w:val="1F2B08B4"/>
    <w:rsid w:val="1F5218DB"/>
    <w:rsid w:val="1FF1109E"/>
    <w:rsid w:val="20101E10"/>
    <w:rsid w:val="20C81035"/>
    <w:rsid w:val="20E40978"/>
    <w:rsid w:val="21045270"/>
    <w:rsid w:val="212F3079"/>
    <w:rsid w:val="222977F7"/>
    <w:rsid w:val="22385DEC"/>
    <w:rsid w:val="229A695C"/>
    <w:rsid w:val="23216D36"/>
    <w:rsid w:val="23BF4C21"/>
    <w:rsid w:val="24495003"/>
    <w:rsid w:val="246C1778"/>
    <w:rsid w:val="24EE40CE"/>
    <w:rsid w:val="252D219A"/>
    <w:rsid w:val="2534761B"/>
    <w:rsid w:val="255E1E10"/>
    <w:rsid w:val="256E7A96"/>
    <w:rsid w:val="25DE07B1"/>
    <w:rsid w:val="263439BB"/>
    <w:rsid w:val="269D4ADB"/>
    <w:rsid w:val="26A650F1"/>
    <w:rsid w:val="26D253E7"/>
    <w:rsid w:val="271E00BE"/>
    <w:rsid w:val="28143DFC"/>
    <w:rsid w:val="28240F30"/>
    <w:rsid w:val="283F090E"/>
    <w:rsid w:val="29282CEC"/>
    <w:rsid w:val="29657D77"/>
    <w:rsid w:val="29795D3D"/>
    <w:rsid w:val="2A132CEE"/>
    <w:rsid w:val="2AD46E63"/>
    <w:rsid w:val="2ADC1A09"/>
    <w:rsid w:val="2AF219DA"/>
    <w:rsid w:val="2B4150DB"/>
    <w:rsid w:val="2B730889"/>
    <w:rsid w:val="2C274DE6"/>
    <w:rsid w:val="2C372751"/>
    <w:rsid w:val="2C551ABE"/>
    <w:rsid w:val="2D08191D"/>
    <w:rsid w:val="2D5543E9"/>
    <w:rsid w:val="2E681501"/>
    <w:rsid w:val="2F697D76"/>
    <w:rsid w:val="2FDB62D5"/>
    <w:rsid w:val="30CE607E"/>
    <w:rsid w:val="30EE6DB6"/>
    <w:rsid w:val="31563712"/>
    <w:rsid w:val="31B96A00"/>
    <w:rsid w:val="32A1186E"/>
    <w:rsid w:val="32ED5589"/>
    <w:rsid w:val="32F52BBC"/>
    <w:rsid w:val="331B6BAB"/>
    <w:rsid w:val="33955033"/>
    <w:rsid w:val="33FE562B"/>
    <w:rsid w:val="34E3476F"/>
    <w:rsid w:val="35596273"/>
    <w:rsid w:val="35781F5F"/>
    <w:rsid w:val="35E36C3D"/>
    <w:rsid w:val="3638039B"/>
    <w:rsid w:val="36DC2A62"/>
    <w:rsid w:val="37C07AEC"/>
    <w:rsid w:val="39484327"/>
    <w:rsid w:val="394A5852"/>
    <w:rsid w:val="399758F0"/>
    <w:rsid w:val="3A2F187C"/>
    <w:rsid w:val="3A7A6C39"/>
    <w:rsid w:val="3BCD44D0"/>
    <w:rsid w:val="3BEF756B"/>
    <w:rsid w:val="3C976B3F"/>
    <w:rsid w:val="3CB654D0"/>
    <w:rsid w:val="3CD0183B"/>
    <w:rsid w:val="3EE31487"/>
    <w:rsid w:val="3F190EFC"/>
    <w:rsid w:val="40E30E94"/>
    <w:rsid w:val="41490838"/>
    <w:rsid w:val="419B3044"/>
    <w:rsid w:val="41A277C4"/>
    <w:rsid w:val="41AC7CAE"/>
    <w:rsid w:val="41B22F96"/>
    <w:rsid w:val="421843F9"/>
    <w:rsid w:val="425354D0"/>
    <w:rsid w:val="42FE0BF6"/>
    <w:rsid w:val="433C58A7"/>
    <w:rsid w:val="436D39E3"/>
    <w:rsid w:val="4381789A"/>
    <w:rsid w:val="43ED794B"/>
    <w:rsid w:val="44A740B9"/>
    <w:rsid w:val="44B3143A"/>
    <w:rsid w:val="44E638A4"/>
    <w:rsid w:val="45073BE6"/>
    <w:rsid w:val="46525394"/>
    <w:rsid w:val="46B23690"/>
    <w:rsid w:val="46C44473"/>
    <w:rsid w:val="46EF292C"/>
    <w:rsid w:val="47900EB5"/>
    <w:rsid w:val="485C656A"/>
    <w:rsid w:val="49107A31"/>
    <w:rsid w:val="49206A54"/>
    <w:rsid w:val="49712B80"/>
    <w:rsid w:val="4993732D"/>
    <w:rsid w:val="49BB6397"/>
    <w:rsid w:val="49CC695C"/>
    <w:rsid w:val="4A2D535B"/>
    <w:rsid w:val="4AA71106"/>
    <w:rsid w:val="4AAD06B2"/>
    <w:rsid w:val="4AE135EE"/>
    <w:rsid w:val="4AF34339"/>
    <w:rsid w:val="4B75732A"/>
    <w:rsid w:val="4C8E50B8"/>
    <w:rsid w:val="4D0E5017"/>
    <w:rsid w:val="4D1947F4"/>
    <w:rsid w:val="4D3E4322"/>
    <w:rsid w:val="4DC62A65"/>
    <w:rsid w:val="4EDE6AB3"/>
    <w:rsid w:val="4EE92347"/>
    <w:rsid w:val="50456EA9"/>
    <w:rsid w:val="50E17E52"/>
    <w:rsid w:val="50E22591"/>
    <w:rsid w:val="50EC2AC5"/>
    <w:rsid w:val="513E7660"/>
    <w:rsid w:val="52277DE5"/>
    <w:rsid w:val="528C584A"/>
    <w:rsid w:val="5298230B"/>
    <w:rsid w:val="52AE6B31"/>
    <w:rsid w:val="53010694"/>
    <w:rsid w:val="532838FB"/>
    <w:rsid w:val="534E4924"/>
    <w:rsid w:val="53D92B53"/>
    <w:rsid w:val="53D944ED"/>
    <w:rsid w:val="54587F12"/>
    <w:rsid w:val="546D6BFC"/>
    <w:rsid w:val="54851574"/>
    <w:rsid w:val="549F588A"/>
    <w:rsid w:val="55955192"/>
    <w:rsid w:val="559B7670"/>
    <w:rsid w:val="568B5E01"/>
    <w:rsid w:val="56C6584F"/>
    <w:rsid w:val="57C47DC4"/>
    <w:rsid w:val="57C710B1"/>
    <w:rsid w:val="589E5381"/>
    <w:rsid w:val="58A61E60"/>
    <w:rsid w:val="58E30B2C"/>
    <w:rsid w:val="592F4560"/>
    <w:rsid w:val="594D58D5"/>
    <w:rsid w:val="59E7087A"/>
    <w:rsid w:val="5A146001"/>
    <w:rsid w:val="5A9D331C"/>
    <w:rsid w:val="5AB83464"/>
    <w:rsid w:val="5B053466"/>
    <w:rsid w:val="5C323DE8"/>
    <w:rsid w:val="5E281F5E"/>
    <w:rsid w:val="5F3F08F5"/>
    <w:rsid w:val="5F474936"/>
    <w:rsid w:val="5F665CCB"/>
    <w:rsid w:val="5FB50A3A"/>
    <w:rsid w:val="610C29AD"/>
    <w:rsid w:val="61B10B88"/>
    <w:rsid w:val="61FE22EC"/>
    <w:rsid w:val="63FF14A3"/>
    <w:rsid w:val="64AE32DD"/>
    <w:rsid w:val="6522075A"/>
    <w:rsid w:val="65FB3769"/>
    <w:rsid w:val="66A11DFF"/>
    <w:rsid w:val="67270029"/>
    <w:rsid w:val="67591830"/>
    <w:rsid w:val="678B6C7E"/>
    <w:rsid w:val="682420B5"/>
    <w:rsid w:val="68774808"/>
    <w:rsid w:val="693748A5"/>
    <w:rsid w:val="696105EE"/>
    <w:rsid w:val="69AF18BE"/>
    <w:rsid w:val="69E12160"/>
    <w:rsid w:val="6A8B7B12"/>
    <w:rsid w:val="6BF04F58"/>
    <w:rsid w:val="6C2C5DB3"/>
    <w:rsid w:val="6C515C9B"/>
    <w:rsid w:val="6CA61CF8"/>
    <w:rsid w:val="6D1703DD"/>
    <w:rsid w:val="6DB11D15"/>
    <w:rsid w:val="6DF77B5A"/>
    <w:rsid w:val="6E4B3B04"/>
    <w:rsid w:val="6E770B84"/>
    <w:rsid w:val="6ED20433"/>
    <w:rsid w:val="6F8B15DB"/>
    <w:rsid w:val="6FDF5379"/>
    <w:rsid w:val="70623414"/>
    <w:rsid w:val="706C3AAE"/>
    <w:rsid w:val="70760A7F"/>
    <w:rsid w:val="70875193"/>
    <w:rsid w:val="7119708E"/>
    <w:rsid w:val="714329F7"/>
    <w:rsid w:val="715D1CD9"/>
    <w:rsid w:val="72944AEC"/>
    <w:rsid w:val="72C74234"/>
    <w:rsid w:val="742B7F1F"/>
    <w:rsid w:val="744C59E1"/>
    <w:rsid w:val="75CE6171"/>
    <w:rsid w:val="75D8158F"/>
    <w:rsid w:val="760D78BA"/>
    <w:rsid w:val="768061A9"/>
    <w:rsid w:val="76CC069B"/>
    <w:rsid w:val="76DB4A74"/>
    <w:rsid w:val="775D183D"/>
    <w:rsid w:val="777A25B9"/>
    <w:rsid w:val="77B46869"/>
    <w:rsid w:val="77DB53AD"/>
    <w:rsid w:val="78262BB3"/>
    <w:rsid w:val="78A3653D"/>
    <w:rsid w:val="78BA4CA5"/>
    <w:rsid w:val="79B41424"/>
    <w:rsid w:val="79DA230D"/>
    <w:rsid w:val="79EC1D61"/>
    <w:rsid w:val="7B717DDA"/>
    <w:rsid w:val="7BD05A63"/>
    <w:rsid w:val="7C090F5F"/>
    <w:rsid w:val="7C2B163E"/>
    <w:rsid w:val="7C31213A"/>
    <w:rsid w:val="7D3C73C4"/>
    <w:rsid w:val="7D4A0435"/>
    <w:rsid w:val="7E312898"/>
    <w:rsid w:val="7E7762E5"/>
    <w:rsid w:val="7F4E29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nhideWhenUsed="0" w:uiPriority="0" w:semiHidden="0" w:name="Body Text First Indent"/>
    <w:lsdException w:uiPriority="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386"/>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67"/>
    <w:qFormat/>
    <w:uiPriority w:val="0"/>
    <w:pPr>
      <w:keepNext/>
      <w:keepLines/>
      <w:spacing w:before="240" w:after="240"/>
      <w:outlineLvl w:val="1"/>
    </w:pPr>
    <w:rPr>
      <w:rFonts w:ascii="Arial" w:hAnsi="Arial" w:eastAsia="黑体"/>
      <w:b/>
      <w:bCs/>
      <w:sz w:val="32"/>
      <w:szCs w:val="32"/>
    </w:rPr>
  </w:style>
  <w:style w:type="paragraph" w:styleId="4">
    <w:name w:val="heading 3"/>
    <w:basedOn w:val="1"/>
    <w:next w:val="1"/>
    <w:link w:val="399"/>
    <w:qFormat/>
    <w:uiPriority w:val="0"/>
    <w:pPr>
      <w:keepNext/>
      <w:keepLines/>
      <w:spacing w:before="120" w:after="120"/>
      <w:outlineLvl w:val="2"/>
    </w:pPr>
    <w:rPr>
      <w:sz w:val="24"/>
      <w:szCs w:val="32"/>
    </w:rPr>
  </w:style>
  <w:style w:type="paragraph" w:styleId="6">
    <w:name w:val="heading 4"/>
    <w:basedOn w:val="1"/>
    <w:next w:val="1"/>
    <w:link w:val="370"/>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310"/>
    <w:qFormat/>
    <w:uiPriority w:val="0"/>
    <w:pPr>
      <w:keepNext/>
      <w:keepLines/>
      <w:tabs>
        <w:tab w:val="left" w:pos="1008"/>
      </w:tabs>
      <w:spacing w:before="280" w:after="290" w:line="376" w:lineRule="auto"/>
      <w:ind w:left="1008" w:hanging="1008"/>
      <w:jc w:val="left"/>
      <w:outlineLvl w:val="4"/>
    </w:pPr>
    <w:rPr>
      <w:b/>
      <w:bCs/>
      <w:kern w:val="0"/>
      <w:sz w:val="28"/>
      <w:szCs w:val="28"/>
    </w:rPr>
  </w:style>
  <w:style w:type="paragraph" w:styleId="8">
    <w:name w:val="heading 6"/>
    <w:basedOn w:val="1"/>
    <w:next w:val="1"/>
    <w:link w:val="326"/>
    <w:qFormat/>
    <w:uiPriority w:val="0"/>
    <w:pPr>
      <w:keepNext/>
      <w:keepLines/>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374"/>
    <w:qFormat/>
    <w:uiPriority w:val="0"/>
    <w:pPr>
      <w:keepNext/>
      <w:keepLines/>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372"/>
    <w:qFormat/>
    <w:uiPriority w:val="0"/>
    <w:pPr>
      <w:keepNext/>
      <w:keepLines/>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388"/>
    <w:qFormat/>
    <w:uiPriority w:val="0"/>
    <w:pPr>
      <w:keepNext/>
      <w:keepLines/>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1">
    <w:name w:val="Default Paragraph Font"/>
    <w:unhideWhenUsed/>
    <w:qFormat/>
    <w:uiPriority w:val="1"/>
  </w:style>
  <w:style w:type="table" w:default="1" w:styleId="49">
    <w:name w:val="Normal Table"/>
    <w:unhideWhenUsed/>
    <w:qFormat/>
    <w:uiPriority w:val="99"/>
    <w:tblPr>
      <w:tblCellMar>
        <w:top w:w="0" w:type="dxa"/>
        <w:left w:w="108" w:type="dxa"/>
        <w:bottom w:w="0" w:type="dxa"/>
        <w:right w:w="108" w:type="dxa"/>
      </w:tblCellMar>
    </w:tblPr>
  </w:style>
  <w:style w:type="paragraph" w:styleId="2">
    <w:name w:val="Body Text"/>
    <w:basedOn w:val="1"/>
    <w:link w:val="330"/>
    <w:qFormat/>
    <w:uiPriority w:val="1"/>
    <w:pPr>
      <w:spacing w:after="120"/>
    </w:pPr>
  </w:style>
  <w:style w:type="paragraph" w:styleId="12">
    <w:name w:val="List 3"/>
    <w:basedOn w:val="1"/>
    <w:qFormat/>
    <w:uiPriority w:val="0"/>
    <w:pPr>
      <w:ind w:left="100" w:leftChars="400" w:hanging="200" w:hangingChars="200"/>
    </w:pPr>
  </w:style>
  <w:style w:type="paragraph" w:styleId="13">
    <w:name w:val="toc 7"/>
    <w:basedOn w:val="1"/>
    <w:next w:val="1"/>
    <w:unhideWhenUsed/>
    <w:qFormat/>
    <w:uiPriority w:val="39"/>
    <w:pPr>
      <w:widowControl w:val="0"/>
      <w:spacing w:line="240" w:lineRule="auto"/>
      <w:ind w:left="2520" w:leftChars="1200" w:firstLine="0" w:firstLineChars="0"/>
    </w:pPr>
    <w:rPr>
      <w:rFonts w:ascii="等线" w:hAnsi="等线" w:eastAsia="等线" w:cs="Times New Roman"/>
      <w:szCs w:val="22"/>
    </w:rPr>
  </w:style>
  <w:style w:type="paragraph" w:styleId="14">
    <w:name w:val="Normal Indent"/>
    <w:basedOn w:val="1"/>
    <w:next w:val="2"/>
    <w:link w:val="395"/>
    <w:qFormat/>
    <w:uiPriority w:val="0"/>
  </w:style>
  <w:style w:type="paragraph" w:styleId="15">
    <w:name w:val="caption"/>
    <w:basedOn w:val="1"/>
    <w:next w:val="1"/>
    <w:qFormat/>
    <w:uiPriority w:val="0"/>
    <w:rPr>
      <w:rFonts w:ascii="Arial" w:hAnsi="Arial" w:eastAsia="黑体" w:cs="Arial"/>
      <w:sz w:val="20"/>
      <w:szCs w:val="20"/>
    </w:rPr>
  </w:style>
  <w:style w:type="paragraph" w:styleId="16">
    <w:name w:val="Document Map"/>
    <w:basedOn w:val="1"/>
    <w:link w:val="332"/>
    <w:qFormat/>
    <w:uiPriority w:val="99"/>
    <w:rPr>
      <w:rFonts w:ascii="宋体"/>
      <w:sz w:val="18"/>
      <w:szCs w:val="18"/>
    </w:rPr>
  </w:style>
  <w:style w:type="paragraph" w:styleId="17">
    <w:name w:val="toa heading"/>
    <w:basedOn w:val="1"/>
    <w:next w:val="1"/>
    <w:qFormat/>
    <w:uiPriority w:val="0"/>
    <w:pPr>
      <w:spacing w:before="120"/>
    </w:pPr>
    <w:rPr>
      <w:rFonts w:ascii="Arial" w:hAnsi="Arial"/>
      <w:b/>
      <w:bCs/>
    </w:rPr>
  </w:style>
  <w:style w:type="paragraph" w:styleId="18">
    <w:name w:val="annotation text"/>
    <w:basedOn w:val="1"/>
    <w:link w:val="340"/>
    <w:qFormat/>
    <w:uiPriority w:val="0"/>
    <w:pPr>
      <w:jc w:val="left"/>
    </w:pPr>
  </w:style>
  <w:style w:type="paragraph" w:styleId="19">
    <w:name w:val="Body Text 3"/>
    <w:basedOn w:val="1"/>
    <w:link w:val="397"/>
    <w:qFormat/>
    <w:uiPriority w:val="0"/>
    <w:rPr>
      <w:rFonts w:ascii="宋体"/>
      <w:sz w:val="24"/>
      <w:szCs w:val="20"/>
    </w:rPr>
  </w:style>
  <w:style w:type="paragraph" w:styleId="20">
    <w:name w:val="Body Text Indent"/>
    <w:basedOn w:val="1"/>
    <w:link w:val="314"/>
    <w:qFormat/>
    <w:uiPriority w:val="99"/>
    <w:pPr>
      <w:spacing w:after="120"/>
      <w:ind w:left="420" w:leftChars="200"/>
    </w:pPr>
  </w:style>
  <w:style w:type="paragraph" w:styleId="21">
    <w:name w:val="List 2"/>
    <w:basedOn w:val="1"/>
    <w:qFormat/>
    <w:uiPriority w:val="0"/>
    <w:pPr>
      <w:ind w:left="100" w:leftChars="200" w:hanging="200" w:hangingChars="200"/>
    </w:pPr>
  </w:style>
  <w:style w:type="paragraph" w:styleId="22">
    <w:name w:val="List Bullet 2"/>
    <w:basedOn w:val="1"/>
    <w:qFormat/>
    <w:uiPriority w:val="0"/>
    <w:pPr>
      <w:tabs>
        <w:tab w:val="left" w:pos="780"/>
      </w:tabs>
      <w:ind w:left="840" w:hanging="420"/>
    </w:pPr>
  </w:style>
  <w:style w:type="paragraph" w:styleId="23">
    <w:name w:val="toc 5"/>
    <w:basedOn w:val="1"/>
    <w:next w:val="1"/>
    <w:unhideWhenUsed/>
    <w:qFormat/>
    <w:uiPriority w:val="39"/>
    <w:pPr>
      <w:widowControl w:val="0"/>
      <w:spacing w:line="240" w:lineRule="auto"/>
      <w:ind w:left="1680" w:leftChars="800" w:firstLine="0" w:firstLineChars="0"/>
    </w:pPr>
    <w:rPr>
      <w:rFonts w:ascii="等线" w:hAnsi="等线" w:eastAsia="等线" w:cs="Times New Roman"/>
      <w:szCs w:val="22"/>
    </w:rPr>
  </w:style>
  <w:style w:type="paragraph" w:styleId="24">
    <w:name w:val="toc 3"/>
    <w:basedOn w:val="1"/>
    <w:next w:val="1"/>
    <w:qFormat/>
    <w:uiPriority w:val="39"/>
    <w:pPr>
      <w:ind w:left="940"/>
      <w:jc w:val="left"/>
    </w:pPr>
    <w:rPr>
      <w:rFonts w:ascii="宋体" w:hAnsi="宋体"/>
      <w:kern w:val="0"/>
      <w:szCs w:val="21"/>
      <w:lang w:eastAsia="en-US"/>
    </w:rPr>
  </w:style>
  <w:style w:type="paragraph" w:styleId="25">
    <w:name w:val="Plain Text"/>
    <w:basedOn w:val="1"/>
    <w:link w:val="358"/>
    <w:qFormat/>
    <w:uiPriority w:val="0"/>
    <w:rPr>
      <w:rFonts w:ascii="宋体" w:hAnsi="Courier New"/>
      <w:szCs w:val="21"/>
    </w:rPr>
  </w:style>
  <w:style w:type="paragraph" w:styleId="26">
    <w:name w:val="toc 8"/>
    <w:basedOn w:val="1"/>
    <w:next w:val="1"/>
    <w:unhideWhenUsed/>
    <w:qFormat/>
    <w:uiPriority w:val="39"/>
    <w:pPr>
      <w:widowControl w:val="0"/>
      <w:spacing w:line="240" w:lineRule="auto"/>
      <w:ind w:left="2940" w:leftChars="1400" w:firstLine="0" w:firstLineChars="0"/>
    </w:pPr>
    <w:rPr>
      <w:rFonts w:ascii="等线" w:hAnsi="等线" w:eastAsia="等线" w:cs="Times New Roman"/>
      <w:szCs w:val="22"/>
    </w:rPr>
  </w:style>
  <w:style w:type="paragraph" w:styleId="27">
    <w:name w:val="Date"/>
    <w:basedOn w:val="1"/>
    <w:next w:val="1"/>
    <w:link w:val="368"/>
    <w:qFormat/>
    <w:uiPriority w:val="99"/>
    <w:rPr>
      <w:sz w:val="24"/>
      <w:szCs w:val="20"/>
    </w:rPr>
  </w:style>
  <w:style w:type="paragraph" w:styleId="28">
    <w:name w:val="Body Text Indent 2"/>
    <w:basedOn w:val="1"/>
    <w:link w:val="339"/>
    <w:qFormat/>
    <w:uiPriority w:val="0"/>
    <w:pPr>
      <w:ind w:firstLine="640"/>
    </w:pPr>
    <w:rPr>
      <w:rFonts w:eastAsia="仿宋_GB2312"/>
      <w:sz w:val="32"/>
    </w:rPr>
  </w:style>
  <w:style w:type="paragraph" w:styleId="29">
    <w:name w:val="endnote text"/>
    <w:basedOn w:val="1"/>
    <w:link w:val="329"/>
    <w:qFormat/>
    <w:uiPriority w:val="0"/>
    <w:pPr>
      <w:jc w:val="left"/>
    </w:pPr>
    <w:rPr>
      <w:rFonts w:ascii="Courier" w:hAnsi="Courier" w:eastAsia="PMingLiU"/>
      <w:snapToGrid w:val="0"/>
      <w:kern w:val="0"/>
      <w:sz w:val="24"/>
      <w:szCs w:val="20"/>
      <w:lang w:val="en-AU" w:eastAsia="en-US"/>
    </w:rPr>
  </w:style>
  <w:style w:type="paragraph" w:styleId="30">
    <w:name w:val="Balloon Text"/>
    <w:basedOn w:val="1"/>
    <w:link w:val="319"/>
    <w:qFormat/>
    <w:uiPriority w:val="99"/>
    <w:rPr>
      <w:sz w:val="18"/>
      <w:szCs w:val="18"/>
    </w:rPr>
  </w:style>
  <w:style w:type="paragraph" w:styleId="31">
    <w:name w:val="footer"/>
    <w:basedOn w:val="1"/>
    <w:link w:val="385"/>
    <w:qFormat/>
    <w:uiPriority w:val="99"/>
    <w:pPr>
      <w:tabs>
        <w:tab w:val="center" w:pos="4153"/>
        <w:tab w:val="right" w:pos="8306"/>
      </w:tabs>
      <w:snapToGrid w:val="0"/>
      <w:jc w:val="left"/>
    </w:pPr>
    <w:rPr>
      <w:sz w:val="18"/>
      <w:szCs w:val="18"/>
    </w:rPr>
  </w:style>
  <w:style w:type="paragraph" w:styleId="32">
    <w:name w:val="header"/>
    <w:basedOn w:val="1"/>
    <w:link w:val="312"/>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34">
    <w:name w:val="toc 4"/>
    <w:basedOn w:val="1"/>
    <w:next w:val="1"/>
    <w:unhideWhenUsed/>
    <w:qFormat/>
    <w:uiPriority w:val="39"/>
    <w:pPr>
      <w:widowControl w:val="0"/>
      <w:spacing w:line="240" w:lineRule="auto"/>
      <w:ind w:left="1260" w:leftChars="600" w:firstLine="0" w:firstLineChars="0"/>
    </w:pPr>
    <w:rPr>
      <w:rFonts w:ascii="等线" w:hAnsi="等线" w:eastAsia="等线" w:cs="Times New Roman"/>
      <w:szCs w:val="22"/>
    </w:rPr>
  </w:style>
  <w:style w:type="paragraph" w:styleId="35">
    <w:name w:val="index heading"/>
    <w:basedOn w:val="1"/>
    <w:next w:val="36"/>
    <w:qFormat/>
    <w:uiPriority w:val="0"/>
    <w:pPr>
      <w:spacing w:before="120" w:after="120"/>
      <w:jc w:val="left"/>
    </w:pPr>
    <w:rPr>
      <w:b/>
      <w:bCs/>
      <w:i/>
      <w:iCs/>
      <w:sz w:val="20"/>
      <w:szCs w:val="20"/>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List"/>
    <w:basedOn w:val="1"/>
    <w:qFormat/>
    <w:uiPriority w:val="0"/>
    <w:pPr>
      <w:ind w:left="200" w:hanging="200" w:hangingChars="200"/>
    </w:pPr>
  </w:style>
  <w:style w:type="paragraph" w:styleId="38">
    <w:name w:val="footnote text"/>
    <w:basedOn w:val="1"/>
    <w:link w:val="347"/>
    <w:qFormat/>
    <w:uiPriority w:val="0"/>
    <w:pPr>
      <w:jc w:val="left"/>
    </w:pPr>
    <w:rPr>
      <w:rFonts w:ascii="Courier" w:hAnsi="Courier" w:eastAsia="PMingLiU"/>
      <w:snapToGrid w:val="0"/>
      <w:kern w:val="0"/>
      <w:sz w:val="24"/>
      <w:szCs w:val="20"/>
      <w:lang w:val="en-AU" w:eastAsia="en-US"/>
    </w:rPr>
  </w:style>
  <w:style w:type="paragraph" w:styleId="39">
    <w:name w:val="toc 6"/>
    <w:basedOn w:val="1"/>
    <w:next w:val="1"/>
    <w:unhideWhenUsed/>
    <w:qFormat/>
    <w:uiPriority w:val="39"/>
    <w:pPr>
      <w:widowControl w:val="0"/>
      <w:spacing w:line="240" w:lineRule="auto"/>
      <w:ind w:left="2100" w:leftChars="1000" w:firstLine="0" w:firstLineChars="0"/>
    </w:pPr>
    <w:rPr>
      <w:rFonts w:ascii="等线" w:hAnsi="等线" w:eastAsia="等线" w:cs="Times New Roman"/>
      <w:szCs w:val="22"/>
    </w:rPr>
  </w:style>
  <w:style w:type="paragraph" w:styleId="40">
    <w:name w:val="List 5"/>
    <w:basedOn w:val="1"/>
    <w:qFormat/>
    <w:uiPriority w:val="0"/>
    <w:pPr>
      <w:ind w:left="100" w:leftChars="800" w:hanging="200" w:hangingChars="200"/>
    </w:pPr>
  </w:style>
  <w:style w:type="paragraph" w:styleId="41">
    <w:name w:val="Body Text Indent 3"/>
    <w:basedOn w:val="1"/>
    <w:link w:val="324"/>
    <w:qFormat/>
    <w:uiPriority w:val="0"/>
    <w:pPr>
      <w:spacing w:after="120"/>
      <w:ind w:left="420" w:leftChars="200"/>
    </w:pPr>
    <w:rPr>
      <w:sz w:val="16"/>
      <w:szCs w:val="16"/>
    </w:rPr>
  </w:style>
  <w:style w:type="paragraph" w:styleId="42">
    <w:name w:val="toc 2"/>
    <w:basedOn w:val="1"/>
    <w:next w:val="1"/>
    <w:qFormat/>
    <w:uiPriority w:val="39"/>
    <w:pPr>
      <w:widowControl w:val="0"/>
      <w:kinsoku w:val="0"/>
      <w:overflowPunct w:val="0"/>
      <w:autoSpaceDE w:val="0"/>
      <w:autoSpaceDN w:val="0"/>
      <w:adjustRightInd w:val="0"/>
      <w:snapToGrid w:val="0"/>
      <w:jc w:val="left"/>
    </w:pPr>
    <w:rPr>
      <w:rFonts w:ascii="宋体" w:hAnsi="宋体"/>
      <w:kern w:val="0"/>
      <w:szCs w:val="21"/>
      <w:lang w:eastAsia="en-US"/>
    </w:rPr>
  </w:style>
  <w:style w:type="paragraph" w:styleId="43">
    <w:name w:val="toc 9"/>
    <w:basedOn w:val="1"/>
    <w:next w:val="1"/>
    <w:unhideWhenUsed/>
    <w:qFormat/>
    <w:uiPriority w:val="39"/>
    <w:pPr>
      <w:widowControl w:val="0"/>
      <w:spacing w:line="240" w:lineRule="auto"/>
      <w:ind w:left="3360" w:leftChars="1600" w:firstLine="0" w:firstLineChars="0"/>
    </w:pPr>
    <w:rPr>
      <w:rFonts w:ascii="等线" w:hAnsi="等线" w:eastAsia="等线" w:cs="Times New Roman"/>
      <w:szCs w:val="22"/>
    </w:rPr>
  </w:style>
  <w:style w:type="paragraph" w:styleId="44">
    <w:name w:val="Body Text 2"/>
    <w:basedOn w:val="1"/>
    <w:link w:val="337"/>
    <w:qFormat/>
    <w:uiPriority w:val="0"/>
    <w:pPr>
      <w:jc w:val="left"/>
    </w:pPr>
    <w:rPr>
      <w:rFonts w:ascii="楷体_GB2312" w:hAnsi="宋体" w:eastAsia="楷体_GB2312"/>
      <w:color w:val="000000"/>
      <w:kern w:val="0"/>
      <w:szCs w:val="21"/>
    </w:rPr>
  </w:style>
  <w:style w:type="paragraph" w:styleId="45">
    <w:name w:val="List 4"/>
    <w:basedOn w:val="1"/>
    <w:qFormat/>
    <w:uiPriority w:val="0"/>
    <w:pPr>
      <w:ind w:left="100" w:leftChars="600" w:hanging="200" w:hangingChars="200"/>
    </w:pPr>
  </w:style>
  <w:style w:type="paragraph" w:styleId="46">
    <w:name w:val="Normal (Web)"/>
    <w:basedOn w:val="1"/>
    <w:qFormat/>
    <w:uiPriority w:val="99"/>
    <w:pPr>
      <w:spacing w:before="100" w:beforeAutospacing="1" w:after="100" w:afterAutospacing="1" w:line="283" w:lineRule="atLeast"/>
      <w:jc w:val="left"/>
    </w:pPr>
    <w:rPr>
      <w:rFonts w:ascii="宋体" w:hAnsi="宋体"/>
      <w:color w:val="000000"/>
      <w:kern w:val="0"/>
      <w:sz w:val="19"/>
      <w:szCs w:val="19"/>
    </w:rPr>
  </w:style>
  <w:style w:type="paragraph" w:styleId="47">
    <w:name w:val="Title"/>
    <w:basedOn w:val="1"/>
    <w:link w:val="305"/>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8">
    <w:name w:val="annotation subject"/>
    <w:basedOn w:val="18"/>
    <w:next w:val="18"/>
    <w:link w:val="387"/>
    <w:qFormat/>
    <w:uiPriority w:val="99"/>
  </w:style>
  <w:style w:type="table" w:styleId="50">
    <w:name w:val="Table Grid"/>
    <w:basedOn w:val="49"/>
    <w:qFormat/>
    <w:uiPriority w:val="0"/>
    <w:pPr>
      <w:ind w:left="840" w:hanging="420"/>
      <w:jc w:val="both"/>
    </w:pPr>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qFormat/>
    <w:uiPriority w:val="22"/>
    <w:rPr>
      <w:b/>
      <w:bCs/>
    </w:rPr>
  </w:style>
  <w:style w:type="character" w:styleId="53">
    <w:name w:val="page number"/>
    <w:basedOn w:val="51"/>
    <w:qFormat/>
    <w:uiPriority w:val="0"/>
  </w:style>
  <w:style w:type="character" w:styleId="54">
    <w:name w:val="FollowedHyperlink"/>
    <w:basedOn w:val="51"/>
    <w:unhideWhenUsed/>
    <w:qFormat/>
    <w:uiPriority w:val="99"/>
    <w:rPr>
      <w:rFonts w:hint="eastAsia" w:ascii="微软雅黑" w:hAnsi="微软雅黑" w:eastAsia="微软雅黑" w:cs="微软雅黑"/>
      <w:color w:val="02396F"/>
      <w:u w:val="single"/>
    </w:rPr>
  </w:style>
  <w:style w:type="character" w:styleId="55">
    <w:name w:val="Emphasis"/>
    <w:qFormat/>
    <w:uiPriority w:val="20"/>
    <w:rPr>
      <w:color w:val="CC0000"/>
    </w:rPr>
  </w:style>
  <w:style w:type="character" w:styleId="56">
    <w:name w:val="Hyperlink"/>
    <w:basedOn w:val="51"/>
    <w:qFormat/>
    <w:uiPriority w:val="99"/>
    <w:rPr>
      <w:rFonts w:hint="eastAsia" w:ascii="微软雅黑" w:hAnsi="微软雅黑" w:eastAsia="微软雅黑" w:cs="微软雅黑"/>
      <w:color w:val="02396F"/>
      <w:u w:val="single"/>
    </w:rPr>
  </w:style>
  <w:style w:type="character" w:styleId="57">
    <w:name w:val="annotation reference"/>
    <w:qFormat/>
    <w:uiPriority w:val="99"/>
    <w:rPr>
      <w:sz w:val="21"/>
      <w:szCs w:val="21"/>
    </w:rPr>
  </w:style>
  <w:style w:type="paragraph" w:customStyle="1" w:styleId="58">
    <w:name w:val="标题 11"/>
    <w:basedOn w:val="1"/>
    <w:qFormat/>
    <w:uiPriority w:val="1"/>
    <w:pPr>
      <w:ind w:left="3"/>
      <w:jc w:val="left"/>
      <w:outlineLvl w:val="1"/>
    </w:pPr>
    <w:rPr>
      <w:rFonts w:ascii="Microsoft JhengHei" w:hAnsi="Microsoft JhengHei" w:eastAsia="Microsoft JhengHei"/>
      <w:b/>
      <w:bCs/>
      <w:kern w:val="0"/>
      <w:sz w:val="44"/>
      <w:szCs w:val="44"/>
      <w:lang w:eastAsia="en-US"/>
    </w:rPr>
  </w:style>
  <w:style w:type="paragraph" w:customStyle="1" w:styleId="59">
    <w:name w:val="font0"/>
    <w:basedOn w:val="1"/>
    <w:qFormat/>
    <w:uiPriority w:val="0"/>
    <w:pPr>
      <w:spacing w:before="100" w:beforeAutospacing="1" w:after="100" w:afterAutospacing="1"/>
      <w:jc w:val="left"/>
    </w:pPr>
    <w:rPr>
      <w:rFonts w:hint="eastAsia" w:ascii="宋体" w:hAnsi="宋体"/>
      <w:kern w:val="0"/>
      <w:sz w:val="24"/>
    </w:rPr>
  </w:style>
  <w:style w:type="paragraph" w:customStyle="1" w:styleId="60">
    <w:name w:val="目录 91"/>
    <w:basedOn w:val="1"/>
    <w:next w:val="1"/>
    <w:qFormat/>
    <w:uiPriority w:val="39"/>
    <w:pPr>
      <w:ind w:left="3360" w:leftChars="1600"/>
    </w:pPr>
    <w:rPr>
      <w:rFonts w:ascii="Calibri" w:hAnsi="Calibri"/>
      <w:szCs w:val="22"/>
    </w:rPr>
  </w:style>
  <w:style w:type="paragraph" w:customStyle="1" w:styleId="61">
    <w:name w:val="retrait1"/>
    <w:basedOn w:val="1"/>
    <w:qFormat/>
    <w:uiPriority w:val="0"/>
    <w:pPr>
      <w:spacing w:before="20" w:after="20"/>
      <w:ind w:left="284"/>
      <w:jc w:val="left"/>
    </w:pPr>
    <w:rPr>
      <w:rFonts w:ascii="Arial" w:hAnsi="Arial"/>
      <w:kern w:val="0"/>
      <w:sz w:val="24"/>
      <w:szCs w:val="20"/>
      <w:lang w:val="en-GB"/>
    </w:rPr>
  </w:style>
  <w:style w:type="paragraph" w:customStyle="1" w:styleId="62">
    <w:name w:val="样式 宋体 小四 段前: 5 磅 段后: 5 磅"/>
    <w:basedOn w:val="1"/>
    <w:qFormat/>
    <w:uiPriority w:val="0"/>
    <w:pPr>
      <w:spacing w:before="100" w:after="100"/>
      <w:ind w:left="2266" w:leftChars="200"/>
    </w:pPr>
    <w:rPr>
      <w:rFonts w:ascii="宋体" w:cs="宋体"/>
      <w:sz w:val="24"/>
      <w:szCs w:val="20"/>
    </w:rPr>
  </w:style>
  <w:style w:type="paragraph" w:customStyle="1" w:styleId="63">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64">
    <w:name w:val="样式3"/>
    <w:basedOn w:val="32"/>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65">
    <w:name w:val="USE 3"/>
    <w:basedOn w:val="1"/>
    <w:qFormat/>
    <w:uiPriority w:val="0"/>
    <w:pPr>
      <w:ind w:left="710" w:hanging="170"/>
      <w:jc w:val="left"/>
    </w:pPr>
    <w:rPr>
      <w:rFonts w:ascii="宋体" w:hAnsi="宋体"/>
      <w:sz w:val="24"/>
      <w:szCs w:val="20"/>
    </w:rPr>
  </w:style>
  <w:style w:type="paragraph" w:customStyle="1" w:styleId="66">
    <w:name w:val="xl49"/>
    <w:basedOn w:val="1"/>
    <w:qFormat/>
    <w:uiPriority w:val="0"/>
    <w:pPr>
      <w:pBdr>
        <w:top w:val="single" w:color="auto" w:sz="4"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67">
    <w:name w:val="Style 樣式 標題 3 + (中文) MS Gothic 10.5 點 + (Latin) Times New Roman (A..."/>
    <w:basedOn w:val="1"/>
    <w:qFormat/>
    <w:uiPriority w:val="0"/>
    <w:pPr>
      <w:keepNext/>
      <w:tabs>
        <w:tab w:val="left" w:pos="2098"/>
      </w:tabs>
      <w:ind w:left="1503" w:hanging="142"/>
      <w:outlineLvl w:val="2"/>
    </w:pPr>
    <w:rPr>
      <w:rFonts w:eastAsia="PMingLiU"/>
      <w:snapToGrid w:val="0"/>
      <w:sz w:val="24"/>
      <w:lang w:val="en-AU" w:eastAsia="zh-TW"/>
    </w:rPr>
  </w:style>
  <w:style w:type="paragraph" w:customStyle="1" w:styleId="68">
    <w:name w:val="xl34"/>
    <w:basedOn w:val="1"/>
    <w:qFormat/>
    <w:uiPriority w:val="0"/>
    <w:pPr>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69">
    <w:name w:val="xl47"/>
    <w:basedOn w:val="1"/>
    <w:qFormat/>
    <w:uiPriority w:val="0"/>
    <w:pPr>
      <w:pBdr>
        <w:bottom w:val="single" w:color="auto" w:sz="8" w:space="0"/>
      </w:pBdr>
      <w:spacing w:before="100" w:beforeAutospacing="1" w:after="100" w:afterAutospacing="1"/>
      <w:jc w:val="center"/>
      <w:textAlignment w:val="center"/>
    </w:pPr>
    <w:rPr>
      <w:rFonts w:hint="eastAsia" w:ascii="隶书" w:hAnsi="宋体" w:eastAsia="隶书"/>
      <w:kern w:val="0"/>
      <w:sz w:val="44"/>
      <w:szCs w:val="44"/>
    </w:rPr>
  </w:style>
  <w:style w:type="paragraph" w:customStyle="1" w:styleId="70">
    <w:name w:val="表格 Char"/>
    <w:basedOn w:val="1"/>
    <w:link w:val="359"/>
    <w:qFormat/>
    <w:uiPriority w:val="0"/>
    <w:pPr>
      <w:spacing w:before="100" w:beforeAutospacing="1" w:after="100" w:afterAutospacing="1"/>
      <w:jc w:val="center"/>
    </w:pPr>
    <w:rPr>
      <w:rFonts w:ascii="宋体" w:hAnsi="宋体"/>
      <w:szCs w:val="28"/>
    </w:rPr>
  </w:style>
  <w:style w:type="paragraph" w:customStyle="1" w:styleId="71">
    <w:name w:val="条文 4"/>
    <w:next w:val="1"/>
    <w:qFormat/>
    <w:uiPriority w:val="0"/>
    <w:pPr>
      <w:spacing w:after="160" w:line="310" w:lineRule="exact"/>
      <w:ind w:left="2520" w:hanging="420"/>
      <w:jc w:val="both"/>
    </w:pPr>
    <w:rPr>
      <w:rFonts w:ascii="Times New Roman" w:hAnsi="Times New Roman" w:eastAsia="黑体" w:cs="Times New Roman"/>
      <w:sz w:val="21"/>
      <w:lang w:val="en-US" w:eastAsia="zh-CN" w:bidi="ar-SA"/>
    </w:rPr>
  </w:style>
  <w:style w:type="paragraph" w:customStyle="1" w:styleId="72">
    <w:name w:val="Char Char Char"/>
    <w:basedOn w:val="1"/>
    <w:qFormat/>
    <w:uiPriority w:val="0"/>
    <w:rPr>
      <w:rFonts w:ascii="仿宋_GB2312" w:eastAsia="仿宋_GB2312"/>
      <w:b/>
      <w:sz w:val="32"/>
      <w:szCs w:val="32"/>
    </w:rPr>
  </w:style>
  <w:style w:type="paragraph" w:customStyle="1" w:styleId="73">
    <w:name w:val="cucd-TB"/>
    <w:qFormat/>
    <w:uiPriority w:val="0"/>
    <w:pPr>
      <w:spacing w:after="160" w:line="360" w:lineRule="auto"/>
      <w:ind w:firstLine="420"/>
      <w:jc w:val="center"/>
    </w:pPr>
    <w:rPr>
      <w:rFonts w:ascii="Times New Roman" w:hAnsi="Times New Roman" w:eastAsia="宋体" w:cs="Times New Roman"/>
      <w:kern w:val="2"/>
      <w:sz w:val="21"/>
      <w:szCs w:val="24"/>
      <w:lang w:val="en-US" w:eastAsia="zh-CN" w:bidi="ar-SA"/>
    </w:rPr>
  </w:style>
  <w:style w:type="paragraph" w:customStyle="1" w:styleId="74">
    <w:name w:val="合同书"/>
    <w:basedOn w:val="1"/>
    <w:qFormat/>
    <w:uiPriority w:val="0"/>
    <w:pPr>
      <w:jc w:val="center"/>
    </w:pPr>
    <w:rPr>
      <w:b/>
      <w:sz w:val="36"/>
      <w:szCs w:val="20"/>
    </w:rPr>
  </w:style>
  <w:style w:type="paragraph" w:customStyle="1" w:styleId="75">
    <w:name w:val="USE 4"/>
    <w:basedOn w:val="1"/>
    <w:qFormat/>
    <w:uiPriority w:val="0"/>
    <w:pPr>
      <w:ind w:left="104" w:hanging="227"/>
      <w:jc w:val="left"/>
    </w:pPr>
    <w:rPr>
      <w:rFonts w:ascii="宋体" w:hAnsi="宋体"/>
      <w:sz w:val="24"/>
      <w:szCs w:val="20"/>
    </w:rPr>
  </w:style>
  <w:style w:type="paragraph" w:customStyle="1" w:styleId="76">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77">
    <w:name w:val="Char1"/>
    <w:basedOn w:val="1"/>
    <w:qFormat/>
    <w:uiPriority w:val="0"/>
    <w:rPr>
      <w:rFonts w:ascii="仿宋_GB2312" w:eastAsia="仿宋_GB2312"/>
      <w:b/>
      <w:sz w:val="32"/>
      <w:szCs w:val="32"/>
    </w:rPr>
  </w:style>
  <w:style w:type="paragraph" w:customStyle="1" w:styleId="78">
    <w:name w:val="xl86"/>
    <w:basedOn w:val="1"/>
    <w:qFormat/>
    <w:uiPriority w:val="0"/>
    <w:pPr>
      <w:spacing w:before="100" w:beforeAutospacing="1" w:after="100" w:afterAutospacing="1"/>
      <w:jc w:val="center"/>
    </w:pPr>
    <w:rPr>
      <w:rFonts w:ascii="宋体" w:hAnsi="宋体" w:cs="宋体"/>
      <w:kern w:val="0"/>
      <w:sz w:val="24"/>
    </w:rPr>
  </w:style>
  <w:style w:type="paragraph" w:customStyle="1" w:styleId="79">
    <w:name w:val="font12"/>
    <w:basedOn w:val="1"/>
    <w:qFormat/>
    <w:uiPriority w:val="0"/>
    <w:pPr>
      <w:spacing w:before="100" w:beforeAutospacing="1" w:after="100" w:afterAutospacing="1"/>
      <w:jc w:val="left"/>
    </w:pPr>
    <w:rPr>
      <w:rFonts w:hint="eastAsia" w:ascii="宋体" w:hAnsi="宋体" w:cs="Arial Unicode MS"/>
      <w:b/>
      <w:bCs/>
      <w:color w:val="000000"/>
      <w:kern w:val="0"/>
      <w:sz w:val="16"/>
      <w:szCs w:val="16"/>
    </w:rPr>
  </w:style>
  <w:style w:type="paragraph" w:customStyle="1" w:styleId="80">
    <w:name w:val="样式 宋体 小四 首行缩进:  0.93 厘米 段前: 11.15 磅 段后: 11.15 磅1"/>
    <w:basedOn w:val="81"/>
    <w:next w:val="81"/>
    <w:qFormat/>
    <w:uiPriority w:val="99"/>
    <w:rPr>
      <w:rFonts w:ascii="宋体"/>
      <w:color w:val="auto"/>
    </w:rPr>
  </w:style>
  <w:style w:type="paragraph" w:customStyle="1" w:styleId="81">
    <w:name w:val="Default"/>
    <w:qFormat/>
    <w:uiPriority w:val="0"/>
    <w:pPr>
      <w:widowControl w:val="0"/>
      <w:autoSpaceDE w:val="0"/>
      <w:autoSpaceDN w:val="0"/>
      <w:adjustRightInd w:val="0"/>
      <w:spacing w:after="160"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82">
    <w:name w:val="font7"/>
    <w:basedOn w:val="1"/>
    <w:qFormat/>
    <w:uiPriority w:val="0"/>
    <w:pPr>
      <w:spacing w:before="100" w:beforeAutospacing="1" w:after="100" w:afterAutospacing="1"/>
      <w:jc w:val="left"/>
    </w:pPr>
    <w:rPr>
      <w:kern w:val="0"/>
      <w:sz w:val="20"/>
      <w:szCs w:val="20"/>
    </w:rPr>
  </w:style>
  <w:style w:type="paragraph" w:customStyle="1" w:styleId="83">
    <w:name w:val="xl95"/>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84">
    <w:name w:val="批注框文本 Char Char"/>
    <w:basedOn w:val="1"/>
    <w:qFormat/>
    <w:uiPriority w:val="0"/>
    <w:rPr>
      <w:sz w:val="18"/>
      <w:szCs w:val="20"/>
    </w:rPr>
  </w:style>
  <w:style w:type="paragraph" w:customStyle="1" w:styleId="85">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86">
    <w:name w:val="样式1"/>
    <w:basedOn w:val="32"/>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87">
    <w:name w:val="xl35"/>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88">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89">
    <w:name w:val="正文首行缩进1"/>
    <w:basedOn w:val="2"/>
    <w:link w:val="321"/>
    <w:qFormat/>
    <w:uiPriority w:val="0"/>
    <w:pPr>
      <w:ind w:firstLine="100" w:firstLineChars="100"/>
    </w:pPr>
  </w:style>
  <w:style w:type="paragraph" w:customStyle="1" w:styleId="90">
    <w:name w:val="Char Char Char Char Char Char Char Char Char Char Char Char Char1"/>
    <w:basedOn w:val="1"/>
    <w:qFormat/>
    <w:uiPriority w:val="0"/>
    <w:rPr>
      <w:rFonts w:ascii="仿宋_GB2312" w:eastAsia="仿宋_GB2312"/>
      <w:b/>
      <w:sz w:val="32"/>
      <w:szCs w:val="32"/>
    </w:rPr>
  </w:style>
  <w:style w:type="paragraph" w:customStyle="1" w:styleId="91">
    <w:name w:val="xl93"/>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92">
    <w:name w:val="目录 11"/>
    <w:basedOn w:val="1"/>
    <w:next w:val="1"/>
    <w:qFormat/>
    <w:uiPriority w:val="39"/>
    <w:pPr>
      <w:tabs>
        <w:tab w:val="right" w:leader="dot" w:pos="8296"/>
      </w:tabs>
      <w:ind w:left="850" w:leftChars="1" w:hanging="848" w:hangingChars="404"/>
      <w:jc w:val="center"/>
    </w:pPr>
  </w:style>
  <w:style w:type="paragraph" w:customStyle="1" w:styleId="93">
    <w:name w:val="xl53"/>
    <w:basedOn w:val="1"/>
    <w:qFormat/>
    <w:uiPriority w:val="0"/>
    <w:pPr>
      <w:spacing w:before="100" w:beforeAutospacing="1" w:after="100" w:afterAutospacing="1"/>
      <w:jc w:val="left"/>
    </w:pPr>
    <w:rPr>
      <w:rFonts w:hint="eastAsia" w:ascii="黑体" w:hAnsi="宋体" w:eastAsia="黑体"/>
      <w:kern w:val="0"/>
      <w:sz w:val="24"/>
    </w:rPr>
  </w:style>
  <w:style w:type="paragraph" w:customStyle="1" w:styleId="94">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95">
    <w:name w:val="Char Char Char1"/>
    <w:basedOn w:val="1"/>
    <w:link w:val="296"/>
    <w:qFormat/>
    <w:uiPriority w:val="0"/>
    <w:rPr>
      <w:rFonts w:ascii="仿宋_GB2312" w:eastAsia="仿宋_GB2312"/>
      <w:b/>
      <w:sz w:val="32"/>
      <w:szCs w:val="32"/>
    </w:rPr>
  </w:style>
  <w:style w:type="paragraph" w:customStyle="1" w:styleId="96">
    <w:name w:val="xl79"/>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7">
    <w:name w:val="Char Char Char Char"/>
    <w:basedOn w:val="1"/>
    <w:qFormat/>
    <w:uiPriority w:val="0"/>
    <w:pPr>
      <w:tabs>
        <w:tab w:val="left" w:pos="360"/>
      </w:tabs>
    </w:pPr>
    <w:rPr>
      <w:sz w:val="24"/>
    </w:rPr>
  </w:style>
  <w:style w:type="paragraph" w:customStyle="1" w:styleId="98">
    <w:name w:val="我的目录"/>
    <w:basedOn w:val="92"/>
    <w:qFormat/>
    <w:uiPriority w:val="0"/>
    <w:pPr>
      <w:tabs>
        <w:tab w:val="right" w:leader="dot" w:pos="8820"/>
        <w:tab w:val="clear" w:pos="8296"/>
      </w:tabs>
      <w:spacing w:before="120" w:after="120" w:line="240" w:lineRule="auto"/>
      <w:ind w:left="0" w:leftChars="0" w:firstLine="0" w:firstLineChars="0"/>
      <w:jc w:val="left"/>
    </w:pPr>
    <w:rPr>
      <w:b/>
      <w:caps/>
      <w:sz w:val="20"/>
      <w:szCs w:val="20"/>
    </w:rPr>
  </w:style>
  <w:style w:type="paragraph" w:customStyle="1" w:styleId="99">
    <w:name w:val="xl39"/>
    <w:basedOn w:val="1"/>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0">
    <w:name w:val="font5"/>
    <w:basedOn w:val="1"/>
    <w:qFormat/>
    <w:uiPriority w:val="0"/>
    <w:pPr>
      <w:spacing w:before="100" w:beforeAutospacing="1" w:after="100" w:afterAutospacing="1"/>
      <w:jc w:val="left"/>
    </w:pPr>
    <w:rPr>
      <w:rFonts w:ascii="宋体" w:hAnsi="宋体" w:cs="宋体"/>
      <w:kern w:val="0"/>
      <w:sz w:val="18"/>
      <w:szCs w:val="18"/>
    </w:rPr>
  </w:style>
  <w:style w:type="paragraph" w:customStyle="1" w:styleId="101">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0"/>
      <w:szCs w:val="20"/>
    </w:rPr>
  </w:style>
  <w:style w:type="paragraph" w:customStyle="1" w:styleId="102">
    <w:name w:val="样式 纯文本 + 居中 行距: 最小值 9 磅"/>
    <w:basedOn w:val="25"/>
    <w:qFormat/>
    <w:uiPriority w:val="0"/>
    <w:pPr>
      <w:spacing w:line="180" w:lineRule="atLeast"/>
      <w:jc w:val="left"/>
    </w:pPr>
    <w:rPr>
      <w:rFonts w:cs="宋体"/>
      <w:sz w:val="24"/>
      <w:szCs w:val="20"/>
    </w:rPr>
  </w:style>
  <w:style w:type="paragraph" w:customStyle="1" w:styleId="103">
    <w:name w:val="Char"/>
    <w:basedOn w:val="1"/>
    <w:qFormat/>
    <w:uiPriority w:val="0"/>
    <w:pPr>
      <w:tabs>
        <w:tab w:val="left" w:pos="360"/>
      </w:tabs>
    </w:pPr>
    <w:rPr>
      <w:sz w:val="24"/>
    </w:rPr>
  </w:style>
  <w:style w:type="paragraph" w:customStyle="1" w:styleId="104">
    <w:name w:val="xl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05">
    <w:name w:val="Char Char Char Char Char Char Char Char Char Char Char Char Char"/>
    <w:basedOn w:val="1"/>
    <w:qFormat/>
    <w:uiPriority w:val="0"/>
    <w:rPr>
      <w:rFonts w:ascii="仿宋_GB2312" w:eastAsia="仿宋_GB2312"/>
      <w:b/>
      <w:sz w:val="32"/>
      <w:szCs w:val="32"/>
    </w:rPr>
  </w:style>
  <w:style w:type="paragraph" w:customStyle="1" w:styleId="106">
    <w:name w:val="目录 41"/>
    <w:basedOn w:val="1"/>
    <w:next w:val="1"/>
    <w:qFormat/>
    <w:uiPriority w:val="39"/>
    <w:pPr>
      <w:ind w:left="1260" w:leftChars="600"/>
    </w:pPr>
    <w:rPr>
      <w:rFonts w:ascii="Calibri" w:hAnsi="Calibri"/>
      <w:szCs w:val="22"/>
    </w:rPr>
  </w:style>
  <w:style w:type="paragraph" w:customStyle="1" w:styleId="107">
    <w:name w:val="wuff32"/>
    <w:basedOn w:val="25"/>
    <w:qFormat/>
    <w:uiPriority w:val="0"/>
    <w:pPr>
      <w:jc w:val="center"/>
    </w:pPr>
    <w:rPr>
      <w:rFonts w:ascii="黑体" w:eastAsia="黑体"/>
      <w:sz w:val="24"/>
      <w:szCs w:val="20"/>
    </w:rPr>
  </w:style>
  <w:style w:type="paragraph" w:customStyle="1" w:styleId="108">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09">
    <w:name w:val="PlainText"/>
    <w:basedOn w:val="1"/>
    <w:qFormat/>
    <w:uiPriority w:val="0"/>
    <w:pPr>
      <w:textAlignment w:val="baseline"/>
    </w:pPr>
    <w:rPr>
      <w:rFonts w:ascii="宋体" w:hAnsi="Calibri"/>
      <w:szCs w:val="21"/>
    </w:rPr>
  </w:style>
  <w:style w:type="paragraph" w:customStyle="1" w:styleId="110">
    <w:name w:val="样式 宋体 小四 黑色 左 行距: 1.5 倍行距1"/>
    <w:basedOn w:val="1"/>
    <w:qFormat/>
    <w:uiPriority w:val="0"/>
    <w:pPr>
      <w:jc w:val="left"/>
    </w:pPr>
    <w:rPr>
      <w:rFonts w:ascii="宋体" w:hAnsi="宋体" w:cs="宋体"/>
      <w:color w:val="000000"/>
      <w:sz w:val="24"/>
      <w:szCs w:val="20"/>
    </w:rPr>
  </w:style>
  <w:style w:type="paragraph" w:customStyle="1" w:styleId="111">
    <w:name w:val="font13"/>
    <w:basedOn w:val="1"/>
    <w:qFormat/>
    <w:uiPriority w:val="0"/>
    <w:pPr>
      <w:spacing w:before="100" w:beforeAutospacing="1" w:after="100" w:afterAutospacing="1"/>
      <w:jc w:val="left"/>
    </w:pPr>
    <w:rPr>
      <w:rFonts w:hint="eastAsia" w:ascii="宋体" w:hAnsi="宋体" w:cs="Arial Unicode MS"/>
      <w:color w:val="000000"/>
      <w:kern w:val="0"/>
      <w:sz w:val="18"/>
      <w:szCs w:val="18"/>
    </w:rPr>
  </w:style>
  <w:style w:type="paragraph" w:customStyle="1" w:styleId="112">
    <w:name w:val="xl97"/>
    <w:basedOn w:val="1"/>
    <w:qFormat/>
    <w:uiPriority w:val="0"/>
    <w:pPr>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13">
    <w:name w:val="_Style 112"/>
    <w:semiHidden/>
    <w:qFormat/>
    <w:uiPriority w:val="99"/>
    <w:pPr>
      <w:spacing w:after="160" w:line="259" w:lineRule="auto"/>
    </w:pPr>
    <w:rPr>
      <w:rFonts w:ascii="Times New Roman" w:hAnsi="Times New Roman" w:eastAsia="宋体" w:cs="Times New Roman"/>
      <w:kern w:val="2"/>
      <w:sz w:val="21"/>
      <w:szCs w:val="24"/>
      <w:lang w:val="en-US" w:eastAsia="zh-CN" w:bidi="ar-SA"/>
    </w:rPr>
  </w:style>
  <w:style w:type="paragraph" w:customStyle="1" w:styleId="114">
    <w:name w:val="样式 标题 2 + (西文) Times New Roman (中文) 仿宋_GB2312 居中 段前: 6 磅 段后:..."/>
    <w:basedOn w:val="5"/>
    <w:qFormat/>
    <w:uiPriority w:val="0"/>
    <w:pPr>
      <w:spacing w:before="120" w:after="120"/>
      <w:jc w:val="left"/>
    </w:pPr>
    <w:rPr>
      <w:rFonts w:ascii="Times New Roman" w:hAnsi="Times New Roman" w:eastAsia="仿宋_GB2312" w:cs="宋体"/>
      <w:szCs w:val="20"/>
    </w:rPr>
  </w:style>
  <w:style w:type="paragraph" w:customStyle="1" w:styleId="115">
    <w:name w:val="目录 21"/>
    <w:basedOn w:val="1"/>
    <w:next w:val="1"/>
    <w:qFormat/>
    <w:uiPriority w:val="39"/>
    <w:pPr>
      <w:tabs>
        <w:tab w:val="right" w:leader="dot" w:pos="8295"/>
      </w:tabs>
      <w:ind w:left="205" w:leftChars="205"/>
    </w:pPr>
  </w:style>
  <w:style w:type="paragraph" w:customStyle="1" w:styleId="116">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17">
    <w:name w:val="xl100"/>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18">
    <w:name w:val="样式 标题 3 + 黑色"/>
    <w:basedOn w:val="4"/>
    <w:link w:val="342"/>
    <w:qFormat/>
    <w:uiPriority w:val="0"/>
    <w:pPr>
      <w:keepNext w:val="0"/>
      <w:keepLines w:val="0"/>
      <w:tabs>
        <w:tab w:val="left" w:pos="1200"/>
        <w:tab w:val="left" w:pos="1260"/>
      </w:tabs>
      <w:spacing w:before="0" w:after="0"/>
      <w:ind w:left="1200" w:hanging="1200" w:hangingChars="500"/>
    </w:pPr>
    <w:rPr>
      <w:b/>
      <w:bCs/>
      <w:color w:val="FF0000"/>
      <w:szCs w:val="20"/>
    </w:rPr>
  </w:style>
  <w:style w:type="paragraph" w:customStyle="1" w:styleId="11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20">
    <w:name w:val="xl36"/>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21">
    <w:name w:val="Char2 Char Char Char"/>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122">
    <w:name w:val="Tétière"/>
    <w:basedOn w:val="1"/>
    <w:qFormat/>
    <w:uiPriority w:val="0"/>
    <w:pPr>
      <w:spacing w:before="60" w:after="60"/>
      <w:jc w:val="center"/>
    </w:pPr>
    <w:rPr>
      <w:rFonts w:ascii="Arial" w:hAnsi="Arial"/>
      <w:b/>
      <w:kern w:val="0"/>
      <w:sz w:val="16"/>
      <w:szCs w:val="20"/>
      <w:lang w:val="en-GB"/>
    </w:rPr>
  </w:style>
  <w:style w:type="paragraph" w:customStyle="1" w:styleId="123">
    <w:name w:val="xl94"/>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24">
    <w:name w:val="Char Char Char Char Char Char Char Char Char Char Char Char Char Char Char Char Char Char Char Char Char Char Char Char2 Char"/>
    <w:basedOn w:val="1"/>
    <w:qFormat/>
    <w:uiPriority w:val="0"/>
    <w:pPr>
      <w:spacing w:after="160" w:line="240" w:lineRule="exact"/>
      <w:jc w:val="center"/>
    </w:pPr>
    <w:rPr>
      <w:rFonts w:ascii="黑体" w:hAnsi="Verdana" w:eastAsia="黑体"/>
      <w:kern w:val="0"/>
      <w:sz w:val="32"/>
      <w:szCs w:val="32"/>
      <w:lang w:eastAsia="en-US"/>
    </w:rPr>
  </w:style>
  <w:style w:type="paragraph" w:customStyle="1" w:styleId="125">
    <w:name w:val="font10"/>
    <w:basedOn w:val="1"/>
    <w:qFormat/>
    <w:uiPriority w:val="0"/>
    <w:pPr>
      <w:spacing w:before="100" w:beforeAutospacing="1" w:after="100" w:afterAutospacing="1"/>
      <w:jc w:val="left"/>
    </w:pPr>
    <w:rPr>
      <w:rFonts w:eastAsia="Arial Unicode MS"/>
      <w:color w:val="FF0000"/>
      <w:kern w:val="0"/>
      <w:sz w:val="20"/>
      <w:szCs w:val="20"/>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目录 31"/>
    <w:basedOn w:val="1"/>
    <w:next w:val="1"/>
    <w:qFormat/>
    <w:uiPriority w:val="39"/>
    <w:pPr>
      <w:ind w:left="840" w:leftChars="400"/>
    </w:pPr>
  </w:style>
  <w:style w:type="paragraph" w:customStyle="1" w:styleId="128">
    <w:name w:val="孙（1）"/>
    <w:qFormat/>
    <w:uiPriority w:val="0"/>
    <w:pPr>
      <w:spacing w:before="100" w:after="100" w:line="360" w:lineRule="auto"/>
      <w:ind w:firstLine="420"/>
      <w:jc w:val="both"/>
      <w:outlineLvl w:val="1"/>
    </w:pPr>
    <w:rPr>
      <w:rFonts w:ascii="Times New Roman" w:hAnsi="Times New Roman" w:eastAsia="宋体" w:cs="Times New Roman"/>
      <w:b/>
      <w:sz w:val="24"/>
      <w:szCs w:val="24"/>
      <w:lang w:val="en-US" w:eastAsia="zh-CN" w:bidi="ar-SA"/>
    </w:rPr>
  </w:style>
  <w:style w:type="paragraph" w:customStyle="1" w:styleId="129">
    <w:name w:val="标题2"/>
    <w:basedOn w:val="3"/>
    <w:qFormat/>
    <w:uiPriority w:val="0"/>
    <w:pPr>
      <w:spacing w:before="0" w:after="0" w:line="312" w:lineRule="auto"/>
      <w:jc w:val="center"/>
    </w:pPr>
    <w:rPr>
      <w:rFonts w:ascii="宋体"/>
      <w:bCs w:val="0"/>
      <w:sz w:val="30"/>
      <w:szCs w:val="20"/>
    </w:rPr>
  </w:style>
  <w:style w:type="paragraph" w:customStyle="1" w:styleId="130">
    <w:name w:val="条文 3"/>
    <w:next w:val="1"/>
    <w:qFormat/>
    <w:uiPriority w:val="0"/>
    <w:pPr>
      <w:spacing w:after="160" w:line="310" w:lineRule="exact"/>
      <w:ind w:left="1680" w:hanging="420"/>
      <w:jc w:val="both"/>
    </w:pPr>
    <w:rPr>
      <w:rFonts w:ascii="Times New Roman" w:hAnsi="Times New Roman" w:eastAsia="黑体" w:cs="Times New Roman"/>
      <w:sz w:val="21"/>
      <w:lang w:val="en-US" w:eastAsia="zh-CN" w:bidi="ar-SA"/>
    </w:rPr>
  </w:style>
  <w:style w:type="paragraph" w:customStyle="1" w:styleId="131">
    <w:name w:val="font11"/>
    <w:basedOn w:val="1"/>
    <w:qFormat/>
    <w:uiPriority w:val="0"/>
    <w:pPr>
      <w:spacing w:before="100" w:beforeAutospacing="1" w:after="100" w:afterAutospacing="1"/>
      <w:jc w:val="left"/>
    </w:pPr>
    <w:rPr>
      <w:rFonts w:hint="eastAsia" w:ascii="宋体" w:hAnsi="宋体" w:cs="Arial Unicode MS"/>
      <w:color w:val="000000"/>
      <w:kern w:val="0"/>
      <w:sz w:val="16"/>
      <w:szCs w:val="16"/>
    </w:rPr>
  </w:style>
  <w:style w:type="paragraph" w:customStyle="1" w:styleId="132">
    <w:name w:val="xl91"/>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33">
    <w:name w:val="xl33"/>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34">
    <w:name w:val="Char Char Char Char Char Char Char Char Char Char Char Char"/>
    <w:basedOn w:val="1"/>
    <w:qFormat/>
    <w:uiPriority w:val="0"/>
    <w:rPr>
      <w:rFonts w:ascii="Tahoma" w:hAnsi="Tahoma"/>
      <w:sz w:val="24"/>
      <w:szCs w:val="20"/>
    </w:rPr>
  </w:style>
  <w:style w:type="paragraph" w:customStyle="1" w:styleId="135">
    <w:name w:val="文件正文"/>
    <w:basedOn w:val="1"/>
    <w:qFormat/>
    <w:uiPriority w:val="0"/>
    <w:pPr>
      <w:ind w:firstLine="480"/>
    </w:pPr>
    <w:rPr>
      <w:rFonts w:eastAsia="仿宋_GB2312"/>
      <w:sz w:val="24"/>
      <w:szCs w:val="20"/>
    </w:rPr>
  </w:style>
  <w:style w:type="paragraph" w:customStyle="1" w:styleId="136">
    <w:name w:val="样式 (西文) 宋体 行距: 1.5 倍行距"/>
    <w:basedOn w:val="1"/>
    <w:qFormat/>
    <w:uiPriority w:val="0"/>
    <w:rPr>
      <w:rFonts w:ascii="宋体" w:hAnsi="宋体" w:cs="宋体"/>
      <w:szCs w:val="20"/>
    </w:rPr>
  </w:style>
  <w:style w:type="paragraph" w:customStyle="1" w:styleId="137">
    <w:name w:val="xl51"/>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38">
    <w:name w:val="重点"/>
    <w:basedOn w:val="1"/>
    <w:qFormat/>
    <w:uiPriority w:val="0"/>
    <w:pPr>
      <w:tabs>
        <w:tab w:val="left" w:pos="0"/>
        <w:tab w:val="left" w:pos="420"/>
      </w:tabs>
      <w:adjustRightInd w:val="0"/>
      <w:snapToGrid w:val="0"/>
      <w:spacing w:line="560" w:lineRule="atLeast"/>
      <w:ind w:left="420" w:hanging="420"/>
    </w:pPr>
    <w:rPr>
      <w:kern w:val="24"/>
      <w:sz w:val="30"/>
      <w:szCs w:val="20"/>
    </w:rPr>
  </w:style>
  <w:style w:type="paragraph" w:customStyle="1" w:styleId="139">
    <w:name w:val="样式 表格 + 加粗"/>
    <w:basedOn w:val="70"/>
    <w:qFormat/>
    <w:uiPriority w:val="0"/>
    <w:rPr>
      <w:b/>
      <w:bCs/>
    </w:rPr>
  </w:style>
  <w:style w:type="paragraph" w:customStyle="1" w:styleId="140">
    <w:name w:val="青岛标题3"/>
    <w:basedOn w:val="4"/>
    <w:qFormat/>
    <w:uiPriority w:val="0"/>
    <w:pPr>
      <w:spacing w:line="500" w:lineRule="exact"/>
      <w:jc w:val="left"/>
      <w:outlineLvl w:val="1"/>
    </w:pPr>
  </w:style>
  <w:style w:type="paragraph" w:customStyle="1" w:styleId="141">
    <w:name w:val="xl66"/>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42">
    <w:name w:val="修订1"/>
    <w:qFormat/>
    <w:uiPriority w:val="99"/>
    <w:pPr>
      <w:spacing w:after="160"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143">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44">
    <w:name w:val="333"/>
    <w:basedOn w:val="1"/>
    <w:qFormat/>
    <w:uiPriority w:val="0"/>
    <w:pPr>
      <w:tabs>
        <w:tab w:val="left" w:pos="9083"/>
      </w:tabs>
      <w:wordWrap w:val="0"/>
      <w:spacing w:beforeLines="50" w:afterLines="50"/>
      <w:ind w:right="1106"/>
    </w:pPr>
    <w:rPr>
      <w:rFonts w:ascii="宋体" w:hAnsi="宋体" w:cs="宋体"/>
      <w:sz w:val="24"/>
    </w:rPr>
  </w:style>
  <w:style w:type="paragraph" w:customStyle="1" w:styleId="145">
    <w:name w:val="xl61"/>
    <w:basedOn w:val="1"/>
    <w:qFormat/>
    <w:uiPriority w:val="0"/>
    <w:pPr>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146">
    <w:name w:val="Char Char Char Char Char Char Char Char Char Char Char Char1 Char"/>
    <w:basedOn w:val="16"/>
    <w:qFormat/>
    <w:uiPriority w:val="0"/>
    <w:pPr>
      <w:shd w:val="clear" w:color="auto" w:fill="000080"/>
    </w:pPr>
    <w:rPr>
      <w:rFonts w:ascii="Times New Roman"/>
      <w:sz w:val="21"/>
      <w:szCs w:val="20"/>
    </w:rPr>
  </w:style>
  <w:style w:type="paragraph" w:customStyle="1" w:styleId="147">
    <w:name w:val="目录 61"/>
    <w:basedOn w:val="1"/>
    <w:next w:val="1"/>
    <w:qFormat/>
    <w:uiPriority w:val="39"/>
    <w:pPr>
      <w:ind w:left="2100" w:leftChars="1000"/>
    </w:pPr>
    <w:rPr>
      <w:rFonts w:ascii="Calibri" w:hAnsi="Calibri"/>
      <w:szCs w:val="22"/>
    </w:rPr>
  </w:style>
  <w:style w:type="paragraph" w:customStyle="1" w:styleId="148">
    <w:name w:val="xl96"/>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149">
    <w:name w:val="一、"/>
    <w:next w:val="89"/>
    <w:qFormat/>
    <w:uiPriority w:val="0"/>
    <w:pPr>
      <w:tabs>
        <w:tab w:val="left" w:pos="360"/>
      </w:tabs>
      <w:spacing w:before="240" w:after="240" w:line="360" w:lineRule="auto"/>
      <w:ind w:firstLine="420"/>
      <w:jc w:val="both"/>
    </w:pPr>
    <w:rPr>
      <w:rFonts w:ascii="Times New Roman" w:hAnsi="Times New Roman" w:eastAsia="黑体" w:cs="Times New Roman"/>
      <w:sz w:val="28"/>
      <w:lang w:val="en-US" w:eastAsia="zh-CN" w:bidi="ar-SA"/>
    </w:rPr>
  </w:style>
  <w:style w:type="paragraph" w:customStyle="1" w:styleId="150">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51">
    <w:name w:val="Char Char Char Char Char Char Char Char Char Char"/>
    <w:basedOn w:val="1"/>
    <w:qFormat/>
    <w:uiPriority w:val="0"/>
    <w:rPr>
      <w:rFonts w:ascii="Tahoma" w:hAnsi="Tahoma" w:cs="仿宋_GB2312"/>
      <w:sz w:val="24"/>
      <w:szCs w:val="20"/>
    </w:rPr>
  </w:style>
  <w:style w:type="paragraph" w:customStyle="1" w:styleId="152">
    <w:name w:val="xl8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53">
    <w:name w:val="xl81"/>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kern w:val="0"/>
      <w:szCs w:val="21"/>
    </w:rPr>
  </w:style>
  <w:style w:type="paragraph" w:customStyle="1" w:styleId="154">
    <w:name w:val="xl43"/>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5">
    <w:name w:val="Char Char Char Char Char1 Char"/>
    <w:basedOn w:val="1"/>
    <w:qFormat/>
    <w:uiPriority w:val="0"/>
    <w:pPr>
      <w:adjustRightInd w:val="0"/>
    </w:pPr>
    <w:rPr>
      <w:rFonts w:eastAsia="黑体"/>
      <w:spacing w:val="20"/>
      <w:sz w:val="32"/>
      <w:szCs w:val="32"/>
    </w:rPr>
  </w:style>
  <w:style w:type="paragraph" w:customStyle="1" w:styleId="156">
    <w:name w:val="备注"/>
    <w:basedOn w:val="1"/>
    <w:qFormat/>
    <w:uiPriority w:val="0"/>
    <w:pPr>
      <w:tabs>
        <w:tab w:val="left" w:pos="547"/>
        <w:tab w:val="left" w:pos="990"/>
        <w:tab w:val="left" w:pos="1350"/>
      </w:tabs>
      <w:spacing w:line="400" w:lineRule="atLeast"/>
    </w:pPr>
    <w:rPr>
      <w:szCs w:val="21"/>
    </w:rPr>
  </w:style>
  <w:style w:type="paragraph" w:customStyle="1" w:styleId="157">
    <w:name w:val="正文段"/>
    <w:basedOn w:val="1"/>
    <w:qFormat/>
    <w:uiPriority w:val="0"/>
    <w:pPr>
      <w:snapToGrid w:val="0"/>
      <w:spacing w:afterLines="50"/>
    </w:pPr>
    <w:rPr>
      <w:kern w:val="0"/>
      <w:sz w:val="24"/>
      <w:szCs w:val="20"/>
    </w:rPr>
  </w:style>
  <w:style w:type="paragraph" w:customStyle="1" w:styleId="158">
    <w:name w:val="USE 5"/>
    <w:basedOn w:val="1"/>
    <w:qFormat/>
    <w:uiPriority w:val="0"/>
    <w:pPr>
      <w:ind w:left="217" w:hanging="340"/>
      <w:jc w:val="left"/>
    </w:pPr>
    <w:rPr>
      <w:rFonts w:ascii="宋体" w:hAnsi="宋体"/>
      <w:sz w:val="24"/>
    </w:rPr>
  </w:style>
  <w:style w:type="paragraph" w:customStyle="1" w:styleId="159">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paragraph" w:customStyle="1" w:styleId="160">
    <w:name w:val="条文 表"/>
    <w:next w:val="1"/>
    <w:qFormat/>
    <w:uiPriority w:val="0"/>
    <w:pPr>
      <w:spacing w:after="160" w:line="360" w:lineRule="auto"/>
      <w:ind w:left="3360" w:hanging="420"/>
      <w:jc w:val="center"/>
    </w:pPr>
    <w:rPr>
      <w:rFonts w:ascii="Times New Roman" w:hAnsi="Times New Roman" w:eastAsia="黑体" w:cs="Times New Roman"/>
      <w:sz w:val="21"/>
      <w:lang w:val="en-US" w:eastAsia="zh-CN" w:bidi="ar-SA"/>
    </w:rPr>
  </w:style>
  <w:style w:type="paragraph" w:customStyle="1" w:styleId="161">
    <w:name w:val="xl45"/>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62">
    <w:name w:val="1.1"/>
    <w:basedOn w:val="5"/>
    <w:qFormat/>
    <w:uiPriority w:val="0"/>
    <w:pPr>
      <w:keepNext w:val="0"/>
      <w:keepLines w:val="0"/>
      <w:autoSpaceDE w:val="0"/>
      <w:autoSpaceDN w:val="0"/>
      <w:adjustRightInd w:val="0"/>
      <w:spacing w:before="0" w:after="0"/>
      <w:jc w:val="left"/>
      <w:outlineLvl w:val="2"/>
    </w:pPr>
    <w:rPr>
      <w:rFonts w:ascii="宋体" w:hAnsi="宋体" w:eastAsia="宋体"/>
      <w:b w:val="0"/>
      <w:bCs w:val="0"/>
      <w:kern w:val="0"/>
      <w:sz w:val="21"/>
      <w:szCs w:val="20"/>
    </w:rPr>
  </w:style>
  <w:style w:type="paragraph" w:customStyle="1" w:styleId="163">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64">
    <w:name w:val="xl98"/>
    <w:basedOn w:val="1"/>
    <w:qFormat/>
    <w:uiPriority w:val="0"/>
    <w:pPr>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65">
    <w:name w:val="p8"/>
    <w:basedOn w:val="1"/>
    <w:qFormat/>
    <w:uiPriority w:val="0"/>
    <w:pPr>
      <w:spacing w:line="30" w:lineRule="atLeast"/>
      <w:jc w:val="left"/>
    </w:pPr>
    <w:rPr>
      <w:rFonts w:hint="eastAsia" w:ascii="宋体" w:hAnsi="宋体" w:cs="宋体"/>
      <w:kern w:val="0"/>
      <w:szCs w:val="21"/>
    </w:rPr>
  </w:style>
  <w:style w:type="paragraph" w:customStyle="1" w:styleId="166">
    <w:name w:val="xl40"/>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167">
    <w:name w:val="xl9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68">
    <w:name w:val="附件"/>
    <w:basedOn w:val="1"/>
    <w:qFormat/>
    <w:uiPriority w:val="0"/>
    <w:pPr>
      <w:spacing w:line="480" w:lineRule="auto"/>
    </w:pPr>
    <w:rPr>
      <w:rFonts w:ascii="黑体" w:eastAsia="黑体"/>
      <w:b/>
      <w:sz w:val="36"/>
      <w:szCs w:val="20"/>
    </w:rPr>
  </w:style>
  <w:style w:type="paragraph" w:customStyle="1" w:styleId="169">
    <w:name w:val="Report Text"/>
    <w:basedOn w:val="1"/>
    <w:link w:val="366"/>
    <w:qFormat/>
    <w:uiPriority w:val="0"/>
    <w:pPr>
      <w:spacing w:before="240" w:after="120"/>
      <w:ind w:left="1080"/>
    </w:pPr>
    <w:rPr>
      <w:rFonts w:ascii="Arial" w:hAnsi="Arial"/>
      <w:kern w:val="28"/>
      <w:sz w:val="22"/>
      <w:szCs w:val="20"/>
    </w:rPr>
  </w:style>
  <w:style w:type="paragraph" w:customStyle="1" w:styleId="170">
    <w:name w:val="条文 5"/>
    <w:next w:val="1"/>
    <w:qFormat/>
    <w:uiPriority w:val="0"/>
    <w:pPr>
      <w:spacing w:after="160" w:line="310" w:lineRule="exact"/>
      <w:ind w:left="2940" w:hanging="420"/>
      <w:jc w:val="both"/>
    </w:pPr>
    <w:rPr>
      <w:rFonts w:ascii="Times New Roman" w:hAnsi="Times New Roman" w:eastAsia="黑体" w:cs="Times New Roman"/>
      <w:sz w:val="21"/>
      <w:lang w:val="en-US" w:eastAsia="zh-CN" w:bidi="ar-SA"/>
    </w:rPr>
  </w:style>
  <w:style w:type="paragraph" w:customStyle="1" w:styleId="171">
    <w:name w:val="xl56"/>
    <w:basedOn w:val="1"/>
    <w:qFormat/>
    <w:uiPriority w:val="0"/>
    <w:pPr>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72">
    <w:name w:val="xl64"/>
    <w:basedOn w:val="1"/>
    <w:qFormat/>
    <w:uiPriority w:val="0"/>
    <w:pPr>
      <w:spacing w:before="100" w:beforeAutospacing="1" w:after="100" w:afterAutospacing="1"/>
      <w:jc w:val="center"/>
      <w:textAlignment w:val="center"/>
    </w:pPr>
    <w:rPr>
      <w:rFonts w:ascii="宋体" w:hAnsi="宋体" w:cs="宋体"/>
      <w:kern w:val="0"/>
      <w:sz w:val="24"/>
    </w:rPr>
  </w:style>
  <w:style w:type="paragraph" w:customStyle="1" w:styleId="173">
    <w:name w:val="xl22"/>
    <w:basedOn w:val="1"/>
    <w:qFormat/>
    <w:uiPriority w:val="0"/>
    <w:pPr>
      <w:spacing w:before="100" w:beforeAutospacing="1" w:after="100" w:afterAutospacing="1"/>
      <w:jc w:val="right"/>
      <w:textAlignment w:val="center"/>
    </w:pPr>
    <w:rPr>
      <w:rFonts w:ascii="宋体" w:hAnsi="宋体" w:cs="宋体"/>
      <w:color w:val="000000"/>
      <w:kern w:val="0"/>
      <w:sz w:val="24"/>
    </w:rPr>
  </w:style>
  <w:style w:type="paragraph" w:customStyle="1" w:styleId="174">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75">
    <w:name w:val="标题222"/>
    <w:basedOn w:val="1"/>
    <w:qFormat/>
    <w:uiPriority w:val="0"/>
    <w:rPr>
      <w:rFonts w:cs="宋体"/>
      <w:b/>
      <w:bCs/>
      <w:sz w:val="30"/>
      <w:szCs w:val="20"/>
    </w:rPr>
  </w:style>
  <w:style w:type="paragraph" w:customStyle="1" w:styleId="176">
    <w:name w:val="样式 USE 1 + 行距: 单倍行距"/>
    <w:basedOn w:val="1"/>
    <w:qFormat/>
    <w:uiPriority w:val="0"/>
    <w:pPr>
      <w:spacing w:line="180" w:lineRule="atLeast"/>
      <w:jc w:val="left"/>
    </w:pPr>
    <w:rPr>
      <w:rFonts w:ascii="宋体" w:hAnsi="宋体" w:cs="宋体"/>
      <w:b/>
      <w:bCs/>
      <w:sz w:val="24"/>
      <w:szCs w:val="20"/>
    </w:rPr>
  </w:style>
  <w:style w:type="paragraph" w:customStyle="1" w:styleId="177">
    <w:name w:val="批注主题 Char Char"/>
    <w:basedOn w:val="18"/>
    <w:next w:val="18"/>
    <w:qFormat/>
    <w:uiPriority w:val="0"/>
    <w:rPr>
      <w:b/>
      <w:szCs w:val="20"/>
    </w:rPr>
  </w:style>
  <w:style w:type="paragraph" w:customStyle="1" w:styleId="178">
    <w:name w:val="xl6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179">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80">
    <w:name w:val="列表框1"/>
    <w:basedOn w:val="1"/>
    <w:link w:val="345"/>
    <w:qFormat/>
    <w:uiPriority w:val="0"/>
    <w:pPr>
      <w:tabs>
        <w:tab w:val="left" w:pos="1682"/>
      </w:tabs>
      <w:adjustRightInd w:val="0"/>
      <w:snapToGrid w:val="0"/>
      <w:ind w:left="1748" w:hanging="434"/>
    </w:pPr>
    <w:rPr>
      <w:rFonts w:ascii="宋体" w:hAnsi="宋体"/>
      <w:kern w:val="0"/>
      <w:szCs w:val="21"/>
    </w:rPr>
  </w:style>
  <w:style w:type="paragraph" w:customStyle="1" w:styleId="181">
    <w:name w:val="xl99"/>
    <w:basedOn w:val="1"/>
    <w:qFormat/>
    <w:uiPriority w:val="0"/>
    <w:pPr>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82">
    <w:name w:val="cucd-4"/>
    <w:next w:val="1"/>
    <w:qFormat/>
    <w:uiPriority w:val="0"/>
    <w:pPr>
      <w:spacing w:after="160" w:line="360" w:lineRule="auto"/>
      <w:ind w:firstLine="482" w:firstLineChars="200"/>
      <w:jc w:val="both"/>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183">
    <w:name w:val="font6"/>
    <w:basedOn w:val="1"/>
    <w:qFormat/>
    <w:uiPriority w:val="0"/>
    <w:pPr>
      <w:spacing w:before="100" w:beforeAutospacing="1" w:after="100" w:afterAutospacing="1"/>
      <w:jc w:val="left"/>
    </w:pPr>
    <w:rPr>
      <w:rFonts w:ascii="宋体" w:hAnsi="宋体" w:cs="宋体"/>
      <w:kern w:val="0"/>
      <w:sz w:val="18"/>
      <w:szCs w:val="18"/>
    </w:rPr>
  </w:style>
  <w:style w:type="paragraph" w:customStyle="1" w:styleId="184">
    <w:name w:val="xl57"/>
    <w:basedOn w:val="1"/>
    <w:qFormat/>
    <w:uiPriority w:val="0"/>
    <w:pPr>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85">
    <w:name w:val="目录 51"/>
    <w:basedOn w:val="1"/>
    <w:next w:val="1"/>
    <w:qFormat/>
    <w:uiPriority w:val="39"/>
    <w:pPr>
      <w:ind w:left="1680" w:leftChars="800"/>
    </w:pPr>
    <w:rPr>
      <w:rFonts w:ascii="Calibri" w:hAnsi="Calibri"/>
      <w:szCs w:val="22"/>
    </w:rPr>
  </w:style>
  <w:style w:type="paragraph" w:customStyle="1" w:styleId="186">
    <w:name w:val="纯文本1"/>
    <w:basedOn w:val="1"/>
    <w:qFormat/>
    <w:uiPriority w:val="0"/>
    <w:rPr>
      <w:rFonts w:ascii="宋体" w:hAnsi="Courier New" w:cs="Courier New"/>
      <w:szCs w:val="21"/>
    </w:rPr>
  </w:style>
  <w:style w:type="paragraph" w:customStyle="1" w:styleId="187">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88">
    <w:name w:val="样式4"/>
    <w:basedOn w:val="32"/>
    <w:link w:val="351"/>
    <w:qFormat/>
    <w:uiPriority w:val="0"/>
    <w:pPr>
      <w:pBdr>
        <w:bottom w:val="none" w:color="auto" w:sz="0" w:space="0"/>
      </w:pBdr>
      <w:autoSpaceDE w:val="0"/>
      <w:autoSpaceDN w:val="0"/>
      <w:adjustRightInd w:val="0"/>
      <w:snapToGrid/>
      <w:textAlignment w:val="baseline"/>
    </w:pPr>
    <w:rPr>
      <w:rFonts w:ascii="宋体"/>
    </w:rPr>
  </w:style>
  <w:style w:type="paragraph" w:customStyle="1" w:styleId="189">
    <w:name w:val="标题3"/>
    <w:basedOn w:val="3"/>
    <w:qFormat/>
    <w:uiPriority w:val="0"/>
    <w:pPr>
      <w:spacing w:beforeLines="50" w:after="0" w:line="312" w:lineRule="auto"/>
      <w:jc w:val="center"/>
    </w:pPr>
    <w:rPr>
      <w:rFonts w:ascii="宋体"/>
      <w:bCs w:val="0"/>
      <w:sz w:val="24"/>
      <w:szCs w:val="20"/>
    </w:rPr>
  </w:style>
  <w:style w:type="paragraph" w:customStyle="1" w:styleId="190">
    <w:name w:val="xl67"/>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91">
    <w:name w:val="font8"/>
    <w:basedOn w:val="1"/>
    <w:qFormat/>
    <w:uiPriority w:val="0"/>
    <w:pPr>
      <w:spacing w:before="100" w:beforeAutospacing="1" w:after="100" w:afterAutospacing="1"/>
      <w:jc w:val="left"/>
    </w:pPr>
    <w:rPr>
      <w:rFonts w:hint="eastAsia" w:ascii="楷体_GB2312" w:hAnsi="宋体" w:eastAsia="楷体_GB2312"/>
      <w:kern w:val="0"/>
      <w:sz w:val="20"/>
      <w:szCs w:val="20"/>
    </w:rPr>
  </w:style>
  <w:style w:type="paragraph" w:customStyle="1" w:styleId="192">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193">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4">
    <w:name w:val="样式 样式 首行缩进:  2 字符 段前: 4.65 磅 + 首行缩进:  2 字符"/>
    <w:basedOn w:val="1"/>
    <w:qFormat/>
    <w:uiPriority w:val="0"/>
    <w:pPr>
      <w:topLinePunct/>
      <w:spacing w:before="93"/>
      <w:ind w:firstLine="480"/>
    </w:pPr>
    <w:rPr>
      <w:rFonts w:cs="宋体"/>
      <w:sz w:val="24"/>
      <w:szCs w:val="20"/>
    </w:rPr>
  </w:style>
  <w:style w:type="paragraph" w:customStyle="1" w:styleId="195">
    <w:name w:val="表格文字图表文字"/>
    <w:basedOn w:val="1"/>
    <w:qFormat/>
    <w:uiPriority w:val="0"/>
    <w:pPr>
      <w:snapToGrid w:val="0"/>
      <w:jc w:val="center"/>
    </w:pPr>
    <w:rPr>
      <w:rFonts w:cs="宋体"/>
      <w:szCs w:val="20"/>
    </w:rPr>
  </w:style>
  <w:style w:type="paragraph" w:customStyle="1" w:styleId="196">
    <w:name w:val="条文 1"/>
    <w:next w:val="1"/>
    <w:qFormat/>
    <w:uiPriority w:val="0"/>
    <w:pPr>
      <w:spacing w:after="160" w:line="310" w:lineRule="exact"/>
      <w:ind w:left="840" w:hanging="420"/>
      <w:jc w:val="both"/>
    </w:pPr>
    <w:rPr>
      <w:rFonts w:ascii="Times New Roman" w:hAnsi="Times New Roman" w:eastAsia="黑体" w:cs="Times New Roman"/>
      <w:sz w:val="21"/>
      <w:lang w:val="en-US" w:eastAsia="zh-CN" w:bidi="ar-SA"/>
    </w:rPr>
  </w:style>
  <w:style w:type="paragraph" w:customStyle="1" w:styleId="197">
    <w:name w:val="Report Level 1"/>
    <w:basedOn w:val="1"/>
    <w:next w:val="169"/>
    <w:qFormat/>
    <w:uiPriority w:val="0"/>
    <w:pPr>
      <w:keepNext/>
      <w:tabs>
        <w:tab w:val="left" w:pos="1080"/>
      </w:tabs>
      <w:spacing w:beforeLines="50"/>
      <w:ind w:left="1077" w:hanging="1077"/>
      <w:jc w:val="left"/>
      <w:outlineLvl w:val="0"/>
    </w:pPr>
    <w:rPr>
      <w:rFonts w:ascii="宋体" w:hAnsi="宋体"/>
      <w:b/>
      <w:caps/>
      <w:kern w:val="0"/>
      <w:szCs w:val="21"/>
      <w:lang w:val="en-GB"/>
    </w:rPr>
  </w:style>
  <w:style w:type="paragraph" w:customStyle="1" w:styleId="198">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99">
    <w:name w:val="Retrait 1"/>
    <w:basedOn w:val="14"/>
    <w:qFormat/>
    <w:uiPriority w:val="0"/>
    <w:pPr>
      <w:spacing w:after="240"/>
      <w:ind w:left="1134" w:firstLine="0" w:firstLineChars="0"/>
      <w:jc w:val="left"/>
    </w:pPr>
    <w:rPr>
      <w:rFonts w:ascii="Palatino" w:hAnsi="Palatino"/>
      <w:kern w:val="0"/>
      <w:sz w:val="24"/>
      <w:szCs w:val="20"/>
      <w:lang w:val="en-GB"/>
    </w:rPr>
  </w:style>
  <w:style w:type="paragraph" w:customStyle="1" w:styleId="200">
    <w:name w:val="字元 字元 Char Char Char Char Char Char Char"/>
    <w:basedOn w:val="1"/>
    <w:qFormat/>
    <w:uiPriority w:val="0"/>
    <w:rPr>
      <w:rFonts w:ascii="Tahoma" w:hAnsi="Tahoma" w:cs="仿宋_GB2312"/>
      <w:sz w:val="24"/>
      <w:szCs w:val="20"/>
    </w:rPr>
  </w:style>
  <w:style w:type="paragraph" w:customStyle="1" w:styleId="201">
    <w:name w:val="标题 41"/>
    <w:basedOn w:val="1"/>
    <w:qFormat/>
    <w:uiPriority w:val="1"/>
    <w:pPr>
      <w:ind w:left="522"/>
      <w:jc w:val="left"/>
      <w:outlineLvl w:val="4"/>
    </w:pPr>
    <w:rPr>
      <w:rFonts w:eastAsia="Times New Roman"/>
      <w:b/>
      <w:bCs/>
      <w:kern w:val="0"/>
      <w:szCs w:val="21"/>
      <w:lang w:eastAsia="en-US"/>
    </w:rPr>
  </w:style>
  <w:style w:type="paragraph" w:customStyle="1" w:styleId="202">
    <w:name w:val="小标题"/>
    <w:basedOn w:val="1"/>
    <w:qFormat/>
    <w:uiPriority w:val="0"/>
    <w:pPr>
      <w:spacing w:line="440" w:lineRule="exact"/>
      <w:ind w:left="420" w:hanging="420"/>
    </w:pPr>
    <w:rPr>
      <w:sz w:val="24"/>
    </w:rPr>
  </w:style>
  <w:style w:type="paragraph" w:customStyle="1" w:styleId="203">
    <w:name w:val="列出段落1"/>
    <w:basedOn w:val="1"/>
    <w:qFormat/>
    <w:uiPriority w:val="0"/>
    <w:pPr>
      <w:spacing w:beforeLines="50" w:after="156" w:line="240" w:lineRule="atLeast"/>
      <w:ind w:left="425"/>
    </w:pPr>
    <w:rPr>
      <w:rFonts w:eastAsia="仿宋_GB2312"/>
      <w:sz w:val="24"/>
    </w:rPr>
  </w:style>
  <w:style w:type="paragraph" w:customStyle="1" w:styleId="204">
    <w:name w:val="TOC 标题1"/>
    <w:basedOn w:val="3"/>
    <w:next w:val="1"/>
    <w:qFormat/>
    <w:uiPriority w:val="39"/>
    <w:pPr>
      <w:spacing w:before="480" w:after="0" w:line="276" w:lineRule="auto"/>
      <w:jc w:val="left"/>
      <w:outlineLvl w:val="9"/>
    </w:pPr>
    <w:rPr>
      <w:rFonts w:ascii="Cambria" w:hAnsi="Cambria"/>
      <w:color w:val="365F91"/>
      <w:kern w:val="0"/>
      <w:sz w:val="28"/>
      <w:szCs w:val="28"/>
    </w:rPr>
  </w:style>
  <w:style w:type="paragraph" w:customStyle="1" w:styleId="205">
    <w:name w:val="表格"/>
    <w:basedOn w:val="1"/>
    <w:qFormat/>
    <w:uiPriority w:val="0"/>
    <w:pPr>
      <w:jc w:val="center"/>
      <w:textAlignment w:val="center"/>
    </w:pPr>
    <w:rPr>
      <w:rFonts w:ascii="华文细黑" w:hAnsi="华文细黑"/>
      <w:kern w:val="0"/>
      <w:szCs w:val="20"/>
    </w:rPr>
  </w:style>
  <w:style w:type="paragraph" w:customStyle="1" w:styleId="206">
    <w:name w:val="xl87"/>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07">
    <w:name w:val="Report Level 3"/>
    <w:basedOn w:val="197"/>
    <w:next w:val="169"/>
    <w:qFormat/>
    <w:uiPriority w:val="0"/>
    <w:pPr>
      <w:tabs>
        <w:tab w:val="clear" w:pos="1080"/>
      </w:tabs>
      <w:ind w:left="0" w:firstLine="0"/>
      <w:jc w:val="both"/>
      <w:outlineLvl w:val="2"/>
    </w:pPr>
    <w:rPr>
      <w:b w:val="0"/>
      <w:caps w:val="0"/>
      <w:sz w:val="22"/>
    </w:rPr>
  </w:style>
  <w:style w:type="paragraph" w:customStyle="1" w:styleId="208">
    <w:name w:val="纯文本2"/>
    <w:basedOn w:val="1"/>
    <w:qFormat/>
    <w:uiPriority w:val="0"/>
    <w:rPr>
      <w:rFonts w:ascii="宋体" w:hAnsi="Courier New" w:cs="Courier New"/>
      <w:szCs w:val="21"/>
    </w:rPr>
  </w:style>
  <w:style w:type="paragraph" w:customStyle="1" w:styleId="209">
    <w:name w:val="xl8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10">
    <w:name w:val="xl54"/>
    <w:basedOn w:val="1"/>
    <w:qFormat/>
    <w:uiPriority w:val="0"/>
    <w:pPr>
      <w:pBdr>
        <w:top w:val="single" w:color="auto" w:sz="8"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11">
    <w:name w:val="CM255"/>
    <w:basedOn w:val="81"/>
    <w:next w:val="81"/>
    <w:qFormat/>
    <w:uiPriority w:val="0"/>
    <w:pPr>
      <w:spacing w:after="1728"/>
    </w:pPr>
    <w:rPr>
      <w:rFonts w:ascii="宋体" w:cs="宋体"/>
      <w:color w:val="auto"/>
    </w:rPr>
  </w:style>
  <w:style w:type="paragraph" w:customStyle="1" w:styleId="212">
    <w:name w:val="标题 21"/>
    <w:basedOn w:val="1"/>
    <w:qFormat/>
    <w:uiPriority w:val="1"/>
    <w:pPr>
      <w:ind w:left="100"/>
      <w:jc w:val="left"/>
      <w:outlineLvl w:val="2"/>
    </w:pPr>
    <w:rPr>
      <w:rFonts w:ascii="Microsoft JhengHei" w:hAnsi="Microsoft JhengHei" w:eastAsia="Microsoft JhengHei"/>
      <w:b/>
      <w:bCs/>
      <w:kern w:val="0"/>
      <w:sz w:val="32"/>
      <w:szCs w:val="32"/>
      <w:lang w:eastAsia="en-US"/>
    </w:rPr>
  </w:style>
  <w:style w:type="paragraph" w:customStyle="1" w:styleId="213">
    <w:name w:val="USE 2"/>
    <w:basedOn w:val="1"/>
    <w:qFormat/>
    <w:uiPriority w:val="0"/>
    <w:pPr>
      <w:ind w:left="4556" w:hanging="3836"/>
      <w:jc w:val="left"/>
    </w:pPr>
    <w:rPr>
      <w:rFonts w:ascii="宋体" w:hAnsi="宋体"/>
      <w:sz w:val="24"/>
      <w:szCs w:val="20"/>
    </w:rPr>
  </w:style>
  <w:style w:type="paragraph" w:customStyle="1" w:styleId="214">
    <w:name w:val="xl55"/>
    <w:basedOn w:val="1"/>
    <w:qFormat/>
    <w:uiPriority w:val="0"/>
    <w:pPr>
      <w:pBdr>
        <w:top w:val="single" w:color="auto" w:sz="8"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15">
    <w:name w:val="xl80"/>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216">
    <w:name w:val="样式 宋体 小四 黑色 左 行距: 1.5 倍行距"/>
    <w:basedOn w:val="1"/>
    <w:qFormat/>
    <w:uiPriority w:val="0"/>
    <w:pPr>
      <w:jc w:val="left"/>
    </w:pPr>
    <w:rPr>
      <w:rFonts w:ascii="宋体" w:hAnsi="宋体" w:cs="宋体"/>
      <w:color w:val="000000"/>
      <w:sz w:val="24"/>
      <w:szCs w:val="20"/>
    </w:rPr>
  </w:style>
  <w:style w:type="paragraph" w:customStyle="1" w:styleId="217">
    <w:name w:val="需求书用目录1"/>
    <w:basedOn w:val="1"/>
    <w:qFormat/>
    <w:uiPriority w:val="0"/>
    <w:pPr>
      <w:spacing w:before="360" w:after="40" w:line="500" w:lineRule="exact"/>
      <w:ind w:left="538" w:leftChars="256" w:firstLine="2803" w:firstLineChars="1000"/>
    </w:pPr>
    <w:rPr>
      <w:rFonts w:ascii="宋体"/>
      <w:b/>
      <w:sz w:val="28"/>
      <w:szCs w:val="20"/>
    </w:rPr>
  </w:style>
  <w:style w:type="paragraph" w:customStyle="1" w:styleId="218">
    <w:name w:val="_Style 10"/>
    <w:basedOn w:val="1"/>
    <w:next w:val="1"/>
    <w:qFormat/>
    <w:uiPriority w:val="0"/>
  </w:style>
  <w:style w:type="paragraph" w:customStyle="1" w:styleId="219">
    <w:name w:val="招标文件1.1.1.1"/>
    <w:basedOn w:val="1"/>
    <w:qFormat/>
    <w:uiPriority w:val="0"/>
    <w:pPr>
      <w:spacing w:before="120" w:after="120" w:line="480" w:lineRule="exact"/>
      <w:ind w:left="284"/>
      <w:jc w:val="left"/>
      <w:outlineLvl w:val="4"/>
    </w:pPr>
    <w:rPr>
      <w:rFonts w:ascii="宋体"/>
      <w:b/>
      <w:spacing w:val="10"/>
      <w:w w:val="95"/>
      <w:sz w:val="24"/>
      <w:szCs w:val="21"/>
    </w:rPr>
  </w:style>
  <w:style w:type="paragraph" w:customStyle="1" w:styleId="220">
    <w:name w:val="1册标题1"/>
    <w:basedOn w:val="1"/>
    <w:next w:val="1"/>
    <w:qFormat/>
    <w:uiPriority w:val="0"/>
    <w:pPr>
      <w:spacing w:beforeLines="50" w:afterLines="50" w:line="300" w:lineRule="auto"/>
      <w:jc w:val="center"/>
      <w:outlineLvl w:val="0"/>
    </w:pPr>
    <w:rPr>
      <w:rFonts w:ascii="Arial" w:hAnsi="Arial" w:eastAsia="黑体"/>
      <w:b/>
      <w:bCs/>
      <w:sz w:val="48"/>
      <w:szCs w:val="20"/>
    </w:rPr>
  </w:style>
  <w:style w:type="paragraph" w:customStyle="1" w:styleId="221">
    <w:name w:val="青岛标题4"/>
    <w:basedOn w:val="6"/>
    <w:qFormat/>
    <w:uiPriority w:val="0"/>
    <w:pPr>
      <w:spacing w:line="500" w:lineRule="atLeast"/>
      <w:jc w:val="left"/>
      <w:outlineLvl w:val="2"/>
    </w:pPr>
    <w:rPr>
      <w:rFonts w:eastAsia="宋体"/>
      <w:sz w:val="30"/>
    </w:rPr>
  </w:style>
  <w:style w:type="paragraph" w:customStyle="1" w:styleId="222">
    <w:name w:val="cucd-0"/>
    <w:qFormat/>
    <w:uiPriority w:val="0"/>
    <w:pPr>
      <w:spacing w:after="160"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223">
    <w:name w:val="条文 0"/>
    <w:next w:val="1"/>
    <w:qFormat/>
    <w:uiPriority w:val="0"/>
    <w:pPr>
      <w:spacing w:before="240" w:after="240" w:line="360" w:lineRule="auto"/>
      <w:ind w:left="420" w:hanging="420"/>
      <w:jc w:val="both"/>
    </w:pPr>
    <w:rPr>
      <w:rFonts w:ascii="Times New Roman" w:hAnsi="Times New Roman" w:eastAsia="黑体" w:cs="Times New Roman"/>
      <w:sz w:val="21"/>
      <w:lang w:val="en-US" w:eastAsia="zh-CN" w:bidi="ar-SA"/>
    </w:rPr>
  </w:style>
  <w:style w:type="paragraph" w:customStyle="1" w:styleId="224">
    <w:name w:val="标题333"/>
    <w:basedOn w:val="1"/>
    <w:qFormat/>
    <w:uiPriority w:val="0"/>
    <w:rPr>
      <w:rFonts w:ascii="宋体" w:hAnsi="宋体" w:cs="宋体"/>
      <w:b/>
      <w:bCs/>
      <w:sz w:val="24"/>
      <w:szCs w:val="20"/>
    </w:rPr>
  </w:style>
  <w:style w:type="paragraph" w:customStyle="1" w:styleId="225">
    <w:name w:val="xl44"/>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4"/>
    </w:rPr>
  </w:style>
  <w:style w:type="paragraph" w:customStyle="1" w:styleId="226">
    <w:name w:val="xl90"/>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27">
    <w:name w:val="xl31"/>
    <w:basedOn w:val="1"/>
    <w:qFormat/>
    <w:uiPriority w:val="0"/>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228">
    <w:name w:val="xl48"/>
    <w:basedOn w:val="1"/>
    <w:qFormat/>
    <w:uiPriority w:val="0"/>
    <w:pPr>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29">
    <w:name w:val="xl41"/>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30">
    <w:name w:val="xl50"/>
    <w:basedOn w:val="1"/>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31">
    <w:name w:val="xl58"/>
    <w:basedOn w:val="1"/>
    <w:qFormat/>
    <w:uiPriority w:val="0"/>
    <w:pPr>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32">
    <w:name w:val="xl52"/>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233">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34">
    <w:name w:val="xl7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235">
    <w:name w:val="1."/>
    <w:basedOn w:val="1"/>
    <w:qFormat/>
    <w:uiPriority w:val="0"/>
    <w:pPr>
      <w:tabs>
        <w:tab w:val="left" w:pos="425"/>
      </w:tabs>
      <w:ind w:firstLine="482"/>
    </w:pPr>
    <w:rPr>
      <w:sz w:val="28"/>
      <w:szCs w:val="20"/>
    </w:rPr>
  </w:style>
  <w:style w:type="paragraph" w:customStyle="1" w:styleId="236">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7">
    <w:name w:val="目录 81"/>
    <w:basedOn w:val="1"/>
    <w:next w:val="1"/>
    <w:qFormat/>
    <w:uiPriority w:val="39"/>
    <w:pPr>
      <w:ind w:left="2940" w:leftChars="1400"/>
    </w:pPr>
    <w:rPr>
      <w:rFonts w:ascii="Calibri" w:hAnsi="Calibri"/>
      <w:szCs w:val="22"/>
    </w:rPr>
  </w:style>
  <w:style w:type="paragraph" w:customStyle="1" w:styleId="238">
    <w:name w:val="Char Char Char Char11"/>
    <w:basedOn w:val="1"/>
    <w:qFormat/>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239">
    <w:name w:val="样式 标题 3 + 仿宋_GB2312 小四 段前: 0 磅 段后: 0 磅"/>
    <w:basedOn w:val="4"/>
    <w:qFormat/>
    <w:uiPriority w:val="0"/>
    <w:pPr>
      <w:spacing w:beforeLines="50" w:after="0" w:line="413" w:lineRule="auto"/>
      <w:jc w:val="center"/>
    </w:pPr>
    <w:rPr>
      <w:rFonts w:ascii="仿宋_GB2312" w:eastAsia="仿宋_GB2312" w:cs="宋体"/>
      <w:kern w:val="0"/>
      <w:szCs w:val="20"/>
    </w:rPr>
  </w:style>
  <w:style w:type="paragraph" w:customStyle="1" w:styleId="240">
    <w:name w:val="p0"/>
    <w:basedOn w:val="1"/>
    <w:qFormat/>
    <w:uiPriority w:val="0"/>
    <w:rPr>
      <w:kern w:val="0"/>
      <w:szCs w:val="21"/>
    </w:rPr>
  </w:style>
  <w:style w:type="paragraph" w:customStyle="1" w:styleId="241">
    <w:name w:val="正文首行缩进 21"/>
    <w:basedOn w:val="20"/>
    <w:link w:val="371"/>
    <w:qFormat/>
    <w:uiPriority w:val="0"/>
    <w:pPr>
      <w:adjustRightInd w:val="0"/>
      <w:spacing w:line="312" w:lineRule="atLeast"/>
      <w:textAlignment w:val="baseline"/>
    </w:pPr>
  </w:style>
  <w:style w:type="paragraph" w:customStyle="1" w:styleId="242">
    <w:name w:val="图形题注"/>
    <w:basedOn w:val="15"/>
    <w:link w:val="373"/>
    <w:qFormat/>
    <w:uiPriority w:val="0"/>
    <w:pPr>
      <w:adjustRightInd w:val="0"/>
      <w:snapToGrid w:val="0"/>
      <w:spacing w:afterLines="50"/>
      <w:jc w:val="center"/>
    </w:pPr>
    <w:rPr>
      <w:rFonts w:eastAsia="宋体" w:cs="Times New Roman"/>
      <w:kern w:val="0"/>
      <w:sz w:val="21"/>
    </w:rPr>
  </w:style>
  <w:style w:type="paragraph" w:customStyle="1" w:styleId="243">
    <w:name w:val="青岛正文"/>
    <w:basedOn w:val="1"/>
    <w:qFormat/>
    <w:uiPriority w:val="0"/>
    <w:rPr>
      <w:sz w:val="28"/>
    </w:rPr>
  </w:style>
  <w:style w:type="paragraph" w:customStyle="1" w:styleId="244">
    <w:name w:val="xl101"/>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45">
    <w:name w:val="无编号正文"/>
    <w:basedOn w:val="2"/>
    <w:next w:val="1"/>
    <w:link w:val="375"/>
    <w:qFormat/>
    <w:uiPriority w:val="0"/>
    <w:pPr>
      <w:spacing w:after="0"/>
      <w:ind w:left="200" w:leftChars="200"/>
    </w:pPr>
    <w:rPr>
      <w:rFonts w:ascii="宋体" w:hAnsi="宋体"/>
      <w:kern w:val="0"/>
      <w:sz w:val="24"/>
    </w:rPr>
  </w:style>
  <w:style w:type="paragraph" w:customStyle="1" w:styleId="246">
    <w:name w:val="标题 31"/>
    <w:basedOn w:val="1"/>
    <w:qFormat/>
    <w:uiPriority w:val="1"/>
    <w:pPr>
      <w:ind w:left="237"/>
      <w:jc w:val="left"/>
      <w:outlineLvl w:val="3"/>
    </w:pPr>
    <w:rPr>
      <w:rFonts w:ascii="宋体" w:hAnsi="宋体"/>
      <w:kern w:val="0"/>
      <w:sz w:val="28"/>
      <w:szCs w:val="28"/>
      <w:lang w:eastAsia="en-US"/>
    </w:rPr>
  </w:style>
  <w:style w:type="paragraph" w:customStyle="1" w:styleId="247">
    <w:name w:val="样式5"/>
    <w:basedOn w:val="1"/>
    <w:qFormat/>
    <w:uiPriority w:val="0"/>
    <w:pPr>
      <w:tabs>
        <w:tab w:val="left" w:pos="547"/>
        <w:tab w:val="left" w:pos="1080"/>
      </w:tabs>
      <w:spacing w:line="480" w:lineRule="atLeast"/>
      <w:jc w:val="center"/>
    </w:pPr>
    <w:rPr>
      <w:b/>
      <w:sz w:val="24"/>
    </w:rPr>
  </w:style>
  <w:style w:type="paragraph" w:customStyle="1" w:styleId="248">
    <w:name w:val="Char Char Char Char2"/>
    <w:basedOn w:val="1"/>
    <w:qFormat/>
    <w:uiPriority w:val="0"/>
    <w:pPr>
      <w:tabs>
        <w:tab w:val="left" w:pos="1080"/>
      </w:tabs>
      <w:ind w:left="1078" w:leftChars="343" w:right="210" w:rightChars="100" w:hanging="358" w:hangingChars="149"/>
    </w:pPr>
    <w:rPr>
      <w:sz w:val="24"/>
      <w:szCs w:val="20"/>
    </w:rPr>
  </w:style>
  <w:style w:type="paragraph" w:customStyle="1" w:styleId="249">
    <w:name w:val="Char4"/>
    <w:basedOn w:val="1"/>
    <w:qFormat/>
    <w:uiPriority w:val="0"/>
  </w:style>
  <w:style w:type="paragraph" w:customStyle="1" w:styleId="250">
    <w:name w:val="需求书2"/>
    <w:basedOn w:val="1"/>
    <w:qFormat/>
    <w:uiPriority w:val="0"/>
    <w:pPr>
      <w:spacing w:line="500" w:lineRule="exact"/>
      <w:ind w:left="735" w:hanging="735"/>
    </w:pPr>
    <w:rPr>
      <w:rFonts w:ascii="黑体" w:eastAsia="黑体"/>
      <w:szCs w:val="20"/>
    </w:rPr>
  </w:style>
  <w:style w:type="paragraph" w:customStyle="1" w:styleId="251">
    <w:name w:val="CM226"/>
    <w:basedOn w:val="1"/>
    <w:next w:val="1"/>
    <w:qFormat/>
    <w:uiPriority w:val="0"/>
    <w:pPr>
      <w:autoSpaceDE w:val="0"/>
      <w:autoSpaceDN w:val="0"/>
      <w:adjustRightInd w:val="0"/>
      <w:spacing w:after="2445"/>
      <w:jc w:val="left"/>
    </w:pPr>
    <w:rPr>
      <w:rFonts w:ascii="宋体"/>
      <w:kern w:val="0"/>
      <w:sz w:val="24"/>
    </w:rPr>
  </w:style>
  <w:style w:type="paragraph" w:styleId="252">
    <w:name w:val="No Spacing"/>
    <w:qFormat/>
    <w:uiPriority w:val="1"/>
    <w:pPr>
      <w:widowControl w:val="0"/>
      <w:spacing w:after="160" w:line="360" w:lineRule="auto"/>
      <w:ind w:firstLine="420"/>
      <w:jc w:val="both"/>
    </w:pPr>
    <w:rPr>
      <w:rFonts w:ascii="Calibri" w:hAnsi="Calibri" w:eastAsia="宋体" w:cs="Times New Roman"/>
      <w:kern w:val="2"/>
      <w:sz w:val="21"/>
      <w:szCs w:val="22"/>
      <w:lang w:val="en-US" w:eastAsia="zh-CN" w:bidi="ar-SA"/>
    </w:rPr>
  </w:style>
  <w:style w:type="paragraph" w:customStyle="1" w:styleId="253">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54">
    <w:name w:val="xl32"/>
    <w:basedOn w:val="1"/>
    <w:qFormat/>
    <w:uiPriority w:val="0"/>
    <w:pPr>
      <w:spacing w:before="100" w:beforeAutospacing="1" w:after="100" w:afterAutospacing="1"/>
      <w:jc w:val="left"/>
      <w:textAlignment w:val="center"/>
    </w:pPr>
    <w:rPr>
      <w:rFonts w:ascii="宋体" w:hAnsi="宋体" w:cs="宋体"/>
      <w:color w:val="000000"/>
      <w:kern w:val="0"/>
      <w:sz w:val="24"/>
    </w:rPr>
  </w:style>
  <w:style w:type="paragraph" w:customStyle="1" w:styleId="255">
    <w:name w:val="列出段落2"/>
    <w:basedOn w:val="1"/>
    <w:link w:val="334"/>
    <w:qFormat/>
    <w:uiPriority w:val="0"/>
    <w:rPr>
      <w:rFonts w:ascii="Calibri" w:hAnsi="Calibri"/>
      <w:szCs w:val="22"/>
    </w:rPr>
  </w:style>
  <w:style w:type="paragraph" w:customStyle="1" w:styleId="256">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257">
    <w:name w:val="Char Char Char Char Char Char Char"/>
    <w:basedOn w:val="1"/>
    <w:qFormat/>
    <w:uiPriority w:val="0"/>
    <w:rPr>
      <w:rFonts w:ascii="仿宋_GB2312" w:eastAsia="仿宋_GB2312"/>
      <w:b/>
      <w:sz w:val="32"/>
      <w:szCs w:val="32"/>
    </w:rPr>
  </w:style>
  <w:style w:type="paragraph" w:customStyle="1" w:styleId="258">
    <w:name w:val="正文文本1"/>
    <w:qFormat/>
    <w:uiPriority w:val="0"/>
    <w:pPr>
      <w:widowControl w:val="0"/>
      <w:autoSpaceDE w:val="0"/>
      <w:autoSpaceDN w:val="0"/>
      <w:adjustRightInd w:val="0"/>
      <w:spacing w:before="170" w:after="160" w:line="300" w:lineRule="atLeast"/>
      <w:ind w:left="1134" w:firstLine="420"/>
      <w:jc w:val="both"/>
    </w:pPr>
    <w:rPr>
      <w:rFonts w:ascii="Times New Roman" w:hAnsi="Times New Roman" w:eastAsia="宋体" w:cs="Times New Roman"/>
      <w:color w:val="000000"/>
      <w:sz w:val="24"/>
      <w:lang w:val="en-US" w:eastAsia="zh-CN" w:bidi="ar-SA"/>
    </w:rPr>
  </w:style>
  <w:style w:type="paragraph" w:customStyle="1" w:styleId="259">
    <w:name w:val="xl63"/>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260">
    <w:name w:val="xl7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261">
    <w:name w:val="zhengwen"/>
    <w:basedOn w:val="1"/>
    <w:qFormat/>
    <w:uiPriority w:val="0"/>
    <w:pPr>
      <w:tabs>
        <w:tab w:val="left" w:pos="1145"/>
      </w:tabs>
      <w:adjustRightInd w:val="0"/>
      <w:snapToGrid w:val="0"/>
      <w:spacing w:line="520" w:lineRule="exact"/>
      <w:ind w:left="1145" w:hanging="720"/>
    </w:pPr>
    <w:rPr>
      <w:bCs/>
      <w:sz w:val="28"/>
    </w:rPr>
  </w:style>
  <w:style w:type="paragraph" w:customStyle="1" w:styleId="262">
    <w:name w:val="样式 标题 3 + (中文) 黑体 小四 非加粗 段前: 7.8 磅 段后: 0 磅 行距: 固定值 20 磅"/>
    <w:basedOn w:val="4"/>
    <w:qFormat/>
    <w:uiPriority w:val="0"/>
    <w:pPr>
      <w:spacing w:before="0" w:after="0" w:line="400" w:lineRule="exact"/>
    </w:pPr>
    <w:rPr>
      <w:rFonts w:eastAsia="黑体" w:cs="宋体"/>
      <w:szCs w:val="20"/>
    </w:rPr>
  </w:style>
  <w:style w:type="paragraph" w:styleId="263">
    <w:name w:val="List Paragraph"/>
    <w:basedOn w:val="1"/>
    <w:qFormat/>
    <w:uiPriority w:val="0"/>
    <w:pPr>
      <w:ind w:firstLine="420"/>
    </w:pPr>
  </w:style>
  <w:style w:type="paragraph" w:customStyle="1" w:styleId="264">
    <w:name w:val="列表段落1"/>
    <w:basedOn w:val="1"/>
    <w:qFormat/>
    <w:uiPriority w:val="0"/>
  </w:style>
  <w:style w:type="paragraph" w:customStyle="1" w:styleId="265">
    <w:name w:val="P1"/>
    <w:qFormat/>
    <w:uiPriority w:val="0"/>
    <w:pPr>
      <w:widowControl w:val="0"/>
      <w:adjustRightInd w:val="0"/>
      <w:spacing w:after="240" w:line="0" w:lineRule="atLeast"/>
      <w:ind w:left="2304" w:hanging="576"/>
      <w:jc w:val="both"/>
      <w:textAlignment w:val="baseline"/>
    </w:pPr>
    <w:rPr>
      <w:rFonts w:ascii="Calibri" w:hAnsi="Calibri" w:eastAsia="全真中明體" w:cs="Times New Roman"/>
      <w:spacing w:val="20"/>
      <w:sz w:val="24"/>
      <w:szCs w:val="22"/>
      <w:lang w:val="en-GB" w:eastAsia="zh-TW" w:bidi="ar-SA"/>
    </w:rPr>
  </w:style>
  <w:style w:type="paragraph" w:customStyle="1" w:styleId="266">
    <w:name w:val="xl78"/>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67">
    <w:name w:val="xl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68">
    <w:name w:val="Table Paragraph"/>
    <w:basedOn w:val="1"/>
    <w:qFormat/>
    <w:uiPriority w:val="1"/>
    <w:pPr>
      <w:jc w:val="left"/>
    </w:pPr>
    <w:rPr>
      <w:rFonts w:ascii="Calibri" w:hAnsi="Calibri"/>
      <w:kern w:val="0"/>
      <w:sz w:val="22"/>
      <w:szCs w:val="22"/>
      <w:lang w:eastAsia="en-US"/>
    </w:rPr>
  </w:style>
  <w:style w:type="paragraph" w:customStyle="1" w:styleId="269">
    <w:name w:val="图形布置"/>
    <w:basedOn w:val="242"/>
    <w:link w:val="365"/>
    <w:qFormat/>
    <w:uiPriority w:val="0"/>
  </w:style>
  <w:style w:type="paragraph" w:customStyle="1" w:styleId="270">
    <w:name w:val="USE 1"/>
    <w:basedOn w:val="1"/>
    <w:qFormat/>
    <w:uiPriority w:val="0"/>
    <w:pPr>
      <w:spacing w:line="200" w:lineRule="atLeast"/>
      <w:jc w:val="left"/>
    </w:pPr>
    <w:rPr>
      <w:rFonts w:ascii="宋体" w:hAnsi="宋体"/>
      <w:b/>
      <w:sz w:val="24"/>
      <w:szCs w:val="28"/>
    </w:rPr>
  </w:style>
  <w:style w:type="paragraph" w:customStyle="1" w:styleId="271">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72">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273">
    <w:name w:val="Char Char Char Char Char Char Char1"/>
    <w:basedOn w:val="1"/>
    <w:qFormat/>
    <w:uiPriority w:val="0"/>
    <w:pPr>
      <w:spacing w:after="160" w:line="240" w:lineRule="exact"/>
      <w:jc w:val="left"/>
    </w:pPr>
    <w:rPr>
      <w:rFonts w:ascii="Arial" w:hAnsi="Arial" w:eastAsia="Times New Roman" w:cs="Verdana"/>
      <w:b/>
      <w:kern w:val="0"/>
      <w:sz w:val="24"/>
      <w:lang w:eastAsia="en-US"/>
    </w:rPr>
  </w:style>
  <w:style w:type="paragraph" w:customStyle="1" w:styleId="274">
    <w:name w:val="font9"/>
    <w:basedOn w:val="1"/>
    <w:qFormat/>
    <w:uiPriority w:val="0"/>
    <w:pPr>
      <w:spacing w:before="100" w:beforeAutospacing="1" w:after="100" w:afterAutospacing="1"/>
      <w:jc w:val="left"/>
    </w:pPr>
    <w:rPr>
      <w:rFonts w:hint="eastAsia" w:ascii="宋体" w:hAnsi="宋体" w:cs="Arial Unicode MS"/>
      <w:color w:val="FF0000"/>
      <w:kern w:val="0"/>
      <w:sz w:val="20"/>
      <w:szCs w:val="20"/>
    </w:rPr>
  </w:style>
  <w:style w:type="paragraph" w:customStyle="1" w:styleId="275">
    <w:name w:val="通用专用"/>
    <w:basedOn w:val="1"/>
    <w:qFormat/>
    <w:uiPriority w:val="0"/>
    <w:pPr>
      <w:jc w:val="center"/>
    </w:pPr>
    <w:rPr>
      <w:rFonts w:ascii="宋体"/>
      <w:b/>
      <w:sz w:val="36"/>
      <w:szCs w:val="20"/>
    </w:rPr>
  </w:style>
  <w:style w:type="paragraph" w:customStyle="1" w:styleId="276">
    <w:name w:val="应答文本"/>
    <w:basedOn w:val="1"/>
    <w:link w:val="355"/>
    <w:qFormat/>
    <w:uiPriority w:val="0"/>
    <w:pPr>
      <w:adjustRightInd w:val="0"/>
      <w:snapToGrid w:val="0"/>
      <w:spacing w:afterLines="50"/>
      <w:ind w:left="200" w:leftChars="200"/>
    </w:pPr>
    <w:rPr>
      <w:kern w:val="0"/>
      <w:szCs w:val="21"/>
    </w:rPr>
  </w:style>
  <w:style w:type="paragraph" w:customStyle="1" w:styleId="277">
    <w:name w:val="目录 71"/>
    <w:basedOn w:val="1"/>
    <w:next w:val="1"/>
    <w:qFormat/>
    <w:uiPriority w:val="39"/>
    <w:pPr>
      <w:ind w:left="2520" w:leftChars="1200"/>
    </w:pPr>
    <w:rPr>
      <w:rFonts w:ascii="Calibri" w:hAnsi="Calibri"/>
      <w:szCs w:val="22"/>
    </w:rPr>
  </w:style>
  <w:style w:type="paragraph" w:customStyle="1" w:styleId="278">
    <w:name w:val="样式 样式 标题 3 + 仿宋_GB2312 小四 段前: 0 磅 段后: 0 磅 + 段前: 0.5 行"/>
    <w:basedOn w:val="239"/>
    <w:qFormat/>
    <w:uiPriority w:val="0"/>
    <w:pPr>
      <w:spacing w:afterLines="50"/>
      <w:jc w:val="both"/>
    </w:pPr>
    <w:rPr>
      <w:rFonts w:ascii="宋体" w:eastAsia="宋体"/>
    </w:rPr>
  </w:style>
  <w:style w:type="paragraph" w:customStyle="1" w:styleId="279">
    <w:name w:val="xl59"/>
    <w:basedOn w:val="1"/>
    <w:qFormat/>
    <w:uiPriority w:val="0"/>
    <w:pPr>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80">
    <w:name w:val="font14"/>
    <w:basedOn w:val="1"/>
    <w:qFormat/>
    <w:uiPriority w:val="0"/>
    <w:pPr>
      <w:spacing w:before="100" w:beforeAutospacing="1" w:after="100" w:afterAutospacing="1"/>
      <w:jc w:val="left"/>
    </w:pPr>
    <w:rPr>
      <w:rFonts w:hint="eastAsia" w:ascii="宋体" w:hAnsi="宋体" w:cs="Arial Unicode MS"/>
      <w:b/>
      <w:bCs/>
      <w:color w:val="000000"/>
      <w:kern w:val="0"/>
      <w:sz w:val="18"/>
      <w:szCs w:val="18"/>
    </w:rPr>
  </w:style>
  <w:style w:type="paragraph" w:customStyle="1" w:styleId="281">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82">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83">
    <w:name w:val="样式2"/>
    <w:basedOn w:val="32"/>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84">
    <w:name w:val="二级标题"/>
    <w:basedOn w:val="1"/>
    <w:qFormat/>
    <w:uiPriority w:val="0"/>
    <w:pPr>
      <w:tabs>
        <w:tab w:val="left" w:pos="-1341"/>
      </w:tabs>
      <w:ind w:left="2686" w:hanging="420"/>
      <w:outlineLvl w:val="1"/>
    </w:pPr>
    <w:rPr>
      <w:rFonts w:ascii="宋体" w:hAnsi="宋体"/>
      <w:sz w:val="24"/>
      <w:szCs w:val="20"/>
    </w:rPr>
  </w:style>
  <w:style w:type="paragraph" w:customStyle="1" w:styleId="285">
    <w:name w:val="_Style 67"/>
    <w:basedOn w:val="1"/>
    <w:qFormat/>
    <w:uiPriority w:val="0"/>
    <w:pPr>
      <w:spacing w:after="160" w:line="240" w:lineRule="exact"/>
      <w:jc w:val="left"/>
    </w:pPr>
    <w:rPr>
      <w:rFonts w:ascii="楷体_GB2312" w:hAnsi="楷体_GB2312" w:eastAsia="仿宋_GB2312" w:cs="楷体_GB2312"/>
      <w:szCs w:val="20"/>
    </w:rPr>
  </w:style>
  <w:style w:type="paragraph" w:customStyle="1" w:styleId="286">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87">
    <w:name w:val="列表框2"/>
    <w:basedOn w:val="180"/>
    <w:link w:val="346"/>
    <w:qFormat/>
    <w:uiPriority w:val="0"/>
    <w:pPr>
      <w:tabs>
        <w:tab w:val="left" w:pos="2084"/>
      </w:tabs>
      <w:ind w:left="2118" w:leftChars="808" w:hanging="420"/>
    </w:pPr>
    <w:rPr>
      <w:szCs w:val="24"/>
    </w:rPr>
  </w:style>
  <w:style w:type="paragraph" w:customStyle="1" w:styleId="288">
    <w:name w:val="retrait3"/>
    <w:basedOn w:val="1"/>
    <w:qFormat/>
    <w:uiPriority w:val="0"/>
    <w:pPr>
      <w:spacing w:before="20" w:after="20"/>
      <w:ind w:left="851"/>
      <w:jc w:val="left"/>
    </w:pPr>
    <w:rPr>
      <w:rFonts w:ascii="Arial" w:hAnsi="Arial"/>
      <w:kern w:val="0"/>
      <w:sz w:val="24"/>
      <w:szCs w:val="20"/>
      <w:lang w:val="en-GB"/>
    </w:rPr>
  </w:style>
  <w:style w:type="paragraph" w:customStyle="1" w:styleId="289">
    <w:name w:val="tableau"/>
    <w:basedOn w:val="1"/>
    <w:qFormat/>
    <w:uiPriority w:val="0"/>
    <w:pPr>
      <w:spacing w:before="20" w:after="20"/>
      <w:jc w:val="center"/>
    </w:pPr>
    <w:rPr>
      <w:rFonts w:ascii="Arial" w:hAnsi="Arial"/>
      <w:kern w:val="0"/>
      <w:sz w:val="16"/>
      <w:szCs w:val="20"/>
      <w:lang w:val="en-GB"/>
    </w:rPr>
  </w:style>
  <w:style w:type="paragraph" w:customStyle="1" w:styleId="290">
    <w:name w:val="xl60"/>
    <w:basedOn w:val="1"/>
    <w:qFormat/>
    <w:uiPriority w:val="0"/>
    <w:pPr>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291">
    <w:name w:val="Report Level 2"/>
    <w:basedOn w:val="197"/>
    <w:next w:val="169"/>
    <w:qFormat/>
    <w:uiPriority w:val="0"/>
    <w:pPr>
      <w:ind w:left="0" w:firstLine="0"/>
      <w:outlineLvl w:val="1"/>
    </w:pPr>
    <w:rPr>
      <w:caps w:val="0"/>
    </w:rPr>
  </w:style>
  <w:style w:type="paragraph" w:customStyle="1" w:styleId="292">
    <w:name w:val="Body text 1"/>
    <w:basedOn w:val="258"/>
    <w:qFormat/>
    <w:uiPriority w:val="0"/>
    <w:pPr>
      <w:tabs>
        <w:tab w:val="left" w:pos="1134"/>
      </w:tabs>
      <w:ind w:hanging="1134"/>
    </w:pPr>
  </w:style>
  <w:style w:type="character" w:customStyle="1" w:styleId="293">
    <w:name w:val="普通文字 Char Char"/>
    <w:qFormat/>
    <w:uiPriority w:val="0"/>
    <w:rPr>
      <w:rFonts w:ascii="宋体" w:hAnsi="Courier New" w:eastAsia="宋体" w:cs="Courier New"/>
      <w:kern w:val="2"/>
      <w:sz w:val="21"/>
      <w:szCs w:val="21"/>
      <w:lang w:val="en-US" w:eastAsia="zh-CN" w:bidi="ar-SA"/>
    </w:rPr>
  </w:style>
  <w:style w:type="character" w:customStyle="1" w:styleId="294">
    <w:name w:val="Char Char1"/>
    <w:qFormat/>
    <w:uiPriority w:val="0"/>
    <w:rPr>
      <w:rFonts w:eastAsia="宋体"/>
      <w:szCs w:val="24"/>
      <w:lang w:bidi="ar-SA"/>
    </w:rPr>
  </w:style>
  <w:style w:type="character" w:customStyle="1" w:styleId="295">
    <w:name w:val="正文文本 Char1"/>
    <w:semiHidden/>
    <w:qFormat/>
    <w:uiPriority w:val="99"/>
    <w:rPr>
      <w:rFonts w:ascii="Times New Roman" w:hAnsi="Times New Roman" w:eastAsia="宋体" w:cs="Times New Roman"/>
      <w:kern w:val="0"/>
      <w:szCs w:val="20"/>
    </w:rPr>
  </w:style>
  <w:style w:type="character" w:customStyle="1" w:styleId="296">
    <w:name w:val="Char Char Char Char1"/>
    <w:link w:val="95"/>
    <w:qFormat/>
    <w:uiPriority w:val="0"/>
    <w:rPr>
      <w:rFonts w:ascii="仿宋_GB2312" w:eastAsia="仿宋_GB2312"/>
      <w:b/>
      <w:kern w:val="2"/>
      <w:sz w:val="32"/>
      <w:szCs w:val="32"/>
    </w:rPr>
  </w:style>
  <w:style w:type="character" w:customStyle="1" w:styleId="297">
    <w:name w:val="prev"/>
    <w:basedOn w:val="51"/>
    <w:qFormat/>
    <w:uiPriority w:val="0"/>
    <w:rPr>
      <w:rFonts w:hint="eastAsia" w:ascii="微软雅黑" w:hAnsi="微软雅黑" w:eastAsia="微软雅黑" w:cs="微软雅黑"/>
      <w:sz w:val="21"/>
      <w:szCs w:val="21"/>
    </w:rPr>
  </w:style>
  <w:style w:type="character" w:customStyle="1" w:styleId="298">
    <w:name w:val="Char Char12"/>
    <w:qFormat/>
    <w:uiPriority w:val="0"/>
    <w:rPr>
      <w:rFonts w:ascii="Arial" w:hAnsi="Arial" w:eastAsia="黑体"/>
      <w:sz w:val="21"/>
      <w:szCs w:val="21"/>
      <w:lang w:val="en-US" w:eastAsia="zh-CN" w:bidi="ar-SA"/>
    </w:rPr>
  </w:style>
  <w:style w:type="character" w:customStyle="1" w:styleId="299">
    <w:name w:val="Char Char10"/>
    <w:qFormat/>
    <w:uiPriority w:val="0"/>
    <w:rPr>
      <w:rFonts w:eastAsia="仿宋_GB2312"/>
      <w:kern w:val="2"/>
      <w:sz w:val="32"/>
      <w:szCs w:val="24"/>
      <w:lang w:val="en-US" w:eastAsia="zh-CN" w:bidi="ar-SA"/>
    </w:rPr>
  </w:style>
  <w:style w:type="character" w:customStyle="1" w:styleId="300">
    <w:name w:val="樣式 標題 3 + (中文) MS Gothic 10.5 點 Char Char Char Char Char Char Char Char Char Char Char Char"/>
    <w:qFormat/>
    <w:uiPriority w:val="0"/>
    <w:rPr>
      <w:rFonts w:hAnsi="PMingLiU" w:eastAsia="MS Gothic"/>
      <w:bCs/>
      <w:snapToGrid w:val="0"/>
      <w:kern w:val="2"/>
      <w:sz w:val="24"/>
      <w:szCs w:val="24"/>
      <w:lang w:val="en-AU" w:eastAsia="zh-TW" w:bidi="ar-SA"/>
    </w:rPr>
  </w:style>
  <w:style w:type="character" w:customStyle="1" w:styleId="301">
    <w:name w:val="redfilenumber"/>
    <w:basedOn w:val="51"/>
    <w:qFormat/>
    <w:uiPriority w:val="0"/>
    <w:rPr>
      <w:color w:val="BA2636"/>
      <w:sz w:val="18"/>
      <w:szCs w:val="18"/>
    </w:rPr>
  </w:style>
  <w:style w:type="character" w:customStyle="1" w:styleId="302">
    <w:name w:val="明显参考1"/>
    <w:qFormat/>
    <w:uiPriority w:val="32"/>
    <w:rPr>
      <w:b/>
      <w:bCs/>
      <w:smallCaps/>
      <w:color w:val="C0504D"/>
      <w:spacing w:val="5"/>
      <w:u w:val="single"/>
    </w:rPr>
  </w:style>
  <w:style w:type="character" w:customStyle="1" w:styleId="303">
    <w:name w:val="_Style 302"/>
    <w:unhideWhenUsed/>
    <w:qFormat/>
    <w:uiPriority w:val="99"/>
    <w:rPr>
      <w:color w:val="605E5C"/>
      <w:shd w:val="clear" w:color="auto" w:fill="E1DFDD"/>
    </w:rPr>
  </w:style>
  <w:style w:type="character" w:customStyle="1" w:styleId="304">
    <w:name w:val="正文文本缩进 3 Char1"/>
    <w:semiHidden/>
    <w:qFormat/>
    <w:uiPriority w:val="99"/>
    <w:rPr>
      <w:rFonts w:ascii="Times New Roman" w:hAnsi="Times New Roman" w:eastAsia="宋体" w:cs="Times New Roman"/>
      <w:kern w:val="0"/>
      <w:sz w:val="16"/>
      <w:szCs w:val="16"/>
    </w:rPr>
  </w:style>
  <w:style w:type="character" w:customStyle="1" w:styleId="305">
    <w:name w:val="标题 Char"/>
    <w:link w:val="47"/>
    <w:qFormat/>
    <w:uiPriority w:val="0"/>
    <w:rPr>
      <w:rFonts w:ascii="Arial" w:hAnsi="Arial"/>
      <w:b/>
      <w:sz w:val="32"/>
    </w:rPr>
  </w:style>
  <w:style w:type="character" w:customStyle="1" w:styleId="306">
    <w:name w:val="prev1"/>
    <w:basedOn w:val="51"/>
    <w:qFormat/>
    <w:uiPriority w:val="0"/>
    <w:rPr>
      <w:color w:val="888888"/>
    </w:rPr>
  </w:style>
  <w:style w:type="character" w:customStyle="1" w:styleId="307">
    <w:name w:val="Char Char11"/>
    <w:qFormat/>
    <w:uiPriority w:val="0"/>
    <w:rPr>
      <w:rFonts w:eastAsia="宋体"/>
      <w:b/>
      <w:bCs/>
      <w:kern w:val="2"/>
      <w:sz w:val="21"/>
      <w:szCs w:val="24"/>
      <w:lang w:val="en-US" w:eastAsia="zh-CN" w:bidi="ar-SA"/>
    </w:rPr>
  </w:style>
  <w:style w:type="character" w:customStyle="1" w:styleId="308">
    <w:name w:val="next"/>
    <w:basedOn w:val="51"/>
    <w:qFormat/>
    <w:uiPriority w:val="0"/>
    <w:rPr>
      <w:rFonts w:ascii="微软雅黑" w:hAnsi="微软雅黑" w:eastAsia="微软雅黑" w:cs="微软雅黑"/>
      <w:sz w:val="21"/>
      <w:szCs w:val="21"/>
    </w:rPr>
  </w:style>
  <w:style w:type="character" w:customStyle="1" w:styleId="309">
    <w:name w:val="cfdate"/>
    <w:basedOn w:val="51"/>
    <w:qFormat/>
    <w:uiPriority w:val="0"/>
    <w:rPr>
      <w:color w:val="333333"/>
      <w:sz w:val="18"/>
      <w:szCs w:val="18"/>
    </w:rPr>
  </w:style>
  <w:style w:type="character" w:customStyle="1" w:styleId="310">
    <w:name w:val="标题 5 Char"/>
    <w:link w:val="7"/>
    <w:qFormat/>
    <w:uiPriority w:val="0"/>
    <w:rPr>
      <w:b/>
      <w:bCs/>
      <w:sz w:val="28"/>
      <w:szCs w:val="28"/>
    </w:rPr>
  </w:style>
  <w:style w:type="character" w:customStyle="1" w:styleId="311">
    <w:name w:val="未处理的提及1"/>
    <w:unhideWhenUsed/>
    <w:qFormat/>
    <w:uiPriority w:val="99"/>
    <w:rPr>
      <w:color w:val="605E5C"/>
      <w:shd w:val="clear" w:color="auto" w:fill="E1DFDD"/>
    </w:rPr>
  </w:style>
  <w:style w:type="character" w:customStyle="1" w:styleId="312">
    <w:name w:val="页眉 Char"/>
    <w:link w:val="32"/>
    <w:qFormat/>
    <w:uiPriority w:val="99"/>
    <w:rPr>
      <w:kern w:val="2"/>
      <w:sz w:val="18"/>
      <w:szCs w:val="18"/>
    </w:rPr>
  </w:style>
  <w:style w:type="character" w:customStyle="1" w:styleId="313">
    <w:name w:val="标题 Char1"/>
    <w:qFormat/>
    <w:uiPriority w:val="10"/>
    <w:rPr>
      <w:rFonts w:ascii="Cambria" w:hAnsi="Cambria" w:eastAsia="宋体" w:cs="Times New Roman"/>
      <w:b/>
      <w:bCs/>
      <w:kern w:val="0"/>
      <w:sz w:val="32"/>
      <w:szCs w:val="32"/>
    </w:rPr>
  </w:style>
  <w:style w:type="character" w:customStyle="1" w:styleId="314">
    <w:name w:val="正文文本缩进 Char"/>
    <w:link w:val="20"/>
    <w:qFormat/>
    <w:uiPriority w:val="99"/>
    <w:rPr>
      <w:kern w:val="2"/>
      <w:sz w:val="21"/>
      <w:szCs w:val="24"/>
    </w:rPr>
  </w:style>
  <w:style w:type="character" w:customStyle="1" w:styleId="315">
    <w:name w:val="qxdate"/>
    <w:basedOn w:val="51"/>
    <w:qFormat/>
    <w:uiPriority w:val="0"/>
    <w:rPr>
      <w:color w:val="333333"/>
      <w:sz w:val="18"/>
      <w:szCs w:val="18"/>
    </w:rPr>
  </w:style>
  <w:style w:type="character" w:customStyle="1" w:styleId="316">
    <w:name w:val="已访问的超链接1"/>
    <w:qFormat/>
    <w:uiPriority w:val="99"/>
    <w:rPr>
      <w:color w:val="800080"/>
      <w:u w:val="single"/>
    </w:rPr>
  </w:style>
  <w:style w:type="character" w:customStyle="1" w:styleId="317">
    <w:name w:val="Char Char18"/>
    <w:qFormat/>
    <w:uiPriority w:val="0"/>
    <w:rPr>
      <w:rFonts w:eastAsia="华文细黑"/>
      <w:bCs/>
      <w:sz w:val="36"/>
      <w:szCs w:val="32"/>
      <w:lang w:val="en-US" w:eastAsia="zh-CN" w:bidi="ar-SA"/>
    </w:rPr>
  </w:style>
  <w:style w:type="character" w:customStyle="1" w:styleId="318">
    <w:name w:val="正文文本缩进 Char2"/>
    <w:semiHidden/>
    <w:qFormat/>
    <w:uiPriority w:val="99"/>
    <w:rPr>
      <w:rFonts w:ascii="Times New Roman" w:hAnsi="Times New Roman" w:eastAsia="宋体" w:cs="Times New Roman"/>
      <w:szCs w:val="24"/>
    </w:rPr>
  </w:style>
  <w:style w:type="character" w:customStyle="1" w:styleId="319">
    <w:name w:val="批注框文本 Char"/>
    <w:link w:val="30"/>
    <w:qFormat/>
    <w:uiPriority w:val="99"/>
    <w:rPr>
      <w:kern w:val="2"/>
      <w:sz w:val="18"/>
      <w:szCs w:val="18"/>
    </w:rPr>
  </w:style>
  <w:style w:type="character" w:customStyle="1" w:styleId="320">
    <w:name w:val="纯文本 Char1"/>
    <w:qFormat/>
    <w:uiPriority w:val="99"/>
    <w:rPr>
      <w:rFonts w:ascii="宋体" w:hAnsi="Courier New" w:eastAsia="宋体" w:cs="Times New Roman"/>
      <w:szCs w:val="20"/>
    </w:rPr>
  </w:style>
  <w:style w:type="character" w:customStyle="1" w:styleId="321">
    <w:name w:val="正文首行缩进 Char"/>
    <w:link w:val="89"/>
    <w:qFormat/>
    <w:uiPriority w:val="0"/>
    <w:rPr>
      <w:kern w:val="2"/>
      <w:sz w:val="21"/>
      <w:szCs w:val="24"/>
    </w:rPr>
  </w:style>
  <w:style w:type="character" w:customStyle="1" w:styleId="322">
    <w:name w:val="正文文字 Char"/>
    <w:qFormat/>
    <w:uiPriority w:val="0"/>
    <w:rPr>
      <w:rFonts w:ascii="宋体" w:eastAsia="宋体"/>
      <w:snapToGrid w:val="0"/>
      <w:color w:val="000000"/>
      <w:sz w:val="28"/>
      <w:lang w:val="en-US" w:eastAsia="zh-CN" w:bidi="ar-SA"/>
    </w:rPr>
  </w:style>
  <w:style w:type="character" w:customStyle="1" w:styleId="323">
    <w:name w:val="Char Char9"/>
    <w:qFormat/>
    <w:uiPriority w:val="0"/>
    <w:rPr>
      <w:rFonts w:ascii="宋体" w:hAnsi="宋体" w:eastAsia="宋体"/>
      <w:kern w:val="2"/>
      <w:sz w:val="24"/>
      <w:lang w:val="en-US" w:eastAsia="zh-CN" w:bidi="ar-SA"/>
    </w:rPr>
  </w:style>
  <w:style w:type="character" w:customStyle="1" w:styleId="324">
    <w:name w:val="正文文本缩进 3 Char"/>
    <w:link w:val="41"/>
    <w:qFormat/>
    <w:uiPriority w:val="0"/>
    <w:rPr>
      <w:kern w:val="2"/>
      <w:sz w:val="16"/>
      <w:szCs w:val="16"/>
    </w:rPr>
  </w:style>
  <w:style w:type="character" w:customStyle="1" w:styleId="325">
    <w:name w:val="标题 4 + 宋体 小四 Char Char Char Char Char Char Char Char Char Char Char Char Char1 Char Char Char Char"/>
    <w:qFormat/>
    <w:uiPriority w:val="0"/>
    <w:rPr>
      <w:rFonts w:ascii="宋体" w:hAnsi="宋体" w:eastAsia="宋体"/>
      <w:b/>
      <w:bCs/>
      <w:spacing w:val="4"/>
      <w:kern w:val="2"/>
      <w:sz w:val="24"/>
      <w:szCs w:val="32"/>
      <w:lang w:val="en-US" w:eastAsia="zh-CN" w:bidi="ar-SA"/>
    </w:rPr>
  </w:style>
  <w:style w:type="character" w:customStyle="1" w:styleId="326">
    <w:name w:val="标题 6 Char"/>
    <w:link w:val="8"/>
    <w:qFormat/>
    <w:uiPriority w:val="0"/>
    <w:rPr>
      <w:rFonts w:ascii="Arial" w:hAnsi="Arial" w:eastAsia="黑体"/>
      <w:b/>
      <w:bCs/>
      <w:sz w:val="24"/>
      <w:szCs w:val="24"/>
    </w:rPr>
  </w:style>
  <w:style w:type="character" w:customStyle="1" w:styleId="327">
    <w:name w:val="日期 Char1"/>
    <w:semiHidden/>
    <w:qFormat/>
    <w:uiPriority w:val="99"/>
    <w:rPr>
      <w:rFonts w:ascii="Times New Roman" w:hAnsi="Times New Roman" w:eastAsia="宋体" w:cs="Times New Roman"/>
      <w:kern w:val="0"/>
      <w:szCs w:val="20"/>
    </w:rPr>
  </w:style>
  <w:style w:type="character" w:customStyle="1" w:styleId="328">
    <w:name w:val="Char Char6"/>
    <w:qFormat/>
    <w:uiPriority w:val="0"/>
    <w:rPr>
      <w:rFonts w:eastAsia="宋体"/>
      <w:sz w:val="18"/>
      <w:szCs w:val="18"/>
      <w:lang w:bidi="ar-SA"/>
    </w:rPr>
  </w:style>
  <w:style w:type="character" w:customStyle="1" w:styleId="329">
    <w:name w:val="尾注文本 Char"/>
    <w:link w:val="29"/>
    <w:qFormat/>
    <w:uiPriority w:val="0"/>
    <w:rPr>
      <w:rFonts w:ascii="Courier" w:hAnsi="Courier" w:eastAsia="PMingLiU"/>
      <w:snapToGrid w:val="0"/>
      <w:sz w:val="24"/>
      <w:lang w:val="en-AU" w:eastAsia="en-US"/>
    </w:rPr>
  </w:style>
  <w:style w:type="character" w:customStyle="1" w:styleId="330">
    <w:name w:val="正文文本 Char"/>
    <w:link w:val="2"/>
    <w:qFormat/>
    <w:uiPriority w:val="1"/>
    <w:rPr>
      <w:kern w:val="2"/>
      <w:sz w:val="21"/>
      <w:szCs w:val="24"/>
    </w:rPr>
  </w:style>
  <w:style w:type="character" w:customStyle="1" w:styleId="331">
    <w:name w:val="Char Char7"/>
    <w:qFormat/>
    <w:uiPriority w:val="0"/>
    <w:rPr>
      <w:rFonts w:eastAsia="宋体"/>
      <w:kern w:val="2"/>
      <w:sz w:val="18"/>
      <w:szCs w:val="18"/>
      <w:lang w:val="en-US" w:eastAsia="zh-CN" w:bidi="ar-SA"/>
    </w:rPr>
  </w:style>
  <w:style w:type="character" w:customStyle="1" w:styleId="332">
    <w:name w:val="文档结构图 Char"/>
    <w:link w:val="16"/>
    <w:qFormat/>
    <w:uiPriority w:val="99"/>
    <w:rPr>
      <w:rFonts w:ascii="宋体"/>
      <w:kern w:val="2"/>
      <w:sz w:val="18"/>
      <w:szCs w:val="18"/>
    </w:rPr>
  </w:style>
  <w:style w:type="character" w:customStyle="1" w:styleId="333">
    <w:name w:val="Char Char8"/>
    <w:qFormat/>
    <w:uiPriority w:val="0"/>
    <w:rPr>
      <w:rFonts w:ascii="宋体" w:hAnsi="宋体" w:eastAsia="宋体"/>
      <w:kern w:val="2"/>
      <w:sz w:val="21"/>
      <w:szCs w:val="24"/>
      <w:lang w:val="en-US" w:eastAsia="zh-CN" w:bidi="ar-SA"/>
    </w:rPr>
  </w:style>
  <w:style w:type="character" w:customStyle="1" w:styleId="334">
    <w:name w:val="列出段落 Char"/>
    <w:link w:val="255"/>
    <w:qFormat/>
    <w:uiPriority w:val="0"/>
    <w:rPr>
      <w:rFonts w:ascii="Calibri" w:hAnsi="Calibri"/>
      <w:kern w:val="2"/>
      <w:sz w:val="21"/>
      <w:szCs w:val="22"/>
    </w:rPr>
  </w:style>
  <w:style w:type="character" w:customStyle="1" w:styleId="335">
    <w:name w:val="尾注文本 Char1"/>
    <w:semiHidden/>
    <w:qFormat/>
    <w:uiPriority w:val="99"/>
    <w:rPr>
      <w:kern w:val="2"/>
      <w:sz w:val="21"/>
      <w:szCs w:val="24"/>
    </w:rPr>
  </w:style>
  <w:style w:type="character" w:customStyle="1" w:styleId="336">
    <w:name w:val="redfilefwwh"/>
    <w:basedOn w:val="51"/>
    <w:qFormat/>
    <w:uiPriority w:val="0"/>
    <w:rPr>
      <w:color w:val="BA2636"/>
      <w:sz w:val="18"/>
      <w:szCs w:val="18"/>
    </w:rPr>
  </w:style>
  <w:style w:type="character" w:customStyle="1" w:styleId="337">
    <w:name w:val="正文文本 2 Char"/>
    <w:link w:val="44"/>
    <w:qFormat/>
    <w:uiPriority w:val="0"/>
    <w:rPr>
      <w:rFonts w:ascii="楷体_GB2312" w:hAnsi="宋体" w:eastAsia="楷体_GB2312"/>
      <w:color w:val="000000"/>
      <w:sz w:val="21"/>
      <w:szCs w:val="21"/>
      <w:lang w:val="en-US" w:eastAsia="zh-CN"/>
    </w:rPr>
  </w:style>
  <w:style w:type="character" w:customStyle="1" w:styleId="338">
    <w:name w:val="正文文本缩进 2 Char1"/>
    <w:semiHidden/>
    <w:qFormat/>
    <w:uiPriority w:val="99"/>
    <w:rPr>
      <w:rFonts w:ascii="Times New Roman" w:hAnsi="Times New Roman" w:eastAsia="宋体" w:cs="Times New Roman"/>
      <w:kern w:val="0"/>
      <w:szCs w:val="20"/>
    </w:rPr>
  </w:style>
  <w:style w:type="character" w:customStyle="1" w:styleId="339">
    <w:name w:val="正文文本缩进 2 Char"/>
    <w:link w:val="28"/>
    <w:qFormat/>
    <w:uiPriority w:val="0"/>
    <w:rPr>
      <w:rFonts w:eastAsia="仿宋_GB2312"/>
      <w:kern w:val="2"/>
      <w:sz w:val="32"/>
      <w:szCs w:val="24"/>
    </w:rPr>
  </w:style>
  <w:style w:type="character" w:customStyle="1" w:styleId="340">
    <w:name w:val="批注文字 Char"/>
    <w:link w:val="18"/>
    <w:qFormat/>
    <w:uiPriority w:val="0"/>
    <w:rPr>
      <w:kern w:val="2"/>
      <w:sz w:val="21"/>
      <w:szCs w:val="24"/>
    </w:rPr>
  </w:style>
  <w:style w:type="character" w:customStyle="1" w:styleId="341">
    <w:name w:val="font161"/>
    <w:qFormat/>
    <w:uiPriority w:val="0"/>
    <w:rPr>
      <w:b/>
      <w:bCs/>
      <w:sz w:val="32"/>
      <w:szCs w:val="32"/>
    </w:rPr>
  </w:style>
  <w:style w:type="character" w:customStyle="1" w:styleId="342">
    <w:name w:val="样式 标题 3 + 黑色 Char"/>
    <w:link w:val="118"/>
    <w:qFormat/>
    <w:uiPriority w:val="0"/>
    <w:rPr>
      <w:color w:val="FF0000"/>
      <w:kern w:val="2"/>
      <w:sz w:val="24"/>
    </w:rPr>
  </w:style>
  <w:style w:type="character" w:customStyle="1" w:styleId="343">
    <w:name w:val="文档结构图 Char1"/>
    <w:semiHidden/>
    <w:qFormat/>
    <w:uiPriority w:val="99"/>
    <w:rPr>
      <w:rFonts w:ascii="宋体" w:hAnsi="Times New Roman" w:eastAsia="宋体" w:cs="Times New Roman"/>
      <w:kern w:val="0"/>
      <w:sz w:val="18"/>
      <w:szCs w:val="18"/>
    </w:rPr>
  </w:style>
  <w:style w:type="character" w:customStyle="1" w:styleId="344">
    <w:name w:val="批注主题 Char1"/>
    <w:semiHidden/>
    <w:qFormat/>
    <w:uiPriority w:val="99"/>
    <w:rPr>
      <w:rFonts w:ascii="Times New Roman" w:hAnsi="Times New Roman" w:eastAsia="宋体" w:cs="Times New Roman"/>
      <w:b/>
      <w:bCs/>
      <w:kern w:val="0"/>
      <w:sz w:val="21"/>
      <w:szCs w:val="20"/>
    </w:rPr>
  </w:style>
  <w:style w:type="character" w:customStyle="1" w:styleId="345">
    <w:name w:val="列表框1 Char Char"/>
    <w:link w:val="180"/>
    <w:qFormat/>
    <w:uiPriority w:val="0"/>
    <w:rPr>
      <w:rFonts w:ascii="宋体" w:hAnsi="宋体"/>
      <w:sz w:val="21"/>
      <w:szCs w:val="21"/>
    </w:rPr>
  </w:style>
  <w:style w:type="character" w:customStyle="1" w:styleId="346">
    <w:name w:val="列表框2 Char"/>
    <w:link w:val="287"/>
    <w:qFormat/>
    <w:uiPriority w:val="0"/>
    <w:rPr>
      <w:rFonts w:ascii="宋体" w:hAnsi="宋体"/>
      <w:sz w:val="21"/>
      <w:szCs w:val="24"/>
    </w:rPr>
  </w:style>
  <w:style w:type="character" w:customStyle="1" w:styleId="347">
    <w:name w:val="脚注文本 Char"/>
    <w:link w:val="38"/>
    <w:qFormat/>
    <w:uiPriority w:val="0"/>
    <w:rPr>
      <w:rFonts w:ascii="Courier" w:hAnsi="Courier" w:eastAsia="PMingLiU"/>
      <w:snapToGrid w:val="0"/>
      <w:sz w:val="24"/>
      <w:lang w:val="en-AU" w:eastAsia="en-US"/>
    </w:rPr>
  </w:style>
  <w:style w:type="character" w:customStyle="1" w:styleId="348">
    <w:name w:val="批注框文本 Char1"/>
    <w:semiHidden/>
    <w:qFormat/>
    <w:uiPriority w:val="99"/>
    <w:rPr>
      <w:rFonts w:ascii="Times New Roman" w:hAnsi="Times New Roman" w:eastAsia="宋体" w:cs="Times New Roman"/>
      <w:kern w:val="0"/>
      <w:sz w:val="18"/>
      <w:szCs w:val="18"/>
    </w:rPr>
  </w:style>
  <w:style w:type="character" w:customStyle="1" w:styleId="349">
    <w:name w:val="页脚 Char1"/>
    <w:semiHidden/>
    <w:qFormat/>
    <w:uiPriority w:val="99"/>
    <w:rPr>
      <w:rFonts w:ascii="Times New Roman" w:hAnsi="Times New Roman" w:eastAsia="宋体" w:cs="Times New Roman"/>
      <w:kern w:val="0"/>
      <w:sz w:val="18"/>
      <w:szCs w:val="18"/>
    </w:rPr>
  </w:style>
  <w:style w:type="character" w:customStyle="1" w:styleId="350">
    <w:name w:val="脚注文本 Char1"/>
    <w:semiHidden/>
    <w:qFormat/>
    <w:uiPriority w:val="99"/>
    <w:rPr>
      <w:kern w:val="2"/>
      <w:sz w:val="18"/>
      <w:szCs w:val="18"/>
    </w:rPr>
  </w:style>
  <w:style w:type="character" w:customStyle="1" w:styleId="351">
    <w:name w:val="样式4 Char"/>
    <w:link w:val="188"/>
    <w:qFormat/>
    <w:uiPriority w:val="0"/>
    <w:rPr>
      <w:rFonts w:ascii="宋体"/>
      <w:kern w:val="2"/>
      <w:sz w:val="18"/>
      <w:szCs w:val="18"/>
    </w:rPr>
  </w:style>
  <w:style w:type="character" w:customStyle="1" w:styleId="352">
    <w:name w:val="正文首行缩进 Char1"/>
    <w:semiHidden/>
    <w:qFormat/>
    <w:uiPriority w:val="99"/>
    <w:rPr>
      <w:rFonts w:ascii="Times New Roman" w:hAnsi="Times New Roman" w:eastAsia="宋体" w:cs="Times New Roman"/>
      <w:kern w:val="0"/>
      <w:szCs w:val="20"/>
    </w:rPr>
  </w:style>
  <w:style w:type="character" w:customStyle="1" w:styleId="353">
    <w:name w:val="Char Char17"/>
    <w:qFormat/>
    <w:uiPriority w:val="0"/>
    <w:rPr>
      <w:rFonts w:ascii="Arial" w:hAnsi="Arial" w:eastAsia="黑体"/>
      <w:b/>
      <w:bCs/>
      <w:sz w:val="28"/>
      <w:szCs w:val="28"/>
      <w:lang w:val="en-US" w:eastAsia="zh-CN" w:bidi="ar-SA"/>
    </w:rPr>
  </w:style>
  <w:style w:type="character" w:customStyle="1" w:styleId="354">
    <w:name w:val="标题 3 Char1"/>
    <w:qFormat/>
    <w:uiPriority w:val="0"/>
    <w:rPr>
      <w:b/>
      <w:bCs/>
      <w:sz w:val="32"/>
      <w:szCs w:val="32"/>
    </w:rPr>
  </w:style>
  <w:style w:type="character" w:customStyle="1" w:styleId="355">
    <w:name w:val="应答文本 Char Char"/>
    <w:link w:val="276"/>
    <w:qFormat/>
    <w:uiPriority w:val="0"/>
    <w:rPr>
      <w:sz w:val="21"/>
      <w:szCs w:val="21"/>
    </w:rPr>
  </w:style>
  <w:style w:type="character" w:customStyle="1" w:styleId="356">
    <w:name w:val="Char Char19"/>
    <w:qFormat/>
    <w:uiPriority w:val="0"/>
    <w:rPr>
      <w:rFonts w:ascii="华文细黑" w:hAnsi="Arial" w:eastAsia="华文细黑"/>
      <w:b/>
      <w:bCs/>
      <w:sz w:val="44"/>
      <w:szCs w:val="32"/>
      <w:lang w:val="en-US" w:eastAsia="zh-CN" w:bidi="ar-SA"/>
    </w:rPr>
  </w:style>
  <w:style w:type="character" w:customStyle="1" w:styleId="357">
    <w:name w:val="正文文本 2 Char1"/>
    <w:semiHidden/>
    <w:qFormat/>
    <w:uiPriority w:val="99"/>
    <w:rPr>
      <w:rFonts w:ascii="Times New Roman" w:hAnsi="Times New Roman" w:eastAsia="宋体" w:cs="Times New Roman"/>
      <w:kern w:val="0"/>
      <w:szCs w:val="20"/>
    </w:rPr>
  </w:style>
  <w:style w:type="character" w:customStyle="1" w:styleId="358">
    <w:name w:val="纯文本 Char"/>
    <w:link w:val="25"/>
    <w:qFormat/>
    <w:uiPriority w:val="0"/>
    <w:rPr>
      <w:rFonts w:ascii="宋体" w:hAnsi="Courier New" w:cs="Courier New"/>
      <w:kern w:val="2"/>
      <w:sz w:val="21"/>
      <w:szCs w:val="21"/>
    </w:rPr>
  </w:style>
  <w:style w:type="character" w:customStyle="1" w:styleId="359">
    <w:name w:val="表格 Char Char"/>
    <w:link w:val="70"/>
    <w:qFormat/>
    <w:uiPriority w:val="0"/>
    <w:rPr>
      <w:rFonts w:ascii="宋体" w:hAnsi="宋体"/>
      <w:kern w:val="2"/>
      <w:sz w:val="21"/>
      <w:szCs w:val="28"/>
    </w:rPr>
  </w:style>
  <w:style w:type="character" w:customStyle="1" w:styleId="360">
    <w:name w:val="批注文字 Char2"/>
    <w:qFormat/>
    <w:uiPriority w:val="0"/>
    <w:rPr>
      <w:kern w:val="2"/>
      <w:sz w:val="21"/>
      <w:szCs w:val="24"/>
    </w:rPr>
  </w:style>
  <w:style w:type="character" w:customStyle="1" w:styleId="361">
    <w:name w:val="正文文本 3 Char1"/>
    <w:semiHidden/>
    <w:qFormat/>
    <w:uiPriority w:val="99"/>
    <w:rPr>
      <w:rFonts w:ascii="Times New Roman" w:hAnsi="Times New Roman" w:eastAsia="宋体" w:cs="Times New Roman"/>
      <w:kern w:val="0"/>
      <w:sz w:val="16"/>
      <w:szCs w:val="16"/>
    </w:rPr>
  </w:style>
  <w:style w:type="character" w:customStyle="1" w:styleId="362">
    <w:name w:val="正文首行缩进 2 Char1"/>
    <w:semiHidden/>
    <w:qFormat/>
    <w:uiPriority w:val="99"/>
    <w:rPr>
      <w:kern w:val="2"/>
      <w:sz w:val="21"/>
      <w:szCs w:val="24"/>
    </w:rPr>
  </w:style>
  <w:style w:type="character" w:customStyle="1" w:styleId="363">
    <w:name w:val="标题 1 Char"/>
    <w:link w:val="3"/>
    <w:qFormat/>
    <w:uiPriority w:val="0"/>
    <w:rPr>
      <w:b/>
      <w:bCs/>
      <w:kern w:val="44"/>
      <w:sz w:val="44"/>
      <w:szCs w:val="44"/>
    </w:rPr>
  </w:style>
  <w:style w:type="character" w:customStyle="1" w:styleId="364">
    <w:name w:val="纯文本 Char2"/>
    <w:qFormat/>
    <w:uiPriority w:val="0"/>
    <w:rPr>
      <w:rFonts w:ascii="宋体" w:hAnsi="Courier New" w:eastAsia="宋体"/>
      <w:kern w:val="2"/>
      <w:sz w:val="21"/>
      <w:lang w:val="en-US" w:eastAsia="zh-CN"/>
    </w:rPr>
  </w:style>
  <w:style w:type="character" w:customStyle="1" w:styleId="365">
    <w:name w:val="图形布置 Char"/>
    <w:link w:val="269"/>
    <w:qFormat/>
    <w:uiPriority w:val="0"/>
    <w:rPr>
      <w:rFonts w:ascii="Arial" w:hAnsi="Arial" w:cs="Arial"/>
      <w:sz w:val="21"/>
    </w:rPr>
  </w:style>
  <w:style w:type="character" w:customStyle="1" w:styleId="366">
    <w:name w:val="Report Text Char"/>
    <w:link w:val="169"/>
    <w:qFormat/>
    <w:uiPriority w:val="0"/>
    <w:rPr>
      <w:rFonts w:ascii="Arial" w:hAnsi="Arial"/>
      <w:kern w:val="28"/>
      <w:sz w:val="22"/>
    </w:rPr>
  </w:style>
  <w:style w:type="character" w:customStyle="1" w:styleId="367">
    <w:name w:val="标题 2 Char"/>
    <w:link w:val="5"/>
    <w:qFormat/>
    <w:uiPriority w:val="0"/>
    <w:rPr>
      <w:rFonts w:ascii="Arial" w:hAnsi="Arial" w:eastAsia="黑体"/>
      <w:b/>
      <w:bCs/>
      <w:kern w:val="2"/>
      <w:sz w:val="32"/>
      <w:szCs w:val="32"/>
    </w:rPr>
  </w:style>
  <w:style w:type="character" w:customStyle="1" w:styleId="368">
    <w:name w:val="日期 Char"/>
    <w:link w:val="27"/>
    <w:qFormat/>
    <w:uiPriority w:val="99"/>
    <w:rPr>
      <w:kern w:val="2"/>
      <w:sz w:val="24"/>
    </w:rPr>
  </w:style>
  <w:style w:type="character" w:customStyle="1" w:styleId="369">
    <w:name w:val="Char Char14"/>
    <w:qFormat/>
    <w:uiPriority w:val="0"/>
    <w:rPr>
      <w:rFonts w:eastAsia="宋体"/>
      <w:b/>
      <w:bCs/>
      <w:sz w:val="24"/>
      <w:szCs w:val="24"/>
      <w:lang w:val="en-US" w:eastAsia="zh-CN" w:bidi="ar-SA"/>
    </w:rPr>
  </w:style>
  <w:style w:type="character" w:customStyle="1" w:styleId="370">
    <w:name w:val="标题 4 Char"/>
    <w:link w:val="6"/>
    <w:qFormat/>
    <w:uiPriority w:val="0"/>
    <w:rPr>
      <w:rFonts w:ascii="Arial" w:hAnsi="Arial" w:eastAsia="黑体"/>
      <w:b/>
      <w:bCs/>
      <w:kern w:val="2"/>
      <w:sz w:val="28"/>
      <w:szCs w:val="28"/>
    </w:rPr>
  </w:style>
  <w:style w:type="character" w:customStyle="1" w:styleId="371">
    <w:name w:val="正文首行缩进 2 Char"/>
    <w:link w:val="241"/>
    <w:qFormat/>
    <w:uiPriority w:val="0"/>
    <w:rPr>
      <w:kern w:val="2"/>
      <w:sz w:val="21"/>
      <w:szCs w:val="24"/>
    </w:rPr>
  </w:style>
  <w:style w:type="character" w:customStyle="1" w:styleId="372">
    <w:name w:val="标题 8 Char"/>
    <w:link w:val="10"/>
    <w:qFormat/>
    <w:uiPriority w:val="0"/>
    <w:rPr>
      <w:rFonts w:ascii="Arial" w:hAnsi="Arial" w:eastAsia="黑体"/>
      <w:sz w:val="24"/>
      <w:szCs w:val="24"/>
    </w:rPr>
  </w:style>
  <w:style w:type="character" w:customStyle="1" w:styleId="373">
    <w:name w:val="图形题注 Char"/>
    <w:link w:val="242"/>
    <w:qFormat/>
    <w:uiPriority w:val="0"/>
    <w:rPr>
      <w:rFonts w:ascii="Arial" w:hAnsi="Arial" w:cs="Arial"/>
      <w:sz w:val="21"/>
    </w:rPr>
  </w:style>
  <w:style w:type="character" w:customStyle="1" w:styleId="374">
    <w:name w:val="标题 7 Char"/>
    <w:link w:val="9"/>
    <w:qFormat/>
    <w:uiPriority w:val="0"/>
    <w:rPr>
      <w:b/>
      <w:bCs/>
      <w:sz w:val="24"/>
      <w:szCs w:val="24"/>
    </w:rPr>
  </w:style>
  <w:style w:type="character" w:customStyle="1" w:styleId="375">
    <w:name w:val="无编号正文 Char"/>
    <w:link w:val="245"/>
    <w:qFormat/>
    <w:uiPriority w:val="0"/>
    <w:rPr>
      <w:rFonts w:ascii="宋体" w:hAnsi="宋体"/>
      <w:sz w:val="24"/>
      <w:szCs w:val="24"/>
    </w:rPr>
  </w:style>
  <w:style w:type="character" w:customStyle="1" w:styleId="376">
    <w:name w:val="Char Char13"/>
    <w:qFormat/>
    <w:uiPriority w:val="0"/>
    <w:rPr>
      <w:rFonts w:ascii="Arial" w:hAnsi="Arial" w:eastAsia="黑体"/>
      <w:sz w:val="24"/>
      <w:szCs w:val="24"/>
      <w:lang w:val="en-US" w:eastAsia="zh-CN" w:bidi="ar-SA"/>
    </w:rPr>
  </w:style>
  <w:style w:type="character" w:customStyle="1" w:styleId="377">
    <w:name w:val="批注文字 Char1"/>
    <w:semiHidden/>
    <w:qFormat/>
    <w:locked/>
    <w:uiPriority w:val="0"/>
    <w:rPr>
      <w:kern w:val="2"/>
      <w:sz w:val="21"/>
      <w:szCs w:val="24"/>
    </w:rPr>
  </w:style>
  <w:style w:type="character" w:customStyle="1" w:styleId="378">
    <w:name w:val="Char Char20"/>
    <w:qFormat/>
    <w:uiPriority w:val="0"/>
    <w:rPr>
      <w:rFonts w:ascii="华文细黑" w:eastAsia="华文细黑"/>
      <w:b/>
      <w:bCs/>
      <w:snapToGrid w:val="0"/>
      <w:sz w:val="52"/>
      <w:szCs w:val="44"/>
      <w:lang w:val="en-US" w:eastAsia="zh-CN" w:bidi="ar-SA"/>
    </w:rPr>
  </w:style>
  <w:style w:type="character" w:customStyle="1" w:styleId="379">
    <w:name w:val="text"/>
    <w:qFormat/>
    <w:uiPriority w:val="0"/>
    <w:rPr>
      <w:rFonts w:ascii="仿宋_GB2312" w:eastAsia="仿宋_GB2312"/>
      <w:b/>
      <w:kern w:val="2"/>
      <w:sz w:val="32"/>
      <w:szCs w:val="32"/>
      <w:lang w:val="en-US" w:eastAsia="zh-CN" w:bidi="ar-SA"/>
    </w:rPr>
  </w:style>
  <w:style w:type="character" w:customStyle="1" w:styleId="380">
    <w:name w:val="样式 超链接 + 仿宋_GB2312 小四 加粗"/>
    <w:qFormat/>
    <w:uiPriority w:val="0"/>
    <w:rPr>
      <w:rFonts w:ascii="仿宋_GB2312" w:hAnsi="仿宋_GB2312" w:eastAsia="黑体"/>
      <w:b/>
      <w:bCs/>
      <w:color w:val="auto"/>
      <w:sz w:val="24"/>
      <w:u w:val="none"/>
    </w:rPr>
  </w:style>
  <w:style w:type="character" w:customStyle="1" w:styleId="381">
    <w:name w:val="正文缩进 Char1"/>
    <w:qFormat/>
    <w:uiPriority w:val="0"/>
    <w:rPr>
      <w:kern w:val="2"/>
      <w:sz w:val="21"/>
    </w:rPr>
  </w:style>
  <w:style w:type="character" w:customStyle="1" w:styleId="382">
    <w:name w:val="gjfg"/>
    <w:basedOn w:val="51"/>
    <w:qFormat/>
    <w:uiPriority w:val="0"/>
  </w:style>
  <w:style w:type="character" w:customStyle="1" w:styleId="383">
    <w:name w:val="样式 表内文字"/>
    <w:qFormat/>
    <w:uiPriority w:val="0"/>
    <w:rPr>
      <w:rFonts w:eastAsia="宋体"/>
      <w:snapToGrid/>
      <w:color w:val="000000"/>
      <w:spacing w:val="0"/>
      <w:kern w:val="0"/>
      <w:position w:val="0"/>
      <w:sz w:val="20"/>
      <w:szCs w:val="20"/>
      <w:u w:val="none"/>
    </w:rPr>
  </w:style>
  <w:style w:type="character" w:customStyle="1" w:styleId="384">
    <w:name w:val="正文文本缩进 Char1"/>
    <w:semiHidden/>
    <w:qFormat/>
    <w:uiPriority w:val="99"/>
    <w:rPr>
      <w:rFonts w:ascii="Times New Roman" w:hAnsi="Times New Roman" w:eastAsia="宋体" w:cs="Times New Roman"/>
      <w:kern w:val="0"/>
      <w:szCs w:val="20"/>
    </w:rPr>
  </w:style>
  <w:style w:type="character" w:customStyle="1" w:styleId="385">
    <w:name w:val="页脚 Char"/>
    <w:link w:val="31"/>
    <w:qFormat/>
    <w:uiPriority w:val="99"/>
    <w:rPr>
      <w:kern w:val="2"/>
      <w:sz w:val="18"/>
      <w:szCs w:val="18"/>
    </w:rPr>
  </w:style>
  <w:style w:type="character" w:customStyle="1" w:styleId="386">
    <w:name w:val="标题 1 字符"/>
    <w:link w:val="3"/>
    <w:qFormat/>
    <w:uiPriority w:val="0"/>
    <w:rPr>
      <w:rFonts w:ascii="Times New Roman" w:hAnsi="Times New Roman" w:eastAsia="宋体" w:cs="Times New Roman"/>
      <w:b/>
      <w:bCs/>
      <w:kern w:val="44"/>
      <w:sz w:val="44"/>
      <w:szCs w:val="44"/>
    </w:rPr>
  </w:style>
  <w:style w:type="character" w:customStyle="1" w:styleId="387">
    <w:name w:val="批注主题 Char"/>
    <w:link w:val="48"/>
    <w:qFormat/>
    <w:uiPriority w:val="99"/>
    <w:rPr>
      <w:kern w:val="2"/>
      <w:sz w:val="21"/>
      <w:szCs w:val="24"/>
    </w:rPr>
  </w:style>
  <w:style w:type="character" w:customStyle="1" w:styleId="388">
    <w:name w:val="标题 9 Char"/>
    <w:link w:val="11"/>
    <w:qFormat/>
    <w:uiPriority w:val="0"/>
    <w:rPr>
      <w:rFonts w:ascii="Arial" w:hAnsi="Arial" w:eastAsia="黑体"/>
      <w:sz w:val="21"/>
      <w:szCs w:val="21"/>
    </w:rPr>
  </w:style>
  <w:style w:type="character" w:customStyle="1" w:styleId="389">
    <w:name w:val="next1"/>
    <w:basedOn w:val="51"/>
    <w:qFormat/>
    <w:uiPriority w:val="0"/>
    <w:rPr>
      <w:color w:val="888888"/>
    </w:rPr>
  </w:style>
  <w:style w:type="character" w:customStyle="1" w:styleId="390">
    <w:name w:val="页眉 Char1"/>
    <w:semiHidden/>
    <w:qFormat/>
    <w:uiPriority w:val="99"/>
    <w:rPr>
      <w:rFonts w:ascii="Times New Roman" w:hAnsi="Times New Roman" w:eastAsia="宋体" w:cs="Times New Roman"/>
      <w:kern w:val="0"/>
      <w:sz w:val="18"/>
      <w:szCs w:val="18"/>
    </w:rPr>
  </w:style>
  <w:style w:type="character" w:customStyle="1" w:styleId="391">
    <w:name w:val="displayarti"/>
    <w:basedOn w:val="51"/>
    <w:qFormat/>
    <w:uiPriority w:val="0"/>
    <w:rPr>
      <w:color w:val="FFFFFF"/>
      <w:shd w:val="clear" w:color="auto" w:fill="A00000"/>
    </w:rPr>
  </w:style>
  <w:style w:type="character" w:customStyle="1" w:styleId="392">
    <w:name w:val="Char Char16"/>
    <w:qFormat/>
    <w:uiPriority w:val="0"/>
    <w:rPr>
      <w:rFonts w:eastAsia="宋体"/>
      <w:b/>
      <w:bCs/>
      <w:sz w:val="28"/>
      <w:szCs w:val="28"/>
      <w:lang w:val="en-US" w:eastAsia="zh-CN" w:bidi="ar-SA"/>
    </w:rPr>
  </w:style>
  <w:style w:type="character" w:customStyle="1" w:styleId="393">
    <w:name w:val="三级标题康"/>
    <w:qFormat/>
    <w:uiPriority w:val="0"/>
    <w:rPr>
      <w:rFonts w:ascii="Arial" w:hAnsi="Arial" w:eastAsia="宋体" w:cs="Times New Roman"/>
      <w:b/>
      <w:bCs/>
      <w:sz w:val="21"/>
      <w:szCs w:val="32"/>
    </w:rPr>
  </w:style>
  <w:style w:type="character" w:customStyle="1" w:styleId="394">
    <w:name w:val="标题 3 字符"/>
    <w:qFormat/>
    <w:uiPriority w:val="0"/>
    <w:rPr>
      <w:rFonts w:ascii="Times New Roman" w:hAnsi="Times New Roman" w:eastAsia="宋体" w:cs="Times New Roman"/>
      <w:b/>
      <w:bCs/>
      <w:sz w:val="32"/>
      <w:szCs w:val="32"/>
    </w:rPr>
  </w:style>
  <w:style w:type="character" w:customStyle="1" w:styleId="395">
    <w:name w:val="正文缩进 Char"/>
    <w:link w:val="14"/>
    <w:qFormat/>
    <w:uiPriority w:val="0"/>
    <w:rPr>
      <w:kern w:val="2"/>
      <w:sz w:val="21"/>
      <w:szCs w:val="24"/>
    </w:rPr>
  </w:style>
  <w:style w:type="character" w:customStyle="1" w:styleId="396">
    <w:name w:val="Char Char15"/>
    <w:qFormat/>
    <w:uiPriority w:val="0"/>
    <w:rPr>
      <w:rFonts w:ascii="Arial" w:hAnsi="Arial" w:eastAsia="黑体"/>
      <w:b/>
      <w:bCs/>
      <w:sz w:val="24"/>
      <w:szCs w:val="24"/>
      <w:lang w:val="en-US" w:eastAsia="zh-CN" w:bidi="ar-SA"/>
    </w:rPr>
  </w:style>
  <w:style w:type="character" w:customStyle="1" w:styleId="397">
    <w:name w:val="正文文本 3 Char"/>
    <w:link w:val="19"/>
    <w:qFormat/>
    <w:uiPriority w:val="0"/>
    <w:rPr>
      <w:rFonts w:ascii="宋体"/>
      <w:kern w:val="2"/>
      <w:sz w:val="24"/>
    </w:rPr>
  </w:style>
  <w:style w:type="character" w:customStyle="1" w:styleId="398">
    <w:name w:val="Char Char2"/>
    <w:qFormat/>
    <w:uiPriority w:val="0"/>
    <w:rPr>
      <w:rFonts w:ascii="楷体_GB2312" w:hAnsi="宋体" w:eastAsia="楷体_GB2312"/>
      <w:color w:val="000000"/>
      <w:sz w:val="21"/>
      <w:szCs w:val="21"/>
      <w:lang w:val="en-US" w:eastAsia="zh-CN" w:bidi="ar-SA"/>
    </w:rPr>
  </w:style>
  <w:style w:type="character" w:customStyle="1" w:styleId="399">
    <w:name w:val="标题 3 Char"/>
    <w:link w:val="4"/>
    <w:qFormat/>
    <w:uiPriority w:val="0"/>
    <w:rPr>
      <w:b/>
      <w:bCs/>
      <w:kern w:val="2"/>
      <w:sz w:val="24"/>
      <w:szCs w:val="32"/>
    </w:rPr>
  </w:style>
  <w:style w:type="table" w:customStyle="1" w:styleId="400">
    <w:name w:val="Table Normal_0"/>
    <w:unhideWhenUsed/>
    <w:qFormat/>
    <w:uiPriority w:val="2"/>
    <w:pPr>
      <w:widowControl w:val="0"/>
      <w:spacing w:line="360" w:lineRule="auto"/>
      <w:ind w:firstLine="420"/>
      <w:jc w:val="both"/>
    </w:pPr>
    <w:rPr>
      <w:rFonts w:ascii="Calibri" w:hAnsi="Calibri"/>
      <w:sz w:val="22"/>
      <w:szCs w:val="22"/>
      <w:lang w:val="en-US" w:eastAsia="en-US" w:bidi="ar-SA"/>
    </w:rPr>
    <w:tblPr>
      <w:tblCellMar>
        <w:top w:w="0" w:type="dxa"/>
        <w:left w:w="0" w:type="dxa"/>
        <w:bottom w:w="0" w:type="dxa"/>
        <w:right w:w="0" w:type="dxa"/>
      </w:tblCellMar>
    </w:tblPr>
  </w:style>
  <w:style w:type="character" w:customStyle="1" w:styleId="401">
    <w:name w:val="fielderror"/>
    <w:basedOn w:val="51"/>
    <w:qFormat/>
    <w:uiPriority w:val="0"/>
    <w:rPr>
      <w:color w:val="800000"/>
    </w:rPr>
  </w:style>
  <w:style w:type="character" w:customStyle="1" w:styleId="402">
    <w:name w:val="hilite6"/>
    <w:basedOn w:val="51"/>
    <w:qFormat/>
    <w:uiPriority w:val="0"/>
    <w:rPr>
      <w:color w:val="000000"/>
    </w:rPr>
  </w:style>
  <w:style w:type="character" w:customStyle="1" w:styleId="403">
    <w:name w:val="active6"/>
    <w:basedOn w:val="51"/>
    <w:qFormat/>
    <w:uiPriority w:val="0"/>
    <w:rPr>
      <w:color w:val="FFFFFF"/>
    </w:rPr>
  </w:style>
  <w:style w:type="character" w:customStyle="1" w:styleId="404">
    <w:name w:val="hilite"/>
    <w:basedOn w:val="51"/>
    <w:qFormat/>
    <w:uiPriority w:val="0"/>
    <w:rPr>
      <w:color w:val="000000"/>
    </w:rPr>
  </w:style>
  <w:style w:type="character" w:customStyle="1" w:styleId="405">
    <w:name w:val="active"/>
    <w:basedOn w:val="51"/>
    <w:qFormat/>
    <w:uiPriority w:val="0"/>
    <w:rPr>
      <w:color w:val="FFFFFF"/>
    </w:rPr>
  </w:style>
  <w:style w:type="paragraph" w:customStyle="1" w:styleId="406">
    <w:name w:val="Normal_2_0"/>
    <w:qFormat/>
    <w:uiPriority w:val="0"/>
    <w:pPr>
      <w:widowControl w:val="0"/>
      <w:jc w:val="both"/>
    </w:pPr>
    <w:rPr>
      <w:rFonts w:ascii="Calibri" w:hAnsi="Calibri" w:eastAsia="等线" w:cs="Calibri"/>
      <w:kern w:val="2"/>
      <w:sz w:val="21"/>
      <w:lang w:val="en-US" w:eastAsia="zh-CN" w:bidi="ar-SA"/>
    </w:rPr>
  </w:style>
  <w:style w:type="paragraph" w:customStyle="1" w:styleId="407">
    <w:name w:val="Normal_4"/>
    <w:next w:val="408"/>
    <w:qFormat/>
    <w:uiPriority w:val="0"/>
    <w:pPr>
      <w:widowControl w:val="0"/>
      <w:spacing w:after="160" w:line="259" w:lineRule="auto"/>
      <w:jc w:val="both"/>
    </w:pPr>
    <w:rPr>
      <w:rFonts w:ascii="Times New Roman" w:hAnsi="Times New Roman" w:eastAsia="宋体" w:cs="Times New Roman"/>
      <w:szCs w:val="24"/>
      <w:lang w:val="en-US" w:eastAsia="zh-CN" w:bidi="ar-SA"/>
    </w:rPr>
  </w:style>
  <w:style w:type="paragraph" w:customStyle="1" w:styleId="408">
    <w:name w:val="Body Text First Indent 2_4"/>
    <w:basedOn w:val="409"/>
    <w:semiHidden/>
    <w:qFormat/>
    <w:uiPriority w:val="0"/>
    <w:pPr>
      <w:ind w:firstLine="420"/>
    </w:pPr>
  </w:style>
  <w:style w:type="paragraph" w:customStyle="1" w:styleId="409">
    <w:name w:val="Body Text Indent_4"/>
    <w:basedOn w:val="407"/>
    <w:unhideWhenUsed/>
    <w:qFormat/>
    <w:uiPriority w:val="99"/>
    <w:pPr>
      <w:spacing w:after="120"/>
      <w:ind w:left="420" w:leftChars="200"/>
    </w:pPr>
  </w:style>
  <w:style w:type="paragraph" w:customStyle="1" w:styleId="410">
    <w:name w:val="Normal_2"/>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411">
    <w:name w:val="NormalCharacter"/>
    <w:semiHidden/>
    <w:qFormat/>
    <w:uiPriority w:val="0"/>
    <w:rPr>
      <w:kern w:val="2"/>
      <w:sz w:val="21"/>
      <w:szCs w:val="21"/>
      <w:lang w:val="en-US" w:eastAsia="zh-CN" w:bidi="ar-SA"/>
    </w:rPr>
  </w:style>
  <w:style w:type="character" w:customStyle="1" w:styleId="412">
    <w:name w:val="font21"/>
    <w:basedOn w:val="51"/>
    <w:qFormat/>
    <w:uiPriority w:val="0"/>
    <w:rPr>
      <w:rFonts w:hint="eastAsia" w:ascii="宋体" w:hAnsi="宋体" w:eastAsia="宋体" w:cs="宋体"/>
      <w:color w:val="000000"/>
      <w:sz w:val="24"/>
      <w:szCs w:val="24"/>
      <w:u w:val="none"/>
    </w:rPr>
  </w:style>
  <w:style w:type="character" w:customStyle="1" w:styleId="413">
    <w:name w:val="font01"/>
    <w:basedOn w:val="51"/>
    <w:qFormat/>
    <w:uiPriority w:val="0"/>
    <w:rPr>
      <w:rFonts w:hint="eastAsia" w:ascii="宋体" w:hAnsi="宋体" w:eastAsia="宋体" w:cs="宋体"/>
      <w:color w:val="FF0000"/>
      <w:sz w:val="24"/>
      <w:szCs w:val="24"/>
      <w:u w:val="none"/>
    </w:rPr>
  </w:style>
  <w:style w:type="character" w:customStyle="1" w:styleId="414">
    <w:name w:val="font41"/>
    <w:basedOn w:val="51"/>
    <w:qFormat/>
    <w:uiPriority w:val="0"/>
    <w:rPr>
      <w:rFonts w:hint="eastAsia" w:ascii="宋体" w:hAnsi="宋体" w:eastAsia="宋体" w:cs="宋体"/>
      <w:color w:val="000000"/>
      <w:sz w:val="18"/>
      <w:szCs w:val="18"/>
      <w:u w:val="none"/>
    </w:rPr>
  </w:style>
  <w:style w:type="character" w:customStyle="1" w:styleId="415">
    <w:name w:val="font61"/>
    <w:basedOn w:val="51"/>
    <w:qFormat/>
    <w:uiPriority w:val="0"/>
    <w:rPr>
      <w:rFonts w:hint="eastAsia" w:ascii="宋体" w:hAnsi="宋体" w:eastAsia="宋体" w:cs="宋体"/>
      <w:b/>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93</Pages>
  <Words>34580</Words>
  <Characters>35648</Characters>
  <Lines>246</Lines>
  <Paragraphs>69</Paragraphs>
  <TotalTime>6</TotalTime>
  <ScaleCrop>false</ScaleCrop>
  <LinksUpToDate>false</LinksUpToDate>
  <CharactersWithSpaces>38052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2020-11-24T09:04:00Z</dcterms:created>
  <dc:creator>1</dc:creator>
  <cp:lastModifiedBy>李雷</cp:lastModifiedBy>
  <cp:lastPrinted>2023-12-19T06:59:00Z</cp:lastPrinted>
  <dcterms:modified xsi:type="dcterms:W3CDTF">2023-12-19T10:09:01Z</dcterms:modified>
  <dc:title>中华人民共和国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AE8CAD696CCF44F4A074D13F440C331B</vt:lpwstr>
  </property>
</Properties>
</file>