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napToGrid w:val="0"/>
        <w:ind w:firstLine="0" w:firstLineChars="0"/>
        <w:rPr>
          <w:rFonts w:ascii="宋体" w:hAnsi="宋体"/>
          <w:sz w:val="48"/>
          <w:szCs w:val="48"/>
        </w:rPr>
      </w:pPr>
      <w:bookmarkStart w:id="0" w:name="_Toc144974478"/>
      <w:bookmarkStart w:id="1" w:name="_Toc152042286"/>
      <w:bookmarkStart w:id="2" w:name="_Hlk532133368"/>
    </w:p>
    <w:p>
      <w:pPr>
        <w:widowControl w:val="0"/>
        <w:autoSpaceDE w:val="0"/>
        <w:autoSpaceDN w:val="0"/>
        <w:adjustRightInd w:val="0"/>
        <w:snapToGrid w:val="0"/>
        <w:ind w:firstLine="0" w:firstLineChars="0"/>
        <w:rPr>
          <w:rFonts w:ascii="宋体" w:hAnsi="宋体"/>
          <w:sz w:val="48"/>
          <w:szCs w:val="48"/>
        </w:rPr>
      </w:pPr>
    </w:p>
    <w:p>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货物类招标文件</w:t>
      </w:r>
    </w:p>
    <w:p>
      <w:pPr>
        <w:widowControl w:val="0"/>
        <w:autoSpaceDE w:val="0"/>
        <w:autoSpaceDN w:val="0"/>
        <w:adjustRightInd w:val="0"/>
        <w:snapToGrid w:val="0"/>
        <w:ind w:firstLine="0" w:firstLineChars="0"/>
        <w:rPr>
          <w:rFonts w:ascii="宋体" w:hAnsi="宋体"/>
          <w:sz w:val="48"/>
          <w:szCs w:val="48"/>
        </w:rPr>
      </w:pPr>
    </w:p>
    <w:p>
      <w:pPr>
        <w:widowControl w:val="0"/>
        <w:autoSpaceDE w:val="0"/>
        <w:autoSpaceDN w:val="0"/>
        <w:adjustRightInd w:val="0"/>
        <w:snapToGrid w:val="0"/>
        <w:ind w:firstLine="0" w:firstLineChars="0"/>
        <w:rPr>
          <w:rFonts w:ascii="宋体" w:hAnsi="宋体"/>
          <w:sz w:val="48"/>
          <w:szCs w:val="48"/>
        </w:rPr>
      </w:pPr>
    </w:p>
    <w:tbl>
      <w:tblPr>
        <w:tblStyle w:val="49"/>
        <w:tblW w:w="8856" w:type="dxa"/>
        <w:tblInd w:w="0" w:type="dxa"/>
        <w:tblLayout w:type="fixed"/>
        <w:tblCellMar>
          <w:top w:w="0" w:type="dxa"/>
          <w:left w:w="108" w:type="dxa"/>
          <w:bottom w:w="0" w:type="dxa"/>
          <w:right w:w="108" w:type="dxa"/>
        </w:tblCellMar>
      </w:tblPr>
      <w:tblGrid>
        <w:gridCol w:w="2173"/>
        <w:gridCol w:w="6683"/>
      </w:tblGrid>
      <w:tr>
        <w:tc>
          <w:tcPr>
            <w:tcW w:w="2173"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节日灯笼国旗等装饰物采购项目    </w:t>
            </w:r>
          </w:p>
        </w:tc>
      </w:tr>
      <w:tr>
        <w:tblPrEx>
          <w:tblCellMar>
            <w:top w:w="0" w:type="dxa"/>
            <w:left w:w="108" w:type="dxa"/>
            <w:bottom w:w="0" w:type="dxa"/>
            <w:right w:w="108" w:type="dxa"/>
          </w:tblCellMar>
        </w:tblPrEx>
        <w:tc>
          <w:tcPr>
            <w:tcW w:w="2173"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p>
        </w:tc>
      </w:tr>
      <w:tr>
        <w:tblPrEx>
          <w:tblCellMar>
            <w:top w:w="0" w:type="dxa"/>
            <w:left w:w="108" w:type="dxa"/>
            <w:bottom w:w="0" w:type="dxa"/>
            <w:right w:w="108" w:type="dxa"/>
          </w:tblCellMar>
        </w:tblPrEx>
        <w:tc>
          <w:tcPr>
            <w:tcW w:w="2173"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招标人：</w:t>
            </w:r>
          </w:p>
        </w:tc>
        <w:tc>
          <w:tcPr>
            <w:tcW w:w="668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深圳市龙华环境有限公司             </w:t>
            </w:r>
          </w:p>
        </w:tc>
      </w:tr>
      <w:tr>
        <w:tblPrEx>
          <w:tblCellMar>
            <w:top w:w="0" w:type="dxa"/>
            <w:left w:w="108" w:type="dxa"/>
            <w:bottom w:w="0" w:type="dxa"/>
            <w:right w:w="108" w:type="dxa"/>
          </w:tblCellMar>
        </w:tblPrEx>
        <w:tc>
          <w:tcPr>
            <w:tcW w:w="2173"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招标代理：</w:t>
            </w:r>
          </w:p>
        </w:tc>
        <w:tc>
          <w:tcPr>
            <w:tcW w:w="668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p>
        </w:tc>
      </w:tr>
    </w:tbl>
    <w:p>
      <w:pPr>
        <w:widowControl w:val="0"/>
        <w:autoSpaceDE w:val="0"/>
        <w:autoSpaceDN w:val="0"/>
        <w:adjustRightInd w:val="0"/>
        <w:snapToGrid w:val="0"/>
        <w:ind w:firstLine="0" w:firstLineChars="0"/>
        <w:rPr>
          <w:rFonts w:ascii="宋体" w:hAnsi="宋体" w:cs="Courier New"/>
          <w:b/>
          <w:bCs/>
          <w:sz w:val="32"/>
          <w:szCs w:val="32"/>
        </w:rPr>
      </w:pPr>
    </w:p>
    <w:p>
      <w:pPr>
        <w:widowControl w:val="0"/>
        <w:autoSpaceDE w:val="0"/>
        <w:autoSpaceDN w:val="0"/>
        <w:adjustRightInd w:val="0"/>
        <w:snapToGrid w:val="0"/>
        <w:ind w:firstLine="0" w:firstLineChars="0"/>
        <w:jc w:val="center"/>
        <w:outlineLvl w:val="0"/>
        <w:rPr>
          <w:rFonts w:ascii="宋体" w:hAnsi="宋体" w:cs="Courier New"/>
          <w:b/>
          <w:bCs/>
          <w:sz w:val="32"/>
          <w:szCs w:val="32"/>
        </w:rPr>
      </w:pPr>
      <w:r>
        <w:rPr>
          <w:rFonts w:ascii="宋体" w:hAnsi="宋体" w:cs="Courier New"/>
          <w:b/>
          <w:bCs/>
          <w:sz w:val="32"/>
          <w:szCs w:val="32"/>
        </w:rPr>
        <w:br w:type="page"/>
      </w:r>
      <w:bookmarkEnd w:id="0"/>
      <w:bookmarkEnd w:id="1"/>
      <w:bookmarkStart w:id="3" w:name="_Toc49247151"/>
      <w:r>
        <w:rPr>
          <w:rFonts w:hint="eastAsia" w:ascii="宋体" w:hAnsi="宋体"/>
          <w:b/>
          <w:sz w:val="44"/>
          <w:szCs w:val="44"/>
        </w:rPr>
        <w:t>目录</w:t>
      </w:r>
      <w:bookmarkEnd w:id="3"/>
    </w:p>
    <w:p>
      <w:pPr>
        <w:pStyle w:val="33"/>
        <w:tabs>
          <w:tab w:val="right" w:leader="dot" w:pos="8630"/>
        </w:tabs>
        <w:rPr>
          <w:rStyle w:val="56"/>
          <w:rFonts w:hint="default"/>
          <w:b/>
          <w:lang w:eastAsia="zh-CN"/>
        </w:rPr>
      </w:pPr>
      <w:r>
        <w:rPr>
          <w:rFonts w:cs="宋体"/>
          <w:b/>
          <w:bCs/>
        </w:rPr>
        <w:fldChar w:fldCharType="begin"/>
      </w:r>
      <w:r>
        <w:rPr>
          <w:rStyle w:val="56"/>
          <w:rFonts w:hint="default" w:cs="宋体"/>
          <w:b/>
          <w:bCs/>
        </w:rPr>
        <w:instrText xml:space="preserve"> TOC \o "1-2" \h \z \u </w:instrText>
      </w:r>
      <w:r>
        <w:rPr>
          <w:rFonts w:cs="宋体"/>
          <w:b/>
          <w:bCs/>
        </w:rPr>
        <w:fldChar w:fldCharType="separate"/>
      </w:r>
      <w:r>
        <w:fldChar w:fldCharType="begin"/>
      </w:r>
      <w:r>
        <w:instrText xml:space="preserve"> HYPERLINK \l "_Toc49247151" </w:instrText>
      </w:r>
      <w:r>
        <w:fldChar w:fldCharType="separate"/>
      </w:r>
      <w:r>
        <w:rPr>
          <w:rStyle w:val="56"/>
          <w:rFonts w:hint="default"/>
          <w:b/>
        </w:rPr>
        <w:t>目录</w:t>
      </w:r>
      <w:r>
        <w:rPr>
          <w:rStyle w:val="56"/>
          <w:rFonts w:hint="default"/>
          <w:b/>
        </w:rPr>
        <w:tab/>
      </w:r>
      <w:r>
        <w:rPr>
          <w:rStyle w:val="56"/>
          <w:rFonts w:hint="default"/>
          <w:b/>
        </w:rPr>
        <w:fldChar w:fldCharType="begin"/>
      </w:r>
      <w:r>
        <w:rPr>
          <w:rStyle w:val="56"/>
          <w:rFonts w:hint="default"/>
          <w:b/>
        </w:rPr>
        <w:instrText xml:space="preserve"> PAGEREF _Toc49247151 \h </w:instrText>
      </w:r>
      <w:r>
        <w:rPr>
          <w:rStyle w:val="56"/>
          <w:rFonts w:hint="default"/>
          <w:b/>
        </w:rPr>
        <w:fldChar w:fldCharType="separate"/>
      </w:r>
      <w:r>
        <w:rPr>
          <w:rStyle w:val="56"/>
          <w:rFonts w:hint="default"/>
          <w:b/>
        </w:rPr>
        <w:t>2</w:t>
      </w:r>
      <w:r>
        <w:rPr>
          <w:rStyle w:val="56"/>
          <w:rFonts w:hint="default"/>
          <w:b/>
        </w:rPr>
        <w:fldChar w:fldCharType="end"/>
      </w:r>
      <w:r>
        <w:rPr>
          <w:rStyle w:val="56"/>
          <w:rFonts w:hint="default"/>
          <w:b/>
        </w:rPr>
        <w:fldChar w:fldCharType="end"/>
      </w:r>
    </w:p>
    <w:p>
      <w:pPr>
        <w:pStyle w:val="33"/>
        <w:tabs>
          <w:tab w:val="right" w:leader="dot" w:pos="8630"/>
        </w:tabs>
        <w:rPr>
          <w:rFonts w:ascii="等线" w:hAnsi="等线" w:eastAsia="等线"/>
          <w:kern w:val="2"/>
          <w:szCs w:val="22"/>
          <w:lang w:eastAsia="zh-CN"/>
        </w:rPr>
      </w:pPr>
      <w:r>
        <w:fldChar w:fldCharType="begin"/>
      </w:r>
      <w:r>
        <w:instrText xml:space="preserve"> HYPERLINK \l "_Toc49247152" </w:instrText>
      </w:r>
      <w:r>
        <w:fldChar w:fldCharType="separate"/>
      </w:r>
      <w:r>
        <w:rPr>
          <w:rStyle w:val="56"/>
          <w:rFonts w:hint="default"/>
          <w:b/>
          <w:lang w:eastAsia="zh-CN"/>
        </w:rPr>
        <w:t>招标相关说明</w:t>
      </w:r>
      <w:r>
        <w:rPr>
          <w:rStyle w:val="56"/>
          <w:rFonts w:hint="default"/>
          <w:b/>
        </w:rPr>
        <w:tab/>
      </w:r>
      <w:r>
        <w:rPr>
          <w:rStyle w:val="56"/>
          <w:rFonts w:hint="default"/>
          <w:b/>
        </w:rPr>
        <w:fldChar w:fldCharType="begin"/>
      </w:r>
      <w:r>
        <w:rPr>
          <w:rStyle w:val="56"/>
          <w:rFonts w:hint="default"/>
          <w:b/>
        </w:rPr>
        <w:instrText xml:space="preserve"> PAGEREF _Toc49247152 \h </w:instrText>
      </w:r>
      <w:r>
        <w:rPr>
          <w:rStyle w:val="56"/>
          <w:rFonts w:hint="default"/>
          <w:b/>
        </w:rPr>
        <w:fldChar w:fldCharType="separate"/>
      </w:r>
      <w:r>
        <w:rPr>
          <w:rStyle w:val="56"/>
          <w:rFonts w:hint="default"/>
          <w:b/>
        </w:rPr>
        <w:t>4</w:t>
      </w:r>
      <w:r>
        <w:rPr>
          <w:rStyle w:val="56"/>
          <w:rFonts w:hint="default"/>
          <w:b/>
        </w:rPr>
        <w:fldChar w:fldCharType="end"/>
      </w:r>
      <w:r>
        <w:rPr>
          <w:rStyle w:val="56"/>
          <w:rFonts w:hint="default"/>
          <w:b/>
        </w:rPr>
        <w:fldChar w:fldCharType="end"/>
      </w:r>
    </w:p>
    <w:p>
      <w:pPr>
        <w:pStyle w:val="33"/>
        <w:tabs>
          <w:tab w:val="right" w:leader="dot" w:pos="8630"/>
        </w:tabs>
        <w:rPr>
          <w:rFonts w:ascii="等线" w:hAnsi="等线" w:eastAsia="等线"/>
          <w:kern w:val="2"/>
          <w:szCs w:val="22"/>
          <w:lang w:eastAsia="zh-CN"/>
        </w:rPr>
      </w:pPr>
      <w:r>
        <w:fldChar w:fldCharType="begin"/>
      </w:r>
      <w:r>
        <w:instrText xml:space="preserve"> HYPERLINK \l "_Toc49247153" </w:instrText>
      </w:r>
      <w:r>
        <w:fldChar w:fldCharType="separate"/>
      </w:r>
      <w:r>
        <w:rPr>
          <w:rStyle w:val="56"/>
          <w:rFonts w:hint="default"/>
          <w:b/>
          <w:bCs/>
        </w:rPr>
        <w:t>第一章 投标人须知</w:t>
      </w:r>
      <w:r>
        <w:tab/>
      </w:r>
      <w:r>
        <w:rPr>
          <w:rFonts w:hint="eastAsia"/>
          <w:lang w:val="en-US" w:eastAsia="zh-CN"/>
        </w:rPr>
        <w:t>5</w:t>
      </w:r>
      <w:r>
        <w:rPr>
          <w:rFonts w:hint="eastAsia"/>
          <w:lang w:eastAsia="zh-CN"/>
        </w:rPr>
        <w:fldChar w:fldCharType="end"/>
      </w:r>
    </w:p>
    <w:p>
      <w:pPr>
        <w:pStyle w:val="42"/>
        <w:tabs>
          <w:tab w:val="right" w:leader="dot" w:pos="8630"/>
        </w:tabs>
        <w:ind w:firstLine="420"/>
        <w:rPr>
          <w:rFonts w:ascii="等线" w:hAnsi="等线" w:eastAsia="等线"/>
          <w:kern w:val="2"/>
          <w:szCs w:val="22"/>
          <w:lang w:eastAsia="zh-CN"/>
        </w:rPr>
      </w:pPr>
      <w:r>
        <w:fldChar w:fldCharType="begin"/>
      </w:r>
      <w:r>
        <w:instrText xml:space="preserve"> HYPERLINK \l "_Toc49247154" </w:instrText>
      </w:r>
      <w:r>
        <w:fldChar w:fldCharType="separate"/>
      </w:r>
      <w:r>
        <w:rPr>
          <w:rStyle w:val="56"/>
          <w:rFonts w:hint="default"/>
          <w:b/>
        </w:rPr>
        <w:t>第一节 投标人须知前附表</w:t>
      </w:r>
      <w:r>
        <w:tab/>
      </w:r>
      <w:r>
        <w:rPr>
          <w:rFonts w:hint="eastAsia"/>
          <w:lang w:val="en-US" w:eastAsia="zh-CN"/>
        </w:rPr>
        <w:t>6</w:t>
      </w:r>
      <w:r>
        <w:rPr>
          <w:rFonts w:hint="eastAsia"/>
          <w:lang w:eastAsia="zh-CN"/>
        </w:rPr>
        <w:fldChar w:fldCharType="end"/>
      </w:r>
    </w:p>
    <w:p>
      <w:pPr>
        <w:pStyle w:val="42"/>
        <w:tabs>
          <w:tab w:val="right" w:leader="dot" w:pos="8630"/>
        </w:tabs>
        <w:ind w:firstLine="420"/>
        <w:rPr>
          <w:rFonts w:ascii="等线" w:hAnsi="等线"/>
          <w:kern w:val="2"/>
          <w:szCs w:val="22"/>
          <w:lang w:eastAsia="zh-CN"/>
        </w:rPr>
      </w:pPr>
      <w:r>
        <w:fldChar w:fldCharType="begin"/>
      </w:r>
      <w:r>
        <w:instrText xml:space="preserve"> HYPERLINK \l "_Toc49247155" </w:instrText>
      </w:r>
      <w:r>
        <w:fldChar w:fldCharType="separate"/>
      </w:r>
      <w:r>
        <w:rPr>
          <w:rStyle w:val="56"/>
          <w:rFonts w:hint="default"/>
          <w:b/>
        </w:rPr>
        <w:t>第二节 否决性条款摘要</w:t>
      </w:r>
      <w:r>
        <w:tab/>
      </w:r>
      <w:r>
        <w:rPr>
          <w:rFonts w:hint="eastAsia"/>
          <w:lang w:eastAsia="zh-CN"/>
        </w:rPr>
        <w:t>1</w:t>
      </w:r>
      <w:r>
        <w:rPr>
          <w:rFonts w:hint="eastAsia"/>
          <w:lang w:eastAsia="zh-CN"/>
        </w:rPr>
        <w:fldChar w:fldCharType="end"/>
      </w:r>
      <w:r>
        <w:rPr>
          <w:rFonts w:hint="eastAsia"/>
          <w:lang w:val="en-US" w:eastAsia="zh-CN"/>
        </w:rPr>
        <w:t>2</w:t>
      </w:r>
    </w:p>
    <w:p>
      <w:pPr>
        <w:pStyle w:val="42"/>
        <w:tabs>
          <w:tab w:val="right" w:leader="dot" w:pos="8630"/>
        </w:tabs>
        <w:ind w:firstLine="420"/>
        <w:rPr>
          <w:rFonts w:ascii="等线" w:hAnsi="等线"/>
          <w:kern w:val="2"/>
          <w:szCs w:val="22"/>
          <w:lang w:eastAsia="zh-CN"/>
        </w:rPr>
      </w:pPr>
      <w:r>
        <w:fldChar w:fldCharType="begin"/>
      </w:r>
      <w:r>
        <w:instrText xml:space="preserve"> HYPERLINK \l "_Toc49247156" </w:instrText>
      </w:r>
      <w:r>
        <w:fldChar w:fldCharType="separate"/>
      </w:r>
      <w:r>
        <w:rPr>
          <w:rStyle w:val="56"/>
          <w:rFonts w:hint="default"/>
          <w:b/>
        </w:rPr>
        <w:t>第三节 总则</w:t>
      </w:r>
      <w:r>
        <w:tab/>
      </w:r>
      <w:r>
        <w:rPr>
          <w:rFonts w:hint="eastAsia"/>
          <w:lang w:eastAsia="zh-CN"/>
        </w:rPr>
        <w:t>1</w:t>
      </w:r>
      <w:r>
        <w:rPr>
          <w:rFonts w:hint="eastAsia"/>
          <w:lang w:eastAsia="zh-CN"/>
        </w:rPr>
        <w:fldChar w:fldCharType="end"/>
      </w:r>
      <w:r>
        <w:rPr>
          <w:rFonts w:hint="eastAsia"/>
          <w:lang w:val="en-US" w:eastAsia="zh-CN"/>
        </w:rPr>
        <w:t>4</w:t>
      </w:r>
    </w:p>
    <w:p>
      <w:pPr>
        <w:pStyle w:val="33"/>
        <w:tabs>
          <w:tab w:val="right" w:leader="dot" w:pos="8630"/>
        </w:tabs>
        <w:rPr>
          <w:rFonts w:hint="default" w:ascii="等线" w:hAnsi="等线"/>
          <w:kern w:val="2"/>
          <w:szCs w:val="22"/>
          <w:lang w:val="en-US" w:eastAsia="zh-CN"/>
        </w:rPr>
      </w:pPr>
      <w:r>
        <w:fldChar w:fldCharType="begin"/>
      </w:r>
      <w:r>
        <w:instrText xml:space="preserve"> HYPERLINK \l "_Toc49247157" </w:instrText>
      </w:r>
      <w:r>
        <w:fldChar w:fldCharType="separate"/>
      </w:r>
      <w:r>
        <w:rPr>
          <w:rStyle w:val="56"/>
          <w:rFonts w:hint="default"/>
          <w:b/>
          <w:bCs/>
        </w:rPr>
        <w:t>第二章 评定标办法（</w:t>
      </w:r>
      <w:r>
        <w:rPr>
          <w:rStyle w:val="56"/>
          <w:rFonts w:hint="default"/>
          <w:b/>
          <w:bCs/>
          <w:lang w:eastAsia="zh-CN"/>
        </w:rPr>
        <w:t>综合评估</w:t>
      </w:r>
      <w:r>
        <w:rPr>
          <w:rStyle w:val="56"/>
          <w:rFonts w:hint="default"/>
          <w:b/>
          <w:bCs/>
        </w:rPr>
        <w:t>法）</w:t>
      </w:r>
      <w:r>
        <w:tab/>
      </w:r>
      <w:r>
        <w:rPr>
          <w:rFonts w:hint="eastAsia"/>
          <w:lang w:eastAsia="zh-CN"/>
        </w:rPr>
        <w:t>2</w:t>
      </w:r>
      <w:r>
        <w:rPr>
          <w:rFonts w:hint="eastAsia"/>
          <w:lang w:eastAsia="zh-CN"/>
        </w:rPr>
        <w:fldChar w:fldCharType="end"/>
      </w:r>
      <w:r>
        <w:rPr>
          <w:rFonts w:hint="eastAsia"/>
          <w:lang w:val="en-US" w:eastAsia="zh-CN"/>
        </w:rPr>
        <w:t>3</w:t>
      </w:r>
    </w:p>
    <w:p>
      <w:pPr>
        <w:pStyle w:val="42"/>
        <w:tabs>
          <w:tab w:val="right" w:leader="dot" w:pos="8630"/>
        </w:tabs>
        <w:ind w:firstLine="420"/>
        <w:rPr>
          <w:rFonts w:ascii="等线" w:hAnsi="等线"/>
          <w:kern w:val="2"/>
          <w:szCs w:val="22"/>
          <w:lang w:eastAsia="zh-CN"/>
        </w:rPr>
      </w:pPr>
      <w:r>
        <w:fldChar w:fldCharType="begin"/>
      </w:r>
      <w:r>
        <w:instrText xml:space="preserve"> HYPERLINK \l "_Toc49247158" </w:instrText>
      </w:r>
      <w:r>
        <w:fldChar w:fldCharType="separate"/>
      </w:r>
      <w:r>
        <w:rPr>
          <w:rStyle w:val="56"/>
          <w:rFonts w:hint="default"/>
          <w:b/>
        </w:rPr>
        <w:t>一、评标须知</w:t>
      </w:r>
      <w:r>
        <w:tab/>
      </w:r>
      <w:r>
        <w:rPr>
          <w:rFonts w:hint="eastAsia"/>
          <w:lang w:eastAsia="zh-CN"/>
        </w:rPr>
        <w:t>2</w:t>
      </w:r>
      <w:r>
        <w:rPr>
          <w:rFonts w:hint="eastAsia"/>
          <w:lang w:eastAsia="zh-CN"/>
        </w:rPr>
        <w:fldChar w:fldCharType="end"/>
      </w:r>
      <w:r>
        <w:rPr>
          <w:rFonts w:hint="eastAsia"/>
          <w:lang w:val="en-US" w:eastAsia="zh-CN"/>
        </w:rPr>
        <w:t>6</w:t>
      </w:r>
    </w:p>
    <w:p>
      <w:pPr>
        <w:pStyle w:val="42"/>
        <w:tabs>
          <w:tab w:val="right" w:leader="dot" w:pos="8630"/>
        </w:tabs>
        <w:ind w:firstLine="420"/>
        <w:rPr>
          <w:rFonts w:hint="default" w:ascii="等线" w:hAnsi="等线"/>
          <w:kern w:val="2"/>
          <w:szCs w:val="22"/>
          <w:lang w:val="en-US" w:eastAsia="zh-CN"/>
        </w:rPr>
      </w:pPr>
      <w:r>
        <w:fldChar w:fldCharType="begin"/>
      </w:r>
      <w:r>
        <w:instrText xml:space="preserve"> HYPERLINK \l "_Toc49247160" </w:instrText>
      </w:r>
      <w:r>
        <w:fldChar w:fldCharType="separate"/>
      </w:r>
      <w:r>
        <w:rPr>
          <w:rStyle w:val="56"/>
          <w:rFonts w:hint="default"/>
          <w:b/>
        </w:rPr>
        <w:t>三、定标方法</w:t>
      </w:r>
      <w:r>
        <w:tab/>
      </w:r>
      <w:r>
        <w:rPr>
          <w:rFonts w:hint="eastAsia"/>
          <w:lang w:eastAsia="zh-CN"/>
        </w:rPr>
        <w:fldChar w:fldCharType="end"/>
      </w:r>
      <w:r>
        <w:rPr>
          <w:rFonts w:hint="eastAsia"/>
          <w:lang w:val="en-US" w:eastAsia="zh-CN"/>
        </w:rPr>
        <w:t>36</w:t>
      </w:r>
    </w:p>
    <w:p>
      <w:pPr>
        <w:pStyle w:val="33"/>
        <w:tabs>
          <w:tab w:val="right" w:leader="dot" w:pos="8630"/>
        </w:tabs>
        <w:rPr>
          <w:rFonts w:ascii="等线" w:hAnsi="等线"/>
          <w:kern w:val="2"/>
          <w:szCs w:val="22"/>
          <w:lang w:eastAsia="zh-CN"/>
        </w:rPr>
      </w:pPr>
      <w:r>
        <w:fldChar w:fldCharType="begin"/>
      </w:r>
      <w:r>
        <w:instrText xml:space="preserve"> HYPERLINK \l "_Toc49247161" </w:instrText>
      </w:r>
      <w:r>
        <w:fldChar w:fldCharType="separate"/>
      </w:r>
      <w:r>
        <w:rPr>
          <w:rStyle w:val="56"/>
          <w:rFonts w:hint="default"/>
          <w:b/>
          <w:bCs/>
        </w:rPr>
        <w:t>第三章 合同条款及格式</w:t>
      </w:r>
      <w:r>
        <w:tab/>
      </w:r>
      <w:r>
        <w:fldChar w:fldCharType="end"/>
      </w:r>
      <w:r>
        <w:rPr>
          <w:rFonts w:hint="eastAsia"/>
          <w:lang w:val="en-US" w:eastAsia="zh-CN"/>
        </w:rPr>
        <w:t>38</w:t>
      </w:r>
    </w:p>
    <w:p>
      <w:pPr>
        <w:pStyle w:val="33"/>
        <w:tabs>
          <w:tab w:val="right" w:leader="dot" w:pos="8630"/>
        </w:tabs>
        <w:rPr>
          <w:rFonts w:ascii="等线" w:hAnsi="等线"/>
          <w:kern w:val="2"/>
          <w:szCs w:val="22"/>
          <w:lang w:eastAsia="zh-CN"/>
        </w:rPr>
      </w:pPr>
      <w:r>
        <w:fldChar w:fldCharType="begin"/>
      </w:r>
      <w:r>
        <w:instrText xml:space="preserve"> HYPERLINK \l "_Toc49247165" </w:instrText>
      </w:r>
      <w:r>
        <w:fldChar w:fldCharType="separate"/>
      </w:r>
      <w:r>
        <w:rPr>
          <w:rStyle w:val="56"/>
          <w:rFonts w:hint="default"/>
          <w:b/>
          <w:bCs/>
        </w:rPr>
        <w:t>第</w:t>
      </w:r>
      <w:r>
        <w:rPr>
          <w:rStyle w:val="56"/>
          <w:rFonts w:hint="eastAsia" w:eastAsia="微软雅黑"/>
          <w:b/>
          <w:bCs/>
          <w:lang w:val="en-US" w:eastAsia="zh-CN"/>
        </w:rPr>
        <w:t>四</w:t>
      </w:r>
      <w:r>
        <w:rPr>
          <w:rStyle w:val="56"/>
          <w:rFonts w:hint="default"/>
          <w:b/>
          <w:bCs/>
        </w:rPr>
        <w:t>章 投标文件格式</w:t>
      </w:r>
      <w:r>
        <w:tab/>
      </w:r>
      <w:r>
        <w:rPr>
          <w:rFonts w:hint="eastAsia"/>
          <w:lang w:val="en-US" w:eastAsia="zh-CN"/>
        </w:rPr>
        <w:t>52</w:t>
      </w:r>
      <w:r>
        <w:rPr>
          <w:rFonts w:hint="eastAsia"/>
          <w:lang w:eastAsia="zh-CN"/>
        </w:rPr>
        <w:fldChar w:fldCharType="end"/>
      </w:r>
    </w:p>
    <w:p>
      <w:pPr>
        <w:pStyle w:val="42"/>
        <w:tabs>
          <w:tab w:val="right" w:leader="dot" w:pos="8630"/>
        </w:tabs>
        <w:ind w:firstLine="420"/>
        <w:rPr>
          <w:rFonts w:ascii="等线" w:hAnsi="等线"/>
          <w:kern w:val="2"/>
          <w:szCs w:val="22"/>
          <w:lang w:eastAsia="zh-CN"/>
        </w:rPr>
      </w:pPr>
      <w:r>
        <w:fldChar w:fldCharType="begin"/>
      </w:r>
      <w:r>
        <w:instrText xml:space="preserve"> HYPERLINK \l "_Toc49247166" </w:instrText>
      </w:r>
      <w:r>
        <w:fldChar w:fldCharType="separate"/>
      </w:r>
      <w:r>
        <w:rPr>
          <w:rStyle w:val="56"/>
          <w:rFonts w:hint="default"/>
          <w:b/>
        </w:rPr>
        <w:t>一、资格审查文件部分</w:t>
      </w:r>
      <w:r>
        <w:tab/>
      </w:r>
      <w:r>
        <w:rPr>
          <w:rFonts w:hint="eastAsia"/>
          <w:lang w:val="en-US" w:eastAsia="zh-CN"/>
        </w:rPr>
        <w:t>54</w:t>
      </w:r>
      <w:r>
        <w:rPr>
          <w:rFonts w:hint="eastAsia"/>
          <w:lang w:eastAsia="zh-CN"/>
        </w:rPr>
        <w:fldChar w:fldCharType="end"/>
      </w:r>
    </w:p>
    <w:p>
      <w:pPr>
        <w:pStyle w:val="42"/>
        <w:tabs>
          <w:tab w:val="right" w:leader="dot" w:pos="8630"/>
        </w:tabs>
        <w:ind w:firstLine="420"/>
        <w:rPr>
          <w:rFonts w:hint="default" w:ascii="等线" w:hAnsi="等线"/>
          <w:kern w:val="2"/>
          <w:szCs w:val="22"/>
          <w:lang w:val="en-US" w:eastAsia="zh-CN"/>
        </w:rPr>
      </w:pPr>
      <w:r>
        <w:fldChar w:fldCharType="begin"/>
      </w:r>
      <w:r>
        <w:instrText xml:space="preserve"> HYPERLINK \l "_Toc49247167" </w:instrText>
      </w:r>
      <w:r>
        <w:fldChar w:fldCharType="separate"/>
      </w:r>
      <w:r>
        <w:rPr>
          <w:rStyle w:val="56"/>
          <w:rFonts w:hint="default"/>
          <w:b/>
        </w:rPr>
        <w:t>二、商务标部分</w:t>
      </w:r>
      <w:r>
        <w:tab/>
      </w:r>
      <w:r>
        <w:rPr>
          <w:rFonts w:hint="eastAsia"/>
          <w:lang w:eastAsia="zh-CN"/>
        </w:rPr>
        <w:fldChar w:fldCharType="end"/>
      </w:r>
      <w:r>
        <w:rPr>
          <w:rFonts w:hint="eastAsia"/>
          <w:lang w:val="en-US" w:eastAsia="zh-CN"/>
        </w:rPr>
        <w:t>59</w:t>
      </w:r>
    </w:p>
    <w:p>
      <w:pPr>
        <w:pStyle w:val="42"/>
        <w:tabs>
          <w:tab w:val="right" w:leader="dot" w:pos="8630"/>
        </w:tabs>
        <w:ind w:firstLine="420"/>
        <w:rPr>
          <w:rFonts w:ascii="等线" w:hAnsi="等线"/>
          <w:kern w:val="2"/>
          <w:szCs w:val="22"/>
          <w:lang w:eastAsia="zh-CN"/>
        </w:rPr>
      </w:pPr>
      <w:r>
        <w:fldChar w:fldCharType="begin"/>
      </w:r>
      <w:r>
        <w:instrText xml:space="preserve"> HYPERLINK \l "_Toc49247168" </w:instrText>
      </w:r>
      <w:r>
        <w:fldChar w:fldCharType="separate"/>
      </w:r>
      <w:r>
        <w:rPr>
          <w:rStyle w:val="56"/>
          <w:rFonts w:hint="default"/>
          <w:b/>
        </w:rPr>
        <w:t>三、技术标部分</w:t>
      </w:r>
      <w:r>
        <w:tab/>
      </w:r>
      <w:r>
        <w:rPr>
          <w:rFonts w:hint="eastAsia"/>
          <w:lang w:val="en-US" w:eastAsia="zh-CN"/>
        </w:rPr>
        <w:t>6</w:t>
      </w:r>
      <w:r>
        <w:rPr>
          <w:rFonts w:hint="eastAsia"/>
          <w:lang w:eastAsia="zh-CN"/>
        </w:rPr>
        <w:fldChar w:fldCharType="end"/>
      </w:r>
      <w:r>
        <w:rPr>
          <w:rFonts w:hint="eastAsia"/>
          <w:lang w:eastAsia="zh-CN"/>
        </w:rPr>
        <w:t>2</w:t>
      </w:r>
    </w:p>
    <w:p>
      <w:pPr>
        <w:pStyle w:val="42"/>
        <w:tabs>
          <w:tab w:val="right" w:leader="dot" w:pos="8630"/>
        </w:tabs>
        <w:ind w:firstLine="420"/>
        <w:rPr>
          <w:rFonts w:ascii="等线" w:hAnsi="等线"/>
          <w:kern w:val="2"/>
          <w:szCs w:val="22"/>
          <w:lang w:eastAsia="zh-CN"/>
        </w:rPr>
      </w:pPr>
      <w:r>
        <w:fldChar w:fldCharType="begin"/>
      </w:r>
      <w:r>
        <w:instrText xml:space="preserve"> HYPERLINK \l "_Toc49247169" </w:instrText>
      </w:r>
      <w:r>
        <w:fldChar w:fldCharType="separate"/>
      </w:r>
      <w:r>
        <w:rPr>
          <w:rStyle w:val="56"/>
          <w:rFonts w:hint="default" w:cs="Courier New"/>
          <w:b/>
          <w:bCs/>
        </w:rPr>
        <w:t>四、价格标部分</w:t>
      </w:r>
      <w:r>
        <w:tab/>
      </w:r>
      <w:r>
        <w:rPr>
          <w:rFonts w:hint="eastAsia"/>
          <w:lang w:val="en-US" w:eastAsia="zh-CN"/>
        </w:rPr>
        <w:t>6</w:t>
      </w:r>
      <w:r>
        <w:rPr>
          <w:rFonts w:hint="eastAsia"/>
          <w:lang w:eastAsia="zh-CN"/>
        </w:rPr>
        <w:fldChar w:fldCharType="end"/>
      </w:r>
      <w:r>
        <w:rPr>
          <w:rFonts w:hint="eastAsia"/>
          <w:lang w:eastAsia="zh-CN"/>
        </w:rPr>
        <w:t>3</w:t>
      </w:r>
    </w:p>
    <w:p>
      <w:pPr>
        <w:ind w:firstLine="420"/>
      </w:pPr>
      <w:r>
        <w:rPr>
          <w:rFonts w:ascii="宋体" w:hAnsi="宋体"/>
          <w:kern w:val="0"/>
          <w:szCs w:val="21"/>
          <w:lang w:eastAsia="en-US"/>
        </w:rPr>
        <w:fldChar w:fldCharType="end"/>
      </w:r>
      <w:r>
        <w:rPr>
          <w:rFonts w:hint="eastAsia"/>
        </w:rPr>
        <w:t xml:space="preserve"> </w:t>
      </w:r>
    </w:p>
    <w:p>
      <w:pPr>
        <w:widowControl w:val="0"/>
        <w:autoSpaceDE w:val="0"/>
        <w:autoSpaceDN w:val="0"/>
        <w:adjustRightInd w:val="0"/>
        <w:snapToGrid w:val="0"/>
        <w:ind w:firstLine="0" w:firstLineChars="0"/>
        <w:jc w:val="center"/>
        <w:outlineLvl w:val="0"/>
        <w:rPr>
          <w:rFonts w:ascii="宋体" w:hAnsi="宋体" w:cs="宋体"/>
          <w:b/>
          <w:bCs/>
          <w:sz w:val="36"/>
          <w:szCs w:val="36"/>
        </w:rPr>
      </w:pPr>
      <w:r>
        <w:rPr>
          <w:rFonts w:ascii="宋体" w:hAnsi="宋体"/>
          <w:b/>
          <w:snapToGrid w:val="0"/>
          <w:kern w:val="0"/>
          <w:sz w:val="52"/>
          <w:szCs w:val="52"/>
        </w:rPr>
        <w:br w:type="page"/>
      </w:r>
      <w:bookmarkEnd w:id="2"/>
      <w:bookmarkStart w:id="4" w:name="_Toc18047"/>
      <w:bookmarkStart w:id="5" w:name="_Toc26136"/>
      <w:bookmarkStart w:id="6" w:name="_Toc48740525"/>
      <w:bookmarkStart w:id="7" w:name="_Toc49247152"/>
      <w:bookmarkStart w:id="8" w:name="_Toc29676"/>
      <w:bookmarkStart w:id="9" w:name="_Toc499133346"/>
      <w:bookmarkStart w:id="10" w:name="_Toc502493626"/>
      <w:bookmarkStart w:id="11" w:name="_Toc31740"/>
      <w:bookmarkStart w:id="12" w:name="_Toc22520"/>
      <w:r>
        <w:rPr>
          <w:rFonts w:hint="eastAsia" w:ascii="宋体" w:hAnsi="宋体" w:cs="宋体"/>
          <w:b/>
          <w:bCs/>
          <w:sz w:val="36"/>
          <w:szCs w:val="36"/>
        </w:rPr>
        <w:t>“招标”相关说明</w:t>
      </w:r>
      <w:bookmarkEnd w:id="4"/>
      <w:bookmarkEnd w:id="5"/>
      <w:bookmarkEnd w:id="6"/>
      <w:bookmarkEnd w:id="7"/>
      <w:bookmarkEnd w:id="8"/>
      <w:bookmarkEnd w:id="9"/>
      <w:bookmarkEnd w:id="10"/>
      <w:bookmarkEnd w:id="11"/>
      <w:bookmarkEnd w:id="12"/>
    </w:p>
    <w:p>
      <w:pPr>
        <w:widowControl w:val="0"/>
        <w:numPr>
          <w:ilvl w:val="0"/>
          <w:numId w:val="1"/>
        </w:numPr>
        <w:tabs>
          <w:tab w:val="left" w:pos="709"/>
        </w:tabs>
        <w:wordWrap w:val="0"/>
        <w:autoSpaceDE w:val="0"/>
        <w:autoSpaceDN w:val="0"/>
        <w:adjustRightInd w:val="0"/>
        <w:snapToGrid w:val="0"/>
        <w:ind w:firstLineChars="0"/>
        <w:jc w:val="left"/>
        <w:rPr>
          <w:rFonts w:ascii="宋体" w:hAnsi="宋体" w:cs="宋体"/>
          <w:b/>
          <w:szCs w:val="21"/>
        </w:rPr>
      </w:pPr>
      <w:bookmarkStart w:id="13" w:name="_Toc49188167"/>
      <w:r>
        <w:rPr>
          <w:rFonts w:hint="eastAsia" w:ascii="宋体" w:hAnsi="宋体" w:cs="宋体"/>
          <w:b/>
          <w:szCs w:val="21"/>
        </w:rPr>
        <w:t>前言</w:t>
      </w:r>
      <w:bookmarkEnd w:id="13"/>
    </w:p>
    <w:p>
      <w:pPr>
        <w:widowControl w:val="0"/>
        <w:numPr>
          <w:ilvl w:val="1"/>
          <w:numId w:val="1"/>
        </w:numPr>
        <w:tabs>
          <w:tab w:val="left" w:pos="709"/>
        </w:tabs>
        <w:wordWrap w:val="0"/>
        <w:autoSpaceDE w:val="0"/>
        <w:autoSpaceDN w:val="0"/>
        <w:adjustRightInd w:val="0"/>
        <w:snapToGrid w:val="0"/>
        <w:ind w:firstLineChars="0"/>
        <w:jc w:val="left"/>
        <w:rPr>
          <w:rFonts w:ascii="宋体" w:hAnsi="宋体" w:cs="宋体"/>
          <w:szCs w:val="21"/>
        </w:rPr>
      </w:pPr>
      <w:r>
        <w:rPr>
          <w:rFonts w:hint="eastAsia" w:ascii="宋体" w:hAnsi="宋体" w:cs="宋体"/>
          <w:szCs w:val="21"/>
        </w:rPr>
        <w:t>投标人参与投标，获取本文件后，应仔细阅读本说明的全部内容，本说明与招标文件、招标文件附件具有同等效力。</w:t>
      </w:r>
    </w:p>
    <w:p>
      <w:pPr>
        <w:widowControl w:val="0"/>
        <w:numPr>
          <w:ilvl w:val="1"/>
          <w:numId w:val="1"/>
        </w:numPr>
        <w:tabs>
          <w:tab w:val="left" w:pos="709"/>
        </w:tabs>
        <w:wordWrap w:val="0"/>
        <w:autoSpaceDE w:val="0"/>
        <w:autoSpaceDN w:val="0"/>
        <w:adjustRightInd w:val="0"/>
        <w:snapToGrid w:val="0"/>
        <w:ind w:firstLineChars="0"/>
        <w:jc w:val="left"/>
        <w:rPr>
          <w:rFonts w:ascii="宋体" w:hAnsi="宋体" w:cs="宋体"/>
          <w:szCs w:val="21"/>
        </w:rPr>
      </w:pPr>
      <w:r>
        <w:rPr>
          <w:rFonts w:hint="eastAsia" w:ascii="宋体" w:hAnsi="宋体" w:cs="宋体"/>
          <w:szCs w:val="21"/>
        </w:rPr>
        <w:t>投标人与招标人之间的信息交流须以书面形式进行，对招标人以其他形式作出的解释、答复并由此产生的推论、结果的责任由投标人自行承担。</w:t>
      </w:r>
    </w:p>
    <w:p>
      <w:pPr>
        <w:widowControl w:val="0"/>
        <w:tabs>
          <w:tab w:val="left" w:pos="709"/>
        </w:tabs>
        <w:wordWrap w:val="0"/>
        <w:autoSpaceDE w:val="0"/>
        <w:autoSpaceDN w:val="0"/>
        <w:adjustRightInd w:val="0"/>
        <w:snapToGrid w:val="0"/>
        <w:ind w:firstLine="0" w:firstLineChars="0"/>
        <w:jc w:val="left"/>
        <w:rPr>
          <w:rFonts w:ascii="宋体" w:hAnsi="宋体" w:cs="宋体"/>
          <w:szCs w:val="21"/>
        </w:rPr>
      </w:pPr>
    </w:p>
    <w:p>
      <w:pPr>
        <w:widowControl w:val="0"/>
        <w:numPr>
          <w:ilvl w:val="0"/>
          <w:numId w:val="1"/>
        </w:numPr>
        <w:tabs>
          <w:tab w:val="left" w:pos="709"/>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招标文件相关</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招标文件获取</w:t>
      </w:r>
    </w:p>
    <w:p>
      <w:pPr>
        <w:widowControl w:val="0"/>
        <w:tabs>
          <w:tab w:val="left" w:pos="709"/>
          <w:tab w:val="left" w:pos="993"/>
        </w:tabs>
        <w:wordWrap w:val="0"/>
        <w:autoSpaceDE w:val="0"/>
        <w:autoSpaceDN w:val="0"/>
        <w:adjustRightInd w:val="0"/>
        <w:snapToGrid w:val="0"/>
        <w:ind w:firstLine="420"/>
        <w:jc w:val="left"/>
        <w:rPr>
          <w:rFonts w:ascii="宋体" w:hAnsi="宋体" w:cs="宋体"/>
          <w:b/>
          <w:szCs w:val="21"/>
        </w:rPr>
      </w:pPr>
      <w:r>
        <w:rPr>
          <w:rFonts w:hint="eastAsia" w:ascii="宋体" w:hAnsi="宋体" w:cs="宋体"/>
          <w:szCs w:val="21"/>
        </w:rPr>
        <w:t>企业在公司网站自行发布招标信息，包括但不限于招标公告/邀请函等，投标企业自行报名并按要要求提交投标文件等。</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招标文件的澄清与修改</w:t>
      </w:r>
    </w:p>
    <w:p>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投标人应仔细阅读和检查招标文件的全部内容。如发现缺页或附件不全，应及时向招标人书面提出，以便补齐或修改。</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投标文件编制</w:t>
      </w:r>
    </w:p>
    <w:p>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企业根据评审项目的要求自行编制符合投标要求的标准章节，投标人在相应的章节中编写相应的具体内容。</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电子投标文件递交</w:t>
      </w:r>
    </w:p>
    <w:p>
      <w:pPr>
        <w:widowControl w:val="0"/>
        <w:tabs>
          <w:tab w:val="left" w:pos="709"/>
          <w:tab w:val="left" w:pos="993"/>
        </w:tabs>
        <w:wordWrap w:val="0"/>
        <w:autoSpaceDE w:val="0"/>
        <w:autoSpaceDN w:val="0"/>
        <w:adjustRightInd w:val="0"/>
        <w:snapToGrid w:val="0"/>
        <w:ind w:firstLine="420"/>
        <w:jc w:val="left"/>
        <w:rPr>
          <w:rFonts w:ascii="宋体" w:hAnsi="宋体" w:cs="宋体"/>
          <w:b/>
          <w:szCs w:val="21"/>
        </w:rPr>
      </w:pPr>
      <w:r>
        <w:rPr>
          <w:rFonts w:hint="eastAsia" w:ascii="宋体" w:hAnsi="宋体" w:cs="宋体"/>
          <w:szCs w:val="21"/>
        </w:rPr>
        <w:t>投标人应在投标截止时间前向招标人递交投标文件。投标文件必须密封完整，开启处加盖企业公章，文件一但提交，不得更改。</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投标文件的解密与开标</w:t>
      </w:r>
      <w:bookmarkStart w:id="14" w:name="_Toc522202596"/>
      <w:bookmarkStart w:id="15" w:name="_Toc528575667"/>
      <w:bookmarkStart w:id="16" w:name="_Toc524091610"/>
      <w:bookmarkStart w:id="17" w:name="_Toc522886010"/>
      <w:bookmarkStart w:id="18" w:name="_Toc524450186"/>
      <w:bookmarkStart w:id="19" w:name="_Toc536034150"/>
      <w:bookmarkStart w:id="20" w:name="_Toc522868897"/>
      <w:bookmarkStart w:id="21" w:name="_Toc524529442"/>
      <w:bookmarkStart w:id="22" w:name="_Toc527995758"/>
    </w:p>
    <w:bookmarkEnd w:id="14"/>
    <w:bookmarkEnd w:id="15"/>
    <w:bookmarkEnd w:id="16"/>
    <w:bookmarkEnd w:id="17"/>
    <w:bookmarkEnd w:id="18"/>
    <w:bookmarkEnd w:id="19"/>
    <w:bookmarkEnd w:id="20"/>
    <w:bookmarkEnd w:id="21"/>
    <w:bookmarkEnd w:id="22"/>
    <w:p>
      <w:pPr>
        <w:widowControl w:val="0"/>
        <w:tabs>
          <w:tab w:val="left" w:pos="709"/>
          <w:tab w:val="left" w:pos="993"/>
        </w:tabs>
        <w:wordWrap w:val="0"/>
        <w:autoSpaceDE w:val="0"/>
        <w:autoSpaceDN w:val="0"/>
        <w:adjustRightInd w:val="0"/>
        <w:snapToGrid w:val="0"/>
        <w:ind w:firstLine="420"/>
        <w:jc w:val="left"/>
        <w:rPr>
          <w:rFonts w:ascii="宋体" w:hAnsi="宋体" w:cs="宋体"/>
          <w:b/>
          <w:szCs w:val="21"/>
        </w:rPr>
      </w:pPr>
      <w:r>
        <w:rPr>
          <w:rFonts w:hint="eastAsia" w:ascii="宋体" w:hAnsi="宋体" w:cs="宋体"/>
          <w:szCs w:val="21"/>
        </w:rPr>
        <w:t>工作人员向评定小组展示投标文件，确定文件原始密封未经修改，评委根据要求对文件进行评审；</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费用的缴纳与票据的开具</w:t>
      </w:r>
    </w:p>
    <w:p>
      <w:pPr>
        <w:widowControl w:val="0"/>
        <w:numPr>
          <w:ilvl w:val="2"/>
          <w:numId w:val="1"/>
        </w:numPr>
        <w:tabs>
          <w:tab w:val="left" w:pos="709"/>
        </w:tabs>
        <w:wordWrap w:val="0"/>
        <w:autoSpaceDE w:val="0"/>
        <w:autoSpaceDN w:val="0"/>
        <w:adjustRightInd w:val="0"/>
        <w:snapToGrid w:val="0"/>
        <w:ind w:firstLineChars="0"/>
        <w:jc w:val="left"/>
        <w:rPr>
          <w:rFonts w:ascii="宋体" w:hAnsi="宋体" w:cs="宋体"/>
          <w:szCs w:val="21"/>
        </w:rPr>
      </w:pPr>
      <w:bookmarkStart w:id="23" w:name="_Toc527995747"/>
      <w:bookmarkStart w:id="24" w:name="_Toc524091599"/>
      <w:bookmarkStart w:id="25" w:name="_Toc536034139"/>
      <w:bookmarkStart w:id="26" w:name="_Toc524529431"/>
      <w:bookmarkStart w:id="27" w:name="_Toc522202585"/>
      <w:bookmarkStart w:id="28" w:name="_Toc524450175"/>
      <w:bookmarkStart w:id="29" w:name="_Toc528575656"/>
      <w:bookmarkStart w:id="30" w:name="_Toc522885999"/>
      <w:bookmarkStart w:id="31" w:name="_Toc522868886"/>
      <w:r>
        <w:rPr>
          <w:rFonts w:hint="eastAsia" w:ascii="宋体" w:hAnsi="宋体" w:cs="宋体"/>
          <w:szCs w:val="21"/>
        </w:rPr>
        <w:t>本次招投标为：免费</w:t>
      </w:r>
    </w:p>
    <w:p>
      <w:pPr>
        <w:widowControl w:val="0"/>
        <w:numPr>
          <w:ilvl w:val="2"/>
          <w:numId w:val="1"/>
        </w:numPr>
        <w:tabs>
          <w:tab w:val="left" w:pos="709"/>
        </w:tabs>
        <w:wordWrap w:val="0"/>
        <w:autoSpaceDE w:val="0"/>
        <w:autoSpaceDN w:val="0"/>
        <w:adjustRightInd w:val="0"/>
        <w:snapToGrid w:val="0"/>
        <w:ind w:firstLineChars="0"/>
        <w:jc w:val="left"/>
        <w:rPr>
          <w:rFonts w:ascii="宋体" w:hAnsi="宋体" w:cs="宋体"/>
          <w:szCs w:val="21"/>
        </w:rPr>
      </w:pPr>
      <w:r>
        <w:rPr>
          <w:rFonts w:hint="eastAsia" w:ascii="宋体" w:hAnsi="宋体" w:cs="宋体"/>
          <w:szCs w:val="21"/>
        </w:rPr>
        <w:t>投标保证金</w:t>
      </w:r>
      <w:bookmarkEnd w:id="23"/>
      <w:bookmarkEnd w:id="24"/>
      <w:bookmarkEnd w:id="25"/>
      <w:bookmarkEnd w:id="26"/>
      <w:bookmarkEnd w:id="27"/>
      <w:bookmarkEnd w:id="28"/>
      <w:bookmarkEnd w:id="29"/>
      <w:bookmarkEnd w:id="30"/>
      <w:bookmarkEnd w:id="31"/>
      <w:r>
        <w:rPr>
          <w:rFonts w:hint="eastAsia" w:ascii="宋体" w:hAnsi="宋体" w:cs="宋体"/>
          <w:szCs w:val="21"/>
        </w:rPr>
        <w:t>：不收取投标保证金。</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招标结果的发布</w:t>
      </w:r>
    </w:p>
    <w:p>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招标人以书面形式发出中标通知书；</w:t>
      </w:r>
    </w:p>
    <w:p>
      <w:pPr>
        <w:widowControl w:val="0"/>
        <w:numPr>
          <w:ilvl w:val="1"/>
          <w:numId w:val="1"/>
        </w:numPr>
        <w:tabs>
          <w:tab w:val="left" w:pos="709"/>
          <w:tab w:val="left" w:pos="993"/>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投标人注意事项</w:t>
      </w:r>
    </w:p>
    <w:p>
      <w:pPr>
        <w:widowControl w:val="0"/>
        <w:tabs>
          <w:tab w:val="left" w:pos="709"/>
          <w:tab w:val="left" w:pos="993"/>
        </w:tabs>
        <w:wordWrap w:val="0"/>
        <w:autoSpaceDE w:val="0"/>
        <w:autoSpaceDN w:val="0"/>
        <w:adjustRightInd w:val="0"/>
        <w:snapToGrid w:val="0"/>
        <w:ind w:firstLine="210" w:firstLineChars="100"/>
        <w:jc w:val="left"/>
        <w:rPr>
          <w:rFonts w:ascii="宋体" w:hAnsi="宋体" w:cs="宋体"/>
          <w:b/>
          <w:szCs w:val="21"/>
        </w:rPr>
      </w:pPr>
      <w:r>
        <w:rPr>
          <w:rFonts w:hint="eastAsia" w:ascii="宋体" w:hAnsi="宋体" w:cs="宋体"/>
          <w:szCs w:val="21"/>
        </w:rPr>
        <w:t>投标人提交的投标文件必须按照招标文件顺序和要求编制并提供，投标文件必须密封后提交招标人，文件袋以及投标文件必须加盖公章。</w:t>
      </w:r>
    </w:p>
    <w:p>
      <w:pPr>
        <w:widowControl w:val="0"/>
        <w:tabs>
          <w:tab w:val="left" w:pos="709"/>
        </w:tabs>
        <w:wordWrap w:val="0"/>
        <w:autoSpaceDE w:val="0"/>
        <w:autoSpaceDN w:val="0"/>
        <w:adjustRightInd w:val="0"/>
        <w:snapToGrid w:val="0"/>
        <w:ind w:firstLine="422"/>
        <w:jc w:val="left"/>
        <w:rPr>
          <w:rFonts w:ascii="宋体" w:hAnsi="宋体" w:cs="宋体"/>
          <w:b/>
          <w:szCs w:val="21"/>
        </w:rPr>
      </w:pPr>
    </w:p>
    <w:p>
      <w:pPr>
        <w:widowControl w:val="0"/>
        <w:numPr>
          <w:ilvl w:val="1"/>
          <w:numId w:val="1"/>
        </w:numPr>
        <w:tabs>
          <w:tab w:val="left" w:pos="709"/>
        </w:tabs>
        <w:wordWrap w:val="0"/>
        <w:autoSpaceDE w:val="0"/>
        <w:autoSpaceDN w:val="0"/>
        <w:adjustRightInd w:val="0"/>
        <w:snapToGrid w:val="0"/>
        <w:ind w:firstLineChars="0"/>
        <w:jc w:val="left"/>
        <w:rPr>
          <w:rFonts w:ascii="宋体" w:hAnsi="宋体" w:cs="宋体"/>
          <w:b/>
          <w:szCs w:val="21"/>
        </w:rPr>
      </w:pPr>
      <w:r>
        <w:rPr>
          <w:rFonts w:hint="eastAsia" w:ascii="宋体" w:hAnsi="宋体" w:cs="宋体"/>
          <w:b/>
          <w:szCs w:val="21"/>
        </w:rPr>
        <w:t>采购人联系方式</w:t>
      </w:r>
    </w:p>
    <w:p>
      <w:pPr>
        <w:widowControl w:val="0"/>
        <w:tabs>
          <w:tab w:val="left" w:pos="709"/>
          <w:tab w:val="left" w:pos="993"/>
        </w:tabs>
        <w:wordWrap w:val="0"/>
        <w:autoSpaceDE w:val="0"/>
        <w:autoSpaceDN w:val="0"/>
        <w:adjustRightInd w:val="0"/>
        <w:snapToGrid w:val="0"/>
        <w:ind w:firstLine="210" w:firstLineChars="100"/>
        <w:jc w:val="left"/>
        <w:rPr>
          <w:rFonts w:ascii="宋体" w:hAnsi="宋体" w:cs="宋体"/>
          <w:szCs w:val="21"/>
        </w:rPr>
      </w:pPr>
      <w:r>
        <w:rPr>
          <w:rFonts w:hint="eastAsia" w:ascii="宋体" w:hAnsi="宋体" w:cs="宋体"/>
          <w:szCs w:val="21"/>
        </w:rPr>
        <w:t>采购负责人：李工：13537521158；</w:t>
      </w:r>
    </w:p>
    <w:p>
      <w:pPr>
        <w:ind w:firstLine="420"/>
        <w:rPr>
          <w:rFonts w:ascii="宋体" w:hAnsi="宋体"/>
          <w:snapToGrid w:val="0"/>
          <w:kern w:val="0"/>
          <w:szCs w:val="21"/>
        </w:rPr>
      </w:pPr>
      <w:r>
        <w:rPr>
          <w:rFonts w:ascii="宋体" w:hAnsi="宋体"/>
          <w:snapToGrid w:val="0"/>
          <w:kern w:val="0"/>
          <w:szCs w:val="21"/>
        </w:rPr>
        <w:br w:type="page"/>
      </w:r>
      <w:bookmarkStart w:id="32" w:name="_Toc144974479"/>
      <w:bookmarkStart w:id="33" w:name="_Toc152045511"/>
      <w:bookmarkStart w:id="34" w:name="_Toc152042287"/>
      <w:bookmarkStart w:id="35" w:name="_Toc49247153"/>
    </w:p>
    <w:p>
      <w:pPr>
        <w:ind w:firstLine="420"/>
        <w:rPr>
          <w:rFonts w:ascii="宋体" w:hAnsi="宋体"/>
          <w:snapToGrid w:val="0"/>
          <w:kern w:val="0"/>
          <w:szCs w:val="21"/>
        </w:rPr>
      </w:pPr>
    </w:p>
    <w:p>
      <w:pPr>
        <w:ind w:firstLine="420"/>
        <w:rPr>
          <w:rFonts w:ascii="宋体" w:hAnsi="宋体"/>
          <w:snapToGrid w:val="0"/>
          <w:kern w:val="0"/>
          <w:szCs w:val="21"/>
        </w:rPr>
      </w:pPr>
    </w:p>
    <w:p>
      <w:pPr>
        <w:ind w:firstLine="420"/>
        <w:rPr>
          <w:rFonts w:ascii="宋体" w:hAnsi="宋体"/>
          <w:snapToGrid w:val="0"/>
          <w:kern w:val="0"/>
          <w:szCs w:val="21"/>
        </w:rPr>
      </w:pPr>
    </w:p>
    <w:p>
      <w:pPr>
        <w:ind w:firstLine="420"/>
        <w:rPr>
          <w:rFonts w:ascii="宋体" w:hAnsi="宋体"/>
          <w:snapToGrid w:val="0"/>
          <w:kern w:val="0"/>
          <w:szCs w:val="21"/>
        </w:rPr>
      </w:pPr>
    </w:p>
    <w:p>
      <w:pPr>
        <w:ind w:firstLine="420"/>
        <w:rPr>
          <w:rFonts w:ascii="宋体" w:hAnsi="宋体"/>
          <w:snapToGrid w:val="0"/>
          <w:kern w:val="0"/>
          <w:szCs w:val="21"/>
        </w:rPr>
      </w:pPr>
    </w:p>
    <w:p>
      <w:pPr>
        <w:ind w:firstLine="0" w:firstLineChars="0"/>
        <w:jc w:val="center"/>
        <w:rPr>
          <w:rFonts w:ascii="宋体" w:hAnsi="宋体"/>
          <w:snapToGrid w:val="0"/>
          <w:kern w:val="0"/>
          <w:sz w:val="52"/>
          <w:szCs w:val="52"/>
        </w:rPr>
      </w:pPr>
      <w:r>
        <w:rPr>
          <w:rFonts w:hint="eastAsia" w:ascii="宋体" w:hAnsi="宋体"/>
          <w:b/>
          <w:bCs/>
          <w:sz w:val="52"/>
          <w:szCs w:val="52"/>
        </w:rPr>
        <w:t>第一章</w:t>
      </w:r>
      <w:bookmarkEnd w:id="32"/>
      <w:bookmarkEnd w:id="33"/>
      <w:bookmarkEnd w:id="34"/>
      <w:r>
        <w:rPr>
          <w:rFonts w:hint="eastAsia" w:ascii="宋体" w:hAnsi="宋体"/>
          <w:b/>
          <w:bCs/>
          <w:sz w:val="52"/>
          <w:szCs w:val="52"/>
        </w:rPr>
        <w:t xml:space="preserve"> 投标人须知</w:t>
      </w:r>
      <w:bookmarkEnd w:id="35"/>
    </w:p>
    <w:p>
      <w:pPr>
        <w:widowControl w:val="0"/>
        <w:autoSpaceDE w:val="0"/>
        <w:autoSpaceDN w:val="0"/>
        <w:adjustRightInd w:val="0"/>
        <w:snapToGrid w:val="0"/>
        <w:ind w:firstLine="0" w:firstLineChars="0"/>
        <w:jc w:val="center"/>
        <w:outlineLvl w:val="1"/>
        <w:rPr>
          <w:rFonts w:ascii="宋体" w:hAnsi="宋体"/>
          <w:sz w:val="28"/>
        </w:rPr>
      </w:pPr>
      <w:r>
        <w:rPr>
          <w:rFonts w:ascii="宋体" w:hAnsi="宋体"/>
        </w:rPr>
        <w:br w:type="page"/>
      </w:r>
      <w:bookmarkStart w:id="36" w:name="OLE_LINK2"/>
      <w:bookmarkEnd w:id="36"/>
      <w:bookmarkStart w:id="37" w:name="OLE_LINK1"/>
      <w:bookmarkEnd w:id="37"/>
      <w:bookmarkStart w:id="38" w:name="_Toc152042304"/>
      <w:bookmarkStart w:id="39" w:name="_Toc152045528"/>
      <w:bookmarkStart w:id="40" w:name="_Toc379581309"/>
      <w:bookmarkStart w:id="41" w:name="_Toc49247154"/>
      <w:bookmarkStart w:id="42" w:name="_Toc144974496"/>
      <w:r>
        <w:rPr>
          <w:rFonts w:hint="eastAsia" w:ascii="宋体" w:hAnsi="宋体"/>
          <w:b/>
          <w:sz w:val="32"/>
          <w:szCs w:val="32"/>
        </w:rPr>
        <w:t>第一节 投标人须知前附表</w:t>
      </w:r>
      <w:bookmarkEnd w:id="38"/>
      <w:bookmarkEnd w:id="39"/>
      <w:bookmarkEnd w:id="40"/>
      <w:bookmarkEnd w:id="41"/>
      <w:bookmarkEnd w:id="42"/>
    </w:p>
    <w:p>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1. 本表对项目情况、招标程序的主要时限、投标文件编制要求的有关信息，是对投标须知的具体补充。如出现前后不一致的表述以投标人须知前附表为准。</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2. 本文所示时间均为北京时间。</w:t>
      </w:r>
    </w:p>
    <w:p>
      <w:pPr>
        <w:widowControl w:val="0"/>
        <w:autoSpaceDE w:val="0"/>
        <w:autoSpaceDN w:val="0"/>
        <w:adjustRightInd w:val="0"/>
        <w:snapToGrid w:val="0"/>
        <w:ind w:firstLine="0" w:firstLineChars="0"/>
        <w:rPr>
          <w:rFonts w:ascii="宋体" w:hAnsi="宋体"/>
          <w:szCs w:val="21"/>
        </w:rPr>
      </w:pPr>
      <w:r>
        <w:rPr>
          <w:rFonts w:ascii="宋体" w:hAnsi="宋体"/>
          <w:szCs w:val="21"/>
        </w:rPr>
        <w:t xml:space="preserve">3. </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标识时表明该选项被招标人选用，用“□”标识时表明该选项未被招标人选用。本文件中对应模板性条款未被招标人选用的内容，自动不适用。</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4、招标人在编制招标文件时，示范文本中的空格部分应根据招标项目实际需求填写，无内容或不采用者应用斜画线表示或者注明“本项目不适用”。</w:t>
      </w:r>
    </w:p>
    <w:tbl>
      <w:tblPr>
        <w:tblStyle w:val="49"/>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019"/>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56" w:type="dxa"/>
            <w:gridSpan w:val="3"/>
            <w:tcBorders>
              <w:top w:val="single" w:color="auto" w:sz="4" w:space="0"/>
            </w:tcBorders>
            <w:shd w:val="clear" w:color="auto" w:fill="D9E2F3"/>
            <w:vAlign w:val="center"/>
          </w:tcPr>
          <w:p>
            <w:pPr>
              <w:widowControl w:val="0"/>
              <w:autoSpaceDE w:val="0"/>
              <w:autoSpaceDN w:val="0"/>
              <w:adjustRightInd w:val="0"/>
              <w:snapToGrid w:val="0"/>
              <w:ind w:firstLine="0" w:firstLineChars="0"/>
              <w:jc w:val="center"/>
              <w:rPr>
                <w:rFonts w:ascii="宋体" w:hAnsi="宋体"/>
                <w:b/>
                <w:sz w:val="32"/>
                <w:szCs w:val="32"/>
              </w:rPr>
            </w:pPr>
            <w:bookmarkStart w:id="43" w:name="_Hlk532140181"/>
            <w:r>
              <w:rPr>
                <w:rFonts w:hint="eastAsia" w:ascii="宋体" w:hAnsi="宋体"/>
                <w:b/>
                <w:sz w:val="32"/>
                <w:szCs w:val="32"/>
              </w:rPr>
              <w:t>投标人须知前附表（一）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019" w:type="dxa"/>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760" w:type="dxa"/>
            <w:vAlign w:val="center"/>
          </w:tcPr>
          <w:p>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1.1.2</w:t>
            </w: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招标人</w:t>
            </w:r>
          </w:p>
        </w:tc>
        <w:tc>
          <w:tcPr>
            <w:tcW w:w="5760" w:type="dxa"/>
            <w:vAlign w:val="center"/>
          </w:tcPr>
          <w:p>
            <w:pPr>
              <w:widowControl w:val="0"/>
              <w:autoSpaceDE w:val="0"/>
              <w:autoSpaceDN w:val="0"/>
              <w:adjustRightInd w:val="0"/>
              <w:snapToGrid w:val="0"/>
              <w:ind w:firstLine="0" w:firstLineChars="0"/>
              <w:rPr>
                <w:rFonts w:ascii="宋体" w:hAnsi="宋体"/>
                <w:szCs w:val="21"/>
                <w:u w:val="single"/>
              </w:rPr>
            </w:pPr>
            <w:r>
              <w:rPr>
                <w:rFonts w:ascii="宋体" w:hAnsi="宋体"/>
                <w:szCs w:val="21"/>
              </w:rPr>
              <w:t>名称：</w:t>
            </w:r>
            <w:r>
              <w:rPr>
                <w:rFonts w:hint="eastAsia" w:ascii="宋体" w:hAnsi="宋体"/>
                <w:szCs w:val="21"/>
                <w:u w:val="single"/>
              </w:rPr>
              <w:t xml:space="preserve"> 深圳市龙华环境有限公司           </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szCs w:val="21"/>
                <w:u w:val="single"/>
              </w:rPr>
              <w:t xml:space="preserve"> 大浪街道华昌路华富工业园内B栋一层       </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联系人：</w:t>
            </w:r>
            <w:r>
              <w:rPr>
                <w:rFonts w:hint="eastAsia" w:ascii="宋体" w:hAnsi="宋体"/>
                <w:szCs w:val="21"/>
                <w:u w:val="single"/>
              </w:rPr>
              <w:t xml:space="preserve">  陈果     </w:t>
            </w:r>
          </w:p>
          <w:p>
            <w:pPr>
              <w:widowControl w:val="0"/>
              <w:autoSpaceDE w:val="0"/>
              <w:autoSpaceDN w:val="0"/>
              <w:adjustRightInd w:val="0"/>
              <w:snapToGrid w:val="0"/>
              <w:ind w:firstLine="0" w:firstLineChars="0"/>
              <w:rPr>
                <w:rFonts w:ascii="宋体" w:hAnsi="宋体"/>
                <w:kern w:val="0"/>
                <w:szCs w:val="21"/>
                <w:u w:val="single"/>
              </w:rPr>
            </w:pPr>
            <w:r>
              <w:rPr>
                <w:rFonts w:hint="eastAsia" w:ascii="宋体" w:hAnsi="宋体"/>
                <w:szCs w:val="21"/>
              </w:rPr>
              <w:t>联系电话：</w:t>
            </w:r>
            <w:r>
              <w:rPr>
                <w:rFonts w:hint="eastAsia" w:ascii="宋体" w:hAnsi="宋体"/>
                <w:szCs w:val="21"/>
                <w:u w:val="single"/>
              </w:rPr>
              <w:t xml:space="preserve">  13537521158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1.1.3</w:t>
            </w: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招标代理</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w:t>
            </w:r>
            <w:r>
              <w:rPr>
                <w:rFonts w:ascii="宋体" w:hAnsi="宋体"/>
                <w:szCs w:val="21"/>
              </w:rPr>
              <w:t>4</w:t>
            </w: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项目编号</w:t>
            </w:r>
          </w:p>
        </w:tc>
        <w:tc>
          <w:tcPr>
            <w:tcW w:w="5760" w:type="dxa"/>
            <w:vAlign w:val="center"/>
          </w:tcPr>
          <w:p>
            <w:pPr>
              <w:widowControl w:val="0"/>
              <w:autoSpaceDE w:val="0"/>
              <w:autoSpaceDN w:val="0"/>
              <w:adjustRightInd w:val="0"/>
              <w:snapToGrid w:val="0"/>
              <w:ind w:firstLine="0" w:firstLineChars="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u w:val="single"/>
              </w:rPr>
              <w:t>节日灯笼国旗等装饰物采购项目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w:t>
            </w:r>
            <w:r>
              <w:rPr>
                <w:rFonts w:ascii="宋体" w:hAnsi="宋体"/>
                <w:szCs w:val="21"/>
              </w:rPr>
              <w:t>5</w:t>
            </w: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公告日期</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项目类别</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招标方式</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szCs w:val="21"/>
              </w:rPr>
              <w:t>☑</w:t>
            </w:r>
            <w:r>
              <w:rPr>
                <w:rFonts w:hint="eastAsia" w:ascii="宋体" w:hAnsi="宋体"/>
                <w:szCs w:val="21"/>
              </w:rPr>
              <w:t>公开招标</w:t>
            </w:r>
            <w:r>
              <w:rPr>
                <w:rFonts w:ascii="宋体" w:hAnsi="宋体"/>
                <w:szCs w:val="21"/>
              </w:rPr>
              <w:t xml:space="preserve">  </w:t>
            </w:r>
            <w:r>
              <w:rPr>
                <w:rFonts w:hint="eastAsia" w:ascii="宋体" w:hAnsi="宋体"/>
                <w:szCs w:val="21"/>
              </w:rPr>
              <w:t>□邀请招标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资格审查方式</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szCs w:val="21"/>
              </w:rPr>
              <w:t>☑</w:t>
            </w:r>
            <w:r>
              <w:rPr>
                <w:rFonts w:hint="eastAsia" w:ascii="宋体" w:hAnsi="宋体"/>
                <w:szCs w:val="21"/>
              </w:rPr>
              <w:t>资格后审</w:t>
            </w:r>
            <w:r>
              <w:rPr>
                <w:rFonts w:ascii="宋体" w:hAnsi="宋体"/>
                <w:szCs w:val="21"/>
              </w:rPr>
              <w:t xml:space="preserve">  </w:t>
            </w:r>
            <w:r>
              <w:rPr>
                <w:rFonts w:hint="eastAsia" w:ascii="宋体" w:hAnsi="宋体"/>
                <w:szCs w:val="21"/>
              </w:rPr>
              <w:t>□资格预审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2.1.2</w:t>
            </w:r>
          </w:p>
        </w:tc>
        <w:tc>
          <w:tcPr>
            <w:tcW w:w="2019" w:type="dxa"/>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招标文件</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获取方式</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通过公司网站平台获取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招标文件</w:t>
            </w:r>
          </w:p>
          <w:p>
            <w:pPr>
              <w:widowControl w:val="0"/>
              <w:autoSpaceDE w:val="0"/>
              <w:autoSpaceDN w:val="0"/>
              <w:adjustRightInd w:val="0"/>
              <w:snapToGrid w:val="0"/>
              <w:ind w:firstLine="0" w:firstLineChars="0"/>
              <w:jc w:val="center"/>
              <w:rPr>
                <w:rFonts w:ascii="宋体" w:hAnsi="宋体"/>
                <w:kern w:val="0"/>
                <w:szCs w:val="21"/>
              </w:rPr>
            </w:pPr>
            <w:r>
              <w:rPr>
                <w:rFonts w:ascii="宋体" w:hAnsi="宋体"/>
                <w:kern w:val="0"/>
                <w:szCs w:val="21"/>
              </w:rPr>
              <w:t>获取时间</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报名资料</w:t>
            </w:r>
          </w:p>
        </w:tc>
        <w:tc>
          <w:tcPr>
            <w:tcW w:w="5760" w:type="dxa"/>
            <w:vAlign w:val="center"/>
          </w:tcPr>
          <w:p>
            <w:pPr>
              <w:widowControl w:val="0"/>
              <w:autoSpaceDE w:val="0"/>
              <w:autoSpaceDN w:val="0"/>
              <w:adjustRightInd w:val="0"/>
              <w:snapToGrid w:val="0"/>
              <w:ind w:firstLine="0" w:firstLineChars="0"/>
              <w:jc w:val="center"/>
              <w:rPr>
                <w:rFonts w:ascii="宋体" w:hAnsi="宋体"/>
                <w:kern w:val="0"/>
                <w:szCs w:val="21"/>
                <w:u w:val="single"/>
              </w:rPr>
            </w:pPr>
            <w:r>
              <w:rPr>
                <w:rFonts w:hint="eastAsia" w:ascii="Segoe UI Symbol" w:hAnsi="Segoe UI Symbol" w:cs="Segoe UI Symbol"/>
                <w:szCs w:val="21"/>
              </w:rPr>
              <w:t>☑</w:t>
            </w:r>
            <w:r>
              <w:rPr>
                <w:rFonts w:hint="eastAsia" w:ascii="宋体" w:hAnsi="宋体"/>
                <w:szCs w:val="21"/>
              </w:rPr>
              <w:t xml:space="preserve">是  </w:t>
            </w:r>
            <w:r>
              <w:rPr>
                <w:rFonts w:hint="eastAsia" w:ascii="宋体" w:hAnsi="宋体"/>
                <w:szCs w:val="21"/>
                <w:u w:val="single"/>
              </w:rPr>
              <w:t>通过公司网站平台获取</w:t>
            </w:r>
            <w:r>
              <w:rPr>
                <w:rFonts w:hint="eastAsia" w:ascii="宋体" w:hAnsi="宋体"/>
                <w:kern w:val="0"/>
                <w:szCs w:val="21"/>
                <w:u w:val="single"/>
              </w:rPr>
              <w:t>招标文件后，携营业执照复印件加盖公章到李工处登记，视为响应。</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2.2.1</w:t>
            </w:r>
          </w:p>
        </w:tc>
        <w:tc>
          <w:tcPr>
            <w:tcW w:w="2019" w:type="dxa"/>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投标人提出</w:t>
            </w:r>
          </w:p>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质疑截止时间</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2.3.1</w:t>
            </w:r>
          </w:p>
        </w:tc>
        <w:tc>
          <w:tcPr>
            <w:tcW w:w="2019" w:type="dxa"/>
            <w:vAlign w:val="center"/>
          </w:tcPr>
          <w:p>
            <w:pPr>
              <w:widowControl w:val="0"/>
              <w:autoSpaceDE w:val="0"/>
              <w:autoSpaceDN w:val="0"/>
              <w:adjustRightInd w:val="0"/>
              <w:snapToGrid w:val="0"/>
              <w:ind w:firstLine="0" w:firstLineChars="0"/>
              <w:jc w:val="center"/>
              <w:rPr>
                <w:rFonts w:ascii="宋体" w:hAnsi="宋体" w:cs="宋体"/>
                <w:szCs w:val="21"/>
                <w:shd w:val="clear" w:color="auto" w:fill="FFFFFF"/>
              </w:rPr>
            </w:pPr>
            <w:r>
              <w:rPr>
                <w:rFonts w:hint="eastAsia" w:ascii="宋体" w:hAnsi="宋体" w:cs="宋体"/>
                <w:szCs w:val="21"/>
                <w:shd w:val="clear" w:color="auto" w:fill="FFFFFF"/>
              </w:rPr>
              <w:t>招标人澄清、修改、</w:t>
            </w:r>
            <w:r>
              <w:rPr>
                <w:rFonts w:ascii="宋体" w:hAnsi="宋体" w:cs="宋体"/>
                <w:szCs w:val="21"/>
                <w:shd w:val="clear" w:color="auto" w:fill="FFFFFF"/>
              </w:rPr>
              <w:t>答疑</w:t>
            </w:r>
            <w:r>
              <w:rPr>
                <w:rFonts w:hint="eastAsia" w:ascii="宋体" w:hAnsi="宋体" w:cs="宋体"/>
                <w:szCs w:val="21"/>
                <w:shd w:val="clear" w:color="auto" w:fill="FFFFFF"/>
              </w:rPr>
              <w:t>截止时间</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w:t>
            </w:r>
            <w:r>
              <w:rPr>
                <w:rFonts w:ascii="宋体" w:hAnsi="宋体"/>
                <w:szCs w:val="21"/>
              </w:rPr>
              <w:t>.2.1</w:t>
            </w:r>
          </w:p>
        </w:tc>
        <w:tc>
          <w:tcPr>
            <w:tcW w:w="2019" w:type="dxa"/>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投标截止时间</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szCs w:val="21"/>
                <w:shd w:val="clear" w:color="auto" w:fill="FFFFFF"/>
              </w:rPr>
              <w:t>开标时间</w:t>
            </w:r>
          </w:p>
        </w:tc>
        <w:tc>
          <w:tcPr>
            <w:tcW w:w="5760"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w:t>
            </w:r>
          </w:p>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递交地点</w:t>
            </w:r>
          </w:p>
        </w:tc>
        <w:tc>
          <w:tcPr>
            <w:tcW w:w="5760" w:type="dxa"/>
            <w:vAlign w:val="center"/>
          </w:tcPr>
          <w:p>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宋体" w:hAnsi="宋体"/>
                <w:kern w:val="0"/>
                <w:szCs w:val="21"/>
              </w:rPr>
              <w:t>☑</w:t>
            </w:r>
            <w:r>
              <w:rPr>
                <w:rFonts w:hint="eastAsia" w:ascii="宋体" w:hAnsi="宋体"/>
                <w:bCs/>
                <w:szCs w:val="21"/>
              </w:rPr>
              <w:t>纸质投标文件递交地点：</w:t>
            </w:r>
            <w:r>
              <w:rPr>
                <w:rFonts w:hint="eastAsia" w:ascii="宋体" w:hAnsi="宋体"/>
                <w:kern w:val="0"/>
                <w:szCs w:val="21"/>
                <w:u w:val="single"/>
              </w:rPr>
              <w:t xml:space="preserve">   </w:t>
            </w:r>
            <w:r>
              <w:rPr>
                <w:rFonts w:hint="eastAsia" w:ascii="宋体" w:hAnsi="宋体"/>
                <w:szCs w:val="21"/>
                <w:u w:val="single"/>
              </w:rPr>
              <w:t>大浪街道华昌路华富工业园内B栋一层</w:t>
            </w:r>
            <w:r>
              <w:rPr>
                <w:rFonts w:hint="eastAsia" w:ascii="宋体" w:hAnsi="宋体"/>
                <w:kern w:val="0"/>
                <w:szCs w:val="21"/>
                <w:u w:val="single"/>
              </w:rPr>
              <w:t xml:space="preserve"> 龙华环境公司项目部办公室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开标地点</w:t>
            </w:r>
          </w:p>
        </w:tc>
        <w:tc>
          <w:tcPr>
            <w:tcW w:w="5760" w:type="dxa"/>
            <w:vAlign w:val="center"/>
          </w:tcPr>
          <w:p>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宋体" w:hAnsi="宋体"/>
                <w:kern w:val="0"/>
                <w:szCs w:val="21"/>
              </w:rPr>
              <w:t>☑进行现场开标，地址：</w:t>
            </w:r>
            <w:r>
              <w:rPr>
                <w:rFonts w:hint="eastAsia" w:ascii="宋体" w:hAnsi="宋体" w:cs="宋体"/>
                <w:color w:val="333333"/>
                <w:sz w:val="24"/>
                <w:u w:val="single"/>
                <w:shd w:val="clear" w:color="auto" w:fill="FFFFFF"/>
              </w:rPr>
              <w:t>深圳市龙华区观盛三路龙馨家园A栋龙华建设15层</w:t>
            </w:r>
            <w:r>
              <w:rPr>
                <w:rFonts w:hint="eastAsia" w:ascii="宋体" w:hAnsi="宋体"/>
                <w:kern w:val="0"/>
                <w:szCs w:val="21"/>
                <w:u w:val="single"/>
              </w:rPr>
              <w:t xml:space="preserve">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3.2.4</w:t>
            </w:r>
          </w:p>
        </w:tc>
        <w:tc>
          <w:tcPr>
            <w:tcW w:w="2019" w:type="dxa"/>
            <w:vMerge w:val="restart"/>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最高限价或其计算方法</w:t>
            </w:r>
          </w:p>
        </w:tc>
        <w:tc>
          <w:tcPr>
            <w:tcW w:w="5760" w:type="dxa"/>
            <w:tcBorders>
              <w:bottom w:val="single" w:color="auto" w:sz="2" w:space="0"/>
            </w:tcBorders>
            <w:vAlign w:val="center"/>
          </w:tcPr>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设置最高限价：</w:t>
            </w:r>
          </w:p>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☑最高限价（总价）：人民币</w:t>
            </w:r>
            <w:r>
              <w:rPr>
                <w:rFonts w:hint="eastAsia" w:ascii="宋体" w:hAnsi="宋体" w:cs="Segoe UI Symbol"/>
                <w:kern w:val="0"/>
                <w:szCs w:val="21"/>
                <w:u w:val="single"/>
              </w:rPr>
              <w:t xml:space="preserve">  </w:t>
            </w:r>
            <w:r>
              <w:rPr>
                <w:rFonts w:hint="eastAsia" w:ascii="宋体" w:hAnsi="宋体" w:eastAsia="宋体" w:cs="宋体"/>
                <w:color w:val="auto"/>
                <w:sz w:val="28"/>
                <w:szCs w:val="28"/>
                <w:u w:val="single"/>
                <w:lang w:val="en-US" w:eastAsia="zh-CN"/>
              </w:rPr>
              <w:t>455783.3</w:t>
            </w:r>
            <w:r>
              <w:rPr>
                <w:rFonts w:hint="eastAsia" w:ascii="宋体" w:hAnsi="宋体" w:cs="Segoe UI Symbol"/>
                <w:kern w:val="0"/>
                <w:szCs w:val="21"/>
                <w:u w:val="single"/>
              </w:rPr>
              <w:t xml:space="preserve"> </w:t>
            </w:r>
            <w:r>
              <w:rPr>
                <w:rFonts w:hint="eastAsia" w:ascii="宋体" w:hAnsi="宋体" w:cs="Segoe UI Symbol"/>
                <w:kern w:val="0"/>
                <w:szCs w:val="21"/>
              </w:rPr>
              <w:t>元；</w:t>
            </w:r>
          </w:p>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□最高限价说明或其计算方法：</w:t>
            </w:r>
            <w:r>
              <w:rPr>
                <w:rFonts w:ascii="宋体" w:hAnsi="宋体" w:cs="Segoe UI Symbol"/>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Merge w:val="continue"/>
            <w:vAlign w:val="center"/>
          </w:tcPr>
          <w:p>
            <w:pPr>
              <w:widowControl w:val="0"/>
              <w:autoSpaceDE w:val="0"/>
              <w:autoSpaceDN w:val="0"/>
              <w:adjustRightInd w:val="0"/>
              <w:snapToGrid w:val="0"/>
              <w:ind w:firstLine="0" w:firstLineChars="0"/>
              <w:jc w:val="center"/>
              <w:rPr>
                <w:rFonts w:ascii="宋体" w:hAnsi="宋体"/>
                <w:kern w:val="0"/>
                <w:szCs w:val="21"/>
              </w:rPr>
            </w:pPr>
          </w:p>
        </w:tc>
        <w:tc>
          <w:tcPr>
            <w:tcW w:w="5760" w:type="dxa"/>
            <w:tcBorders>
              <w:top w:val="single" w:color="auto" w:sz="2" w:space="0"/>
            </w:tcBorders>
            <w:vAlign w:val="center"/>
          </w:tcPr>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□不设置最高限价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3.3.1</w:t>
            </w:r>
          </w:p>
        </w:tc>
        <w:tc>
          <w:tcPr>
            <w:tcW w:w="2019" w:type="dxa"/>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投标有效期</w:t>
            </w:r>
          </w:p>
        </w:tc>
        <w:tc>
          <w:tcPr>
            <w:tcW w:w="5760" w:type="dxa"/>
            <w:vAlign w:val="center"/>
          </w:tcPr>
          <w:p>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kern w:val="0"/>
                <w:szCs w:val="21"/>
                <w:u w:val="single"/>
                <w:shd w:val="clear" w:color="auto" w:fill="FFFFFF"/>
              </w:rPr>
              <w:t xml:space="preserve">  120  </w:t>
            </w:r>
            <w:r>
              <w:rPr>
                <w:rFonts w:hint="eastAsia" w:ascii="宋体" w:hAnsi="宋体"/>
                <w:szCs w:val="21"/>
                <w:shd w:val="clear" w:color="auto" w:fill="FFFFFF"/>
              </w:rPr>
              <w:t>个日历日（自投标截止之日起算）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w:t>
            </w:r>
            <w:r>
              <w:rPr>
                <w:rFonts w:ascii="宋体" w:hAnsi="宋体"/>
                <w:szCs w:val="21"/>
              </w:rPr>
              <w:t>.1</w:t>
            </w:r>
          </w:p>
        </w:tc>
        <w:tc>
          <w:tcPr>
            <w:tcW w:w="2019" w:type="dxa"/>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评标方法</w:t>
            </w:r>
          </w:p>
        </w:tc>
        <w:tc>
          <w:tcPr>
            <w:tcW w:w="5760" w:type="dxa"/>
            <w:vAlign w:val="center"/>
          </w:tcPr>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restart"/>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7.1.1</w:t>
            </w:r>
          </w:p>
        </w:tc>
        <w:tc>
          <w:tcPr>
            <w:tcW w:w="2019" w:type="dxa"/>
            <w:vAlign w:val="center"/>
          </w:tcPr>
          <w:p>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定标方式</w:t>
            </w:r>
          </w:p>
        </w:tc>
        <w:tc>
          <w:tcPr>
            <w:tcW w:w="5760" w:type="dxa"/>
            <w:vAlign w:val="center"/>
          </w:tcPr>
          <w:p>
            <w:pPr>
              <w:widowControl w:val="0"/>
              <w:autoSpaceDE w:val="0"/>
              <w:autoSpaceDN w:val="0"/>
              <w:adjustRightInd w:val="0"/>
              <w:snapToGrid w:val="0"/>
              <w:ind w:firstLine="0" w:firstLineChars="0"/>
              <w:rPr>
                <w:rFonts w:ascii="宋体" w:hAnsi="宋体" w:cs="Courier New"/>
                <w:kern w:val="0"/>
                <w:szCs w:val="21"/>
              </w:rPr>
            </w:pPr>
            <w:r>
              <w:rPr>
                <w:rFonts w:hint="eastAsia" w:ascii="宋体" w:hAnsi="宋体" w:cs="Courier New"/>
                <w:kern w:val="0"/>
                <w:szCs w:val="21"/>
              </w:rPr>
              <w:t>☑由评标委员会直接确定中标人</w:t>
            </w:r>
          </w:p>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Courier New"/>
                <w:kern w:val="0"/>
                <w:szCs w:val="21"/>
              </w:rPr>
              <w:t>□评定分离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Merge w:val="restart"/>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定标方法</w:t>
            </w:r>
          </w:p>
          <w:p>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szCs w:val="21"/>
              </w:rPr>
              <w:t>及定标程序</w:t>
            </w:r>
          </w:p>
        </w:tc>
        <w:tc>
          <w:tcPr>
            <w:tcW w:w="5760" w:type="dxa"/>
            <w:vAlign w:val="center"/>
          </w:tcPr>
          <w:p>
            <w:pPr>
              <w:widowControl w:val="0"/>
              <w:autoSpaceDE w:val="0"/>
              <w:autoSpaceDN w:val="0"/>
              <w:adjustRightInd w:val="0"/>
              <w:snapToGrid w:val="0"/>
              <w:ind w:firstLine="0" w:firstLineChars="0"/>
              <w:rPr>
                <w:rFonts w:ascii="宋体" w:hAnsi="宋体" w:cs="Courier New"/>
                <w:b/>
                <w:kern w:val="0"/>
                <w:szCs w:val="21"/>
              </w:rPr>
            </w:pPr>
            <w:r>
              <w:rPr>
                <w:rFonts w:hint="eastAsia" w:ascii="宋体" w:hAnsi="宋体" w:cs="Courier New"/>
                <w:b/>
                <w:kern w:val="0"/>
                <w:szCs w:val="21"/>
              </w:rPr>
              <w:t>□票决定标</w:t>
            </w:r>
          </w:p>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Courier New"/>
                <w:kern w:val="0"/>
                <w:szCs w:val="21"/>
              </w:rPr>
              <w:t xml:space="preserve">☑直接票决定标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2019" w:type="dxa"/>
            <w:vMerge w:val="continue"/>
            <w:vAlign w:val="center"/>
          </w:tcPr>
          <w:p>
            <w:pPr>
              <w:widowControl w:val="0"/>
              <w:autoSpaceDE w:val="0"/>
              <w:autoSpaceDN w:val="0"/>
              <w:adjustRightInd w:val="0"/>
              <w:snapToGrid w:val="0"/>
              <w:ind w:firstLine="0" w:firstLineChars="0"/>
              <w:jc w:val="center"/>
              <w:rPr>
                <w:rFonts w:ascii="宋体" w:hAnsi="宋体"/>
                <w:szCs w:val="21"/>
              </w:rPr>
            </w:pPr>
          </w:p>
        </w:tc>
        <w:tc>
          <w:tcPr>
            <w:tcW w:w="5760" w:type="dxa"/>
            <w:vAlign w:val="center"/>
          </w:tcPr>
          <w:p>
            <w:pPr>
              <w:widowControl w:val="0"/>
              <w:autoSpaceDE w:val="0"/>
              <w:autoSpaceDN w:val="0"/>
              <w:adjustRightInd w:val="0"/>
              <w:snapToGrid w:val="0"/>
              <w:ind w:firstLine="0" w:firstLineChars="0"/>
              <w:rPr>
                <w:rFonts w:ascii="宋体" w:hAnsi="宋体" w:cs="Courier New"/>
                <w:b/>
                <w:kern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7" w:type="dxa"/>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8.4.1</w:t>
            </w:r>
          </w:p>
        </w:tc>
        <w:tc>
          <w:tcPr>
            <w:tcW w:w="2019" w:type="dxa"/>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shd w:val="clear" w:color="auto" w:fill="FFFFFF"/>
              </w:rPr>
              <w:t>签订</w:t>
            </w:r>
            <w:r>
              <w:rPr>
                <w:rFonts w:ascii="宋体" w:hAnsi="宋体"/>
                <w:szCs w:val="21"/>
                <w:shd w:val="clear" w:color="auto" w:fill="FFFFFF"/>
              </w:rPr>
              <w:t>合同</w:t>
            </w:r>
            <w:r>
              <w:rPr>
                <w:rFonts w:hint="eastAsia" w:ascii="宋体" w:hAnsi="宋体"/>
                <w:szCs w:val="21"/>
                <w:shd w:val="clear" w:color="auto" w:fill="FFFFFF"/>
              </w:rPr>
              <w:t>时间</w:t>
            </w:r>
          </w:p>
        </w:tc>
        <w:tc>
          <w:tcPr>
            <w:tcW w:w="5760" w:type="dxa"/>
            <w:vAlign w:val="center"/>
          </w:tcPr>
          <w:p>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szCs w:val="21"/>
                <w:shd w:val="clear" w:color="auto" w:fill="FFFFFF"/>
              </w:rPr>
              <w:t>中标通知书发出之日起</w:t>
            </w:r>
            <w:r>
              <w:rPr>
                <w:rFonts w:ascii="宋体" w:hAnsi="宋体"/>
                <w:szCs w:val="21"/>
                <w:u w:val="single"/>
                <w:shd w:val="clear" w:color="auto" w:fill="FFFFFF"/>
              </w:rPr>
              <w:t xml:space="preserve">  </w:t>
            </w:r>
            <w:r>
              <w:rPr>
                <w:rFonts w:hint="eastAsia" w:ascii="宋体" w:hAnsi="宋体"/>
                <w:szCs w:val="21"/>
                <w:u w:val="single"/>
                <w:shd w:val="clear" w:color="auto" w:fill="FFFFFF"/>
              </w:rPr>
              <w:t>3</w:t>
            </w:r>
            <w:r>
              <w:rPr>
                <w:rFonts w:ascii="宋体" w:hAnsi="宋体"/>
                <w:szCs w:val="21"/>
                <w:u w:val="single"/>
                <w:shd w:val="clear" w:color="auto" w:fill="FFFFFF"/>
              </w:rPr>
              <w:t>0</w:t>
            </w:r>
            <w:r>
              <w:rPr>
                <w:rFonts w:hint="eastAsia" w:ascii="宋体" w:hAnsi="宋体"/>
                <w:szCs w:val="21"/>
                <w:u w:val="single"/>
                <w:shd w:val="clear" w:color="auto" w:fill="FFFFFF"/>
              </w:rPr>
              <w:t xml:space="preserve">  </w:t>
            </w:r>
            <w:r>
              <w:rPr>
                <w:rFonts w:hint="eastAsia" w:ascii="宋体" w:hAnsi="宋体"/>
                <w:szCs w:val="21"/>
                <w:shd w:val="clear" w:color="auto" w:fill="FFFFFF"/>
              </w:rPr>
              <w:t>天（日历日）内。</w:t>
            </w:r>
          </w:p>
        </w:tc>
      </w:tr>
    </w:tbl>
    <w:p>
      <w:pPr>
        <w:widowControl w:val="0"/>
        <w:autoSpaceDE w:val="0"/>
        <w:autoSpaceDN w:val="0"/>
        <w:adjustRightInd w:val="0"/>
        <w:snapToGrid w:val="0"/>
        <w:ind w:firstLine="420"/>
        <w:jc w:val="left"/>
        <w:rPr>
          <w:rFonts w:ascii="宋体" w:hAnsi="宋体"/>
        </w:rPr>
      </w:pPr>
    </w:p>
    <w:tbl>
      <w:tblPr>
        <w:tblStyle w:val="49"/>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20"/>
        <w:gridCol w:w="2090"/>
        <w:gridCol w:w="5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856" w:type="dxa"/>
            <w:gridSpan w:val="3"/>
            <w:shd w:val="clear" w:color="auto" w:fill="D9E2F3"/>
            <w:vAlign w:val="center"/>
          </w:tcPr>
          <w:p>
            <w:pPr>
              <w:widowControl w:val="0"/>
              <w:autoSpaceDE w:val="0"/>
              <w:autoSpaceDN w:val="0"/>
              <w:adjustRightInd w:val="0"/>
              <w:snapToGrid w:val="0"/>
              <w:ind w:firstLine="0" w:firstLineChars="0"/>
              <w:jc w:val="center"/>
              <w:rPr>
                <w:rFonts w:ascii="宋体" w:hAnsi="宋体"/>
                <w:sz w:val="32"/>
                <w:szCs w:val="32"/>
                <w:shd w:val="clear" w:color="auto" w:fill="FFFFFF"/>
              </w:rPr>
            </w:pPr>
            <w:r>
              <w:rPr>
                <w:rFonts w:hint="eastAsia" w:ascii="宋体" w:hAnsi="宋体"/>
                <w:b/>
                <w:sz w:val="32"/>
                <w:szCs w:val="32"/>
              </w:rPr>
              <w:t>投标人须知前附表（二）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090"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746"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shd w:val="clear" w:color="auto" w:fill="FFFFFF"/>
              </w:rPr>
            </w:pPr>
            <w:r>
              <w:rPr>
                <w:rFonts w:ascii="宋体" w:hAnsi="宋体"/>
                <w:b/>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1.2</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资金来源和落实</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情况</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资金来源：企业自筹</w:t>
            </w:r>
          </w:p>
          <w:p>
            <w:pPr>
              <w:widowControl w:val="0"/>
              <w:autoSpaceDE w:val="0"/>
              <w:autoSpaceDN w:val="0"/>
              <w:adjustRightInd w:val="0"/>
              <w:snapToGrid w:val="0"/>
              <w:ind w:firstLine="0" w:firstLineChars="0"/>
              <w:rPr>
                <w:rFonts w:ascii="宋体" w:hAnsi="宋体"/>
                <w:szCs w:val="21"/>
              </w:rPr>
            </w:pPr>
            <w:r>
              <w:rPr>
                <w:rFonts w:hint="eastAsia" w:ascii="宋体" w:hAnsi="宋体"/>
                <w:szCs w:val="21"/>
              </w:rPr>
              <w:t>出资比例：100%</w:t>
            </w:r>
          </w:p>
          <w:p>
            <w:pPr>
              <w:widowControl w:val="0"/>
              <w:autoSpaceDE w:val="0"/>
              <w:autoSpaceDN w:val="0"/>
              <w:adjustRightInd w:val="0"/>
              <w:snapToGrid w:val="0"/>
              <w:ind w:firstLine="0" w:firstLineChars="0"/>
              <w:rPr>
                <w:rFonts w:ascii="宋体" w:hAnsi="宋体"/>
                <w:szCs w:val="21"/>
                <w:u w:val="single"/>
              </w:rPr>
            </w:pPr>
            <w:r>
              <w:rPr>
                <w:rFonts w:hint="eastAsia" w:ascii="宋体" w:hAnsi="宋体"/>
                <w:szCs w:val="21"/>
              </w:rPr>
              <w:t>资金落实情况：</w:t>
            </w:r>
            <w:r>
              <w:rPr>
                <w:rFonts w:hint="eastAsia" w:ascii="Segoe UI Symbol" w:hAnsi="Segoe UI Symbol" w:cs="Segoe UI Symbol"/>
                <w:snapToGrid w:val="0"/>
                <w:kern w:val="0"/>
                <w:szCs w:val="21"/>
              </w:rPr>
              <w:t>☑</w:t>
            </w:r>
            <w:r>
              <w:rPr>
                <w:rFonts w:hint="eastAsia" w:ascii="宋体" w:hAnsi="宋体"/>
                <w:szCs w:val="21"/>
              </w:rPr>
              <w:t>已落实 □未落实 □其他：</w:t>
            </w:r>
            <w:r>
              <w:rPr>
                <w:rFonts w:hint="eastAsia" w:ascii="宋体" w:hAnsi="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vMerge w:val="restart"/>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1.3.1</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招标范围</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vMerge w:val="continue"/>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概况</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1.3.2</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服务期</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1.3.3</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服务</w:t>
            </w:r>
            <w:r>
              <w:rPr>
                <w:rFonts w:ascii="宋体" w:hAnsi="宋体"/>
                <w:szCs w:val="21"/>
              </w:rPr>
              <w:t>地点</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rPr>
              <w:t>详见招标文件“第四章 项目需求”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1.4</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b/>
                <w:bCs/>
                <w:szCs w:val="21"/>
              </w:rPr>
            </w:pPr>
            <w:r>
              <w:rPr>
                <w:rFonts w:ascii="宋体" w:hAnsi="宋体"/>
                <w:b/>
                <w:bCs/>
                <w:szCs w:val="21"/>
              </w:rPr>
              <w:t>投标人</w:t>
            </w:r>
            <w:r>
              <w:rPr>
                <w:rFonts w:hint="eastAsia" w:ascii="宋体" w:hAnsi="宋体"/>
                <w:b/>
                <w:bCs/>
                <w:szCs w:val="21"/>
              </w:rPr>
              <w:t>资格</w:t>
            </w:r>
          </w:p>
          <w:p>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要求</w:t>
            </w:r>
          </w:p>
        </w:tc>
        <w:tc>
          <w:tcPr>
            <w:tcW w:w="5746" w:type="dxa"/>
            <w:shd w:val="clear" w:color="auto" w:fill="FFFFFF"/>
            <w:vAlign w:val="center"/>
          </w:tcPr>
          <w:p>
            <w:pPr>
              <w:widowControl w:val="0"/>
              <w:numPr>
                <w:ilvl w:val="0"/>
                <w:numId w:val="2"/>
              </w:numPr>
              <w:autoSpaceDE w:val="0"/>
              <w:autoSpaceDN w:val="0"/>
              <w:adjustRightInd w:val="0"/>
              <w:snapToGrid w:val="0"/>
              <w:ind w:firstLine="420"/>
            </w:pPr>
            <w:r>
              <w:rPr>
                <w:rFonts w:hint="eastAsia"/>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原件备查；</w:t>
            </w:r>
          </w:p>
          <w:p>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2.参与本项目投标前三年内，在经营活动中没有重大违法记录（在</w:t>
            </w:r>
            <w:r>
              <w:rPr>
                <w:rFonts w:hint="eastAsia"/>
              </w:rPr>
              <w:t>《投标及履约承诺函》</w:t>
            </w:r>
            <w:r>
              <w:rPr>
                <w:rFonts w:hint="eastAsia" w:asciiTheme="minorEastAsia" w:hAnsiTheme="minorEastAsia" w:eastAsiaTheme="minorEastAsia" w:cstheme="minorEastAsia"/>
                <w:kern w:val="0"/>
                <w:szCs w:val="21"/>
              </w:rPr>
              <w:t>中作出声明）</w:t>
            </w:r>
          </w:p>
          <w:p>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3.参与本项目招标活动时不存在被有关部门禁止参与采购活动且在有效期内的情况（在</w:t>
            </w:r>
            <w:r>
              <w:rPr>
                <w:rFonts w:hint="eastAsia"/>
              </w:rPr>
              <w:t>《投标及履约承诺函》</w:t>
            </w:r>
            <w:r>
              <w:rPr>
                <w:rFonts w:hint="eastAsia" w:asciiTheme="minorEastAsia" w:hAnsiTheme="minorEastAsia" w:eastAsiaTheme="minorEastAsia" w:cstheme="minorEastAsia"/>
                <w:kern w:val="0"/>
                <w:szCs w:val="21"/>
              </w:rPr>
              <w:t>中作出声明）；</w:t>
            </w:r>
          </w:p>
          <w:p>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4.具备《中华人民共和国政府采购法》第二十二条第一款的条件（在</w:t>
            </w:r>
            <w:r>
              <w:rPr>
                <w:rFonts w:hint="eastAsia"/>
              </w:rPr>
              <w:t>《投标及履约承诺函》</w:t>
            </w:r>
            <w:r>
              <w:rPr>
                <w:rFonts w:hint="eastAsia" w:asciiTheme="minorEastAsia" w:hAnsiTheme="minorEastAsia" w:eastAsiaTheme="minorEastAsia" w:cstheme="minorEastAsia"/>
                <w:kern w:val="0"/>
                <w:szCs w:val="21"/>
              </w:rPr>
              <w:t>中作出声明）</w:t>
            </w:r>
          </w:p>
          <w:p>
            <w:pPr>
              <w:pStyle w:val="19"/>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5.未被列入失信被执行人、重大税收违法案件当事人名单、政府采购严重违法失信行为记录名单（在</w:t>
            </w:r>
            <w:r>
              <w:rPr>
                <w:rFonts w:hint="eastAsia"/>
              </w:rPr>
              <w:t>《投标及履约承诺函》</w:t>
            </w:r>
            <w:r>
              <w:rPr>
                <w:rFonts w:hint="eastAsia" w:asciiTheme="minorEastAsia" w:hAnsiTheme="minorEastAsia" w:eastAsiaTheme="minorEastAsia" w:cstheme="minorEastAsia"/>
                <w:kern w:val="0"/>
                <w:szCs w:val="21"/>
              </w:rPr>
              <w:t>中作出声明）</w:t>
            </w:r>
          </w:p>
          <w:p>
            <w:pPr>
              <w:pStyle w:val="19"/>
              <w:ind w:firstLine="420"/>
              <w:rPr>
                <w:rFonts w:eastAsiaTheme="minorEastAsia"/>
              </w:rPr>
            </w:pPr>
            <w:r>
              <w:rPr>
                <w:rFonts w:hint="eastAsia" w:asciiTheme="minorEastAsia" w:hAnsiTheme="minorEastAsia" w:eastAsiaTheme="minorEastAsia" w:cstheme="minorEastAsia"/>
                <w:kern w:val="0"/>
                <w:szCs w:val="21"/>
              </w:rPr>
              <w:t>6.单位负责人为同一人或者存在直接控股、管理关系的不同投标人，不得同时参加本项目投标（在</w:t>
            </w:r>
            <w:r>
              <w:rPr>
                <w:rFonts w:hint="eastAsia"/>
              </w:rPr>
              <w:t>《投标及履约承诺函》</w:t>
            </w:r>
            <w:r>
              <w:rPr>
                <w:rFonts w:hint="eastAsia" w:asciiTheme="minorEastAsia" w:hAnsiTheme="minorEastAsia" w:eastAsiaTheme="minorEastAsia" w:cstheme="minorEastAsia"/>
                <w:kern w:val="0"/>
                <w:szCs w:val="21"/>
              </w:rPr>
              <w:t>中作出声明）；</w:t>
            </w:r>
          </w:p>
          <w:p>
            <w:pPr>
              <w:ind w:firstLine="420"/>
            </w:pPr>
            <w:r>
              <w:rPr>
                <w:rFonts w:hint="eastAsia"/>
              </w:rPr>
              <w:t>7.</w:t>
            </w:r>
            <w:r>
              <w:rPr>
                <w:rFonts w:hint="eastAsia" w:ascii="宋体" w:hAnsi="宋体" w:cs="宋体"/>
                <w:szCs w:val="21"/>
              </w:rPr>
              <w:t>本项目不接受进口产品投标。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1.4.4</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是否接受</w:t>
            </w:r>
          </w:p>
          <w:p>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联合体投标</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kern w:val="0"/>
                <w:szCs w:val="21"/>
              </w:rPr>
            </w:pPr>
            <w:r>
              <w:rPr>
                <w:rFonts w:hint="eastAsia" w:ascii="Segoe UI Symbol" w:hAnsi="Segoe UI Symbol" w:cs="Segoe UI Symbol"/>
                <w:kern w:val="0"/>
                <w:szCs w:val="21"/>
              </w:rPr>
              <w:t>☑</w:t>
            </w:r>
            <w:r>
              <w:rPr>
                <w:rFonts w:hint="eastAsia" w:ascii="宋体" w:hAnsi="宋体"/>
                <w:kern w:val="0"/>
                <w:szCs w:val="21"/>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1.9.1</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踏勘</w:t>
            </w:r>
            <w:r>
              <w:rPr>
                <w:rFonts w:hint="eastAsia" w:ascii="宋体" w:hAnsi="宋体"/>
                <w:szCs w:val="21"/>
                <w:shd w:val="clear" w:color="auto" w:fill="FFFFFF"/>
              </w:rPr>
              <w:t>现场</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kern w:val="0"/>
                <w:szCs w:val="21"/>
                <w:u w:val="single"/>
                <w:shd w:val="clear" w:color="auto" w:fill="FFFFFF"/>
              </w:rPr>
            </w:pPr>
            <w:r>
              <w:rPr>
                <w:rFonts w:hint="eastAsia" w:ascii="Segoe UI Symbol" w:hAnsi="Segoe UI Symbol" w:cs="Segoe UI Symbol"/>
                <w:kern w:val="0"/>
                <w:szCs w:val="21"/>
                <w:shd w:val="clear" w:color="auto" w:fill="FFFFFF"/>
              </w:rPr>
              <w:t>☑</w:t>
            </w:r>
            <w:r>
              <w:rPr>
                <w:rFonts w:hint="eastAsia" w:ascii="宋体" w:hAnsi="宋体"/>
                <w:kern w:val="0"/>
                <w:szCs w:val="21"/>
                <w:shd w:val="clear" w:color="auto" w:fill="FFFFFF"/>
              </w:rPr>
              <w:t>不组织。可在</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至</w:t>
            </w:r>
            <w:r>
              <w:rPr>
                <w:rFonts w:hint="eastAsia" w:ascii="宋体" w:hAnsi="宋体"/>
                <w:kern w:val="0"/>
                <w:szCs w:val="21"/>
                <w:u w:val="single"/>
                <w:shd w:val="clear" w:color="auto" w:fill="FFFFFF"/>
              </w:rPr>
              <w:t xml:space="preserve">     </w:t>
            </w:r>
            <w:r>
              <w:rPr>
                <w:rFonts w:hint="eastAsia" w:ascii="宋体" w:hAnsi="宋体"/>
                <w:kern w:val="0"/>
                <w:szCs w:val="21"/>
                <w:shd w:val="clear" w:color="auto" w:fill="FFFFFF"/>
              </w:rPr>
              <w:t>自行踏勘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1.10.1</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ascii="宋体" w:hAnsi="宋体"/>
                <w:szCs w:val="21"/>
                <w:shd w:val="clear" w:color="auto" w:fill="FFFFFF"/>
              </w:rPr>
              <w:t>投标预备会</w:t>
            </w:r>
          </w:p>
        </w:tc>
        <w:tc>
          <w:tcPr>
            <w:tcW w:w="5746" w:type="dxa"/>
            <w:shd w:val="clear" w:color="auto" w:fill="FFFFFF"/>
            <w:vAlign w:val="center"/>
          </w:tcPr>
          <w:p>
            <w:pPr>
              <w:widowControl w:val="0"/>
              <w:wordWrap w:val="0"/>
              <w:autoSpaceDE w:val="0"/>
              <w:autoSpaceDN w:val="0"/>
              <w:adjustRightInd w:val="0"/>
              <w:snapToGrid w:val="0"/>
              <w:ind w:firstLine="0" w:firstLineChars="0"/>
              <w:rPr>
                <w:rFonts w:ascii="宋体" w:hAnsi="宋体" w:cs="MS Mincho"/>
                <w:kern w:val="0"/>
                <w:szCs w:val="21"/>
                <w:shd w:val="clear" w:color="auto" w:fill="FFFFFF"/>
              </w:rPr>
            </w:pPr>
            <w:r>
              <w:rPr>
                <w:rFonts w:hint="eastAsia" w:ascii="Segoe UI Symbol" w:hAnsi="Segoe UI Symbol" w:cs="Segoe UI Symbol"/>
                <w:kern w:val="0"/>
                <w:szCs w:val="21"/>
              </w:rPr>
              <w:t>☑</w:t>
            </w:r>
            <w:r>
              <w:rPr>
                <w:rFonts w:hint="eastAsia" w:ascii="宋体" w:hAnsi="宋体"/>
                <w:szCs w:val="21"/>
              </w:rPr>
              <w:t>不</w:t>
            </w:r>
            <w:r>
              <w:rPr>
                <w:rFonts w:ascii="宋体" w:hAnsi="宋体"/>
                <w:szCs w:val="21"/>
              </w:rPr>
              <w:t>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vMerge w:val="restart"/>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3.2.5</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投标货币</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cs="Segoe UI Symbol"/>
                <w:kern w:val="0"/>
                <w:szCs w:val="21"/>
              </w:rPr>
            </w:pPr>
            <w:r>
              <w:rPr>
                <w:rFonts w:ascii="Segoe UI Symbol" w:hAnsi="Segoe UI Symbol" w:cs="Segoe UI Symbol"/>
                <w:kern w:val="0"/>
                <w:szCs w:val="21"/>
              </w:rPr>
              <w:t>☑</w:t>
            </w:r>
            <w:r>
              <w:rPr>
                <w:rFonts w:hint="eastAsia" w:ascii="宋体" w:hAnsi="宋体" w:cs="Segoe UI Symbol"/>
                <w:kern w:val="0"/>
                <w:szCs w:val="21"/>
              </w:rPr>
              <w:t>人民币  □其他：</w:t>
            </w:r>
            <w:r>
              <w:rPr>
                <w:rFonts w:hint="eastAsia" w:ascii="宋体" w:hAnsi="宋体" w:cs="Segoe UI Symbol"/>
                <w:kern w:val="0"/>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r>
              <w:rPr>
                <w:rFonts w:hint="eastAsia" w:ascii="宋体" w:hAnsi="宋体"/>
                <w:szCs w:val="21"/>
              </w:rPr>
              <w:t>报价方式和内容</w:t>
            </w:r>
          </w:p>
        </w:tc>
        <w:tc>
          <w:tcPr>
            <w:tcW w:w="5746" w:type="dxa"/>
            <w:shd w:val="clear" w:color="auto" w:fill="FFFFFF"/>
            <w:vAlign w:val="center"/>
          </w:tcPr>
          <w:p>
            <w:pPr>
              <w:pStyle w:val="19"/>
              <w:ind w:firstLine="0" w:firstLineChars="0"/>
              <w:rPr>
                <w:rFonts w:ascii="宋体" w:hAnsi="宋体"/>
                <w:szCs w:val="21"/>
                <w:shd w:val="clear" w:color="auto" w:fill="FFFFFF"/>
              </w:rPr>
            </w:pPr>
            <w:r>
              <w:rPr>
                <w:rFonts w:hint="eastAsia"/>
              </w:rPr>
              <w:t>详见“商务条款”中报价要求部分内容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3.4.</w:t>
            </w:r>
            <w:r>
              <w:rPr>
                <w:rFonts w:ascii="宋体" w:hAnsi="宋体"/>
                <w:szCs w:val="21"/>
              </w:rPr>
              <w:t>1</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投标保证金</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是否要求递交投标保证金：□要求</w:t>
            </w:r>
            <w:r>
              <w:rPr>
                <w:rFonts w:ascii="宋体" w:hAnsi="宋体" w:cs="Segoe UI Symbol"/>
                <w:kern w:val="0"/>
                <w:szCs w:val="21"/>
              </w:rPr>
              <w:t xml:space="preserve">  </w:t>
            </w:r>
            <w:r>
              <w:rPr>
                <w:rFonts w:hint="eastAsia" w:ascii="宋体" w:hAnsi="宋体" w:cs="Segoe UI Symbol"/>
                <w:kern w:val="0"/>
                <w:szCs w:val="21"/>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3.7.1</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是否允许</w:t>
            </w:r>
            <w:r>
              <w:rPr>
                <w:rFonts w:hint="eastAsia" w:ascii="宋体" w:hAnsi="宋体"/>
                <w:szCs w:val="21"/>
              </w:rPr>
              <w:t>递交</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备</w:t>
            </w:r>
            <w:r>
              <w:rPr>
                <w:rFonts w:ascii="宋体" w:hAnsi="宋体"/>
                <w:szCs w:val="21"/>
              </w:rPr>
              <w:t>选投标</w:t>
            </w:r>
            <w:r>
              <w:rPr>
                <w:rFonts w:hint="eastAsia" w:ascii="宋体" w:hAnsi="宋体"/>
                <w:szCs w:val="21"/>
              </w:rPr>
              <w:t>方</w:t>
            </w:r>
            <w:r>
              <w:rPr>
                <w:rFonts w:ascii="宋体" w:hAnsi="宋体"/>
                <w:szCs w:val="21"/>
              </w:rPr>
              <w:t>案</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szCs w:val="21"/>
              </w:rPr>
            </w:pPr>
            <w:r>
              <w:rPr>
                <w:rFonts w:hint="eastAsia" w:ascii="Segoe UI Symbol" w:hAnsi="Segoe UI Symbol" w:cs="Segoe UI Symbol"/>
                <w:kern w:val="0"/>
                <w:szCs w:val="21"/>
              </w:rPr>
              <w:t>☑</w:t>
            </w:r>
            <w:r>
              <w:rPr>
                <w:rFonts w:hint="eastAsia" w:ascii="宋体" w:hAnsi="宋体"/>
                <w:szCs w:val="21"/>
              </w:rPr>
              <w:t>不允许</w:t>
            </w:r>
          </w:p>
          <w:p>
            <w:pPr>
              <w:widowControl w:val="0"/>
              <w:autoSpaceDE w:val="0"/>
              <w:autoSpaceDN w:val="0"/>
              <w:adjustRightInd w:val="0"/>
              <w:snapToGrid w:val="0"/>
              <w:ind w:firstLine="0" w:firstLineChars="0"/>
              <w:rPr>
                <w:rFonts w:ascii="宋体" w:hAnsi="宋体"/>
                <w:szCs w:val="21"/>
              </w:rPr>
            </w:pPr>
            <w:r>
              <w:rPr>
                <w:rFonts w:hint="eastAsia" w:ascii="宋体" w:hAnsi="宋体"/>
                <w:kern w:val="0"/>
                <w:szCs w:val="21"/>
              </w:rPr>
              <w:t>□</w:t>
            </w:r>
            <w:r>
              <w:rPr>
                <w:rFonts w:hint="eastAsia" w:ascii="宋体" w:hAnsi="宋体"/>
                <w:szCs w:val="21"/>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w:t>
            </w:r>
            <w:r>
              <w:rPr>
                <w:rFonts w:ascii="宋体" w:hAnsi="宋体"/>
                <w:szCs w:val="21"/>
              </w:rPr>
              <w:t>.1.6</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招标公告</w:t>
            </w:r>
          </w:p>
        </w:tc>
        <w:tc>
          <w:tcPr>
            <w:tcW w:w="5746" w:type="dxa"/>
            <w:vMerge w:val="restart"/>
            <w:shd w:val="clear" w:color="auto" w:fill="FFFFFF"/>
            <w:vAlign w:val="center"/>
          </w:tcPr>
          <w:p>
            <w:pPr>
              <w:widowControl w:val="0"/>
              <w:wordWrap w:val="0"/>
              <w:autoSpaceDE w:val="0"/>
              <w:autoSpaceDN w:val="0"/>
              <w:adjustRightInd w:val="0"/>
              <w:snapToGrid w:val="0"/>
              <w:ind w:firstLine="0" w:firstLineChars="0"/>
              <w:rPr>
                <w:rFonts w:ascii="宋体" w:hAnsi="宋体"/>
                <w:szCs w:val="21"/>
                <w:u w:val="single"/>
              </w:rPr>
            </w:pPr>
            <w:r>
              <w:rPr>
                <w:rFonts w:hint="eastAsia" w:ascii="宋体" w:hAnsi="宋体"/>
                <w:szCs w:val="21"/>
              </w:rPr>
              <w:t>公示/公告媒介：</w:t>
            </w:r>
          </w:p>
          <w:p>
            <w:pPr>
              <w:widowControl w:val="0"/>
              <w:wordWrap w:val="0"/>
              <w:autoSpaceDE w:val="0"/>
              <w:autoSpaceDN w:val="0"/>
              <w:adjustRightInd w:val="0"/>
              <w:snapToGrid w:val="0"/>
              <w:ind w:firstLine="0" w:firstLineChars="0"/>
              <w:rPr>
                <w:rFonts w:ascii="Segoe UI Symbol" w:hAnsi="Segoe UI Symbol" w:cs="Segoe UI Symbol"/>
                <w:kern w:val="0"/>
                <w:szCs w:val="21"/>
              </w:rPr>
            </w:pPr>
            <w:r>
              <w:fldChar w:fldCharType="begin"/>
            </w:r>
            <w:r>
              <w:instrText xml:space="preserve"> HYPERLINK "http://www.lhconst.com/products.aspx?nid=3&amp;typeid=13" </w:instrText>
            </w:r>
            <w:r>
              <w:fldChar w:fldCharType="separate"/>
            </w:r>
            <w:r>
              <w:rPr>
                <w:rStyle w:val="56"/>
                <w:rFonts w:hint="default" w:ascii="宋体" w:hAnsi="宋体" w:eastAsia="宋体" w:cs="宋体"/>
                <w:sz w:val="24"/>
              </w:rPr>
              <w:t>深圳市龙华建设发展集团有限公司 http://www.lhconst.com</w:t>
            </w:r>
            <w:r>
              <w:rPr>
                <w:rStyle w:val="56"/>
                <w:rFonts w:hint="default" w:ascii="宋体" w:hAnsi="宋体" w:eastAsia="宋体" w:cs="宋体"/>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7.2</w:t>
            </w:r>
            <w:r>
              <w:rPr>
                <w:rFonts w:ascii="宋体" w:hAnsi="宋体"/>
                <w:szCs w:val="21"/>
              </w:rPr>
              <w:t>.1</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中标候选人</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公示</w:t>
            </w:r>
          </w:p>
        </w:tc>
        <w:tc>
          <w:tcPr>
            <w:tcW w:w="5746" w:type="dxa"/>
            <w:vMerge w:val="continue"/>
            <w:shd w:val="clear" w:color="auto" w:fill="FFFFFF"/>
            <w:vAlign w:val="center"/>
          </w:tcPr>
          <w:p>
            <w:pPr>
              <w:widowControl w:val="0"/>
              <w:autoSpaceDE w:val="0"/>
              <w:autoSpaceDN w:val="0"/>
              <w:adjustRightInd w:val="0"/>
              <w:snapToGrid w:val="0"/>
              <w:ind w:firstLine="0" w:firstLineChars="0"/>
              <w:rPr>
                <w:rFonts w:ascii="宋体" w:hAnsi="宋体"/>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7</w:t>
            </w:r>
            <w:r>
              <w:rPr>
                <w:rFonts w:ascii="宋体" w:hAnsi="宋体"/>
                <w:szCs w:val="21"/>
              </w:rPr>
              <w:t>.2.2</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中标公告</w:t>
            </w:r>
          </w:p>
        </w:tc>
        <w:tc>
          <w:tcPr>
            <w:tcW w:w="5746" w:type="dxa"/>
            <w:vMerge w:val="continue"/>
            <w:shd w:val="clear" w:color="auto" w:fill="FFFFFF"/>
            <w:vAlign w:val="center"/>
          </w:tcPr>
          <w:p>
            <w:pPr>
              <w:widowControl w:val="0"/>
              <w:autoSpaceDE w:val="0"/>
              <w:autoSpaceDN w:val="0"/>
              <w:adjustRightInd w:val="0"/>
              <w:snapToGrid w:val="0"/>
              <w:ind w:firstLine="0" w:firstLineChars="0"/>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restart"/>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8.3.1</w:t>
            </w:r>
          </w:p>
        </w:tc>
        <w:tc>
          <w:tcPr>
            <w:tcW w:w="2090" w:type="dxa"/>
            <w:vMerge w:val="restart"/>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履约担保</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是否要求中标人提交履约</w:t>
            </w:r>
            <w:r>
              <w:rPr>
                <w:rFonts w:hint="eastAsia" w:ascii="宋体" w:hAnsi="宋体" w:cs="Segoe UI Symbol"/>
                <w:kern w:val="0"/>
                <w:szCs w:val="21"/>
              </w:rPr>
              <w:t>担保</w:t>
            </w:r>
            <w:r>
              <w:rPr>
                <w:rFonts w:ascii="宋体" w:hAnsi="宋体" w:cs="Segoe UI Symbol"/>
                <w:kern w:val="0"/>
                <w:szCs w:val="21"/>
              </w:rPr>
              <w:t>：</w:t>
            </w:r>
            <w:r>
              <w:rPr>
                <w:rFonts w:hint="eastAsia" w:ascii="宋体" w:hAnsi="宋体" w:cs="Segoe UI Symbol"/>
                <w:kern w:val="0"/>
                <w:szCs w:val="21"/>
              </w:rPr>
              <w:t>□要求</w:t>
            </w:r>
            <w:r>
              <w:rPr>
                <w:rFonts w:ascii="宋体" w:hAnsi="宋体" w:cs="Segoe UI Symbol"/>
                <w:kern w:val="0"/>
                <w:szCs w:val="21"/>
              </w:rPr>
              <w:t xml:space="preserve">  </w:t>
            </w:r>
            <w:r>
              <w:rPr>
                <w:rFonts w:hint="eastAsia" w:ascii="宋体" w:hAnsi="宋体" w:cs="Segoe UI Symbol"/>
                <w:kern w:val="0"/>
                <w:szCs w:val="21"/>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vMerge w:val="continue"/>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p>
        </w:tc>
        <w:tc>
          <w:tcPr>
            <w:tcW w:w="2090" w:type="dxa"/>
            <w:vMerge w:val="continue"/>
            <w:shd w:val="clear" w:color="auto" w:fill="FFFFFF"/>
            <w:vAlign w:val="center"/>
          </w:tcPr>
          <w:p>
            <w:pPr>
              <w:widowControl w:val="0"/>
              <w:autoSpaceDE w:val="0"/>
              <w:autoSpaceDN w:val="0"/>
              <w:adjustRightInd w:val="0"/>
              <w:snapToGrid w:val="0"/>
              <w:ind w:firstLine="0" w:firstLineChars="0"/>
              <w:jc w:val="center"/>
              <w:rPr>
                <w:rFonts w:ascii="宋体" w:hAnsi="宋体"/>
                <w:szCs w:val="21"/>
                <w:shd w:val="clear" w:color="auto" w:fill="FFFFFF"/>
              </w:rPr>
            </w:pP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cs="Segoe UI Symbol"/>
                <w:kern w:val="0"/>
                <w:szCs w:val="21"/>
              </w:rPr>
            </w:pPr>
            <w:r>
              <w:rPr>
                <w:rFonts w:ascii="宋体" w:hAnsi="宋体" w:cs="Segoe UI Symbol"/>
                <w:kern w:val="0"/>
                <w:szCs w:val="21"/>
              </w:rPr>
              <w:t>履约担保的形式</w:t>
            </w:r>
            <w:r>
              <w:rPr>
                <w:rFonts w:hint="eastAsia" w:ascii="宋体" w:hAnsi="宋体" w:cs="Segoe UI Symbol"/>
                <w:kern w:val="0"/>
                <w:szCs w:val="21"/>
              </w:rPr>
              <w:t>：□现金、转账</w:t>
            </w:r>
            <w:r>
              <w:rPr>
                <w:rFonts w:ascii="宋体" w:hAnsi="宋体" w:cs="Segoe UI Symbol"/>
                <w:kern w:val="0"/>
                <w:szCs w:val="21"/>
              </w:rPr>
              <w:t xml:space="preserve">  </w:t>
            </w:r>
            <w:r>
              <w:rPr>
                <w:rFonts w:hint="eastAsia" w:ascii="宋体" w:hAnsi="宋体" w:cs="Segoe UI Symbol"/>
                <w:kern w:val="0"/>
                <w:szCs w:val="21"/>
              </w:rPr>
              <w:t>□银行保函</w:t>
            </w:r>
          </w:p>
          <w:p>
            <w:pPr>
              <w:widowControl w:val="0"/>
              <w:autoSpaceDE w:val="0"/>
              <w:autoSpaceDN w:val="0"/>
              <w:adjustRightInd w:val="0"/>
              <w:snapToGrid w:val="0"/>
              <w:ind w:firstLine="0" w:firstLineChars="0"/>
              <w:rPr>
                <w:rFonts w:ascii="宋体" w:hAnsi="宋体" w:cs="Segoe UI Symbol"/>
                <w:kern w:val="0"/>
                <w:szCs w:val="21"/>
                <w:u w:val="single"/>
              </w:rPr>
            </w:pPr>
            <w:r>
              <w:rPr>
                <w:rFonts w:ascii="宋体" w:hAnsi="宋体" w:cs="Segoe UI Symbol"/>
                <w:kern w:val="0"/>
                <w:szCs w:val="21"/>
              </w:rPr>
              <w:t>履约担保的金额：</w:t>
            </w:r>
            <w:r>
              <w:rPr>
                <w:rFonts w:hint="eastAsia" w:ascii="宋体" w:hAnsi="宋体" w:cs="Segoe UI Symbol"/>
                <w:kern w:val="0"/>
                <w:szCs w:val="21"/>
                <w:u w:val="single"/>
              </w:rPr>
              <w:t xml:space="preserve">      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090"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交易相关费用</w:t>
            </w:r>
          </w:p>
        </w:tc>
        <w:tc>
          <w:tcPr>
            <w:tcW w:w="5746" w:type="dxa"/>
            <w:shd w:val="clear" w:color="auto" w:fill="FFFFFF"/>
            <w:vAlign w:val="center"/>
          </w:tcPr>
          <w:p>
            <w:pPr>
              <w:widowControl w:val="0"/>
              <w:autoSpaceDE w:val="0"/>
              <w:autoSpaceDN w:val="0"/>
              <w:adjustRightInd w:val="0"/>
              <w:snapToGrid w:val="0"/>
              <w:ind w:firstLine="0" w:firstLineChars="0"/>
              <w:rPr>
                <w:rFonts w:ascii="宋体" w:hAnsi="宋体" w:cs="Segoe UI Symbol"/>
                <w:kern w:val="0"/>
                <w:szCs w:val="21"/>
              </w:rPr>
            </w:pPr>
            <w:r>
              <w:rPr>
                <w:rFonts w:hint="eastAsia" w:ascii="宋体" w:hAnsi="宋体" w:cs="Segoe UI Symbol"/>
                <w:kern w:val="0"/>
                <w:szCs w:val="21"/>
              </w:rPr>
              <w:t>不收费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20" w:type="dxa"/>
            <w:shd w:val="clear" w:color="auto" w:fill="FFFFFF"/>
            <w:vAlign w:val="center"/>
          </w:tcPr>
          <w:p>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090" w:type="dxa"/>
            <w:shd w:val="clear" w:color="auto" w:fill="FFFFFF"/>
            <w:vAlign w:val="center"/>
          </w:tcPr>
          <w:p>
            <w:pPr>
              <w:widowControl w:val="0"/>
              <w:autoSpaceDE w:val="0"/>
              <w:autoSpaceDN w:val="0"/>
              <w:adjustRightInd w:val="0"/>
              <w:snapToGrid w:val="0"/>
              <w:ind w:firstLine="420"/>
              <w:jc w:val="left"/>
              <w:rPr>
                <w:rFonts w:ascii="宋体" w:hAnsi="宋体"/>
                <w:kern w:val="0"/>
                <w:szCs w:val="21"/>
              </w:rPr>
            </w:pPr>
            <w:r>
              <w:rPr>
                <w:rFonts w:hint="eastAsia" w:ascii="宋体" w:hAnsi="宋体"/>
                <w:kern w:val="0"/>
                <w:szCs w:val="21"/>
              </w:rPr>
              <w:t>账户信息</w:t>
            </w:r>
          </w:p>
        </w:tc>
        <w:tc>
          <w:tcPr>
            <w:tcW w:w="5746" w:type="dxa"/>
            <w:shd w:val="clear" w:color="auto" w:fill="FFFFFF"/>
            <w:vAlign w:val="center"/>
          </w:tcPr>
          <w:p>
            <w:pPr>
              <w:pStyle w:val="15"/>
              <w:ind w:firstLine="0" w:firstLineChars="0"/>
              <w:rPr>
                <w:rFonts w:ascii="宋体" w:hAnsi="宋体" w:cs="Segoe UI Symbol"/>
                <w:kern w:val="0"/>
                <w:szCs w:val="21"/>
              </w:rPr>
            </w:pPr>
            <w:r>
              <w:rPr>
                <w:rFonts w:hint="eastAsia"/>
              </w:rPr>
              <w:t>。</w:t>
            </w:r>
          </w:p>
        </w:tc>
      </w:tr>
    </w:tbl>
    <w:p>
      <w:pPr>
        <w:widowControl w:val="0"/>
        <w:autoSpaceDE w:val="0"/>
        <w:autoSpaceDN w:val="0"/>
        <w:adjustRightInd w:val="0"/>
        <w:snapToGrid w:val="0"/>
        <w:ind w:firstLine="420"/>
        <w:jc w:val="left"/>
        <w:rPr>
          <w:rFonts w:ascii="宋体" w:hAnsi="宋体"/>
        </w:rPr>
      </w:pPr>
    </w:p>
    <w:p>
      <w:pPr>
        <w:pStyle w:val="15"/>
        <w:ind w:firstLine="420"/>
        <w:rPr>
          <w:rFonts w:ascii="宋体" w:hAnsi="宋体"/>
        </w:rPr>
      </w:pPr>
    </w:p>
    <w:p>
      <w:pPr>
        <w:pStyle w:val="15"/>
        <w:ind w:firstLine="420"/>
        <w:rPr>
          <w:rFonts w:ascii="宋体" w:hAnsi="宋体"/>
        </w:rPr>
      </w:pPr>
    </w:p>
    <w:p>
      <w:pPr>
        <w:pStyle w:val="15"/>
        <w:ind w:firstLine="420"/>
        <w:rPr>
          <w:rFonts w:ascii="宋体" w:hAnsi="宋体"/>
        </w:rPr>
      </w:pPr>
    </w:p>
    <w:bookmarkEnd w:id="43"/>
    <w:tbl>
      <w:tblPr>
        <w:tblStyle w:val="49"/>
        <w:tblW w:w="88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1008"/>
        <w:gridCol w:w="2102"/>
        <w:gridCol w:w="5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shd w:val="clear" w:color="auto" w:fill="D9E2F3"/>
            <w:vAlign w:val="center"/>
          </w:tcPr>
          <w:p>
            <w:pPr>
              <w:widowControl w:val="0"/>
              <w:autoSpaceDE w:val="0"/>
              <w:autoSpaceDN w:val="0"/>
              <w:adjustRightInd w:val="0"/>
              <w:snapToGrid w:val="0"/>
              <w:ind w:firstLine="0" w:firstLineChars="0"/>
              <w:jc w:val="center"/>
              <w:rPr>
                <w:rFonts w:ascii="宋体" w:hAnsi="宋体"/>
                <w:sz w:val="32"/>
                <w:szCs w:val="32"/>
              </w:rPr>
            </w:pPr>
            <w:bookmarkStart w:id="44" w:name="_Hlk532140390"/>
            <w:bookmarkStart w:id="45" w:name="_Toc144974497"/>
            <w:bookmarkStart w:id="46" w:name="_Toc152045529"/>
            <w:bookmarkStart w:id="47" w:name="_Toc152042305"/>
            <w:r>
              <w:rPr>
                <w:rFonts w:hint="eastAsia" w:ascii="宋体" w:hAnsi="宋体"/>
                <w:b/>
                <w:sz w:val="32"/>
                <w:szCs w:val="32"/>
              </w:rPr>
              <w:t>投标人须知前附表（三）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02"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名称</w:t>
            </w:r>
          </w:p>
        </w:tc>
        <w:tc>
          <w:tcPr>
            <w:tcW w:w="5746"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08"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3.8.3</w:t>
            </w:r>
          </w:p>
        </w:tc>
        <w:tc>
          <w:tcPr>
            <w:tcW w:w="2102"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投标文件的</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编制</w:t>
            </w:r>
            <w:r>
              <w:rPr>
                <w:rFonts w:ascii="宋体" w:hAnsi="宋体"/>
                <w:szCs w:val="21"/>
              </w:rPr>
              <w:t>要求</w:t>
            </w:r>
          </w:p>
        </w:tc>
        <w:tc>
          <w:tcPr>
            <w:tcW w:w="5746" w:type="dxa"/>
            <w:shd w:val="clear" w:color="auto" w:fill="FFFFFF"/>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将投标文件按照招标文件的节点要求编制。因投标人原因导致错误、漏项、内容模糊的相应后果，由投标人自行承担。</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其他要求：</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ascii="宋体" w:hAnsi="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102"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投标文件的</w:t>
            </w:r>
          </w:p>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密封</w:t>
            </w:r>
          </w:p>
        </w:tc>
        <w:tc>
          <w:tcPr>
            <w:tcW w:w="5746" w:type="dxa"/>
            <w:shd w:val="clear" w:color="auto" w:fill="FFFFFF"/>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投标文件需密封袋装并加盖企业公章。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08"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4.2</w:t>
            </w:r>
            <w:r>
              <w:rPr>
                <w:rFonts w:ascii="宋体" w:hAnsi="宋体"/>
                <w:szCs w:val="21"/>
              </w:rPr>
              <w:t>.5</w:t>
            </w:r>
          </w:p>
        </w:tc>
        <w:tc>
          <w:tcPr>
            <w:tcW w:w="2102" w:type="dxa"/>
            <w:shd w:val="clear" w:color="auto" w:fill="FFFFFF"/>
            <w:vAlign w:val="center"/>
          </w:tcPr>
          <w:p>
            <w:pPr>
              <w:widowControl w:val="0"/>
              <w:autoSpaceDE w:val="0"/>
              <w:autoSpaceDN w:val="0"/>
              <w:adjustRightInd w:val="0"/>
              <w:snapToGrid w:val="0"/>
              <w:ind w:firstLine="0" w:firstLineChars="0"/>
              <w:rPr>
                <w:rFonts w:ascii="宋体" w:hAnsi="宋体"/>
                <w:szCs w:val="21"/>
              </w:rPr>
            </w:pPr>
            <w:r>
              <w:rPr>
                <w:rFonts w:ascii="宋体" w:hAnsi="宋体"/>
                <w:szCs w:val="21"/>
              </w:rPr>
              <w:t>投标文件递交的要求</w:t>
            </w:r>
          </w:p>
        </w:tc>
        <w:tc>
          <w:tcPr>
            <w:tcW w:w="5746" w:type="dxa"/>
            <w:shd w:val="clear" w:color="auto" w:fill="FFFFFF"/>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投标人应在投标截止时间前向招标人递交符合要求的投标文件。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tcBorders>
              <w:bottom w:val="single" w:color="000000" w:sz="4" w:space="0"/>
            </w:tcBorders>
            <w:shd w:val="clear" w:color="auto" w:fill="D9E2F3"/>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b/>
                <w:szCs w:val="21"/>
              </w:rPr>
              <w:t>需要</w:t>
            </w:r>
            <w:r>
              <w:rPr>
                <w:rFonts w:ascii="宋体" w:hAnsi="宋体"/>
                <w:b/>
                <w:szCs w:val="21"/>
              </w:rPr>
              <w:t>补充</w:t>
            </w:r>
            <w:r>
              <w:rPr>
                <w:rFonts w:hint="eastAsia" w:ascii="宋体" w:hAnsi="宋体"/>
                <w:b/>
                <w:szCs w:val="21"/>
              </w:rPr>
              <w:t>或修改的其他</w:t>
            </w:r>
            <w:r>
              <w:rPr>
                <w:rFonts w:ascii="宋体" w:hAnsi="宋体"/>
                <w:b/>
                <w:szCs w:val="21"/>
              </w:rPr>
              <w:t>内容</w:t>
            </w:r>
            <w:r>
              <w:rPr>
                <w:rFonts w:hint="eastAsia" w:ascii="宋体" w:hAnsi="宋体"/>
                <w:b/>
                <w:szCs w:val="21"/>
              </w:rPr>
              <w:t>（前后不一致的以此为准）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D9E2F3"/>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02" w:type="dxa"/>
            <w:shd w:val="clear" w:color="auto" w:fill="D9E2F3"/>
            <w:vAlign w:val="center"/>
          </w:tcPr>
          <w:p>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名称</w:t>
            </w:r>
          </w:p>
        </w:tc>
        <w:tc>
          <w:tcPr>
            <w:tcW w:w="5746" w:type="dxa"/>
            <w:shd w:val="clear" w:color="auto" w:fill="D9E2F3"/>
            <w:vAlign w:val="center"/>
          </w:tcPr>
          <w:p>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vMerge w:val="restart"/>
            <w:tcBorders>
              <w:right w:val="single" w:color="auto" w:sz="4" w:space="0"/>
            </w:tcBorders>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11.1</w:t>
            </w:r>
          </w:p>
        </w:tc>
        <w:tc>
          <w:tcPr>
            <w:tcW w:w="2102" w:type="dxa"/>
            <w:tcBorders>
              <w:left w:val="single" w:color="auto" w:sz="4" w:space="0"/>
              <w:bottom w:val="single" w:color="000000" w:sz="4" w:space="0"/>
            </w:tcBorders>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投标样品</w:t>
            </w:r>
          </w:p>
        </w:tc>
        <w:tc>
          <w:tcPr>
            <w:tcW w:w="5746" w:type="dxa"/>
            <w:tcBorders>
              <w:bottom w:val="single" w:color="000000" w:sz="4" w:space="0"/>
            </w:tcBorders>
            <w:shd w:val="clear" w:color="auto" w:fill="FFFFFF"/>
            <w:vAlign w:val="center"/>
          </w:tcPr>
          <w:p>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rPr>
              <w:t>□</w:t>
            </w:r>
            <w:r>
              <w:rPr>
                <w:rFonts w:hint="eastAsia" w:ascii="宋体" w:hAnsi="宋体"/>
                <w:szCs w:val="21"/>
              </w:rPr>
              <w:t>不要求递交投标样品</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☑递交投标样品，具体要求：</w:t>
            </w:r>
            <w:r>
              <w:rPr>
                <w:rFonts w:hint="eastAsia" w:ascii="宋体" w:hAnsi="宋体"/>
                <w:szCs w:val="21"/>
                <w:u w:val="single"/>
              </w:rPr>
              <w:t xml:space="preserve">  携带实物至开标现场 </w:t>
            </w:r>
            <w:r>
              <w:rPr>
                <w:rFonts w:ascii="宋体" w:hAnsi="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vMerge w:val="continue"/>
            <w:tcBorders>
              <w:right w:val="single" w:color="auto" w:sz="4" w:space="0"/>
            </w:tcBorders>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p>
        </w:tc>
        <w:tc>
          <w:tcPr>
            <w:tcW w:w="2102" w:type="dxa"/>
            <w:tcBorders>
              <w:left w:val="single" w:color="auto" w:sz="4" w:space="0"/>
              <w:bottom w:val="single" w:color="000000" w:sz="4" w:space="0"/>
            </w:tcBorders>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投标方案演示</w:t>
            </w:r>
          </w:p>
        </w:tc>
        <w:tc>
          <w:tcPr>
            <w:tcW w:w="5746" w:type="dxa"/>
            <w:tcBorders>
              <w:bottom w:val="single" w:color="000000" w:sz="4" w:space="0"/>
            </w:tcBorders>
            <w:shd w:val="clear" w:color="auto" w:fill="FFFFFF"/>
            <w:vAlign w:val="center"/>
          </w:tcPr>
          <w:p>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rPr>
              <w:t>☑</w:t>
            </w:r>
            <w:r>
              <w:rPr>
                <w:rFonts w:hint="eastAsia" w:ascii="宋体" w:hAnsi="宋体"/>
                <w:szCs w:val="21"/>
              </w:rPr>
              <w:t>不要求进行方案演示</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□要求进行方案演示，具体要求：</w:t>
            </w:r>
            <w:r>
              <w:rPr>
                <w:rFonts w:hint="eastAsia" w:ascii="宋体" w:hAnsi="宋体"/>
                <w:szCs w:val="21"/>
                <w:u w:val="single"/>
              </w:rPr>
              <w:t xml:space="preserve"> </w:t>
            </w:r>
            <w:r>
              <w:rPr>
                <w:rFonts w:ascii="宋体" w:hAnsi="宋体"/>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shd w:val="clear" w:color="auto" w:fill="D9E2F3"/>
            <w:vAlign w:val="center"/>
          </w:tcPr>
          <w:p>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投标文件的编制内容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008"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w:t>
            </w:r>
            <w:r>
              <w:rPr>
                <w:rFonts w:ascii="宋体" w:hAnsi="宋体"/>
                <w:b/>
                <w:szCs w:val="21"/>
              </w:rPr>
              <w:t>号</w:t>
            </w:r>
          </w:p>
        </w:tc>
        <w:tc>
          <w:tcPr>
            <w:tcW w:w="2102"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内容</w:t>
            </w:r>
          </w:p>
        </w:tc>
        <w:tc>
          <w:tcPr>
            <w:tcW w:w="5746" w:type="dxa"/>
            <w:shd w:val="clear" w:color="auto" w:fill="auto"/>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1008" w:type="dxa"/>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3.1.1</w:t>
            </w:r>
          </w:p>
        </w:tc>
        <w:tc>
          <w:tcPr>
            <w:tcW w:w="2102" w:type="dxa"/>
            <w:tcBorders>
              <w:bottom w:val="single" w:color="auto" w:sz="4" w:space="0"/>
            </w:tcBorders>
            <w:shd w:val="clear" w:color="auto" w:fill="FFFFFF"/>
            <w:vAlign w:val="center"/>
          </w:tcPr>
          <w:p>
            <w:pPr>
              <w:widowControl w:val="0"/>
              <w:autoSpaceDE w:val="0"/>
              <w:autoSpaceDN w:val="0"/>
              <w:adjustRightInd w:val="0"/>
              <w:snapToGrid w:val="0"/>
              <w:ind w:firstLine="0" w:firstLineChars="0"/>
              <w:jc w:val="center"/>
              <w:rPr>
                <w:rFonts w:ascii="宋体" w:hAnsi="宋体"/>
                <w:szCs w:val="21"/>
              </w:rPr>
            </w:pPr>
            <w:r>
              <w:rPr>
                <w:rFonts w:hint="eastAsia" w:ascii="宋体" w:hAnsi="宋体" w:cs="Courier New"/>
                <w:kern w:val="0"/>
                <w:szCs w:val="21"/>
              </w:rPr>
              <w:t>投标文件组成</w:t>
            </w:r>
          </w:p>
        </w:tc>
        <w:tc>
          <w:tcPr>
            <w:tcW w:w="5746" w:type="dxa"/>
            <w:shd w:val="clear" w:color="auto" w:fill="FFFFFF"/>
            <w:vAlign w:val="center"/>
          </w:tcPr>
          <w:p>
            <w:pPr>
              <w:widowControl w:val="0"/>
              <w:autoSpaceDE w:val="0"/>
              <w:autoSpaceDN w:val="0"/>
              <w:adjustRightInd w:val="0"/>
              <w:snapToGrid w:val="0"/>
              <w:ind w:firstLine="0" w:firstLineChars="0"/>
              <w:jc w:val="left"/>
              <w:rPr>
                <w:rFonts w:ascii="宋体" w:hAnsi="宋体" w:cs="Courier New"/>
                <w:b/>
                <w:kern w:val="0"/>
                <w:szCs w:val="21"/>
              </w:rPr>
            </w:pPr>
            <w:r>
              <w:rPr>
                <w:rFonts w:hint="eastAsia" w:ascii="宋体" w:hAnsi="宋体" w:cs="Courier New"/>
                <w:kern w:val="0"/>
                <w:szCs w:val="21"/>
              </w:rPr>
              <w:t>投标文件包含以下组成部分</w:t>
            </w:r>
            <w:r>
              <w:rPr>
                <w:rFonts w:hint="eastAsia" w:ascii="宋体" w:hAnsi="宋体" w:cs="Courier New"/>
                <w:b/>
                <w:kern w:val="0"/>
                <w:szCs w:val="21"/>
              </w:rPr>
              <w:t>：</w:t>
            </w:r>
          </w:p>
          <w:p>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☑资格审查文件</w:t>
            </w:r>
          </w:p>
          <w:p>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☑商务标部分</w:t>
            </w:r>
          </w:p>
          <w:p>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☑技术标部分</w:t>
            </w:r>
          </w:p>
          <w:p>
            <w:pPr>
              <w:widowControl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Courier New"/>
                <w:kern w:val="0"/>
                <w:szCs w:val="21"/>
              </w:rPr>
              <w:t>☑价格标部分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856" w:type="dxa"/>
            <w:gridSpan w:val="3"/>
            <w:shd w:val="clear" w:color="auto" w:fill="FFFFFF"/>
            <w:vAlign w:val="center"/>
          </w:tcPr>
          <w:p>
            <w:pPr>
              <w:widowControl w:val="0"/>
              <w:autoSpaceDE w:val="0"/>
              <w:autoSpaceDN w:val="0"/>
              <w:adjustRightInd w:val="0"/>
              <w:snapToGrid w:val="0"/>
              <w:ind w:firstLine="0" w:firstLineChars="0"/>
              <w:jc w:val="left"/>
              <w:rPr>
                <w:rFonts w:ascii="宋体" w:hAnsi="宋体"/>
                <w:b/>
                <w:bCs/>
                <w:snapToGrid w:val="0"/>
                <w:kern w:val="0"/>
                <w:szCs w:val="21"/>
              </w:rPr>
            </w:pPr>
            <w:r>
              <w:rPr>
                <w:rFonts w:hint="eastAsia" w:ascii="宋体" w:hAnsi="宋体"/>
                <w:b/>
                <w:bCs/>
                <w:snapToGrid w:val="0"/>
                <w:kern w:val="0"/>
                <w:szCs w:val="21"/>
              </w:rPr>
              <w:t>备注：</w:t>
            </w:r>
          </w:p>
          <w:p>
            <w:pPr>
              <w:widowControl w:val="0"/>
              <w:autoSpaceDE w:val="0"/>
              <w:autoSpaceDN w:val="0"/>
              <w:adjustRightInd w:val="0"/>
              <w:snapToGrid w:val="0"/>
              <w:ind w:firstLine="0" w:firstLineChars="0"/>
              <w:jc w:val="left"/>
              <w:rPr>
                <w:rFonts w:ascii="宋体" w:hAnsi="宋体"/>
                <w:bCs/>
                <w:snapToGrid w:val="0"/>
                <w:kern w:val="0"/>
                <w:szCs w:val="21"/>
              </w:rPr>
            </w:pPr>
            <w:r>
              <w:rPr>
                <w:rFonts w:hint="eastAsia" w:ascii="宋体" w:hAnsi="宋体"/>
                <w:bCs/>
                <w:snapToGrid w:val="0"/>
                <w:kern w:val="0"/>
                <w:szCs w:val="21"/>
              </w:rPr>
              <w:t>本表如出现前后不一的缺漏情况，以招标文件中列明较多的为准，如出现名称不一致的情况以投标文件格式的名称为准。</w:t>
            </w:r>
          </w:p>
        </w:tc>
      </w:tr>
    </w:tbl>
    <w:p>
      <w:pPr>
        <w:widowControl w:val="0"/>
        <w:autoSpaceDE w:val="0"/>
        <w:autoSpaceDN w:val="0"/>
        <w:adjustRightInd w:val="0"/>
        <w:snapToGrid w:val="0"/>
        <w:ind w:firstLine="0" w:firstLineChars="0"/>
        <w:jc w:val="left"/>
        <w:rPr>
          <w:rFonts w:ascii="宋体" w:hAnsi="宋体"/>
        </w:rPr>
      </w:pPr>
    </w:p>
    <w:p>
      <w:pPr>
        <w:widowControl w:val="0"/>
        <w:autoSpaceDE w:val="0"/>
        <w:autoSpaceDN w:val="0"/>
        <w:adjustRightInd w:val="0"/>
        <w:snapToGrid w:val="0"/>
        <w:ind w:firstLine="0" w:firstLineChars="0"/>
        <w:jc w:val="left"/>
        <w:rPr>
          <w:rFonts w:ascii="宋体" w:hAnsi="宋体"/>
          <w:b/>
          <w:sz w:val="32"/>
          <w:szCs w:val="32"/>
        </w:rPr>
      </w:pPr>
      <w:r>
        <w:rPr>
          <w:rFonts w:ascii="宋体" w:hAnsi="宋体"/>
          <w:sz w:val="28"/>
        </w:rPr>
        <w:br w:type="page"/>
      </w:r>
    </w:p>
    <w:p>
      <w:pPr>
        <w:widowControl w:val="0"/>
        <w:autoSpaceDE w:val="0"/>
        <w:autoSpaceDN w:val="0"/>
        <w:adjustRightInd w:val="0"/>
        <w:snapToGrid w:val="0"/>
        <w:ind w:firstLine="0" w:firstLineChars="0"/>
        <w:jc w:val="center"/>
        <w:outlineLvl w:val="1"/>
        <w:rPr>
          <w:rFonts w:ascii="宋体" w:hAnsi="宋体"/>
          <w:sz w:val="28"/>
        </w:rPr>
      </w:pPr>
      <w:bookmarkStart w:id="48" w:name="_Toc49247155"/>
      <w:r>
        <w:rPr>
          <w:rFonts w:hint="eastAsia" w:ascii="宋体" w:hAnsi="宋体"/>
          <w:b/>
          <w:sz w:val="32"/>
          <w:szCs w:val="32"/>
        </w:rPr>
        <w:t>第二节 否决性条款摘要</w:t>
      </w:r>
      <w:bookmarkEnd w:id="48"/>
    </w:p>
    <w:p>
      <w:pPr>
        <w:widowControl w:val="0"/>
        <w:autoSpaceDE w:val="0"/>
        <w:autoSpaceDN w:val="0"/>
        <w:adjustRightInd w:val="0"/>
        <w:snapToGrid w:val="0"/>
        <w:ind w:firstLine="0" w:firstLineChars="0"/>
        <w:jc w:val="left"/>
        <w:rPr>
          <w:rFonts w:ascii="宋体" w:hAnsi="宋体"/>
          <w:bCs/>
          <w:szCs w:val="21"/>
        </w:rPr>
      </w:pPr>
      <w:r>
        <w:rPr>
          <w:rFonts w:hint="eastAsia" w:ascii="宋体" w:hAnsi="宋体"/>
          <w:b/>
          <w:bCs/>
          <w:szCs w:val="21"/>
        </w:rPr>
        <w:t>提示投标人和评标小组</w:t>
      </w:r>
      <w:r>
        <w:rPr>
          <w:rFonts w:hint="eastAsia" w:ascii="宋体" w:hAnsi="宋体"/>
          <w:bCs/>
          <w:szCs w:val="21"/>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p>
      <w:pPr>
        <w:widowControl w:val="0"/>
        <w:autoSpaceDE w:val="0"/>
        <w:autoSpaceDN w:val="0"/>
        <w:adjustRightInd w:val="0"/>
        <w:snapToGrid w:val="0"/>
        <w:ind w:firstLine="0" w:firstLineChars="0"/>
        <w:jc w:val="left"/>
        <w:rPr>
          <w:rFonts w:ascii="宋体" w:hAnsi="宋体"/>
          <w:b/>
          <w:bCs/>
          <w:sz w:val="24"/>
          <w:szCs w:val="21"/>
        </w:rPr>
      </w:pPr>
    </w:p>
    <w:bookmarkEnd w:id="44"/>
    <w:p>
      <w:pPr>
        <w:pStyle w:val="263"/>
        <w:widowControl w:val="0"/>
        <w:numPr>
          <w:ilvl w:val="0"/>
          <w:numId w:val="3"/>
        </w:numPr>
        <w:autoSpaceDE w:val="0"/>
        <w:autoSpaceDN w:val="0"/>
        <w:adjustRightInd w:val="0"/>
        <w:snapToGrid w:val="0"/>
        <w:ind w:firstLineChars="0"/>
        <w:jc w:val="left"/>
        <w:rPr>
          <w:rFonts w:ascii="宋体" w:hAnsi="宋体"/>
          <w:b/>
          <w:bCs/>
          <w:szCs w:val="21"/>
        </w:rPr>
      </w:pPr>
      <w:r>
        <w:rPr>
          <w:rFonts w:hint="eastAsia" w:ascii="宋体" w:hAnsi="宋体"/>
          <w:b/>
          <w:szCs w:val="21"/>
        </w:rPr>
        <w:t>投标文件有下列情形之一的，其投标将不予受理的情形（由招标人负责判定）：</w:t>
      </w:r>
    </w:p>
    <w:p>
      <w:pPr>
        <w:pStyle w:val="263"/>
        <w:widowControl w:val="0"/>
        <w:numPr>
          <w:ilvl w:val="1"/>
          <w:numId w:val="3"/>
        </w:numPr>
        <w:autoSpaceDE w:val="0"/>
        <w:autoSpaceDN w:val="0"/>
        <w:adjustRightInd w:val="0"/>
        <w:snapToGrid w:val="0"/>
        <w:ind w:firstLineChars="0"/>
        <w:jc w:val="left"/>
        <w:rPr>
          <w:rFonts w:ascii="宋体" w:hAnsi="宋体"/>
        </w:rPr>
      </w:pPr>
      <w:bookmarkStart w:id="49" w:name="_Toc246144208"/>
      <w:bookmarkStart w:id="50" w:name="_Toc246133765"/>
      <w:bookmarkStart w:id="51" w:name="_Toc246221337"/>
      <w:r>
        <w:rPr>
          <w:rFonts w:hint="eastAsia" w:ascii="宋体" w:hAnsi="宋体"/>
        </w:rPr>
        <w:t>在投标人须知前附表规定的投标截止时间以后逾期送达的或者未送达指定地点的投标文件；</w:t>
      </w:r>
    </w:p>
    <w:p>
      <w:pPr>
        <w:pStyle w:val="263"/>
        <w:widowControl w:val="0"/>
        <w:numPr>
          <w:ilvl w:val="1"/>
          <w:numId w:val="3"/>
        </w:numPr>
        <w:autoSpaceDE w:val="0"/>
        <w:autoSpaceDN w:val="0"/>
        <w:adjustRightInd w:val="0"/>
        <w:snapToGrid w:val="0"/>
        <w:ind w:firstLineChars="0"/>
        <w:jc w:val="left"/>
        <w:rPr>
          <w:rFonts w:ascii="宋体" w:hAnsi="宋体"/>
        </w:rPr>
      </w:pPr>
      <w:r>
        <w:rPr>
          <w:rFonts w:hint="eastAsia" w:ascii="宋体" w:hAnsi="宋体"/>
        </w:rPr>
        <w:t>投标人提交的投标文件无法读取，导致无法正常开标的；</w:t>
      </w:r>
    </w:p>
    <w:p>
      <w:pPr>
        <w:pStyle w:val="263"/>
        <w:widowControl w:val="0"/>
        <w:numPr>
          <w:ilvl w:val="1"/>
          <w:numId w:val="3"/>
        </w:numPr>
        <w:autoSpaceDE w:val="0"/>
        <w:autoSpaceDN w:val="0"/>
        <w:adjustRightInd w:val="0"/>
        <w:snapToGrid w:val="0"/>
        <w:ind w:firstLineChars="0"/>
        <w:jc w:val="left"/>
        <w:rPr>
          <w:rFonts w:ascii="宋体" w:hAnsi="宋体"/>
        </w:rPr>
      </w:pPr>
      <w:r>
        <w:rPr>
          <w:rFonts w:hint="eastAsia" w:ascii="宋体" w:hAnsi="宋体"/>
        </w:rPr>
        <w:t>投标人名称和购买（获取）文件时登记不一致的。</w:t>
      </w:r>
    </w:p>
    <w:p>
      <w:pPr>
        <w:widowControl w:val="0"/>
        <w:autoSpaceDE w:val="0"/>
        <w:autoSpaceDN w:val="0"/>
        <w:adjustRightInd w:val="0"/>
        <w:snapToGrid w:val="0"/>
        <w:ind w:firstLine="0" w:firstLineChars="0"/>
        <w:jc w:val="left"/>
        <w:rPr>
          <w:rFonts w:ascii="宋体" w:hAnsi="宋体"/>
        </w:rPr>
      </w:pPr>
    </w:p>
    <w:p>
      <w:pPr>
        <w:pStyle w:val="263"/>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围标、串标与废标的判定与处理</w:t>
      </w:r>
      <w:bookmarkEnd w:id="49"/>
      <w:bookmarkEnd w:id="50"/>
      <w:bookmarkEnd w:id="51"/>
      <w:r>
        <w:rPr>
          <w:rFonts w:hint="eastAsia" w:ascii="宋体" w:hAnsi="宋体"/>
          <w:b/>
          <w:szCs w:val="21"/>
        </w:rPr>
        <w:t>（初步评审由评标委员会负责判定）</w:t>
      </w:r>
    </w:p>
    <w:p>
      <w:pPr>
        <w:pStyle w:val="263"/>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围标、串标的判定与处理</w:t>
      </w:r>
    </w:p>
    <w:p>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有下列情形之一的，经评标小组遵循少数服从多数的原则集体表决认定后，按围标、串标行为对待，除按废标处理外，招标人将提请有关主管部门或者有关行政管理部门根据情况依法做出处罚：</w:t>
      </w:r>
    </w:p>
    <w:p>
      <w:pPr>
        <w:pStyle w:val="263"/>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不同投标人委托同一单位或者个人办理投标事宜；</w:t>
      </w:r>
    </w:p>
    <w:p>
      <w:pPr>
        <w:pStyle w:val="263"/>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不同投标人的投标文件载明的项目管理成员为同一人；</w:t>
      </w:r>
    </w:p>
    <w:p>
      <w:pPr>
        <w:pStyle w:val="263"/>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不同投标人的投标文件异常一致；</w:t>
      </w:r>
    </w:p>
    <w:p>
      <w:pPr>
        <w:pStyle w:val="263"/>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不同投标人的投标文件相互混装；</w:t>
      </w:r>
    </w:p>
    <w:p>
      <w:pPr>
        <w:pStyle w:val="263"/>
        <w:widowControl w:val="0"/>
        <w:numPr>
          <w:ilvl w:val="2"/>
          <w:numId w:val="3"/>
        </w:numPr>
        <w:autoSpaceDE w:val="0"/>
        <w:autoSpaceDN w:val="0"/>
        <w:adjustRightInd w:val="0"/>
        <w:snapToGrid w:val="0"/>
        <w:ind w:firstLineChars="0"/>
        <w:jc w:val="left"/>
        <w:rPr>
          <w:rFonts w:ascii="宋体" w:hAnsi="宋体"/>
        </w:rPr>
      </w:pPr>
      <w:r>
        <w:rPr>
          <w:rFonts w:ascii="宋体" w:hAnsi="宋体"/>
        </w:rPr>
        <w:t>投标人以他人名义投标，串通投标，以行贿手段谋取中标或者以其他弄虚作假方式投标</w:t>
      </w:r>
      <w:r>
        <w:rPr>
          <w:rFonts w:hint="eastAsia" w:ascii="宋体" w:hAnsi="宋体"/>
        </w:rPr>
        <w:t>。</w:t>
      </w:r>
    </w:p>
    <w:p>
      <w:pPr>
        <w:pStyle w:val="263"/>
        <w:widowControl w:val="0"/>
        <w:numPr>
          <w:ilvl w:val="1"/>
          <w:numId w:val="3"/>
        </w:numPr>
        <w:autoSpaceDE w:val="0"/>
        <w:autoSpaceDN w:val="0"/>
        <w:adjustRightInd w:val="0"/>
        <w:snapToGrid w:val="0"/>
        <w:ind w:firstLineChars="0"/>
        <w:jc w:val="left"/>
        <w:rPr>
          <w:rFonts w:ascii="宋体" w:hAnsi="宋体"/>
          <w:b/>
          <w:szCs w:val="21"/>
        </w:rPr>
      </w:pPr>
      <w:r>
        <w:rPr>
          <w:rFonts w:hint="eastAsia" w:ascii="宋体" w:hAnsi="宋体"/>
          <w:b/>
          <w:szCs w:val="21"/>
        </w:rPr>
        <w:t>废标的判定与处理</w:t>
      </w:r>
    </w:p>
    <w:p>
      <w:pPr>
        <w:widowControl w:val="0"/>
        <w:autoSpaceDE w:val="0"/>
        <w:autoSpaceDN w:val="0"/>
        <w:adjustRightInd w:val="0"/>
        <w:snapToGrid w:val="0"/>
        <w:ind w:firstLine="0" w:firstLineChars="0"/>
        <w:jc w:val="left"/>
        <w:rPr>
          <w:rFonts w:ascii="宋体" w:hAnsi="宋体"/>
        </w:rPr>
      </w:pPr>
      <w:r>
        <w:rPr>
          <w:rFonts w:hint="eastAsia" w:ascii="宋体" w:hAnsi="宋体"/>
        </w:rPr>
        <w:t>有下列情形之一的，经评标小组遵循少数服从多数的原则集体表决认定后，按废标处理让该投标文件退出评标程序。</w:t>
      </w:r>
    </w:p>
    <w:p>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投标报价超出招标控制价或最高限价的或按第一章第三节3.2条规定的调整方法确定的调整后价格超出最高限价的；</w:t>
      </w:r>
    </w:p>
    <w:p>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ascii="宋体" w:hAnsi="宋体"/>
          <w:snapToGrid w:val="0"/>
          <w:kern w:val="0"/>
        </w:rPr>
        <w:t>投标人资格条件不符合国家</w:t>
      </w:r>
      <w:r>
        <w:rPr>
          <w:rFonts w:hint="eastAsia" w:ascii="宋体" w:hAnsi="宋体"/>
          <w:snapToGrid w:val="0"/>
          <w:kern w:val="0"/>
        </w:rPr>
        <w:t>有关</w:t>
      </w:r>
      <w:r>
        <w:rPr>
          <w:rFonts w:ascii="宋体" w:hAnsi="宋体"/>
          <w:snapToGrid w:val="0"/>
          <w:kern w:val="0"/>
        </w:rPr>
        <w:t>规定和招标文件要求的</w:t>
      </w:r>
      <w:r>
        <w:rPr>
          <w:rFonts w:hint="eastAsia" w:ascii="宋体" w:hAnsi="宋体"/>
          <w:snapToGrid w:val="0"/>
          <w:kern w:val="0"/>
        </w:rPr>
        <w:t>；</w:t>
      </w:r>
    </w:p>
    <w:p>
      <w:pPr>
        <w:pStyle w:val="263"/>
        <w:widowControl w:val="0"/>
        <w:numPr>
          <w:ilvl w:val="2"/>
          <w:numId w:val="3"/>
        </w:numPr>
        <w:autoSpaceDE w:val="0"/>
        <w:autoSpaceDN w:val="0"/>
        <w:adjustRightInd w:val="0"/>
        <w:snapToGrid w:val="0"/>
        <w:ind w:firstLineChars="0"/>
        <w:jc w:val="left"/>
        <w:rPr>
          <w:rFonts w:ascii="宋体" w:hAnsi="宋体"/>
        </w:rPr>
      </w:pPr>
      <w:r>
        <w:rPr>
          <w:rFonts w:ascii="宋体" w:hAnsi="宋体"/>
        </w:rPr>
        <w:t>投标人递交两份或多份内容不同的投标文件，或在一份投标文件中，有两个或多个报价且</w:t>
      </w:r>
      <w:r>
        <w:rPr>
          <w:rFonts w:hint="eastAsia" w:ascii="宋体" w:hAnsi="宋体"/>
        </w:rPr>
        <w:t>根据招标文件评定标办法规定的修正原则无法确定</w:t>
      </w:r>
      <w:r>
        <w:rPr>
          <w:rFonts w:ascii="宋体" w:hAnsi="宋体"/>
        </w:rPr>
        <w:t>哪一个有效的</w:t>
      </w:r>
      <w:r>
        <w:rPr>
          <w:rFonts w:hint="eastAsia" w:ascii="宋体" w:hAnsi="宋体"/>
        </w:rPr>
        <w:t>。</w:t>
      </w:r>
      <w:r>
        <w:rPr>
          <w:rFonts w:ascii="宋体" w:hAnsi="宋体"/>
        </w:rPr>
        <w:t>按招标文件规定提供可选择性方案报价的除外；</w:t>
      </w:r>
    </w:p>
    <w:p>
      <w:pPr>
        <w:pStyle w:val="263"/>
        <w:widowControl w:val="0"/>
        <w:numPr>
          <w:ilvl w:val="2"/>
          <w:numId w:val="3"/>
        </w:numPr>
        <w:autoSpaceDE w:val="0"/>
        <w:autoSpaceDN w:val="0"/>
        <w:adjustRightInd w:val="0"/>
        <w:snapToGrid w:val="0"/>
        <w:ind w:firstLineChars="0"/>
        <w:jc w:val="left"/>
        <w:rPr>
          <w:rFonts w:ascii="宋体" w:hAnsi="宋体"/>
        </w:rPr>
      </w:pPr>
      <w:r>
        <w:rPr>
          <w:rFonts w:ascii="宋体" w:hAnsi="宋体"/>
        </w:rPr>
        <w:t>对招标文件提出的实质性要求和条件未作出响应的</w:t>
      </w:r>
      <w:r>
        <w:rPr>
          <w:rFonts w:hint="eastAsia" w:ascii="宋体" w:hAnsi="宋体"/>
        </w:rPr>
        <w:t>或不满足的，对招标文件实质性条款为招标文件中所有标注“★”号的条款以及初步评审表要求的内容未作出响应的或不满足的</w:t>
      </w:r>
      <w:r>
        <w:rPr>
          <w:rFonts w:ascii="宋体" w:hAnsi="宋体"/>
        </w:rPr>
        <w:t xml:space="preserve">； </w:t>
      </w:r>
    </w:p>
    <w:p>
      <w:pPr>
        <w:pStyle w:val="263"/>
        <w:widowControl w:val="0"/>
        <w:numPr>
          <w:ilvl w:val="2"/>
          <w:numId w:val="3"/>
        </w:numPr>
        <w:autoSpaceDE w:val="0"/>
        <w:autoSpaceDN w:val="0"/>
        <w:adjustRightInd w:val="0"/>
        <w:snapToGrid w:val="0"/>
        <w:ind w:firstLineChars="0"/>
        <w:jc w:val="left"/>
        <w:rPr>
          <w:rFonts w:ascii="宋体" w:hAnsi="宋体"/>
        </w:rPr>
      </w:pPr>
      <w:r>
        <w:rPr>
          <w:rFonts w:ascii="宋体" w:hAnsi="宋体"/>
        </w:rPr>
        <w:t>投标人未能按照评标委员会要求，对其投标文件进行澄清、说明和补正的</w:t>
      </w:r>
      <w:r>
        <w:rPr>
          <w:rFonts w:hint="eastAsia" w:ascii="宋体" w:hAnsi="宋体"/>
        </w:rPr>
        <w:t>，或投标人不接受根据招标文件规定对投标报价进行算术修正的；</w:t>
      </w:r>
    </w:p>
    <w:p>
      <w:pPr>
        <w:pStyle w:val="263"/>
        <w:widowControl w:val="0"/>
        <w:numPr>
          <w:ilvl w:val="2"/>
          <w:numId w:val="3"/>
        </w:numPr>
        <w:autoSpaceDE w:val="0"/>
        <w:autoSpaceDN w:val="0"/>
        <w:adjustRightInd w:val="0"/>
        <w:snapToGrid w:val="0"/>
        <w:ind w:firstLineChars="0"/>
        <w:jc w:val="left"/>
        <w:rPr>
          <w:rFonts w:ascii="宋体" w:hAnsi="宋体"/>
        </w:rPr>
      </w:pPr>
      <w:r>
        <w:rPr>
          <w:rFonts w:hint="eastAsia" w:ascii="宋体" w:hAnsi="宋体"/>
        </w:rPr>
        <w:t>单位负责人为同一人或者存在控股、管理关系的不同单位，参加同一标段投标或者未划分标段的同一招标项目投标；</w:t>
      </w:r>
    </w:p>
    <w:p>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pPr>
        <w:pStyle w:val="263"/>
        <w:widowControl w:val="0"/>
        <w:numPr>
          <w:ilvl w:val="2"/>
          <w:numId w:val="3"/>
        </w:numPr>
        <w:autoSpaceDE w:val="0"/>
        <w:autoSpaceDN w:val="0"/>
        <w:adjustRightInd w:val="0"/>
        <w:snapToGrid w:val="0"/>
        <w:ind w:firstLineChars="0"/>
        <w:jc w:val="left"/>
        <w:rPr>
          <w:rFonts w:ascii="宋体" w:hAnsi="宋体"/>
          <w:snapToGrid w:val="0"/>
          <w:kern w:val="0"/>
        </w:rPr>
      </w:pPr>
      <w:r>
        <w:rPr>
          <w:rFonts w:hint="eastAsia" w:ascii="宋体" w:hAnsi="宋体"/>
        </w:rPr>
        <w:t>符合法律法规或主管部门规范性文件规定废标情形的。</w:t>
      </w:r>
    </w:p>
    <w:p>
      <w:pPr>
        <w:widowControl w:val="0"/>
        <w:autoSpaceDE w:val="0"/>
        <w:autoSpaceDN w:val="0"/>
        <w:adjustRightInd w:val="0"/>
        <w:snapToGrid w:val="0"/>
        <w:ind w:firstLine="0" w:firstLineChars="0"/>
        <w:jc w:val="left"/>
        <w:rPr>
          <w:rFonts w:ascii="宋体" w:hAnsi="宋体"/>
        </w:rPr>
      </w:pPr>
      <w:r>
        <w:rPr>
          <w:rFonts w:hint="eastAsia" w:ascii="宋体" w:hAnsi="宋体"/>
          <w:b/>
        </w:rPr>
        <w:t>注：</w:t>
      </w:r>
      <w:r>
        <w:rPr>
          <w:rFonts w:hint="eastAsia" w:ascii="宋体" w:hAnsi="宋体"/>
        </w:rPr>
        <w:t>招标人对上述内容有修改或补充的，以下述条款为准。</w:t>
      </w:r>
    </w:p>
    <w:p>
      <w:pPr>
        <w:widowControl w:val="0"/>
        <w:autoSpaceDE w:val="0"/>
        <w:autoSpaceDN w:val="0"/>
        <w:adjustRightInd w:val="0"/>
        <w:snapToGrid w:val="0"/>
        <w:ind w:firstLine="0" w:firstLineChars="0"/>
        <w:jc w:val="left"/>
        <w:rPr>
          <w:rFonts w:ascii="宋体" w:hAnsi="宋体"/>
        </w:rPr>
      </w:pPr>
    </w:p>
    <w:p>
      <w:pPr>
        <w:pStyle w:val="263"/>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招标人修改或补充的投标文件不予受理的情形：</w:t>
      </w:r>
      <w:r>
        <w:rPr>
          <w:rFonts w:hint="eastAsia" w:ascii="宋体" w:hAnsi="宋体"/>
          <w:b/>
          <w:szCs w:val="21"/>
          <w:u w:val="single"/>
        </w:rPr>
        <w:t xml:space="preserve"> </w:t>
      </w:r>
      <w:r>
        <w:rPr>
          <w:rFonts w:ascii="宋体" w:hAnsi="宋体"/>
          <w:b/>
          <w:szCs w:val="21"/>
          <w:u w:val="single"/>
        </w:rPr>
        <w:t xml:space="preserve">                                    </w:t>
      </w:r>
    </w:p>
    <w:p>
      <w:pPr>
        <w:widowControl w:val="0"/>
        <w:autoSpaceDE w:val="0"/>
        <w:autoSpaceDN w:val="0"/>
        <w:adjustRightInd w:val="0"/>
        <w:snapToGrid w:val="0"/>
        <w:ind w:firstLine="0" w:firstLineChars="0"/>
        <w:jc w:val="left"/>
        <w:rPr>
          <w:rFonts w:ascii="宋体" w:hAnsi="宋体"/>
          <w:b/>
          <w:szCs w:val="21"/>
        </w:rPr>
      </w:pPr>
    </w:p>
    <w:p>
      <w:pPr>
        <w:pStyle w:val="263"/>
        <w:widowControl w:val="0"/>
        <w:numPr>
          <w:ilvl w:val="0"/>
          <w:numId w:val="3"/>
        </w:numPr>
        <w:autoSpaceDE w:val="0"/>
        <w:autoSpaceDN w:val="0"/>
        <w:adjustRightInd w:val="0"/>
        <w:snapToGrid w:val="0"/>
        <w:ind w:firstLineChars="0"/>
        <w:jc w:val="left"/>
        <w:rPr>
          <w:rFonts w:ascii="宋体" w:hAnsi="宋体"/>
          <w:b/>
          <w:szCs w:val="21"/>
        </w:rPr>
      </w:pPr>
      <w:r>
        <w:rPr>
          <w:rFonts w:hint="eastAsia" w:ascii="宋体" w:hAnsi="宋体"/>
          <w:b/>
          <w:szCs w:val="21"/>
        </w:rPr>
        <w:t>招标人修改或补充的废标情形：</w:t>
      </w:r>
      <w:r>
        <w:rPr>
          <w:rFonts w:hint="eastAsia" w:ascii="宋体" w:hAnsi="宋体"/>
          <w:b/>
          <w:szCs w:val="21"/>
          <w:u w:val="single"/>
        </w:rPr>
        <w:t xml:space="preserve"> </w:t>
      </w:r>
      <w:r>
        <w:rPr>
          <w:rFonts w:ascii="宋体" w:hAnsi="宋体"/>
          <w:b/>
          <w:szCs w:val="21"/>
          <w:u w:val="single"/>
        </w:rPr>
        <w:t xml:space="preserve">                                    </w:t>
      </w:r>
    </w:p>
    <w:p>
      <w:pPr>
        <w:widowControl w:val="0"/>
        <w:autoSpaceDE w:val="0"/>
        <w:autoSpaceDN w:val="0"/>
        <w:adjustRightInd w:val="0"/>
        <w:snapToGrid w:val="0"/>
        <w:ind w:firstLine="0" w:firstLineChars="0"/>
        <w:jc w:val="center"/>
        <w:outlineLvl w:val="1"/>
        <w:rPr>
          <w:rFonts w:ascii="宋体" w:hAnsi="宋体"/>
          <w:b/>
          <w:bCs/>
          <w:sz w:val="28"/>
          <w:szCs w:val="32"/>
        </w:rPr>
      </w:pPr>
      <w:r>
        <w:rPr>
          <w:rFonts w:ascii="宋体" w:hAnsi="宋体"/>
          <w:b/>
          <w:sz w:val="32"/>
          <w:szCs w:val="32"/>
        </w:rPr>
        <w:br w:type="page"/>
      </w:r>
      <w:bookmarkStart w:id="52" w:name="_Toc49247156"/>
      <w:r>
        <w:rPr>
          <w:rFonts w:hint="eastAsia" w:ascii="宋体" w:hAnsi="宋体"/>
          <w:b/>
          <w:sz w:val="32"/>
          <w:szCs w:val="32"/>
        </w:rPr>
        <w:t>第三节 总则</w:t>
      </w:r>
      <w:bookmarkEnd w:id="45"/>
      <w:bookmarkEnd w:id="46"/>
      <w:bookmarkEnd w:id="47"/>
      <w:bookmarkEnd w:id="52"/>
    </w:p>
    <w:p>
      <w:pPr>
        <w:pStyle w:val="263"/>
        <w:widowControl w:val="0"/>
        <w:numPr>
          <w:ilvl w:val="0"/>
          <w:numId w:val="4"/>
        </w:numPr>
        <w:autoSpaceDE w:val="0"/>
        <w:autoSpaceDN w:val="0"/>
        <w:adjustRightInd w:val="0"/>
        <w:snapToGrid w:val="0"/>
        <w:ind w:firstLineChars="0"/>
        <w:jc w:val="left"/>
        <w:rPr>
          <w:rFonts w:ascii="宋体" w:hAnsi="宋体"/>
          <w:b/>
          <w:szCs w:val="21"/>
        </w:rPr>
      </w:pPr>
      <w:bookmarkStart w:id="53" w:name="_Hlk532141677"/>
      <w:r>
        <w:rPr>
          <w:rFonts w:hint="eastAsia" w:ascii="宋体" w:hAnsi="宋体"/>
          <w:b/>
          <w:szCs w:val="21"/>
        </w:rPr>
        <w:t>说明</w:t>
      </w:r>
    </w:p>
    <w:p>
      <w:pPr>
        <w:pStyle w:val="263"/>
        <w:widowControl w:val="0"/>
        <w:numPr>
          <w:ilvl w:val="2"/>
          <w:numId w:val="4"/>
        </w:numPr>
        <w:autoSpaceDE w:val="0"/>
        <w:autoSpaceDN w:val="0"/>
        <w:adjustRightInd w:val="0"/>
        <w:snapToGrid w:val="0"/>
        <w:ind w:firstLineChars="0"/>
        <w:jc w:val="left"/>
        <w:rPr>
          <w:rFonts w:ascii="宋体" w:hAnsi="宋体"/>
          <w:szCs w:val="21"/>
        </w:rPr>
      </w:pPr>
      <w:bookmarkStart w:id="54" w:name="_Toc330213947"/>
      <w:bookmarkStart w:id="55" w:name="_Toc144974498"/>
      <w:bookmarkStart w:id="56" w:name="_Toc332121715"/>
      <w:bookmarkStart w:id="57" w:name="_Toc403513495"/>
      <w:bookmarkStart w:id="58" w:name="_Toc152042306"/>
      <w:bookmarkStart w:id="59" w:name="_Toc152045530"/>
      <w:r>
        <w:rPr>
          <w:rFonts w:hint="eastAsia" w:ascii="宋体" w:hAnsi="宋体"/>
          <w:szCs w:val="21"/>
        </w:rPr>
        <w:t>项目概况</w:t>
      </w:r>
      <w:bookmarkEnd w:id="54"/>
      <w:bookmarkEnd w:id="55"/>
      <w:bookmarkEnd w:id="56"/>
      <w:bookmarkEnd w:id="57"/>
      <w:bookmarkEnd w:id="58"/>
      <w:bookmarkEnd w:id="59"/>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本项目为企业采购项目，参照《中华人民共和国招标投标法》、《深圳经济特区政府采购条例》、《龙华区国有企业采购管理办法》及《深圳市龙华环境有限公司招标和采购管理办法》等有关法律、法规和规章的规定，本招标项目已具备招标条件，现对本项目进行招标。</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招标代理：见投标人须知前附表。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项目编号及项目名称：见投标人须知前附表。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其他概况：见投标人须知前附表。</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60" w:name="_Toc144974499"/>
      <w:bookmarkStart w:id="61" w:name="_Toc403513496"/>
      <w:bookmarkStart w:id="62" w:name="_Toc152045531"/>
      <w:bookmarkStart w:id="63" w:name="_Toc332121716"/>
      <w:bookmarkStart w:id="64" w:name="_Toc330213948"/>
      <w:bookmarkStart w:id="65" w:name="_Toc152042307"/>
      <w:r>
        <w:rPr>
          <w:rFonts w:hint="eastAsia" w:ascii="宋体" w:hAnsi="宋体"/>
          <w:b/>
          <w:szCs w:val="21"/>
        </w:rPr>
        <w:t>资金来源和落实情况</w:t>
      </w:r>
      <w:bookmarkEnd w:id="60"/>
      <w:bookmarkEnd w:id="61"/>
      <w:bookmarkEnd w:id="62"/>
      <w:bookmarkEnd w:id="63"/>
      <w:bookmarkEnd w:id="64"/>
      <w:bookmarkEnd w:id="65"/>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资金来源：见投标人须知前附表。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出资比例：见投标人须知前附表。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资金落实情况：见投标人须知前附表。</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66" w:name="_Toc332121717"/>
      <w:bookmarkStart w:id="67" w:name="_Toc152042308"/>
      <w:bookmarkStart w:id="68" w:name="_Toc152045532"/>
      <w:bookmarkStart w:id="69" w:name="_Toc330213949"/>
      <w:bookmarkStart w:id="70" w:name="_Toc144974500"/>
      <w:bookmarkStart w:id="71" w:name="_Toc403513497"/>
      <w:r>
        <w:rPr>
          <w:rFonts w:hint="eastAsia" w:ascii="宋体" w:hAnsi="宋体"/>
          <w:b/>
          <w:szCs w:val="21"/>
        </w:rPr>
        <w:t>招标范围及项目概况、服务期和服务地点</w:t>
      </w:r>
      <w:bookmarkEnd w:id="66"/>
      <w:bookmarkEnd w:id="67"/>
      <w:bookmarkEnd w:id="68"/>
      <w:bookmarkEnd w:id="69"/>
      <w:bookmarkEnd w:id="70"/>
      <w:bookmarkEnd w:id="71"/>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招标范围和</w:t>
      </w:r>
      <w:r>
        <w:rPr>
          <w:rFonts w:ascii="宋体" w:hAnsi="宋体"/>
          <w:szCs w:val="21"/>
        </w:rPr>
        <w:t>项目</w:t>
      </w:r>
      <w:r>
        <w:rPr>
          <w:rFonts w:hint="eastAsia" w:ascii="宋体" w:hAnsi="宋体"/>
          <w:szCs w:val="21"/>
        </w:rPr>
        <w:t>概况：见投标人须知前附表。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服务期：见投标人须知前附表。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服务地点：见投标人须知前附表。</w:t>
      </w:r>
      <w:bookmarkStart w:id="72" w:name="_Toc330213950"/>
      <w:bookmarkStart w:id="73" w:name="_Toc403513498"/>
      <w:bookmarkStart w:id="74" w:name="_Toc152042310"/>
      <w:bookmarkStart w:id="75" w:name="_Toc144974502"/>
      <w:bookmarkStart w:id="76" w:name="_Toc152045534"/>
      <w:bookmarkStart w:id="77" w:name="_Toc332121718"/>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投标人资格要求</w:t>
      </w:r>
      <w:bookmarkEnd w:id="72"/>
      <w:bookmarkEnd w:id="73"/>
      <w:bookmarkEnd w:id="74"/>
      <w:bookmarkEnd w:id="75"/>
      <w:bookmarkEnd w:id="76"/>
      <w:bookmarkEnd w:id="77"/>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投标人应具备承担本次招标项目的资质条件、能力和信誉。</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资格条件：见投标人须知前附表。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其他要求：见投标人须知前附表。</w:t>
      </w:r>
    </w:p>
    <w:p>
      <w:pPr>
        <w:pStyle w:val="263"/>
        <w:widowControl w:val="0"/>
        <w:autoSpaceDE w:val="0"/>
        <w:autoSpaceDN w:val="0"/>
        <w:adjustRightInd w:val="0"/>
        <w:snapToGrid w:val="0"/>
        <w:ind w:firstLine="0" w:firstLineChars="0"/>
        <w:jc w:val="left"/>
        <w:rPr>
          <w:rFonts w:ascii="宋体" w:hAnsi="宋体"/>
          <w:szCs w:val="21"/>
        </w:rPr>
      </w:pP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投标人不得存在下列情形之一：</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与招标人存在利害关系且可能影响招标公正性；</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与本次招标项目的其他投标人为同一个单位负责人；</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与本次招标项目的其他投标人存在控股、管理关系；</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投标人须知前附表规定的其他情形。</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78" w:name="_Toc152042311"/>
      <w:bookmarkStart w:id="79" w:name="_Toc332121719"/>
      <w:bookmarkStart w:id="80" w:name="_Toc144974503"/>
      <w:bookmarkStart w:id="81" w:name="_Toc403513499"/>
      <w:bookmarkStart w:id="82" w:name="_Toc152045535"/>
      <w:bookmarkStart w:id="83" w:name="_Toc330213951"/>
      <w:r>
        <w:rPr>
          <w:rFonts w:hint="eastAsia" w:ascii="宋体" w:hAnsi="宋体"/>
          <w:b/>
          <w:szCs w:val="21"/>
        </w:rPr>
        <w:t>费用承担</w:t>
      </w:r>
      <w:bookmarkEnd w:id="78"/>
      <w:bookmarkEnd w:id="79"/>
      <w:bookmarkEnd w:id="80"/>
      <w:bookmarkEnd w:id="81"/>
      <w:bookmarkEnd w:id="82"/>
      <w:bookmarkEnd w:id="83"/>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投标人准备和参加投标活动发生的费用自理。</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84" w:name="_Toc403513500"/>
      <w:bookmarkStart w:id="85" w:name="_Toc330213952"/>
      <w:bookmarkStart w:id="86" w:name="_Toc144974504"/>
      <w:bookmarkStart w:id="87" w:name="_Toc332121720"/>
      <w:bookmarkStart w:id="88" w:name="_Toc152042312"/>
      <w:bookmarkStart w:id="89" w:name="_Toc152045536"/>
      <w:r>
        <w:rPr>
          <w:rFonts w:hint="eastAsia" w:ascii="宋体" w:hAnsi="宋体"/>
          <w:b/>
          <w:szCs w:val="21"/>
        </w:rPr>
        <w:t>保密</w:t>
      </w:r>
      <w:bookmarkEnd w:id="84"/>
      <w:bookmarkEnd w:id="85"/>
      <w:bookmarkEnd w:id="86"/>
      <w:bookmarkEnd w:id="87"/>
      <w:bookmarkEnd w:id="88"/>
      <w:bookmarkEnd w:id="89"/>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90" w:name="_Toc144974505"/>
      <w:bookmarkStart w:id="91" w:name="_Toc332121721"/>
      <w:bookmarkStart w:id="92" w:name="_Toc330213953"/>
      <w:bookmarkStart w:id="93" w:name="_Toc152045537"/>
      <w:bookmarkStart w:id="94" w:name="_Toc152042313"/>
      <w:bookmarkStart w:id="95" w:name="_Toc403513501"/>
      <w:r>
        <w:rPr>
          <w:rFonts w:hint="eastAsia" w:ascii="宋体" w:hAnsi="宋体"/>
          <w:b/>
          <w:szCs w:val="21"/>
        </w:rPr>
        <w:t>语言</w:t>
      </w:r>
      <w:bookmarkEnd w:id="90"/>
      <w:r>
        <w:rPr>
          <w:rFonts w:hint="eastAsia" w:ascii="宋体" w:hAnsi="宋体"/>
          <w:b/>
          <w:szCs w:val="21"/>
        </w:rPr>
        <w:t>文字</w:t>
      </w:r>
      <w:bookmarkEnd w:id="91"/>
      <w:bookmarkEnd w:id="92"/>
      <w:bookmarkEnd w:id="93"/>
      <w:bookmarkEnd w:id="94"/>
      <w:bookmarkEnd w:id="95"/>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除专用术语外，与招标投标有关的语言均使用中文。必要时专用术语应附有中文注释。</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96" w:name="_Toc152045538"/>
      <w:bookmarkStart w:id="97" w:name="_Toc330213954"/>
      <w:bookmarkStart w:id="98" w:name="_Toc332121722"/>
      <w:bookmarkStart w:id="99" w:name="_Toc403513502"/>
      <w:bookmarkStart w:id="100" w:name="_Toc152042314"/>
      <w:bookmarkStart w:id="101" w:name="_Toc144974506"/>
      <w:r>
        <w:rPr>
          <w:rFonts w:hint="eastAsia" w:ascii="宋体" w:hAnsi="宋体"/>
          <w:b/>
          <w:szCs w:val="21"/>
        </w:rPr>
        <w:t>计量单位</w:t>
      </w:r>
      <w:bookmarkEnd w:id="96"/>
      <w:bookmarkEnd w:id="97"/>
      <w:bookmarkEnd w:id="98"/>
      <w:bookmarkEnd w:id="99"/>
      <w:bookmarkEnd w:id="100"/>
      <w:bookmarkEnd w:id="101"/>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所有计量均采用中华人民共和国法定计量单位。</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02" w:name="_Toc332121723"/>
      <w:bookmarkStart w:id="103" w:name="_Toc330213955"/>
      <w:bookmarkStart w:id="104" w:name="_Toc403513503"/>
      <w:bookmarkStart w:id="105" w:name="_Toc144974507"/>
      <w:bookmarkStart w:id="106" w:name="_Toc152045539"/>
      <w:bookmarkStart w:id="107" w:name="_Toc152042315"/>
      <w:r>
        <w:rPr>
          <w:rFonts w:hint="eastAsia" w:ascii="宋体" w:hAnsi="宋体"/>
          <w:b/>
          <w:szCs w:val="21"/>
        </w:rPr>
        <w:t>踏勘现场</w:t>
      </w:r>
      <w:bookmarkEnd w:id="102"/>
      <w:bookmarkEnd w:id="103"/>
      <w:bookmarkEnd w:id="104"/>
      <w:bookmarkEnd w:id="105"/>
      <w:bookmarkEnd w:id="106"/>
      <w:bookmarkEnd w:id="107"/>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投标人须知前附表规定组织踏勘现场的，招标人按投标人须知前附表规定的时间、地点组织投标人踏勘项目现场。</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投标人踏勘现场发生的费用自理。</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除招标人的原因外，投标人自行负责在踏勘现场中所发生的人员伤亡和财产损失。</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招标人在踏勘现场中介绍的使用场地和相关的周边环境情况，供投标人在编制投标文件时参考，招标人不对投标人据此作出的判断和决策负责。</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08" w:name="_Toc152042316"/>
      <w:bookmarkStart w:id="109" w:name="_Toc152045540"/>
      <w:bookmarkStart w:id="110" w:name="_Toc144974508"/>
      <w:bookmarkStart w:id="111" w:name="_Toc403513504"/>
      <w:bookmarkStart w:id="112" w:name="_Toc330213956"/>
      <w:bookmarkStart w:id="113" w:name="_Toc332121724"/>
      <w:r>
        <w:rPr>
          <w:rFonts w:hint="eastAsia" w:ascii="宋体" w:hAnsi="宋体"/>
          <w:b/>
          <w:szCs w:val="21"/>
        </w:rPr>
        <w:t>投标预备会</w:t>
      </w:r>
      <w:bookmarkEnd w:id="108"/>
      <w:bookmarkEnd w:id="109"/>
      <w:bookmarkEnd w:id="110"/>
      <w:bookmarkEnd w:id="111"/>
      <w:bookmarkEnd w:id="112"/>
      <w:bookmarkEnd w:id="113"/>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投标人不组织召开投标预备会。</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分包</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中标人应当按照合同约定履行义务，完成中标项目。中标人不得向他人转让中标项目，也不得将中标项目肢解后分别向他人转让。</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响应和偏离</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投标文件应当对招标文件的实质性要求和条件作出满足性或更有利于招标人的响应，否则，投标人的投标将被否决。</w:t>
      </w:r>
      <w:r>
        <w:rPr>
          <w:rFonts w:hint="eastAsia" w:ascii="宋体" w:hAnsi="宋体"/>
          <w:szCs w:val="21"/>
        </w:rPr>
        <w:t>响应和</w:t>
      </w:r>
      <w:r>
        <w:rPr>
          <w:rFonts w:ascii="宋体" w:hAnsi="宋体"/>
          <w:szCs w:val="21"/>
        </w:rPr>
        <w:t>偏离的</w:t>
      </w:r>
      <w:r>
        <w:rPr>
          <w:rFonts w:hint="eastAsia" w:ascii="宋体" w:hAnsi="宋体"/>
          <w:szCs w:val="21"/>
        </w:rPr>
        <w:t>说明</w:t>
      </w:r>
      <w:r>
        <w:rPr>
          <w:rFonts w:ascii="宋体" w:hAnsi="宋体"/>
          <w:szCs w:val="21"/>
        </w:rPr>
        <w:t>详见投标人须知前附表。</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投标人应根据招标文件的要求提供投标</w:t>
      </w:r>
      <w:r>
        <w:rPr>
          <w:rFonts w:hint="eastAsia" w:ascii="宋体" w:hAnsi="宋体"/>
          <w:szCs w:val="21"/>
        </w:rPr>
        <w:t>服务</w:t>
      </w:r>
      <w:r>
        <w:rPr>
          <w:rFonts w:ascii="宋体" w:hAnsi="宋体"/>
          <w:szCs w:val="21"/>
        </w:rPr>
        <w:t>指标的详细描述、技术支持资料及技术服务和质保期</w:t>
      </w:r>
      <w:r>
        <w:rPr>
          <w:rFonts w:hint="eastAsia" w:ascii="宋体" w:hAnsi="宋体"/>
          <w:szCs w:val="21"/>
        </w:rPr>
        <w:t>、</w:t>
      </w:r>
      <w:r>
        <w:rPr>
          <w:rFonts w:ascii="宋体" w:hAnsi="宋体"/>
          <w:szCs w:val="21"/>
        </w:rPr>
        <w:t>服务计划等内容以对招标文件作出响应。</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投标文件中应针对实质性要求和条件中列明的技术要求提供技术支持资料。技术支</w:t>
      </w:r>
      <w:r>
        <w:rPr>
          <w:rFonts w:ascii="宋体" w:hAnsi="宋体"/>
          <w:spacing w:val="-1"/>
          <w:szCs w:val="21"/>
        </w:rPr>
        <w:t>持资料以制造商公开发布的印刷资料，或检测机构出具的检测报告或投标人须知前附表允许的</w:t>
      </w:r>
      <w:r>
        <w:rPr>
          <w:rFonts w:ascii="宋体" w:hAnsi="宋体"/>
          <w:szCs w:val="21"/>
        </w:rPr>
        <w:t>其他形式为准，不符合前述要求的，视为无技术支持资料。</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投标文件对招标文件的全部偏离，均应在投标文件中列明，除列明的内容外，视为投标人响应招标文件的全部要求</w:t>
      </w:r>
      <w:r>
        <w:rPr>
          <w:rFonts w:hint="eastAsia" w:ascii="宋体" w:hAnsi="宋体"/>
          <w:szCs w:val="21"/>
        </w:rPr>
        <w:t>。</w:t>
      </w:r>
    </w:p>
    <w:p>
      <w:pPr>
        <w:pStyle w:val="263"/>
        <w:widowControl w:val="0"/>
        <w:autoSpaceDE w:val="0"/>
        <w:autoSpaceDN w:val="0"/>
        <w:adjustRightInd w:val="0"/>
        <w:snapToGrid w:val="0"/>
        <w:ind w:firstLine="0" w:firstLineChars="0"/>
        <w:jc w:val="left"/>
        <w:rPr>
          <w:rFonts w:ascii="宋体" w:hAnsi="宋体"/>
          <w:szCs w:val="21"/>
        </w:rPr>
      </w:pPr>
    </w:p>
    <w:p>
      <w:pPr>
        <w:pStyle w:val="263"/>
        <w:widowControl w:val="0"/>
        <w:numPr>
          <w:ilvl w:val="0"/>
          <w:numId w:val="4"/>
        </w:numPr>
        <w:autoSpaceDE w:val="0"/>
        <w:autoSpaceDN w:val="0"/>
        <w:adjustRightInd w:val="0"/>
        <w:snapToGrid w:val="0"/>
        <w:ind w:firstLineChars="0"/>
        <w:jc w:val="left"/>
        <w:rPr>
          <w:rFonts w:ascii="宋体" w:hAnsi="宋体"/>
          <w:b/>
          <w:szCs w:val="21"/>
        </w:rPr>
      </w:pPr>
      <w:bookmarkStart w:id="114" w:name="_Toc152045542"/>
      <w:bookmarkStart w:id="115" w:name="_Toc152042318"/>
      <w:bookmarkStart w:id="116" w:name="_Toc144974510"/>
      <w:r>
        <w:rPr>
          <w:rFonts w:hint="eastAsia" w:ascii="宋体" w:hAnsi="宋体"/>
          <w:b/>
          <w:szCs w:val="21"/>
        </w:rPr>
        <w:t>招标文件</w:t>
      </w:r>
      <w:bookmarkEnd w:id="114"/>
      <w:bookmarkEnd w:id="115"/>
      <w:bookmarkEnd w:id="116"/>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17" w:name="_Toc152042319"/>
      <w:bookmarkStart w:id="118" w:name="_Toc403513506"/>
      <w:bookmarkStart w:id="119" w:name="_Toc144974511"/>
      <w:bookmarkStart w:id="120" w:name="_Toc332121727"/>
      <w:bookmarkStart w:id="121" w:name="_Toc330213959"/>
      <w:bookmarkStart w:id="122" w:name="_Toc152045543"/>
      <w:r>
        <w:rPr>
          <w:rFonts w:hint="eastAsia" w:ascii="宋体" w:hAnsi="宋体"/>
          <w:b/>
          <w:szCs w:val="21"/>
        </w:rPr>
        <w:t>招标文件的组成</w:t>
      </w:r>
      <w:bookmarkEnd w:id="117"/>
      <w:bookmarkEnd w:id="118"/>
      <w:bookmarkEnd w:id="119"/>
      <w:bookmarkEnd w:id="120"/>
      <w:bookmarkEnd w:id="121"/>
      <w:bookmarkEnd w:id="122"/>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本招标文件包括：</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评定标办法；</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合同条款及格式；</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项目需求；</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投标文件格式。</w:t>
      </w:r>
    </w:p>
    <w:p>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注：根据本章第1.10款、第2.2款和第2.3款对招标文件所作的澄清、修改，构成招标文件的组成部分。</w:t>
      </w:r>
    </w:p>
    <w:p>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2.1.2</w:t>
      </w:r>
      <w:r>
        <w:rPr>
          <w:rFonts w:hint="eastAsia" w:ascii="宋体" w:hAnsi="宋体"/>
          <w:szCs w:val="21"/>
        </w:rPr>
        <w:tab/>
      </w:r>
      <w:r>
        <w:rPr>
          <w:rFonts w:hint="eastAsia" w:ascii="宋体" w:hAnsi="宋体"/>
          <w:szCs w:val="21"/>
        </w:rPr>
        <w:t>招标文件获取时间及方式：见投标人须知前附表。</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23" w:name="_Toc332121728"/>
      <w:bookmarkStart w:id="124" w:name="_Toc152045544"/>
      <w:bookmarkStart w:id="125" w:name="_Toc403513507"/>
      <w:bookmarkStart w:id="126" w:name="_Toc330213960"/>
      <w:bookmarkStart w:id="127" w:name="_Toc144974512"/>
      <w:bookmarkStart w:id="128" w:name="_Toc152042320"/>
      <w:r>
        <w:rPr>
          <w:rFonts w:hint="eastAsia" w:ascii="宋体" w:hAnsi="宋体"/>
          <w:b/>
          <w:szCs w:val="21"/>
        </w:rPr>
        <w:t>招标文件的澄清</w:t>
      </w:r>
      <w:bookmarkEnd w:id="123"/>
      <w:bookmarkEnd w:id="124"/>
      <w:bookmarkEnd w:id="125"/>
      <w:bookmarkEnd w:id="126"/>
      <w:bookmarkEnd w:id="127"/>
      <w:bookmarkEnd w:id="128"/>
    </w:p>
    <w:p>
      <w:pPr>
        <w:pStyle w:val="263"/>
        <w:widowControl w:val="0"/>
        <w:numPr>
          <w:ilvl w:val="2"/>
          <w:numId w:val="4"/>
        </w:numPr>
        <w:autoSpaceDE w:val="0"/>
        <w:autoSpaceDN w:val="0"/>
        <w:adjustRightInd w:val="0"/>
        <w:snapToGrid w:val="0"/>
        <w:ind w:firstLineChars="0"/>
        <w:jc w:val="left"/>
        <w:rPr>
          <w:rFonts w:ascii="宋体" w:hAnsi="宋体" w:cs="宋体"/>
          <w:kern w:val="0"/>
          <w:szCs w:val="21"/>
        </w:rPr>
      </w:pPr>
      <w:bookmarkStart w:id="129" w:name="_Toc152045545"/>
      <w:bookmarkStart w:id="130" w:name="_Toc403513508"/>
      <w:bookmarkStart w:id="131" w:name="_Toc152042321"/>
      <w:bookmarkStart w:id="132" w:name="_Toc332121729"/>
      <w:bookmarkStart w:id="133" w:name="_Toc330213961"/>
      <w:bookmarkStart w:id="134" w:name="_Toc144974513"/>
      <w:r>
        <w:rPr>
          <w:rFonts w:ascii="宋体" w:hAnsi="宋体"/>
          <w:szCs w:val="21"/>
        </w:rPr>
        <w:t>投标人应仔细阅读和检查招标文件的全部内容。如发现缺页或附件不全，应及时向招标人提出，以便补齐。如有</w:t>
      </w:r>
      <w:r>
        <w:rPr>
          <w:rFonts w:hint="eastAsia" w:ascii="宋体" w:hAnsi="宋体"/>
          <w:szCs w:val="21"/>
        </w:rPr>
        <w:t>质疑</w:t>
      </w:r>
      <w:r>
        <w:rPr>
          <w:rFonts w:ascii="宋体" w:hAnsi="宋体"/>
          <w:szCs w:val="21"/>
        </w:rPr>
        <w:t>，投标人</w:t>
      </w:r>
      <w:r>
        <w:rPr>
          <w:rFonts w:hint="eastAsia" w:ascii="宋体" w:hAnsi="宋体"/>
          <w:szCs w:val="21"/>
        </w:rPr>
        <w:t>应</w:t>
      </w:r>
      <w:r>
        <w:rPr>
          <w:rFonts w:ascii="宋体" w:hAnsi="宋体"/>
          <w:szCs w:val="21"/>
        </w:rPr>
        <w:t>在投标人须知前附表规定的时间</w:t>
      </w:r>
      <w:r>
        <w:rPr>
          <w:rFonts w:hint="eastAsia" w:ascii="宋体" w:hAnsi="宋体"/>
          <w:szCs w:val="21"/>
        </w:rPr>
        <w:t>内通过书面告知的形式</w:t>
      </w:r>
      <w:r>
        <w:rPr>
          <w:rFonts w:ascii="宋体" w:hAnsi="宋体"/>
          <w:szCs w:val="21"/>
        </w:rPr>
        <w:t>要求招标人对招标文件予以澄清。</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招标文件的澄清将在投标人须知前附表规定的时间内以书面形式发给所有获取招标文件的投标人。如果澄清发出的时间和内容明显影响投标文件编制的，应当相应延长投标截止时间。</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招标文件的修改</w:t>
      </w:r>
      <w:bookmarkEnd w:id="129"/>
      <w:bookmarkEnd w:id="130"/>
      <w:bookmarkEnd w:id="131"/>
      <w:bookmarkEnd w:id="132"/>
      <w:bookmarkEnd w:id="133"/>
      <w:bookmarkEnd w:id="134"/>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在投标截止时间3日前，招标人可以数据电文（或书面形式）修改招标文件，并通知所有已获取招标文件的投标人。如未在规定时间内发出澄清的或澄清内容明显影响投标文件编制的，将应当相应延长投标截止时间。</w:t>
      </w:r>
    </w:p>
    <w:p>
      <w:pPr>
        <w:pStyle w:val="263"/>
        <w:widowControl w:val="0"/>
        <w:numPr>
          <w:ilvl w:val="0"/>
          <w:numId w:val="4"/>
        </w:numPr>
        <w:autoSpaceDE w:val="0"/>
        <w:autoSpaceDN w:val="0"/>
        <w:adjustRightInd w:val="0"/>
        <w:snapToGrid w:val="0"/>
        <w:ind w:firstLineChars="0"/>
        <w:jc w:val="left"/>
        <w:rPr>
          <w:rFonts w:ascii="宋体" w:hAnsi="宋体"/>
          <w:b/>
          <w:szCs w:val="21"/>
        </w:rPr>
      </w:pPr>
      <w:bookmarkStart w:id="135" w:name="_Toc152045546"/>
      <w:bookmarkStart w:id="136" w:name="_Toc152042322"/>
      <w:bookmarkStart w:id="137" w:name="_Toc144974514"/>
      <w:r>
        <w:rPr>
          <w:rFonts w:hint="eastAsia" w:ascii="宋体" w:hAnsi="宋体"/>
          <w:b/>
          <w:szCs w:val="21"/>
        </w:rPr>
        <w:t>投标文件</w:t>
      </w:r>
      <w:bookmarkEnd w:id="135"/>
      <w:bookmarkEnd w:id="136"/>
      <w:bookmarkEnd w:id="137"/>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38" w:name="_Toc152042323"/>
      <w:bookmarkStart w:id="139" w:name="_Toc330213963"/>
      <w:bookmarkStart w:id="140" w:name="_Toc144974515"/>
      <w:bookmarkStart w:id="141" w:name="_Toc152045547"/>
      <w:bookmarkStart w:id="142" w:name="_Toc332121731"/>
      <w:bookmarkStart w:id="143" w:name="_Toc403513510"/>
      <w:r>
        <w:rPr>
          <w:rFonts w:hint="eastAsia" w:ascii="宋体" w:hAnsi="宋体"/>
          <w:b/>
          <w:szCs w:val="21"/>
        </w:rPr>
        <w:t>投标文件的组成</w:t>
      </w:r>
      <w:bookmarkEnd w:id="138"/>
      <w:bookmarkEnd w:id="139"/>
      <w:bookmarkEnd w:id="140"/>
      <w:bookmarkEnd w:id="141"/>
      <w:bookmarkEnd w:id="142"/>
      <w:bookmarkEnd w:id="143"/>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投标文件组成及格式见本招标文件第五章和投标人须知前附表三。</w:t>
      </w:r>
      <w:r>
        <w:rPr>
          <w:rFonts w:ascii="宋体" w:hAnsi="宋体"/>
          <w:spacing w:val="-1"/>
          <w:szCs w:val="21"/>
        </w:rPr>
        <w:t>投标人在评标过程中作出的符合法律法规和招标文件规定的澄清确认，构成投标文件的组</w:t>
      </w:r>
      <w:r>
        <w:rPr>
          <w:rFonts w:ascii="宋体" w:hAnsi="宋体"/>
          <w:szCs w:val="21"/>
        </w:rPr>
        <w:t>成部分。</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投标人须知前附表规定不接受联合体投标的，或投标人没有组成联合体的，投标文件不包括</w:t>
      </w:r>
      <w:r>
        <w:rPr>
          <w:rFonts w:hint="eastAsia" w:ascii="宋体" w:hAnsi="宋体"/>
          <w:szCs w:val="21"/>
        </w:rPr>
        <w:t>投标人须知前附表</w:t>
      </w:r>
      <w:r>
        <w:rPr>
          <w:rFonts w:ascii="宋体" w:hAnsi="宋体"/>
          <w:szCs w:val="21"/>
        </w:rPr>
        <w:t>所指的联合体协议书。</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投标人须知前附表未要求提交投标保证金的，投标文件不包括</w:t>
      </w:r>
      <w:r>
        <w:rPr>
          <w:rFonts w:hint="eastAsia" w:ascii="宋体" w:hAnsi="宋体"/>
          <w:szCs w:val="21"/>
        </w:rPr>
        <w:t>投标人须知前附表</w:t>
      </w:r>
      <w:r>
        <w:rPr>
          <w:rFonts w:ascii="宋体" w:hAnsi="宋体"/>
          <w:szCs w:val="21"/>
        </w:rPr>
        <w:t>所指的投标保证金。</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44" w:name="_Toc403513511"/>
      <w:bookmarkStart w:id="145" w:name="_Toc330213964"/>
      <w:bookmarkStart w:id="146" w:name="_Toc332121732"/>
      <w:bookmarkStart w:id="147" w:name="_Toc144974516"/>
      <w:bookmarkStart w:id="148" w:name="_Toc152045548"/>
      <w:bookmarkStart w:id="149" w:name="_Toc152042324"/>
      <w:r>
        <w:rPr>
          <w:rFonts w:hint="eastAsia" w:ascii="宋体" w:hAnsi="宋体"/>
          <w:b/>
          <w:szCs w:val="21"/>
        </w:rPr>
        <w:t>投标报价</w:t>
      </w:r>
      <w:bookmarkEnd w:id="144"/>
      <w:bookmarkEnd w:id="145"/>
      <w:bookmarkEnd w:id="146"/>
      <w:bookmarkEnd w:id="147"/>
      <w:bookmarkEnd w:id="148"/>
      <w:bookmarkEnd w:id="149"/>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投标报价应包括国家规定的增值税税金，除投标人须知前附表另有规定外，增值税税</w:t>
      </w:r>
      <w:r>
        <w:rPr>
          <w:rFonts w:ascii="宋体" w:hAnsi="宋体"/>
          <w:szCs w:val="21"/>
        </w:rPr>
        <w:t>金按一般计税方法计算。</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投标人应充分了解该项目的总体情况以及影响投标报价的其他要素。</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投标报价算术修正原则详见第二章评定标办法。</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招标人设有最高投标限价的，投标人的投标报价不得超过最高投标限价，最高投标限</w:t>
      </w:r>
      <w:r>
        <w:rPr>
          <w:rFonts w:ascii="宋体" w:hAnsi="宋体"/>
          <w:szCs w:val="21"/>
        </w:rPr>
        <w:t>价在投标人须知前附表中载明。</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投标报价的其他要求见投标人须知前附表。</w:t>
      </w:r>
      <w:r>
        <w:rPr>
          <w:rFonts w:hint="eastAsia" w:ascii="宋体" w:hAnsi="宋体"/>
          <w:szCs w:val="21"/>
        </w:rPr>
        <w:t>　</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50" w:name="_Toc403513512"/>
      <w:bookmarkStart w:id="151" w:name="_Toc152042325"/>
      <w:bookmarkStart w:id="152" w:name="_Toc330213965"/>
      <w:bookmarkStart w:id="153" w:name="_Toc144974517"/>
      <w:bookmarkStart w:id="154" w:name="_Toc152045549"/>
      <w:bookmarkStart w:id="155" w:name="_Toc332121733"/>
      <w:r>
        <w:rPr>
          <w:rFonts w:hint="eastAsia" w:ascii="宋体" w:hAnsi="宋体"/>
          <w:b/>
          <w:szCs w:val="21"/>
        </w:rPr>
        <w:t>投标有效期</w:t>
      </w:r>
      <w:bookmarkEnd w:id="150"/>
      <w:bookmarkEnd w:id="151"/>
      <w:bookmarkEnd w:id="152"/>
      <w:bookmarkEnd w:id="153"/>
      <w:bookmarkEnd w:id="154"/>
      <w:bookmarkEnd w:id="155"/>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除投标人须知前附表另有规定外，投标有效期为</w:t>
      </w:r>
      <w:r>
        <w:rPr>
          <w:rFonts w:hint="eastAsia" w:ascii="宋体" w:hAnsi="宋体"/>
          <w:szCs w:val="21"/>
        </w:rPr>
        <w:t>1</w:t>
      </w:r>
      <w:r>
        <w:rPr>
          <w:rFonts w:ascii="宋体" w:hAnsi="宋体"/>
          <w:szCs w:val="21"/>
        </w:rPr>
        <w:t>20</w:t>
      </w:r>
      <w:r>
        <w:rPr>
          <w:rFonts w:hint="eastAsia" w:ascii="宋体" w:hAnsi="宋体"/>
          <w:szCs w:val="21"/>
        </w:rPr>
        <w:t>个日历日</w:t>
      </w:r>
      <w:r>
        <w:rPr>
          <w:rFonts w:ascii="宋体" w:hAnsi="宋体"/>
          <w:szCs w:val="21"/>
        </w:rPr>
        <w:t>。</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在投标有效期内，投标人撤销</w:t>
      </w:r>
      <w:r>
        <w:rPr>
          <w:rFonts w:hint="eastAsia" w:ascii="宋体" w:hAnsi="宋体"/>
          <w:szCs w:val="21"/>
        </w:rPr>
        <w:t>或修改</w:t>
      </w:r>
      <w:r>
        <w:rPr>
          <w:rFonts w:ascii="宋体" w:hAnsi="宋体"/>
          <w:szCs w:val="21"/>
        </w:rPr>
        <w:t>投标文件的，应承担招标文件和法律规定的责任。</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出现特殊情况需要延长投标有效期的，招标人以</w:t>
      </w:r>
      <w:r>
        <w:rPr>
          <w:rFonts w:hint="eastAsia" w:ascii="宋体" w:hAnsi="宋体"/>
          <w:spacing w:val="-4"/>
          <w:szCs w:val="21"/>
        </w:rPr>
        <w:t>数据</w:t>
      </w:r>
      <w:r>
        <w:rPr>
          <w:rFonts w:ascii="宋体" w:hAnsi="宋体"/>
          <w:spacing w:val="-4"/>
          <w:szCs w:val="21"/>
        </w:rPr>
        <w:t>电文形式</w:t>
      </w:r>
      <w:r>
        <w:rPr>
          <w:rFonts w:hint="eastAsia" w:ascii="宋体" w:hAnsi="宋体"/>
          <w:spacing w:val="-4"/>
          <w:szCs w:val="21"/>
        </w:rPr>
        <w:t>（或书面形式）</w:t>
      </w:r>
      <w:r>
        <w:rPr>
          <w:rFonts w:ascii="宋体" w:hAnsi="宋体"/>
          <w:spacing w:val="-4"/>
          <w:szCs w:val="21"/>
        </w:rPr>
        <w:t>通知所有投标人延长投标有</w:t>
      </w:r>
      <w:r>
        <w:rPr>
          <w:rFonts w:ascii="宋体" w:hAnsi="宋体"/>
          <w:spacing w:val="-1"/>
          <w:szCs w:val="21"/>
        </w:rPr>
        <w:t>效期。投标人应予以书面答复，同意延长的，应相应延长其投标保证金的有效期，但不得要求或被允许</w:t>
      </w:r>
      <w:r>
        <w:rPr>
          <w:rFonts w:hint="eastAsia" w:ascii="宋体" w:hAnsi="宋体"/>
          <w:spacing w:val="-1"/>
          <w:szCs w:val="21"/>
        </w:rPr>
        <w:t>撤销或</w:t>
      </w:r>
      <w:r>
        <w:rPr>
          <w:rFonts w:ascii="宋体" w:hAnsi="宋体"/>
          <w:spacing w:val="-1"/>
          <w:szCs w:val="21"/>
        </w:rPr>
        <w:t>修改其投标文件；投标人拒绝延长的，其投标失效，但投标人有权收回其投标保证金</w:t>
      </w:r>
      <w:r>
        <w:rPr>
          <w:rFonts w:ascii="宋体" w:hAnsi="宋体"/>
          <w:szCs w:val="21"/>
        </w:rPr>
        <w:t>。</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56" w:name="_Toc152042326"/>
      <w:bookmarkStart w:id="157" w:name="_Toc330213966"/>
      <w:bookmarkStart w:id="158" w:name="_Toc403513513"/>
      <w:bookmarkStart w:id="159" w:name="_Toc332121734"/>
      <w:bookmarkStart w:id="160" w:name="_Toc144974518"/>
      <w:bookmarkStart w:id="161" w:name="_Toc152045550"/>
      <w:r>
        <w:rPr>
          <w:rFonts w:hint="eastAsia" w:ascii="宋体" w:hAnsi="宋体"/>
          <w:b/>
          <w:szCs w:val="21"/>
        </w:rPr>
        <w:t>投标保证金</w:t>
      </w:r>
      <w:bookmarkEnd w:id="156"/>
      <w:bookmarkEnd w:id="157"/>
      <w:bookmarkEnd w:id="158"/>
      <w:bookmarkEnd w:id="159"/>
      <w:bookmarkEnd w:id="160"/>
      <w:bookmarkEnd w:id="161"/>
    </w:p>
    <w:p>
      <w:pPr>
        <w:pStyle w:val="263"/>
        <w:widowControl w:val="0"/>
        <w:autoSpaceDE w:val="0"/>
        <w:autoSpaceDN w:val="0"/>
        <w:adjustRightInd w:val="0"/>
        <w:snapToGrid w:val="0"/>
        <w:ind w:firstLine="0" w:firstLineChars="0"/>
        <w:jc w:val="left"/>
        <w:rPr>
          <w:rFonts w:ascii="宋体" w:hAnsi="宋体"/>
          <w:szCs w:val="21"/>
        </w:rPr>
      </w:pPr>
      <w:bookmarkStart w:id="162" w:name="_Toc144974520"/>
      <w:bookmarkStart w:id="163" w:name="_Toc152042328"/>
      <w:bookmarkStart w:id="164" w:name="_Toc403513514"/>
      <w:bookmarkStart w:id="165" w:name="_Toc152045552"/>
      <w:bookmarkStart w:id="166" w:name="_Toc330213967"/>
      <w:bookmarkStart w:id="167" w:name="_Toc332121735"/>
      <w:r>
        <w:rPr>
          <w:rFonts w:hint="eastAsia" w:ascii="宋体" w:hAnsi="宋体"/>
          <w:szCs w:val="21"/>
        </w:rPr>
        <w:t>本次招标不收取投标保证金</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资格审查资料</w:t>
      </w:r>
      <w:bookmarkEnd w:id="162"/>
      <w:bookmarkEnd w:id="163"/>
      <w:bookmarkEnd w:id="164"/>
      <w:bookmarkEnd w:id="165"/>
      <w:bookmarkEnd w:id="166"/>
      <w:bookmarkEnd w:id="167"/>
      <w:r>
        <w:rPr>
          <w:rFonts w:hint="eastAsia" w:ascii="宋体" w:hAnsi="宋体"/>
          <w:b/>
          <w:szCs w:val="21"/>
        </w:rPr>
        <w:t>（适用于资格后审的）</w:t>
      </w:r>
    </w:p>
    <w:p>
      <w:pPr>
        <w:pStyle w:val="263"/>
        <w:widowControl w:val="0"/>
        <w:numPr>
          <w:ilvl w:val="2"/>
          <w:numId w:val="4"/>
        </w:numPr>
        <w:autoSpaceDE w:val="0"/>
        <w:autoSpaceDN w:val="0"/>
        <w:adjustRightInd w:val="0"/>
        <w:snapToGrid w:val="0"/>
        <w:ind w:firstLineChars="0"/>
        <w:jc w:val="left"/>
        <w:rPr>
          <w:rFonts w:ascii="宋体" w:hAnsi="宋体"/>
          <w:szCs w:val="21"/>
        </w:rPr>
      </w:pPr>
      <w:bookmarkStart w:id="168" w:name="_Toc403513515"/>
      <w:bookmarkStart w:id="169" w:name="_Toc330213968"/>
      <w:bookmarkStart w:id="170" w:name="_Toc332121736"/>
      <w:bookmarkStart w:id="171" w:name="_Toc152045553"/>
      <w:bookmarkStart w:id="172" w:name="_Toc144974521"/>
      <w:bookmarkStart w:id="173" w:name="_Toc152042329"/>
      <w:r>
        <w:rPr>
          <w:rFonts w:ascii="宋体" w:hAnsi="宋体"/>
          <w:szCs w:val="21"/>
        </w:rPr>
        <w:t>除投标人须知前附表另有规定外，投标人应按下列规定提供资格审查资料，以证明其满足本章第 1.4 款规定的要求。</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 xml:space="preserve"> “</w:t>
      </w:r>
      <w:r>
        <w:rPr>
          <w:rFonts w:ascii="宋体" w:hAnsi="宋体"/>
          <w:szCs w:val="21"/>
        </w:rPr>
        <w:t>投标人基本情况表</w:t>
      </w:r>
      <w:r>
        <w:rPr>
          <w:rFonts w:hint="eastAsia" w:ascii="宋体" w:hAnsi="宋体"/>
          <w:szCs w:val="21"/>
        </w:rPr>
        <w:t>”</w:t>
      </w:r>
      <w:r>
        <w:rPr>
          <w:rFonts w:ascii="宋体" w:hAnsi="宋体"/>
          <w:szCs w:val="21"/>
        </w:rPr>
        <w:t>应附</w:t>
      </w:r>
      <w:r>
        <w:rPr>
          <w:rFonts w:hint="eastAsia" w:ascii="宋体" w:hAnsi="宋体"/>
          <w:szCs w:val="21"/>
        </w:rPr>
        <w:t>以下证明材料：</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ascii="宋体" w:hAnsi="宋体"/>
          <w:szCs w:val="21"/>
        </w:rPr>
        <w:t>投标人为企业的，应提交营业执照和组织机构代码证的复印件（按照“三证合一”或“五证合一”登记制度进行登记的，可仅提供营业执照复印件）</w:t>
      </w:r>
      <w:r>
        <w:rPr>
          <w:rFonts w:hint="eastAsia" w:ascii="宋体" w:hAnsi="宋体"/>
          <w:szCs w:val="21"/>
        </w:rPr>
        <w:t>。</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ascii="宋体" w:hAnsi="宋体"/>
          <w:szCs w:val="21"/>
        </w:rPr>
        <w:t>投标人为依法允许经营的事业单位的，应提交事业单位法人证书和组织机构代码证的复印件。</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投标人须知前附表要求的其他证明材料。</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备选投标方案</w:t>
      </w:r>
    </w:p>
    <w:p>
      <w:pPr>
        <w:pStyle w:val="263"/>
        <w:widowControl w:val="0"/>
        <w:numPr>
          <w:ilvl w:val="2"/>
          <w:numId w:val="4"/>
        </w:numPr>
        <w:autoSpaceDE w:val="0"/>
        <w:autoSpaceDN w:val="0"/>
        <w:adjustRightInd w:val="0"/>
        <w:snapToGrid w:val="0"/>
        <w:ind w:firstLineChars="0"/>
        <w:jc w:val="left"/>
        <w:rPr>
          <w:rFonts w:ascii="宋体" w:hAnsi="宋体"/>
          <w:szCs w:val="21"/>
        </w:rPr>
      </w:pPr>
      <w:bookmarkStart w:id="174" w:name="_Toc144974522"/>
      <w:bookmarkStart w:id="175" w:name="_Toc330213969"/>
      <w:bookmarkStart w:id="176" w:name="_Toc332121737"/>
      <w:bookmarkStart w:id="177" w:name="_Toc403513516"/>
      <w:bookmarkStart w:id="178" w:name="_Toc152045554"/>
      <w:bookmarkStart w:id="179" w:name="_Toc152042330"/>
      <w:r>
        <w:rPr>
          <w:rFonts w:ascii="宋体" w:hAnsi="宋体"/>
          <w:szCs w:val="21"/>
        </w:rPr>
        <w:t>除投标人须知前附表规定允许外，投标人不得递交备选投标方案，否则其投标将被否决。</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投标文件的编制</w:t>
      </w:r>
      <w:bookmarkEnd w:id="174"/>
      <w:bookmarkEnd w:id="175"/>
      <w:bookmarkEnd w:id="176"/>
      <w:bookmarkEnd w:id="177"/>
      <w:bookmarkEnd w:id="178"/>
      <w:bookmarkEnd w:id="179"/>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投标文件应按第</w:t>
      </w:r>
      <w:r>
        <w:rPr>
          <w:rFonts w:hint="eastAsia" w:ascii="宋体" w:hAnsi="宋体"/>
          <w:szCs w:val="21"/>
        </w:rPr>
        <w:t>五</w:t>
      </w:r>
      <w:r>
        <w:rPr>
          <w:rFonts w:ascii="宋体" w:hAnsi="宋体"/>
          <w:szCs w:val="21"/>
        </w:rPr>
        <w:t>章“投标文件格式”进行编写，如有必要，可以增加附页，作为投标文件的组成部分。</w:t>
      </w:r>
      <w:r>
        <w:rPr>
          <w:rFonts w:hint="eastAsia" w:ascii="宋体" w:hAnsi="宋体"/>
          <w:szCs w:val="21"/>
        </w:rPr>
        <w:t>其中，投标函在满足招标文件实质性要求的基础上，可以提出比招标文件要求更有利于招标人的承诺。</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投标文件应当对招标文件</w:t>
      </w:r>
      <w:r>
        <w:rPr>
          <w:rFonts w:hint="eastAsia" w:ascii="宋体" w:hAnsi="宋体"/>
          <w:szCs w:val="21"/>
        </w:rPr>
        <w:t>中的</w:t>
      </w:r>
      <w:r>
        <w:rPr>
          <w:rFonts w:ascii="宋体" w:hAnsi="宋体"/>
          <w:szCs w:val="21"/>
        </w:rPr>
        <w:t>有关</w:t>
      </w:r>
      <w:r>
        <w:rPr>
          <w:rFonts w:hint="eastAsia" w:ascii="宋体" w:hAnsi="宋体"/>
          <w:szCs w:val="21"/>
        </w:rPr>
        <w:t>服务</w:t>
      </w:r>
      <w:r>
        <w:rPr>
          <w:rFonts w:ascii="宋体" w:hAnsi="宋体"/>
          <w:szCs w:val="21"/>
        </w:rPr>
        <w:t>期、投标有效期、</w:t>
      </w:r>
      <w:r>
        <w:rPr>
          <w:rFonts w:hint="eastAsia" w:ascii="宋体" w:hAnsi="宋体"/>
          <w:szCs w:val="21"/>
        </w:rPr>
        <w:t>服务</w:t>
      </w:r>
      <w:r>
        <w:rPr>
          <w:rFonts w:ascii="宋体" w:hAnsi="宋体"/>
          <w:szCs w:val="21"/>
        </w:rPr>
        <w:t>要求、招标范围</w:t>
      </w:r>
      <w:r>
        <w:rPr>
          <w:rFonts w:hint="eastAsia" w:ascii="宋体" w:hAnsi="宋体"/>
          <w:szCs w:val="21"/>
        </w:rPr>
        <w:t>等或带“</w:t>
      </w:r>
      <w:r>
        <w:rPr>
          <w:rFonts w:ascii="Wingdings 2" w:hAnsi="Wingdings 2"/>
          <w:szCs w:val="21"/>
        </w:rPr>
        <w:sym w:font="Wingdings 2" w:char="F0EA"/>
      </w:r>
      <w:r>
        <w:rPr>
          <w:rFonts w:hint="eastAsia" w:ascii="宋体" w:hAnsi="宋体"/>
          <w:szCs w:val="21"/>
        </w:rPr>
        <w:t>”的相关商务、技术条款</w:t>
      </w:r>
      <w:r>
        <w:rPr>
          <w:rFonts w:ascii="宋体" w:hAnsi="宋体"/>
          <w:szCs w:val="21"/>
        </w:rPr>
        <w:t>等实质性内容作出响应。投标文件在满足招标文件实质性要求的基础上，可以提出比招标文件要求更有利于招标人的承诺。</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投标人应当按照招标文件要求</w:t>
      </w:r>
      <w:r>
        <w:rPr>
          <w:rFonts w:hint="eastAsia" w:ascii="宋体" w:hAnsi="宋体"/>
          <w:szCs w:val="21"/>
        </w:rPr>
        <w:t>编制</w:t>
      </w:r>
      <w:r>
        <w:rPr>
          <w:rFonts w:ascii="宋体" w:hAnsi="宋体"/>
          <w:szCs w:val="21"/>
        </w:rPr>
        <w:t>投标文件，具体要求见投标人须知前附表。</w:t>
      </w:r>
    </w:p>
    <w:p>
      <w:pPr>
        <w:pStyle w:val="263"/>
        <w:widowControl w:val="0"/>
        <w:autoSpaceDE w:val="0"/>
        <w:autoSpaceDN w:val="0"/>
        <w:adjustRightInd w:val="0"/>
        <w:snapToGrid w:val="0"/>
        <w:ind w:firstLine="0" w:firstLineChars="0"/>
        <w:jc w:val="left"/>
        <w:rPr>
          <w:rFonts w:ascii="宋体" w:hAnsi="宋体"/>
          <w:szCs w:val="21"/>
        </w:rPr>
      </w:pPr>
    </w:p>
    <w:p>
      <w:pPr>
        <w:pStyle w:val="263"/>
        <w:widowControl w:val="0"/>
        <w:numPr>
          <w:ilvl w:val="0"/>
          <w:numId w:val="4"/>
        </w:numPr>
        <w:autoSpaceDE w:val="0"/>
        <w:autoSpaceDN w:val="0"/>
        <w:adjustRightInd w:val="0"/>
        <w:snapToGrid w:val="0"/>
        <w:ind w:firstLineChars="0"/>
        <w:jc w:val="left"/>
        <w:rPr>
          <w:rFonts w:ascii="宋体" w:hAnsi="宋体"/>
          <w:b/>
          <w:szCs w:val="21"/>
        </w:rPr>
      </w:pPr>
      <w:bookmarkStart w:id="180" w:name="_Toc152045555"/>
      <w:bookmarkStart w:id="181" w:name="_Toc152042331"/>
      <w:bookmarkStart w:id="182" w:name="_Toc144974523"/>
      <w:r>
        <w:rPr>
          <w:rFonts w:hint="eastAsia" w:ascii="宋体" w:hAnsi="宋体"/>
          <w:b/>
          <w:szCs w:val="21"/>
        </w:rPr>
        <w:t>投标</w:t>
      </w:r>
      <w:bookmarkEnd w:id="180"/>
      <w:bookmarkEnd w:id="181"/>
      <w:bookmarkEnd w:id="182"/>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83" w:name="_Toc144974524"/>
      <w:bookmarkStart w:id="184" w:name="_Toc152042332"/>
      <w:bookmarkStart w:id="185" w:name="_Toc152045556"/>
      <w:bookmarkStart w:id="186" w:name="_Toc403513518"/>
      <w:bookmarkStart w:id="187" w:name="_Toc330213971"/>
      <w:bookmarkStart w:id="188" w:name="_Toc332121739"/>
      <w:bookmarkStart w:id="189" w:name="_Toc144974527"/>
      <w:bookmarkStart w:id="190" w:name="_Toc152045559"/>
      <w:bookmarkStart w:id="191" w:name="_Toc152042335"/>
      <w:r>
        <w:rPr>
          <w:rFonts w:hint="eastAsia" w:ascii="宋体" w:hAnsi="宋体"/>
          <w:b/>
          <w:szCs w:val="21"/>
        </w:rPr>
        <w:t>投标文件的</w:t>
      </w:r>
      <w:bookmarkEnd w:id="183"/>
      <w:bookmarkEnd w:id="184"/>
      <w:bookmarkEnd w:id="185"/>
      <w:bookmarkEnd w:id="186"/>
      <w:bookmarkEnd w:id="187"/>
      <w:bookmarkEnd w:id="188"/>
      <w:r>
        <w:rPr>
          <w:rFonts w:hint="eastAsia" w:ascii="宋体" w:hAnsi="宋体"/>
          <w:b/>
          <w:szCs w:val="21"/>
        </w:rPr>
        <w:t>加密</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投标人应当按照招标文件要求</w:t>
      </w:r>
      <w:r>
        <w:rPr>
          <w:rFonts w:hint="eastAsia" w:ascii="宋体" w:hAnsi="宋体"/>
          <w:szCs w:val="21"/>
        </w:rPr>
        <w:t>密封</w:t>
      </w:r>
      <w:r>
        <w:rPr>
          <w:rFonts w:ascii="宋体" w:hAnsi="宋体"/>
          <w:szCs w:val="21"/>
        </w:rPr>
        <w:t>投标文件，具体要求见投标人须知前附表。</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192" w:name="_Toc332121740"/>
      <w:bookmarkStart w:id="193" w:name="_Toc152042333"/>
      <w:bookmarkStart w:id="194" w:name="_Toc152045557"/>
      <w:bookmarkStart w:id="195" w:name="_Toc144974525"/>
      <w:bookmarkStart w:id="196" w:name="_Toc403513519"/>
      <w:bookmarkStart w:id="197" w:name="_Toc330213972"/>
      <w:r>
        <w:rPr>
          <w:rFonts w:hint="eastAsia" w:ascii="宋体" w:hAnsi="宋体"/>
          <w:b/>
          <w:szCs w:val="21"/>
        </w:rPr>
        <w:t>投标文件的递交</w:t>
      </w:r>
      <w:bookmarkEnd w:id="192"/>
      <w:bookmarkEnd w:id="193"/>
      <w:bookmarkEnd w:id="194"/>
      <w:bookmarkEnd w:id="195"/>
      <w:bookmarkEnd w:id="196"/>
      <w:bookmarkEnd w:id="197"/>
    </w:p>
    <w:p>
      <w:pPr>
        <w:pStyle w:val="263"/>
        <w:widowControl w:val="0"/>
        <w:numPr>
          <w:ilvl w:val="2"/>
          <w:numId w:val="4"/>
        </w:numPr>
        <w:autoSpaceDE w:val="0"/>
        <w:autoSpaceDN w:val="0"/>
        <w:adjustRightInd w:val="0"/>
        <w:snapToGrid w:val="0"/>
        <w:ind w:firstLineChars="0"/>
        <w:jc w:val="left"/>
        <w:rPr>
          <w:rFonts w:ascii="宋体" w:hAnsi="宋体"/>
          <w:szCs w:val="21"/>
        </w:rPr>
      </w:pPr>
      <w:bookmarkStart w:id="198" w:name="_Toc332121741"/>
      <w:bookmarkStart w:id="199" w:name="_Toc152045558"/>
      <w:bookmarkStart w:id="200" w:name="_Toc403513520"/>
      <w:bookmarkStart w:id="201" w:name="_Toc330213973"/>
      <w:bookmarkStart w:id="202" w:name="_Toc152042334"/>
      <w:bookmarkStart w:id="203" w:name="_Toc144974526"/>
      <w:r>
        <w:rPr>
          <w:rFonts w:ascii="宋体" w:hAnsi="宋体"/>
          <w:szCs w:val="21"/>
        </w:rPr>
        <w:t>投标人应在投标人须知前附表规定的投标截止时间前递交投标文件。</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除投标人须知前附表另有规定外，投标人所递交的投标文件不予退还。</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投标截标时间后，不再接收任何投标文件上传。</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具体</w:t>
      </w:r>
      <w:r>
        <w:rPr>
          <w:rFonts w:ascii="宋体" w:hAnsi="宋体"/>
          <w:szCs w:val="21"/>
        </w:rPr>
        <w:t>要求详见</w:t>
      </w:r>
      <w:r>
        <w:rPr>
          <w:rFonts w:hint="eastAsia" w:ascii="宋体" w:hAnsi="宋体"/>
          <w:szCs w:val="21"/>
        </w:rPr>
        <w:t>投标人须知前附表。</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投标文件的修改与撤回</w:t>
      </w:r>
      <w:bookmarkEnd w:id="198"/>
      <w:bookmarkEnd w:id="199"/>
      <w:bookmarkEnd w:id="200"/>
      <w:bookmarkEnd w:id="201"/>
      <w:bookmarkEnd w:id="202"/>
      <w:bookmarkEnd w:id="203"/>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投标人提交投标文件后，不允许</w:t>
      </w:r>
      <w:r>
        <w:rPr>
          <w:rFonts w:ascii="宋体" w:hAnsi="宋体"/>
          <w:szCs w:val="21"/>
        </w:rPr>
        <w:t>再修改已递交的投标文件。</w:t>
      </w:r>
    </w:p>
    <w:p>
      <w:pPr>
        <w:pStyle w:val="263"/>
        <w:widowControl w:val="0"/>
        <w:autoSpaceDE w:val="0"/>
        <w:autoSpaceDN w:val="0"/>
        <w:adjustRightInd w:val="0"/>
        <w:snapToGrid w:val="0"/>
        <w:ind w:firstLine="0" w:firstLineChars="0"/>
        <w:jc w:val="left"/>
        <w:rPr>
          <w:rFonts w:ascii="宋体" w:hAnsi="宋体"/>
          <w:szCs w:val="21"/>
        </w:rPr>
      </w:pPr>
    </w:p>
    <w:p>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开标</w:t>
      </w:r>
      <w:bookmarkEnd w:id="189"/>
      <w:bookmarkEnd w:id="190"/>
      <w:bookmarkEnd w:id="191"/>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04" w:name="_Toc144974528"/>
      <w:bookmarkStart w:id="205" w:name="_Toc332121743"/>
      <w:bookmarkStart w:id="206" w:name="_Toc403513522"/>
      <w:bookmarkStart w:id="207" w:name="_Toc152042336"/>
      <w:bookmarkStart w:id="208" w:name="_Toc330213975"/>
      <w:bookmarkStart w:id="209" w:name="_Toc152045560"/>
      <w:r>
        <w:rPr>
          <w:rFonts w:hint="eastAsia" w:ascii="宋体" w:hAnsi="宋体"/>
          <w:b/>
          <w:szCs w:val="21"/>
        </w:rPr>
        <w:t>开标时间和地点</w:t>
      </w:r>
      <w:bookmarkEnd w:id="204"/>
      <w:bookmarkEnd w:id="205"/>
      <w:bookmarkEnd w:id="206"/>
      <w:bookmarkEnd w:id="207"/>
      <w:bookmarkEnd w:id="208"/>
      <w:bookmarkEnd w:id="209"/>
    </w:p>
    <w:p>
      <w:pPr>
        <w:pStyle w:val="263"/>
        <w:widowControl w:val="0"/>
        <w:numPr>
          <w:ilvl w:val="2"/>
          <w:numId w:val="4"/>
        </w:numPr>
        <w:autoSpaceDE w:val="0"/>
        <w:autoSpaceDN w:val="0"/>
        <w:adjustRightInd w:val="0"/>
        <w:snapToGrid w:val="0"/>
        <w:ind w:firstLineChars="0"/>
        <w:jc w:val="left"/>
        <w:rPr>
          <w:rFonts w:ascii="宋体" w:hAnsi="宋体"/>
          <w:szCs w:val="21"/>
        </w:rPr>
      </w:pPr>
      <w:bookmarkStart w:id="210" w:name="_Toc330213976"/>
      <w:bookmarkStart w:id="211" w:name="_Toc403513523"/>
      <w:bookmarkStart w:id="212" w:name="_Toc144974529"/>
      <w:bookmarkStart w:id="213" w:name="_Toc152042337"/>
      <w:bookmarkStart w:id="214" w:name="_Toc332121744"/>
      <w:bookmarkStart w:id="215" w:name="_Toc152045561"/>
      <w:r>
        <w:rPr>
          <w:rFonts w:ascii="宋体" w:hAnsi="宋体"/>
          <w:szCs w:val="21"/>
        </w:rPr>
        <w:t>招标人在本章第4.2.1项规定的投标截止时间（开标时间）,</w:t>
      </w:r>
      <w:r>
        <w:rPr>
          <w:rFonts w:hint="eastAsia" w:ascii="宋体" w:hAnsi="宋体"/>
          <w:szCs w:val="21"/>
        </w:rPr>
        <w:t>企业自行组织开标</w:t>
      </w:r>
      <w:r>
        <w:rPr>
          <w:rFonts w:ascii="宋体" w:hAnsi="宋体"/>
          <w:szCs w:val="21"/>
        </w:rPr>
        <w:t>。</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开标程序</w:t>
      </w:r>
      <w:bookmarkEnd w:id="210"/>
      <w:bookmarkEnd w:id="211"/>
      <w:bookmarkEnd w:id="212"/>
      <w:bookmarkEnd w:id="213"/>
      <w:bookmarkEnd w:id="214"/>
      <w:bookmarkEnd w:id="215"/>
    </w:p>
    <w:p>
      <w:pPr>
        <w:pStyle w:val="263"/>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工作人员按投标文件递交顺序依次向评委展示密封的投标文件，然后逐一开标。</w:t>
      </w:r>
    </w:p>
    <w:p>
      <w:pPr>
        <w:pStyle w:val="263"/>
        <w:widowControl w:val="0"/>
        <w:numPr>
          <w:ilvl w:val="0"/>
          <w:numId w:val="4"/>
        </w:numPr>
        <w:autoSpaceDE w:val="0"/>
        <w:autoSpaceDN w:val="0"/>
        <w:adjustRightInd w:val="0"/>
        <w:snapToGrid w:val="0"/>
        <w:ind w:firstLineChars="0"/>
        <w:jc w:val="left"/>
        <w:rPr>
          <w:rFonts w:ascii="宋体" w:hAnsi="宋体"/>
          <w:b/>
          <w:szCs w:val="21"/>
        </w:rPr>
      </w:pPr>
      <w:bookmarkStart w:id="216" w:name="_Toc144974530"/>
      <w:bookmarkStart w:id="217" w:name="_Toc152042338"/>
      <w:bookmarkStart w:id="218" w:name="_Toc152045562"/>
      <w:r>
        <w:rPr>
          <w:rFonts w:hint="eastAsia" w:ascii="宋体" w:hAnsi="宋体"/>
          <w:b/>
          <w:szCs w:val="21"/>
        </w:rPr>
        <w:t>评标</w:t>
      </w:r>
      <w:bookmarkEnd w:id="216"/>
      <w:bookmarkEnd w:id="217"/>
      <w:bookmarkEnd w:id="218"/>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19" w:name="_Toc152042339"/>
      <w:bookmarkStart w:id="220" w:name="_Toc332121746"/>
      <w:bookmarkStart w:id="221" w:name="_Toc152045563"/>
      <w:bookmarkStart w:id="222" w:name="_Toc403513525"/>
      <w:bookmarkStart w:id="223" w:name="_Toc330213978"/>
      <w:bookmarkStart w:id="224" w:name="_Toc144974531"/>
      <w:r>
        <w:rPr>
          <w:rFonts w:hint="eastAsia" w:ascii="宋体" w:hAnsi="宋体"/>
          <w:b/>
          <w:szCs w:val="21"/>
        </w:rPr>
        <w:t>评标委员会</w:t>
      </w:r>
      <w:bookmarkEnd w:id="219"/>
      <w:bookmarkEnd w:id="220"/>
      <w:bookmarkEnd w:id="221"/>
      <w:bookmarkEnd w:id="222"/>
      <w:bookmarkEnd w:id="223"/>
      <w:bookmarkEnd w:id="224"/>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招标人</w:t>
      </w:r>
      <w:r>
        <w:rPr>
          <w:rFonts w:hint="eastAsia" w:ascii="宋体" w:hAnsi="宋体"/>
          <w:szCs w:val="21"/>
        </w:rPr>
        <w:t>将</w:t>
      </w:r>
      <w:r>
        <w:rPr>
          <w:rFonts w:ascii="宋体" w:hAnsi="宋体"/>
          <w:szCs w:val="21"/>
        </w:rPr>
        <w:t>依法组</w:t>
      </w:r>
      <w:r>
        <w:rPr>
          <w:rFonts w:hint="eastAsia" w:ascii="宋体" w:hAnsi="宋体"/>
          <w:szCs w:val="21"/>
        </w:rPr>
        <w:t>建</w:t>
      </w:r>
      <w:r>
        <w:rPr>
          <w:rFonts w:ascii="宋体" w:hAnsi="宋体"/>
          <w:szCs w:val="21"/>
        </w:rPr>
        <w:t>评标委员会，</w:t>
      </w:r>
      <w:r>
        <w:rPr>
          <w:rFonts w:hint="eastAsia" w:ascii="宋体" w:hAnsi="宋体"/>
          <w:szCs w:val="21"/>
        </w:rPr>
        <w:t>评标小组由招标人自行组织</w:t>
      </w:r>
      <w:r>
        <w:rPr>
          <w:rFonts w:ascii="宋体" w:hAnsi="宋体"/>
          <w:szCs w:val="21"/>
        </w:rPr>
        <w:t>，成员人数为</w:t>
      </w:r>
      <w:r>
        <w:rPr>
          <w:rFonts w:hint="eastAsia" w:ascii="宋体" w:hAnsi="宋体"/>
          <w:szCs w:val="21"/>
        </w:rPr>
        <w:t>五</w:t>
      </w:r>
      <w:r>
        <w:rPr>
          <w:rFonts w:ascii="宋体" w:hAnsi="宋体"/>
          <w:szCs w:val="21"/>
        </w:rPr>
        <w:t>人</w:t>
      </w:r>
      <w:r>
        <w:rPr>
          <w:rFonts w:hint="eastAsia" w:ascii="宋体" w:hAnsi="宋体"/>
          <w:szCs w:val="21"/>
        </w:rPr>
        <w:t>（含）以上单数</w:t>
      </w:r>
      <w:r>
        <w:rPr>
          <w:rFonts w:ascii="宋体" w:hAnsi="宋体"/>
          <w:szCs w:val="21"/>
        </w:rPr>
        <w:t>，</w:t>
      </w:r>
      <w:r>
        <w:rPr>
          <w:rFonts w:hint="eastAsia" w:ascii="宋体" w:hAnsi="宋体"/>
          <w:szCs w:val="21"/>
        </w:rPr>
        <w:t>专业部门成员不得少于评标委员会成员总数的三分之二。</w:t>
      </w:r>
      <w:r>
        <w:rPr>
          <w:rFonts w:ascii="宋体" w:hAnsi="宋体"/>
          <w:szCs w:val="21"/>
        </w:rPr>
        <w:t>与投标人有利害关系的</w:t>
      </w:r>
      <w:r>
        <w:rPr>
          <w:rFonts w:hint="eastAsia" w:ascii="宋体" w:hAnsi="宋体"/>
          <w:szCs w:val="21"/>
        </w:rPr>
        <w:t>成员应当回避</w:t>
      </w:r>
      <w:r>
        <w:rPr>
          <w:rFonts w:ascii="宋体" w:hAnsi="宋体"/>
          <w:szCs w:val="21"/>
        </w:rPr>
        <w:t>。</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评标小组成员有下列情形之一的，应当回避：</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招标人或投标人的主要负责人的近亲属；</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项目主管部门或者行政监督部门的人员；</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与投标人有经济利益关系，可能影响对投标公正评审的；</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hint="eastAsia" w:ascii="宋体" w:hAnsi="宋体"/>
          <w:szCs w:val="21"/>
        </w:rPr>
        <w:t>曾因在招标、评标以及其他与招标投标有关活动中从事违法行为而受过行政处罚或刑事处罚的；</w:t>
      </w:r>
    </w:p>
    <w:p>
      <w:pPr>
        <w:pStyle w:val="263"/>
        <w:widowControl w:val="0"/>
        <w:numPr>
          <w:ilvl w:val="3"/>
          <w:numId w:val="4"/>
        </w:numPr>
        <w:autoSpaceDE w:val="0"/>
        <w:autoSpaceDN w:val="0"/>
        <w:adjustRightInd w:val="0"/>
        <w:snapToGrid w:val="0"/>
        <w:ind w:firstLineChars="0"/>
        <w:jc w:val="left"/>
        <w:rPr>
          <w:rFonts w:ascii="宋体" w:hAnsi="宋体"/>
          <w:szCs w:val="21"/>
        </w:rPr>
      </w:pPr>
      <w:r>
        <w:rPr>
          <w:rFonts w:ascii="宋体" w:hAnsi="宋体"/>
          <w:szCs w:val="21"/>
        </w:rPr>
        <w:t>与投标人有其他利害关系。</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pacing w:val="-4"/>
          <w:szCs w:val="21"/>
        </w:rPr>
        <w:t>评标过程中，</w:t>
      </w:r>
      <w:r>
        <w:rPr>
          <w:rFonts w:hint="eastAsia" w:ascii="宋体" w:hAnsi="宋体"/>
          <w:szCs w:val="21"/>
        </w:rPr>
        <w:t>评标小组</w:t>
      </w:r>
      <w:r>
        <w:rPr>
          <w:rFonts w:ascii="宋体" w:hAnsi="宋体"/>
          <w:spacing w:val="-4"/>
          <w:szCs w:val="21"/>
        </w:rPr>
        <w:t>成员有回避事由、擅离职守或者因健康等原因不能继续评标</w:t>
      </w:r>
      <w:r>
        <w:rPr>
          <w:rFonts w:ascii="宋体" w:hAnsi="宋体"/>
          <w:spacing w:val="-1"/>
          <w:szCs w:val="21"/>
        </w:rPr>
        <w:t>的，招标人有权更换。被更换的</w:t>
      </w:r>
      <w:r>
        <w:rPr>
          <w:rFonts w:hint="eastAsia" w:ascii="宋体" w:hAnsi="宋体"/>
          <w:szCs w:val="21"/>
        </w:rPr>
        <w:t>评标小组</w:t>
      </w:r>
      <w:r>
        <w:rPr>
          <w:rFonts w:ascii="宋体" w:hAnsi="宋体"/>
          <w:spacing w:val="-1"/>
          <w:szCs w:val="21"/>
        </w:rPr>
        <w:t>成员作出的评审结论无效，由更换后的</w:t>
      </w:r>
      <w:r>
        <w:rPr>
          <w:rFonts w:hint="eastAsia" w:ascii="宋体" w:hAnsi="宋体"/>
          <w:szCs w:val="21"/>
        </w:rPr>
        <w:t>评标小组</w:t>
      </w:r>
      <w:r>
        <w:rPr>
          <w:rFonts w:ascii="宋体" w:hAnsi="宋体"/>
          <w:szCs w:val="21"/>
        </w:rPr>
        <w:t>成员重新进行评审。</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25" w:name="_Toc403513526"/>
      <w:bookmarkStart w:id="226" w:name="_Toc330213979"/>
      <w:bookmarkStart w:id="227" w:name="_Toc144974532"/>
      <w:bookmarkStart w:id="228" w:name="_Toc152042340"/>
      <w:bookmarkStart w:id="229" w:name="_Toc332121747"/>
      <w:bookmarkStart w:id="230" w:name="_Toc152045564"/>
      <w:r>
        <w:rPr>
          <w:rFonts w:hint="eastAsia" w:ascii="宋体" w:hAnsi="宋体"/>
          <w:b/>
          <w:szCs w:val="21"/>
        </w:rPr>
        <w:t>评标原则</w:t>
      </w:r>
      <w:bookmarkEnd w:id="225"/>
      <w:bookmarkEnd w:id="226"/>
      <w:bookmarkEnd w:id="227"/>
      <w:bookmarkEnd w:id="228"/>
      <w:bookmarkEnd w:id="229"/>
      <w:bookmarkEnd w:id="230"/>
      <w:r>
        <w:rPr>
          <w:rFonts w:ascii="宋体" w:hAnsi="宋体"/>
          <w:b/>
          <w:szCs w:val="21"/>
        </w:rPr>
        <w:tab/>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评标活动遵循公平、公正、科学和择优的原则。</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31" w:name="_Toc403513527"/>
      <w:bookmarkStart w:id="232" w:name="_Toc144974533"/>
      <w:bookmarkStart w:id="233" w:name="_Toc330213980"/>
      <w:bookmarkStart w:id="234" w:name="_Toc152042341"/>
      <w:bookmarkStart w:id="235" w:name="_Toc332121748"/>
      <w:bookmarkStart w:id="236" w:name="_Toc152045565"/>
      <w:r>
        <w:rPr>
          <w:rFonts w:hint="eastAsia" w:ascii="宋体" w:hAnsi="宋体"/>
          <w:b/>
          <w:szCs w:val="21"/>
        </w:rPr>
        <w:t>评标</w:t>
      </w:r>
      <w:bookmarkEnd w:id="231"/>
      <w:bookmarkEnd w:id="232"/>
      <w:bookmarkEnd w:id="233"/>
      <w:bookmarkEnd w:id="234"/>
      <w:bookmarkEnd w:id="235"/>
      <w:bookmarkEnd w:id="236"/>
    </w:p>
    <w:p>
      <w:pPr>
        <w:pStyle w:val="263"/>
        <w:widowControl w:val="0"/>
        <w:numPr>
          <w:ilvl w:val="2"/>
          <w:numId w:val="4"/>
        </w:numPr>
        <w:autoSpaceDE w:val="0"/>
        <w:autoSpaceDN w:val="0"/>
        <w:adjustRightInd w:val="0"/>
        <w:snapToGrid w:val="0"/>
        <w:ind w:firstLineChars="0"/>
        <w:jc w:val="left"/>
        <w:rPr>
          <w:rFonts w:ascii="宋体" w:hAnsi="宋体"/>
          <w:spacing w:val="-2"/>
          <w:szCs w:val="21"/>
        </w:rPr>
      </w:pPr>
      <w:bookmarkStart w:id="237" w:name="_Toc152042342"/>
      <w:bookmarkStart w:id="238" w:name="_Toc144974534"/>
      <w:bookmarkStart w:id="239" w:name="_Toc152045566"/>
      <w:r>
        <w:rPr>
          <w:rFonts w:hint="eastAsia" w:ascii="宋体" w:hAnsi="宋体"/>
          <w:szCs w:val="21"/>
        </w:rPr>
        <w:t>评标小组</w:t>
      </w:r>
      <w:r>
        <w:rPr>
          <w:rFonts w:ascii="宋体" w:hAnsi="宋体"/>
          <w:szCs w:val="21"/>
        </w:rPr>
        <w:t>按照投标人须知前附表</w:t>
      </w:r>
      <w:r>
        <w:rPr>
          <w:rFonts w:hint="eastAsia" w:ascii="宋体" w:hAnsi="宋体"/>
          <w:szCs w:val="21"/>
        </w:rPr>
        <w:t>和</w:t>
      </w:r>
      <w:r>
        <w:rPr>
          <w:rFonts w:ascii="宋体" w:hAnsi="宋体"/>
          <w:szCs w:val="21"/>
        </w:rPr>
        <w:t>第</w:t>
      </w:r>
      <w:r>
        <w:rPr>
          <w:rFonts w:hint="eastAsia" w:ascii="宋体" w:hAnsi="宋体"/>
          <w:szCs w:val="21"/>
        </w:rPr>
        <w:t>二</w:t>
      </w:r>
      <w:r>
        <w:rPr>
          <w:rFonts w:ascii="宋体" w:hAnsi="宋体"/>
          <w:szCs w:val="21"/>
        </w:rPr>
        <w:t>章“评</w:t>
      </w:r>
      <w:r>
        <w:rPr>
          <w:rFonts w:hint="eastAsia" w:ascii="宋体" w:hAnsi="宋体"/>
          <w:szCs w:val="21"/>
        </w:rPr>
        <w:t>定</w:t>
      </w:r>
      <w:r>
        <w:rPr>
          <w:rFonts w:ascii="宋体" w:hAnsi="宋体"/>
          <w:szCs w:val="21"/>
        </w:rPr>
        <w:t>标办法”规定的方法、评审因素、标准和程序对投标文</w:t>
      </w:r>
      <w:r>
        <w:rPr>
          <w:rFonts w:ascii="宋体" w:hAnsi="宋体"/>
          <w:spacing w:val="-2"/>
          <w:szCs w:val="21"/>
        </w:rPr>
        <w:t>件进行评审。第</w:t>
      </w:r>
      <w:r>
        <w:rPr>
          <w:rFonts w:hint="eastAsia" w:ascii="宋体" w:hAnsi="宋体"/>
          <w:spacing w:val="-2"/>
          <w:szCs w:val="21"/>
        </w:rPr>
        <w:t>二</w:t>
      </w:r>
      <w:r>
        <w:rPr>
          <w:rFonts w:ascii="宋体" w:hAnsi="宋体"/>
          <w:spacing w:val="-2"/>
          <w:szCs w:val="21"/>
        </w:rPr>
        <w:t>章“评</w:t>
      </w:r>
      <w:r>
        <w:rPr>
          <w:rFonts w:hint="eastAsia" w:ascii="宋体" w:hAnsi="宋体"/>
          <w:spacing w:val="-2"/>
          <w:szCs w:val="21"/>
        </w:rPr>
        <w:t>定</w:t>
      </w:r>
      <w:r>
        <w:rPr>
          <w:rFonts w:ascii="宋体" w:hAnsi="宋体"/>
          <w:spacing w:val="-2"/>
          <w:szCs w:val="21"/>
        </w:rPr>
        <w:t>标办法”没有规定的方法、评审因素和标准，不作为评标依据。</w:t>
      </w:r>
    </w:p>
    <w:p>
      <w:pPr>
        <w:pStyle w:val="263"/>
        <w:widowControl w:val="0"/>
        <w:numPr>
          <w:ilvl w:val="2"/>
          <w:numId w:val="4"/>
        </w:numPr>
        <w:autoSpaceDE w:val="0"/>
        <w:autoSpaceDN w:val="0"/>
        <w:adjustRightInd w:val="0"/>
        <w:snapToGrid w:val="0"/>
        <w:ind w:firstLineChars="0"/>
        <w:jc w:val="left"/>
        <w:rPr>
          <w:rFonts w:ascii="宋体" w:hAnsi="宋体"/>
          <w:spacing w:val="-2"/>
          <w:szCs w:val="21"/>
        </w:rPr>
      </w:pPr>
      <w:r>
        <w:rPr>
          <w:rFonts w:ascii="宋体" w:hAnsi="宋体"/>
          <w:szCs w:val="21"/>
        </w:rPr>
        <w:t>评标完成后，</w:t>
      </w:r>
      <w:r>
        <w:rPr>
          <w:rFonts w:hint="eastAsia" w:ascii="宋体" w:hAnsi="宋体"/>
          <w:szCs w:val="21"/>
        </w:rPr>
        <w:t>评标小组</w:t>
      </w:r>
      <w:r>
        <w:rPr>
          <w:rFonts w:ascii="宋体" w:hAnsi="宋体"/>
          <w:szCs w:val="21"/>
        </w:rPr>
        <w:t>应当向招标人</w:t>
      </w:r>
      <w:r>
        <w:rPr>
          <w:rFonts w:hint="eastAsia" w:ascii="宋体" w:hAnsi="宋体"/>
          <w:szCs w:val="21"/>
        </w:rPr>
        <w:t>以书面形式</w:t>
      </w:r>
      <w:r>
        <w:rPr>
          <w:rFonts w:ascii="宋体" w:hAnsi="宋体"/>
          <w:szCs w:val="21"/>
        </w:rPr>
        <w:t>提交评标报告。</w:t>
      </w:r>
      <w:r>
        <w:rPr>
          <w:rFonts w:hint="eastAsia" w:ascii="宋体" w:hAnsi="宋体"/>
          <w:szCs w:val="21"/>
        </w:rPr>
        <w:t>评标小组</w:t>
      </w:r>
      <w:r>
        <w:rPr>
          <w:rFonts w:ascii="宋体" w:hAnsi="宋体"/>
          <w:spacing w:val="-2"/>
          <w:szCs w:val="21"/>
        </w:rPr>
        <w:t>推荐中标候选人的人数见投标人须知前附表。</w:t>
      </w:r>
    </w:p>
    <w:bookmarkEnd w:id="237"/>
    <w:bookmarkEnd w:id="238"/>
    <w:bookmarkEnd w:id="239"/>
    <w:p>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定标</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40" w:name="_Toc403513529"/>
      <w:bookmarkStart w:id="241" w:name="_Toc152045567"/>
      <w:bookmarkStart w:id="242" w:name="_Toc332121750"/>
      <w:bookmarkStart w:id="243" w:name="_Toc330213982"/>
      <w:bookmarkStart w:id="244" w:name="_Toc152042343"/>
      <w:bookmarkStart w:id="245" w:name="_Toc144974535"/>
      <w:r>
        <w:rPr>
          <w:rFonts w:hint="eastAsia" w:ascii="宋体" w:hAnsi="宋体"/>
          <w:b/>
          <w:szCs w:val="21"/>
        </w:rPr>
        <w:t>定标方式</w:t>
      </w:r>
      <w:bookmarkEnd w:id="240"/>
      <w:bookmarkEnd w:id="241"/>
      <w:bookmarkEnd w:id="242"/>
      <w:bookmarkEnd w:id="243"/>
      <w:bookmarkEnd w:id="244"/>
      <w:bookmarkEnd w:id="245"/>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除投标人须知前附表规定评标委员会直接确定中标人外，招标人依据评标委员会推荐的中标候选人确定中标人。定标方法及定标程序详见投标人须知前附表。</w:t>
      </w:r>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中标公示</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招标人在确定中标结果后，按照投标人须知前附表规定的媒介公示中标候选人，公示期不得少于3天。</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中标候选人公示期满且无异议，按照投标人须知前附表规定的媒介公告中标结果。</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46" w:name="_Toc152045568"/>
      <w:bookmarkStart w:id="247" w:name="_Toc152042344"/>
      <w:bookmarkStart w:id="248" w:name="_Toc144974536"/>
      <w:r>
        <w:rPr>
          <w:rFonts w:ascii="宋体" w:hAnsi="宋体"/>
          <w:b/>
          <w:szCs w:val="21"/>
        </w:rPr>
        <w:t>评标结果异议</w:t>
      </w:r>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投标人或者其他利害关系人对评</w:t>
      </w:r>
      <w:r>
        <w:rPr>
          <w:rFonts w:hint="eastAsia" w:ascii="宋体" w:hAnsi="宋体"/>
          <w:szCs w:val="21"/>
        </w:rPr>
        <w:t>标或定</w:t>
      </w:r>
      <w:r>
        <w:rPr>
          <w:rFonts w:ascii="宋体" w:hAnsi="宋体"/>
          <w:szCs w:val="21"/>
        </w:rPr>
        <w:t>标结果有异议的，应当在中标候选人公示期间提出。</w:t>
      </w:r>
    </w:p>
    <w:p>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合同授予</w:t>
      </w:r>
      <w:bookmarkStart w:id="249" w:name="_Toc332121751"/>
      <w:bookmarkStart w:id="250" w:name="_Toc330213983"/>
      <w:bookmarkStart w:id="251" w:name="_Toc403513530"/>
    </w:p>
    <w:p>
      <w:pPr>
        <w:pStyle w:val="263"/>
        <w:widowControl w:val="0"/>
        <w:numPr>
          <w:ilvl w:val="1"/>
          <w:numId w:val="4"/>
        </w:numPr>
        <w:autoSpaceDE w:val="0"/>
        <w:autoSpaceDN w:val="0"/>
        <w:adjustRightInd w:val="0"/>
        <w:snapToGrid w:val="0"/>
        <w:ind w:firstLineChars="0"/>
        <w:jc w:val="left"/>
        <w:rPr>
          <w:rFonts w:ascii="宋体" w:hAnsi="宋体"/>
          <w:b/>
          <w:szCs w:val="21"/>
        </w:rPr>
      </w:pPr>
      <w:r>
        <w:rPr>
          <w:rFonts w:hint="eastAsia" w:ascii="宋体" w:hAnsi="宋体"/>
          <w:b/>
          <w:szCs w:val="21"/>
        </w:rPr>
        <w:t>履约能力的审查</w:t>
      </w:r>
      <w:bookmarkEnd w:id="249"/>
      <w:bookmarkEnd w:id="250"/>
      <w:bookmarkEnd w:id="251"/>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在发出中标通知书之前的任何时候，均有对中标候选人履约能力进行审查的权利，包括审查中标候选人资信情况的有关原件、经营状况、供货能力等招标人认为可能影响投标人履约的相关材料，投标人须无条件配合招标人的相关审查工作。审查不合格的或不配合审查的，原评标小组将重新审查其中标候选人资格。</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52" w:name="_Toc330213984"/>
      <w:bookmarkStart w:id="253" w:name="_Toc403513531"/>
      <w:bookmarkStart w:id="254" w:name="_Toc332121752"/>
      <w:r>
        <w:rPr>
          <w:rFonts w:hint="eastAsia" w:ascii="宋体" w:hAnsi="宋体"/>
          <w:b/>
          <w:szCs w:val="21"/>
        </w:rPr>
        <w:t>中标通知</w:t>
      </w:r>
      <w:bookmarkEnd w:id="246"/>
      <w:bookmarkEnd w:id="247"/>
      <w:bookmarkEnd w:id="248"/>
      <w:bookmarkEnd w:id="252"/>
      <w:bookmarkEnd w:id="253"/>
      <w:bookmarkEnd w:id="254"/>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在本章第3.3款规定的投标有效期内，招标人向中标人发出中标通知书，同时将中标结果通知未中标的投标人。</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55" w:name="_Toc525476150"/>
      <w:bookmarkStart w:id="256" w:name="_Toc330213986"/>
      <w:bookmarkStart w:id="257" w:name="_Toc152045570"/>
      <w:bookmarkStart w:id="258" w:name="_Toc403513533"/>
      <w:bookmarkStart w:id="259" w:name="_Toc144974538"/>
      <w:bookmarkStart w:id="260" w:name="_Toc524169011"/>
      <w:bookmarkStart w:id="261" w:name="_Toc152042346"/>
      <w:bookmarkStart w:id="262" w:name="_Toc332121754"/>
      <w:bookmarkStart w:id="263" w:name="_Toc11464"/>
      <w:r>
        <w:rPr>
          <w:rFonts w:hint="eastAsia" w:ascii="宋体" w:hAnsi="宋体"/>
          <w:b/>
          <w:szCs w:val="21"/>
        </w:rPr>
        <w:t>签订合同</w:t>
      </w:r>
      <w:bookmarkEnd w:id="255"/>
      <w:bookmarkEnd w:id="256"/>
      <w:bookmarkEnd w:id="257"/>
      <w:bookmarkEnd w:id="258"/>
      <w:bookmarkEnd w:id="259"/>
      <w:bookmarkEnd w:id="260"/>
      <w:bookmarkEnd w:id="261"/>
      <w:bookmarkEnd w:id="262"/>
      <w:bookmarkEnd w:id="263"/>
    </w:p>
    <w:p>
      <w:pPr>
        <w:pStyle w:val="263"/>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招标人和中标人应当在中标通知书发出之日起30日内，根据招标文件和中标人的投标文件订立书面合同。中标人无正当理由</w:t>
      </w:r>
      <w:r>
        <w:rPr>
          <w:rFonts w:hint="eastAsia" w:ascii="宋体" w:hAnsi="宋体"/>
          <w:szCs w:val="21"/>
        </w:rPr>
        <w:t>不与招标人订立</w:t>
      </w:r>
      <w:r>
        <w:rPr>
          <w:rFonts w:ascii="宋体" w:hAnsi="宋体"/>
          <w:szCs w:val="21"/>
        </w:rPr>
        <w:t>合同，在签订合同时向招标人提出附加条件，招标人有权取消其中标资格；给招标人造成的</w:t>
      </w:r>
      <w:r>
        <w:rPr>
          <w:rFonts w:hint="eastAsia" w:ascii="宋体" w:hAnsi="宋体"/>
          <w:szCs w:val="21"/>
        </w:rPr>
        <w:t>损失</w:t>
      </w:r>
      <w:r>
        <w:rPr>
          <w:rFonts w:ascii="宋体" w:hAnsi="宋体"/>
          <w:szCs w:val="21"/>
        </w:rPr>
        <w:t>，中标人应当予以赔偿。</w:t>
      </w:r>
    </w:p>
    <w:p>
      <w:pPr>
        <w:pStyle w:val="263"/>
        <w:widowControl w:val="0"/>
        <w:numPr>
          <w:ilvl w:val="0"/>
          <w:numId w:val="4"/>
        </w:numPr>
        <w:autoSpaceDE w:val="0"/>
        <w:autoSpaceDN w:val="0"/>
        <w:adjustRightInd w:val="0"/>
        <w:snapToGrid w:val="0"/>
        <w:ind w:firstLineChars="0"/>
        <w:jc w:val="left"/>
        <w:rPr>
          <w:rFonts w:ascii="宋体" w:hAnsi="宋体"/>
          <w:b/>
          <w:szCs w:val="21"/>
        </w:rPr>
      </w:pPr>
      <w:bookmarkStart w:id="264" w:name="_Hlk46483854"/>
      <w:r>
        <w:rPr>
          <w:rFonts w:hint="eastAsia" w:ascii="宋体" w:hAnsi="宋体"/>
          <w:b/>
          <w:szCs w:val="21"/>
        </w:rPr>
        <w:t>招标失败的情形</w:t>
      </w:r>
    </w:p>
    <w:p>
      <w:pPr>
        <w:pStyle w:val="263"/>
        <w:widowControl w:val="0"/>
        <w:autoSpaceDE w:val="0"/>
        <w:autoSpaceDN w:val="0"/>
        <w:adjustRightInd w:val="0"/>
        <w:snapToGrid w:val="0"/>
        <w:ind w:firstLine="0" w:firstLineChars="0"/>
        <w:jc w:val="left"/>
        <w:rPr>
          <w:rFonts w:ascii="宋体" w:hAnsi="宋体"/>
          <w:szCs w:val="21"/>
        </w:rPr>
      </w:pPr>
      <w:bookmarkStart w:id="265" w:name="_Toc152042350"/>
      <w:bookmarkStart w:id="266" w:name="_Toc152045574"/>
      <w:bookmarkStart w:id="267" w:name="_Toc144974542"/>
      <w:r>
        <w:rPr>
          <w:rFonts w:hint="eastAsia" w:ascii="宋体" w:hAnsi="宋体"/>
          <w:szCs w:val="21"/>
        </w:rPr>
        <w:t>发生以下情形的，招标人应当宣布本次招标失败：</w:t>
      </w:r>
    </w:p>
    <w:p>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因投标人数量不足三家未能达到开标条件的；</w:t>
      </w:r>
    </w:p>
    <w:p>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或者评标委员会否决所有投标的；</w:t>
      </w:r>
    </w:p>
    <w:p>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或者评标小组否决一部分投标后其他有效投标不足三个使得投标明显缺乏竞争而否决所有投标的；</w:t>
      </w:r>
    </w:p>
    <w:p>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招标项目发生重大变化，招标人取消采购任务的；</w:t>
      </w:r>
    </w:p>
    <w:p>
      <w:pPr>
        <w:pStyle w:val="263"/>
        <w:widowControl w:val="0"/>
        <w:numPr>
          <w:ilvl w:val="1"/>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w:t>
      </w:r>
      <w:r>
        <w:rPr>
          <w:rFonts w:ascii="宋体" w:hAnsi="宋体"/>
          <w:szCs w:val="21"/>
        </w:rPr>
        <w:t>须知</w:t>
      </w:r>
      <w:r>
        <w:rPr>
          <w:rFonts w:hint="eastAsia" w:ascii="宋体" w:hAnsi="宋体"/>
          <w:szCs w:val="21"/>
        </w:rPr>
        <w:t>前附表规定的其他情形。</w:t>
      </w:r>
      <w:bookmarkEnd w:id="264"/>
    </w:p>
    <w:p>
      <w:pPr>
        <w:pStyle w:val="263"/>
        <w:widowControl w:val="0"/>
        <w:autoSpaceDE w:val="0"/>
        <w:autoSpaceDN w:val="0"/>
        <w:adjustRightInd w:val="0"/>
        <w:snapToGrid w:val="0"/>
        <w:ind w:firstLine="0" w:firstLineChars="0"/>
        <w:jc w:val="left"/>
        <w:rPr>
          <w:rFonts w:ascii="宋体" w:hAnsi="宋体"/>
          <w:szCs w:val="21"/>
        </w:rPr>
      </w:pPr>
    </w:p>
    <w:p>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纪律和监督</w:t>
      </w:r>
      <w:bookmarkEnd w:id="265"/>
      <w:bookmarkEnd w:id="266"/>
      <w:bookmarkEnd w:id="267"/>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68" w:name="_Toc330213991"/>
      <w:bookmarkStart w:id="269" w:name="_Toc152045575"/>
      <w:bookmarkStart w:id="270" w:name="_Toc144974543"/>
      <w:bookmarkStart w:id="271" w:name="_Toc403513538"/>
      <w:bookmarkStart w:id="272" w:name="_Toc332121759"/>
      <w:bookmarkStart w:id="273" w:name="_Toc152042351"/>
      <w:r>
        <w:rPr>
          <w:rFonts w:hint="eastAsia" w:ascii="宋体" w:hAnsi="宋体"/>
          <w:b/>
          <w:szCs w:val="21"/>
        </w:rPr>
        <w:t>对招标人的纪律要求</w:t>
      </w:r>
      <w:bookmarkEnd w:id="268"/>
      <w:bookmarkEnd w:id="269"/>
      <w:bookmarkEnd w:id="270"/>
      <w:bookmarkEnd w:id="271"/>
      <w:bookmarkEnd w:id="272"/>
      <w:bookmarkEnd w:id="273"/>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招标人不得泄漏招标投标活动中应当保密的情况和资料，不得与投标人串通损害国家利益、社会公共利益或者他人合法权益。</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74" w:name="_Toc403513539"/>
      <w:bookmarkStart w:id="275" w:name="_Toc152042352"/>
      <w:bookmarkStart w:id="276" w:name="_Toc330213992"/>
      <w:bookmarkStart w:id="277" w:name="_Toc152045576"/>
      <w:bookmarkStart w:id="278" w:name="_Toc144974544"/>
      <w:bookmarkStart w:id="279" w:name="_Toc332121760"/>
      <w:r>
        <w:rPr>
          <w:rFonts w:hint="eastAsia" w:ascii="宋体" w:hAnsi="宋体"/>
          <w:b/>
          <w:szCs w:val="21"/>
        </w:rPr>
        <w:t>对投标人的纪律要求</w:t>
      </w:r>
      <w:bookmarkEnd w:id="274"/>
      <w:bookmarkEnd w:id="275"/>
      <w:bookmarkEnd w:id="276"/>
      <w:bookmarkEnd w:id="277"/>
      <w:bookmarkEnd w:id="278"/>
      <w:bookmarkEnd w:id="279"/>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投标人不得相互串通投标或者与招标人串通投标，不得向招标人或者评评标小组成员行贿谋取中标，不得以他人名义投标或者以其他方式弄虚作假骗取中标；投标人不得以任何方式干扰、影响评标工作。</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80" w:name="_Toc144974545"/>
      <w:bookmarkStart w:id="281" w:name="_Toc152045577"/>
      <w:bookmarkStart w:id="282" w:name="_Toc403513540"/>
      <w:bookmarkStart w:id="283" w:name="_Toc332121761"/>
      <w:bookmarkStart w:id="284" w:name="_Toc152042353"/>
      <w:bookmarkStart w:id="285" w:name="_Toc330213993"/>
      <w:r>
        <w:rPr>
          <w:rFonts w:hint="eastAsia" w:ascii="宋体" w:hAnsi="宋体"/>
          <w:b/>
          <w:szCs w:val="21"/>
        </w:rPr>
        <w:t>对评标委员会成员的纪律要求</w:t>
      </w:r>
      <w:bookmarkEnd w:id="280"/>
      <w:bookmarkEnd w:id="281"/>
      <w:bookmarkEnd w:id="282"/>
      <w:bookmarkEnd w:id="283"/>
      <w:bookmarkEnd w:id="284"/>
      <w:bookmarkEnd w:id="285"/>
    </w:p>
    <w:p>
      <w:pPr>
        <w:pStyle w:val="263"/>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评标小组成员不得收受他人的财物或者其他好处，不得向他人透露对投标文件的评审和比较、中标候选人的推荐情况以及与评标有关的其他情况。在评标活动中，评标小组成员不得擅离职守，影响评标程序正常进行，不得使用第二章“评定标办法”没有规定的评审因素和标准进行评标。</w:t>
      </w:r>
    </w:p>
    <w:p>
      <w:pPr>
        <w:pStyle w:val="263"/>
        <w:widowControl w:val="0"/>
        <w:numPr>
          <w:ilvl w:val="1"/>
          <w:numId w:val="4"/>
        </w:numPr>
        <w:autoSpaceDE w:val="0"/>
        <w:autoSpaceDN w:val="0"/>
        <w:adjustRightInd w:val="0"/>
        <w:snapToGrid w:val="0"/>
        <w:ind w:firstLineChars="0"/>
        <w:jc w:val="left"/>
        <w:rPr>
          <w:rFonts w:ascii="宋体" w:hAnsi="宋体"/>
          <w:b/>
          <w:szCs w:val="21"/>
        </w:rPr>
      </w:pPr>
      <w:bookmarkStart w:id="286" w:name="_Toc332121762"/>
      <w:bookmarkStart w:id="287" w:name="_Toc152045578"/>
      <w:bookmarkStart w:id="288" w:name="_Toc403513541"/>
      <w:bookmarkStart w:id="289" w:name="_Toc330213994"/>
      <w:bookmarkStart w:id="290" w:name="_Toc152042354"/>
      <w:bookmarkStart w:id="291" w:name="_Toc144974546"/>
      <w:r>
        <w:rPr>
          <w:rFonts w:hint="eastAsia" w:ascii="宋体" w:hAnsi="宋体"/>
          <w:b/>
          <w:szCs w:val="21"/>
        </w:rPr>
        <w:t>对与评标活动有关的工作人员的纪律要求</w:t>
      </w:r>
      <w:bookmarkEnd w:id="286"/>
      <w:bookmarkEnd w:id="287"/>
      <w:bookmarkEnd w:id="288"/>
      <w:bookmarkEnd w:id="289"/>
      <w:bookmarkEnd w:id="290"/>
    </w:p>
    <w:p>
      <w:pPr>
        <w:pStyle w:val="263"/>
        <w:widowControl w:val="0"/>
        <w:numPr>
          <w:ilvl w:val="2"/>
          <w:numId w:val="4"/>
        </w:numPr>
        <w:autoSpaceDE w:val="0"/>
        <w:autoSpaceDN w:val="0"/>
        <w:adjustRightInd w:val="0"/>
        <w:snapToGrid w:val="0"/>
        <w:ind w:firstLineChars="0"/>
        <w:jc w:val="left"/>
        <w:rPr>
          <w:rFonts w:ascii="宋体" w:hAnsi="宋体"/>
          <w:szCs w:val="21"/>
        </w:rPr>
      </w:pPr>
      <w:bookmarkStart w:id="292" w:name="_Toc152042355"/>
      <w:r>
        <w:rPr>
          <w:rFonts w:hint="eastAsia" w:ascii="宋体" w:hAnsi="宋体"/>
          <w:szCs w:val="21"/>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91"/>
      <w:bookmarkEnd w:id="292"/>
    </w:p>
    <w:p>
      <w:pPr>
        <w:pStyle w:val="263"/>
        <w:widowControl w:val="0"/>
        <w:numPr>
          <w:ilvl w:val="0"/>
          <w:numId w:val="4"/>
        </w:numPr>
        <w:autoSpaceDE w:val="0"/>
        <w:autoSpaceDN w:val="0"/>
        <w:adjustRightInd w:val="0"/>
        <w:snapToGrid w:val="0"/>
        <w:ind w:firstLineChars="0"/>
        <w:jc w:val="left"/>
        <w:rPr>
          <w:rFonts w:ascii="宋体" w:hAnsi="宋体"/>
          <w:b/>
          <w:szCs w:val="21"/>
        </w:rPr>
      </w:pPr>
      <w:r>
        <w:rPr>
          <w:rFonts w:hint="eastAsia" w:ascii="宋体" w:hAnsi="宋体"/>
          <w:b/>
          <w:szCs w:val="21"/>
        </w:rPr>
        <w:t>需要补充的其他内容</w:t>
      </w:r>
    </w:p>
    <w:p>
      <w:pPr>
        <w:pStyle w:val="263"/>
        <w:widowControl w:val="0"/>
        <w:numPr>
          <w:ilvl w:val="1"/>
          <w:numId w:val="4"/>
        </w:numPr>
        <w:autoSpaceDE w:val="0"/>
        <w:autoSpaceDN w:val="0"/>
        <w:adjustRightInd w:val="0"/>
        <w:snapToGrid w:val="0"/>
        <w:ind w:firstLineChars="0"/>
        <w:jc w:val="left"/>
        <w:rPr>
          <w:rFonts w:ascii="宋体" w:hAnsi="宋体"/>
          <w:szCs w:val="21"/>
          <w:shd w:val="clear" w:color="auto" w:fill="FFFF00"/>
        </w:rPr>
      </w:pPr>
      <w:r>
        <w:rPr>
          <w:rFonts w:hint="eastAsia" w:ascii="宋体" w:hAnsi="宋体"/>
          <w:szCs w:val="21"/>
        </w:rPr>
        <w:t>其他内容见投标人须知前附表。</w:t>
      </w:r>
    </w:p>
    <w:bookmarkEnd w:id="53"/>
    <w:p>
      <w:pPr>
        <w:widowControl w:val="0"/>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68"/>
    <w:bookmarkEnd w:id="169"/>
    <w:bookmarkEnd w:id="170"/>
    <w:bookmarkEnd w:id="171"/>
    <w:bookmarkEnd w:id="172"/>
    <w:bookmarkEnd w:id="173"/>
    <w:p>
      <w:pPr>
        <w:widowControl w:val="0"/>
        <w:autoSpaceDE w:val="0"/>
        <w:autoSpaceDN w:val="0"/>
        <w:adjustRightInd w:val="0"/>
        <w:snapToGrid w:val="0"/>
        <w:ind w:firstLine="0" w:firstLineChars="0"/>
        <w:jc w:val="left"/>
        <w:rPr>
          <w:rFonts w:ascii="宋体" w:hAnsi="宋体"/>
          <w:sz w:val="84"/>
          <w:szCs w:val="84"/>
        </w:rPr>
      </w:pPr>
      <w:bookmarkStart w:id="293" w:name="_Toc152042375"/>
      <w:bookmarkStart w:id="294" w:name="_Toc144974565"/>
      <w:bookmarkStart w:id="295" w:name="_Toc152045598"/>
      <w:bookmarkStart w:id="296" w:name="_Hlk532142035"/>
    </w:p>
    <w:p>
      <w:pPr>
        <w:widowControl w:val="0"/>
        <w:autoSpaceDE w:val="0"/>
        <w:autoSpaceDN w:val="0"/>
        <w:adjustRightInd w:val="0"/>
        <w:snapToGrid w:val="0"/>
        <w:ind w:firstLine="0" w:firstLineChars="0"/>
        <w:jc w:val="left"/>
        <w:rPr>
          <w:rFonts w:ascii="宋体" w:hAnsi="宋体"/>
          <w:sz w:val="84"/>
          <w:szCs w:val="84"/>
        </w:rPr>
      </w:pPr>
    </w:p>
    <w:p>
      <w:pPr>
        <w:widowControl w:val="0"/>
        <w:autoSpaceDE w:val="0"/>
        <w:autoSpaceDN w:val="0"/>
        <w:adjustRightInd w:val="0"/>
        <w:snapToGrid w:val="0"/>
        <w:ind w:firstLine="0" w:firstLineChars="0"/>
        <w:jc w:val="left"/>
        <w:rPr>
          <w:rFonts w:ascii="宋体" w:hAnsi="宋体"/>
          <w:sz w:val="84"/>
          <w:szCs w:val="84"/>
        </w:rPr>
      </w:pPr>
    </w:p>
    <w:p>
      <w:pPr>
        <w:widowControl w:val="0"/>
        <w:autoSpaceDE w:val="0"/>
        <w:autoSpaceDN w:val="0"/>
        <w:adjustRightInd w:val="0"/>
        <w:snapToGrid w:val="0"/>
        <w:ind w:firstLine="0" w:firstLineChars="0"/>
        <w:jc w:val="center"/>
        <w:outlineLvl w:val="0"/>
        <w:rPr>
          <w:rFonts w:ascii="宋体" w:hAnsi="宋体"/>
          <w:sz w:val="52"/>
          <w:szCs w:val="52"/>
        </w:rPr>
      </w:pPr>
      <w:bookmarkStart w:id="297" w:name="_Toc49247157"/>
      <w:r>
        <w:rPr>
          <w:rFonts w:hint="eastAsia" w:ascii="宋体" w:hAnsi="宋体"/>
          <w:b/>
          <w:bCs/>
          <w:sz w:val="48"/>
          <w:szCs w:val="48"/>
        </w:rPr>
        <w:t>第二章 评定标办法（综合评审法）</w:t>
      </w:r>
      <w:bookmarkEnd w:id="293"/>
      <w:bookmarkEnd w:id="294"/>
      <w:bookmarkEnd w:id="295"/>
      <w:bookmarkEnd w:id="297"/>
      <w:bookmarkStart w:id="298" w:name="_Toc330213998"/>
      <w:bookmarkStart w:id="299" w:name="_Toc144974567"/>
      <w:bookmarkStart w:id="300" w:name="_Toc152045600"/>
      <w:bookmarkStart w:id="301" w:name="_Toc152042377"/>
      <w:bookmarkStart w:id="302" w:name="_Toc379581361"/>
    </w:p>
    <w:p>
      <w:pPr>
        <w:widowControl w:val="0"/>
        <w:autoSpaceDE w:val="0"/>
        <w:autoSpaceDN w:val="0"/>
        <w:adjustRightInd w:val="0"/>
        <w:snapToGrid w:val="0"/>
        <w:ind w:firstLine="0" w:firstLineChars="0"/>
        <w:jc w:val="center"/>
        <w:outlineLvl w:val="1"/>
        <w:rPr>
          <w:rFonts w:ascii="宋体" w:hAnsi="宋体"/>
          <w:b/>
          <w:sz w:val="32"/>
          <w:szCs w:val="32"/>
        </w:rPr>
      </w:pPr>
      <w:r>
        <w:rPr>
          <w:rFonts w:ascii="宋体" w:hAnsi="宋体"/>
        </w:rPr>
        <w:br w:type="page"/>
      </w:r>
      <w:bookmarkStart w:id="303" w:name="_Toc49247158"/>
      <w:r>
        <w:rPr>
          <w:rFonts w:hint="eastAsia" w:ascii="宋体" w:hAnsi="宋体"/>
          <w:b/>
          <w:sz w:val="32"/>
          <w:szCs w:val="32"/>
        </w:rPr>
        <w:t>一、评标须知</w:t>
      </w:r>
      <w:bookmarkEnd w:id="303"/>
    </w:p>
    <w:p>
      <w:pPr>
        <w:widowControl w:val="0"/>
        <w:numPr>
          <w:ilvl w:val="0"/>
          <w:numId w:val="5"/>
        </w:numPr>
        <w:autoSpaceDE w:val="0"/>
        <w:autoSpaceDN w:val="0"/>
        <w:adjustRightInd w:val="0"/>
        <w:snapToGrid w:val="0"/>
        <w:ind w:firstLineChars="0"/>
        <w:jc w:val="left"/>
        <w:rPr>
          <w:rFonts w:ascii="宋体" w:hAnsi="宋体"/>
          <w:b/>
        </w:rPr>
      </w:pPr>
      <w:bookmarkStart w:id="304" w:name="_Toc290992890"/>
      <w:bookmarkStart w:id="305" w:name="_Toc523252722"/>
      <w:bookmarkStart w:id="306" w:name="_Toc350872398"/>
      <w:bookmarkStart w:id="307" w:name="_Toc351032830"/>
      <w:bookmarkStart w:id="308" w:name="_Toc361737575"/>
      <w:bookmarkStart w:id="309" w:name="_Toc291178114"/>
      <w:r>
        <w:rPr>
          <w:rFonts w:hint="eastAsia" w:ascii="宋体" w:hAnsi="宋体"/>
          <w:b/>
        </w:rPr>
        <w:t>评标</w:t>
      </w:r>
      <w:bookmarkEnd w:id="304"/>
      <w:bookmarkEnd w:id="305"/>
      <w:bookmarkEnd w:id="306"/>
      <w:bookmarkEnd w:id="307"/>
      <w:bookmarkEnd w:id="308"/>
      <w:bookmarkEnd w:id="309"/>
      <w:r>
        <w:rPr>
          <w:rFonts w:hint="eastAsia" w:ascii="宋体" w:hAnsi="宋体"/>
          <w:b/>
        </w:rPr>
        <w:t>小组</w:t>
      </w:r>
    </w:p>
    <w:p>
      <w:pPr>
        <w:widowControl w:val="0"/>
        <w:numPr>
          <w:ilvl w:val="1"/>
          <w:numId w:val="5"/>
        </w:numPr>
        <w:autoSpaceDE w:val="0"/>
        <w:autoSpaceDN w:val="0"/>
        <w:adjustRightInd w:val="0"/>
        <w:snapToGrid w:val="0"/>
        <w:ind w:firstLineChars="0"/>
        <w:jc w:val="left"/>
        <w:rPr>
          <w:rFonts w:ascii="宋体" w:hAnsi="宋体"/>
          <w:b/>
        </w:rPr>
      </w:pPr>
      <w:r>
        <w:rPr>
          <w:rFonts w:ascii="宋体" w:hAnsi="宋体"/>
        </w:rPr>
        <w:t>招标人</w:t>
      </w:r>
      <w:r>
        <w:rPr>
          <w:rFonts w:hint="eastAsia" w:ascii="宋体" w:hAnsi="宋体"/>
        </w:rPr>
        <w:t>将</w:t>
      </w:r>
      <w:r>
        <w:rPr>
          <w:rFonts w:ascii="宋体" w:hAnsi="宋体"/>
        </w:rPr>
        <w:t>依法组</w:t>
      </w:r>
      <w:r>
        <w:rPr>
          <w:rFonts w:hint="eastAsia" w:ascii="宋体" w:hAnsi="宋体"/>
        </w:rPr>
        <w:t>建</w:t>
      </w:r>
      <w:r>
        <w:rPr>
          <w:rFonts w:ascii="宋体" w:hAnsi="宋体"/>
        </w:rPr>
        <w:t>评标</w:t>
      </w:r>
      <w:r>
        <w:rPr>
          <w:rFonts w:hint="eastAsia" w:ascii="宋体" w:hAnsi="宋体"/>
        </w:rPr>
        <w:t>小组</w:t>
      </w:r>
      <w:r>
        <w:rPr>
          <w:rFonts w:ascii="宋体" w:hAnsi="宋体"/>
        </w:rPr>
        <w:t>，评标</w:t>
      </w:r>
      <w:r>
        <w:rPr>
          <w:rFonts w:hint="eastAsia" w:ascii="宋体" w:hAnsi="宋体"/>
        </w:rPr>
        <w:t>小组由招标人根据需要自行组织</w:t>
      </w:r>
      <w:r>
        <w:rPr>
          <w:rFonts w:ascii="宋体" w:hAnsi="宋体"/>
        </w:rPr>
        <w:t>，成员人数为</w:t>
      </w:r>
      <w:r>
        <w:rPr>
          <w:rFonts w:hint="eastAsia" w:ascii="宋体" w:hAnsi="宋体"/>
        </w:rPr>
        <w:t>五</w:t>
      </w:r>
      <w:r>
        <w:rPr>
          <w:rFonts w:ascii="宋体" w:hAnsi="宋体"/>
        </w:rPr>
        <w:t>人</w:t>
      </w:r>
      <w:r>
        <w:rPr>
          <w:rFonts w:hint="eastAsia" w:ascii="宋体" w:hAnsi="宋体"/>
        </w:rPr>
        <w:t>（含）以上单数。</w:t>
      </w:r>
      <w:r>
        <w:rPr>
          <w:rFonts w:ascii="宋体" w:hAnsi="宋体"/>
        </w:rPr>
        <w:t>与投标人有利害关系的</w:t>
      </w:r>
      <w:r>
        <w:rPr>
          <w:rFonts w:hint="eastAsia" w:ascii="宋体" w:hAnsi="宋体"/>
        </w:rPr>
        <w:t>成员应当回避</w:t>
      </w:r>
      <w:r>
        <w:rPr>
          <w:rFonts w:ascii="宋体" w:hAnsi="宋体"/>
          <w:szCs w:val="21"/>
        </w:rPr>
        <w:t>。</w:t>
      </w:r>
    </w:p>
    <w:p>
      <w:pPr>
        <w:widowControl w:val="0"/>
        <w:numPr>
          <w:ilvl w:val="0"/>
          <w:numId w:val="5"/>
        </w:numPr>
        <w:autoSpaceDE w:val="0"/>
        <w:autoSpaceDN w:val="0"/>
        <w:adjustRightInd w:val="0"/>
        <w:snapToGrid w:val="0"/>
        <w:ind w:firstLineChars="0"/>
        <w:jc w:val="left"/>
        <w:rPr>
          <w:rFonts w:ascii="宋体" w:hAnsi="宋体"/>
          <w:b/>
        </w:rPr>
      </w:pPr>
      <w:bookmarkStart w:id="310" w:name="_Toc361737576"/>
      <w:bookmarkStart w:id="311" w:name="_Toc523252723"/>
      <w:bookmarkStart w:id="312" w:name="_Toc290992891"/>
      <w:bookmarkStart w:id="313" w:name="_Toc351032831"/>
      <w:bookmarkStart w:id="314" w:name="_Toc350872399"/>
      <w:bookmarkStart w:id="315" w:name="_Toc291178115"/>
      <w:r>
        <w:rPr>
          <w:rFonts w:hint="eastAsia" w:ascii="宋体" w:hAnsi="宋体"/>
          <w:b/>
        </w:rPr>
        <w:t>评标人员守则</w:t>
      </w:r>
      <w:bookmarkEnd w:id="310"/>
      <w:bookmarkEnd w:id="311"/>
      <w:bookmarkEnd w:id="312"/>
      <w:bookmarkEnd w:id="313"/>
      <w:bookmarkEnd w:id="314"/>
      <w:bookmarkEnd w:id="315"/>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所有参加评标人员必须遵守国家及有关地方制定的有关招标投标的法则、规定，遵守有关货物采购招标投标的保密制度；如果发现评委徇私，违反纪律，则招标人有权取消其评标资格，并报直管部门或有关监督部门备案；情节严重，构成犯罪的，由司法机关依法追究其刑事责任。</w:t>
      </w:r>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全体参与评标人员：</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必须遵守评标纪律、不得泄密；</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必须公正、不得</w:t>
      </w:r>
      <w:r>
        <w:rPr>
          <w:rFonts w:hint="eastAsia" w:ascii="宋体" w:hAnsi="宋体"/>
        </w:rPr>
        <w:t>徇</w:t>
      </w:r>
      <w:r>
        <w:rPr>
          <w:rFonts w:hint="eastAsia" w:ascii="宋体" w:hAnsi="宋体"/>
          <w:szCs w:val="21"/>
        </w:rPr>
        <w:t>私；</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必须科学、不得草率；</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必须客观、不得带有成见；</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必须平等、不得强加于人；</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必须严谨、不得随意马虎。</w:t>
      </w:r>
    </w:p>
    <w:p>
      <w:pPr>
        <w:widowControl w:val="0"/>
        <w:numPr>
          <w:ilvl w:val="0"/>
          <w:numId w:val="5"/>
        </w:numPr>
        <w:autoSpaceDE w:val="0"/>
        <w:autoSpaceDN w:val="0"/>
        <w:adjustRightInd w:val="0"/>
        <w:snapToGrid w:val="0"/>
        <w:ind w:firstLineChars="0"/>
        <w:jc w:val="left"/>
        <w:rPr>
          <w:rFonts w:ascii="宋体" w:hAnsi="宋体"/>
          <w:b/>
        </w:rPr>
      </w:pPr>
      <w:r>
        <w:rPr>
          <w:rFonts w:hint="eastAsia" w:ascii="宋体" w:hAnsi="宋体"/>
          <w:b/>
        </w:rPr>
        <w:t>评标步骤</w:t>
      </w:r>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全部评标过程将按以下步骤进行：</w:t>
      </w:r>
    </w:p>
    <w:p>
      <w:pPr>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评标准备</w:t>
      </w:r>
      <w:r>
        <w:rPr>
          <w:rFonts w:hint="eastAsia" w:ascii="宋体" w:hAnsi="宋体"/>
          <w:szCs w:val="21"/>
        </w:rPr>
        <w:t>；</w:t>
      </w:r>
    </w:p>
    <w:p>
      <w:pPr>
        <w:widowControl w:val="0"/>
        <w:numPr>
          <w:ilvl w:val="2"/>
          <w:numId w:val="5"/>
        </w:numPr>
        <w:autoSpaceDE w:val="0"/>
        <w:autoSpaceDN w:val="0"/>
        <w:adjustRightInd w:val="0"/>
        <w:snapToGrid w:val="0"/>
        <w:ind w:firstLineChars="0"/>
        <w:jc w:val="left"/>
        <w:rPr>
          <w:rFonts w:ascii="宋体" w:hAnsi="宋体"/>
          <w:bCs/>
        </w:rPr>
      </w:pPr>
      <w:r>
        <w:rPr>
          <w:rFonts w:hint="eastAsia" w:ascii="宋体" w:hAnsi="宋体"/>
          <w:bCs/>
        </w:rPr>
        <w:t>否决性评审</w:t>
      </w:r>
      <w:r>
        <w:rPr>
          <w:rFonts w:ascii="宋体" w:hAnsi="宋体"/>
          <w:bCs/>
        </w:rPr>
        <w:t>；</w:t>
      </w:r>
    </w:p>
    <w:p>
      <w:pPr>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初步评审；</w:t>
      </w:r>
    </w:p>
    <w:p>
      <w:pPr>
        <w:widowControl w:val="0"/>
        <w:numPr>
          <w:ilvl w:val="2"/>
          <w:numId w:val="5"/>
        </w:numPr>
        <w:autoSpaceDE w:val="0"/>
        <w:autoSpaceDN w:val="0"/>
        <w:adjustRightInd w:val="0"/>
        <w:snapToGrid w:val="0"/>
        <w:ind w:firstLineChars="0"/>
        <w:jc w:val="left"/>
        <w:rPr>
          <w:rFonts w:ascii="宋体" w:hAnsi="宋体"/>
          <w:szCs w:val="21"/>
        </w:rPr>
      </w:pPr>
      <w:r>
        <w:rPr>
          <w:rFonts w:hint="eastAsia" w:ascii="宋体" w:hAnsi="宋体"/>
          <w:szCs w:val="21"/>
        </w:rPr>
        <w:t>详细评审；</w:t>
      </w:r>
    </w:p>
    <w:p>
      <w:pPr>
        <w:widowControl w:val="0"/>
        <w:numPr>
          <w:ilvl w:val="2"/>
          <w:numId w:val="5"/>
        </w:numPr>
        <w:autoSpaceDE w:val="0"/>
        <w:autoSpaceDN w:val="0"/>
        <w:adjustRightInd w:val="0"/>
        <w:snapToGrid w:val="0"/>
        <w:ind w:firstLineChars="0"/>
        <w:jc w:val="left"/>
        <w:rPr>
          <w:rFonts w:ascii="宋体" w:hAnsi="宋体"/>
          <w:szCs w:val="21"/>
        </w:rPr>
      </w:pPr>
      <w:r>
        <w:rPr>
          <w:rFonts w:ascii="宋体" w:hAnsi="宋体"/>
          <w:szCs w:val="21"/>
        </w:rPr>
        <w:t>评标报告</w:t>
      </w:r>
      <w:r>
        <w:rPr>
          <w:rFonts w:hint="eastAsia" w:ascii="宋体" w:hAnsi="宋体"/>
          <w:szCs w:val="21"/>
        </w:rPr>
        <w:t>。</w:t>
      </w:r>
    </w:p>
    <w:p>
      <w:pPr>
        <w:widowControl w:val="0"/>
        <w:numPr>
          <w:ilvl w:val="0"/>
          <w:numId w:val="5"/>
        </w:numPr>
        <w:autoSpaceDE w:val="0"/>
        <w:autoSpaceDN w:val="0"/>
        <w:adjustRightInd w:val="0"/>
        <w:snapToGrid w:val="0"/>
        <w:ind w:firstLineChars="0"/>
        <w:jc w:val="left"/>
        <w:rPr>
          <w:rFonts w:ascii="宋体" w:hAnsi="宋体"/>
          <w:b/>
        </w:rPr>
      </w:pPr>
      <w:bookmarkStart w:id="316" w:name="_Toc523252725"/>
      <w:r>
        <w:rPr>
          <w:rFonts w:ascii="宋体" w:hAnsi="宋体"/>
          <w:b/>
        </w:rPr>
        <w:t>评标准备</w:t>
      </w:r>
      <w:bookmarkEnd w:id="316"/>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评标小组人员</w:t>
      </w:r>
      <w:r>
        <w:rPr>
          <w:rFonts w:ascii="宋体" w:hAnsi="宋体"/>
        </w:rPr>
        <w:t>进入评标室后，首先推选</w:t>
      </w:r>
      <w:r>
        <w:rPr>
          <w:rFonts w:hint="eastAsia" w:ascii="宋体" w:hAnsi="宋体"/>
        </w:rPr>
        <w:t>一名成员担任</w:t>
      </w:r>
      <w:r>
        <w:rPr>
          <w:rFonts w:ascii="宋体" w:hAnsi="宋体"/>
        </w:rPr>
        <w:t>评标委员会</w:t>
      </w:r>
      <w:r>
        <w:rPr>
          <w:rFonts w:hint="eastAsia" w:ascii="宋体" w:hAnsi="宋体"/>
        </w:rPr>
        <w:t>组长</w:t>
      </w:r>
      <w:r>
        <w:rPr>
          <w:rFonts w:ascii="宋体" w:hAnsi="宋体"/>
        </w:rPr>
        <w:t>。评标委员会</w:t>
      </w:r>
      <w:r>
        <w:rPr>
          <w:rFonts w:hint="eastAsia" w:ascii="宋体" w:hAnsi="宋体"/>
        </w:rPr>
        <w:t>组长</w:t>
      </w:r>
      <w:r>
        <w:rPr>
          <w:rFonts w:ascii="宋体" w:hAnsi="宋体"/>
        </w:rPr>
        <w:t>负责评标过程中的组织工作，引导评标</w:t>
      </w:r>
      <w:r>
        <w:rPr>
          <w:rFonts w:hint="eastAsia" w:ascii="宋体" w:hAnsi="宋体"/>
        </w:rPr>
        <w:t>小组</w:t>
      </w:r>
      <w:r>
        <w:rPr>
          <w:rFonts w:ascii="宋体" w:hAnsi="宋体"/>
        </w:rPr>
        <w:t>按约定的程序</w:t>
      </w:r>
      <w:r>
        <w:rPr>
          <w:rFonts w:hint="eastAsia" w:ascii="宋体" w:hAnsi="宋体"/>
        </w:rPr>
        <w:t>进行</w:t>
      </w:r>
      <w:r>
        <w:rPr>
          <w:rFonts w:ascii="宋体" w:hAnsi="宋体"/>
        </w:rPr>
        <w:t>评标。</w:t>
      </w:r>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评标小组人员应当</w:t>
      </w:r>
      <w:r>
        <w:rPr>
          <w:rFonts w:ascii="宋体" w:hAnsi="宋体"/>
        </w:rPr>
        <w:t>熟悉</w:t>
      </w:r>
      <w:r>
        <w:rPr>
          <w:rFonts w:hint="eastAsia" w:ascii="宋体" w:hAnsi="宋体"/>
        </w:rPr>
        <w:t>招标文件、评标方法等有关文件，</w:t>
      </w:r>
      <w:r>
        <w:rPr>
          <w:rFonts w:ascii="宋体" w:hAnsi="宋体"/>
        </w:rPr>
        <w:t>包括</w:t>
      </w:r>
      <w:r>
        <w:rPr>
          <w:rFonts w:hint="eastAsia" w:ascii="宋体" w:hAnsi="宋体"/>
        </w:rPr>
        <w:t>项目概</w:t>
      </w:r>
      <w:r>
        <w:rPr>
          <w:rFonts w:ascii="宋体" w:hAnsi="宋体"/>
        </w:rPr>
        <w:t>况</w:t>
      </w:r>
      <w:r>
        <w:rPr>
          <w:rFonts w:hint="eastAsia" w:ascii="宋体" w:hAnsi="宋体"/>
        </w:rPr>
        <w:t>、</w:t>
      </w:r>
      <w:r>
        <w:rPr>
          <w:rFonts w:ascii="宋体" w:hAnsi="宋体"/>
        </w:rPr>
        <w:t>招标范围</w:t>
      </w:r>
      <w:r>
        <w:rPr>
          <w:rFonts w:hint="eastAsia" w:ascii="宋体" w:hAnsi="宋体"/>
        </w:rPr>
        <w:t>、</w:t>
      </w:r>
      <w:r>
        <w:rPr>
          <w:rFonts w:ascii="宋体" w:hAnsi="宋体"/>
        </w:rPr>
        <w:t>招标目的</w:t>
      </w:r>
      <w:r>
        <w:rPr>
          <w:rFonts w:hint="eastAsia" w:ascii="宋体" w:hAnsi="宋体"/>
        </w:rPr>
        <w:t>、</w:t>
      </w:r>
      <w:r>
        <w:rPr>
          <w:rFonts w:ascii="宋体" w:hAnsi="宋体"/>
        </w:rPr>
        <w:t>评标方法</w:t>
      </w:r>
      <w:r>
        <w:rPr>
          <w:rFonts w:hint="eastAsia" w:ascii="宋体" w:hAnsi="宋体"/>
        </w:rPr>
        <w:t>、</w:t>
      </w:r>
      <w:r>
        <w:rPr>
          <w:rFonts w:ascii="宋体" w:hAnsi="宋体"/>
        </w:rPr>
        <w:t>评标</w:t>
      </w:r>
      <w:r>
        <w:rPr>
          <w:rFonts w:hint="eastAsia" w:ascii="宋体" w:hAnsi="宋体"/>
        </w:rPr>
        <w:t>所</w:t>
      </w:r>
      <w:r>
        <w:rPr>
          <w:rFonts w:ascii="宋体" w:hAnsi="宋体"/>
        </w:rPr>
        <w:t>用表格等。</w:t>
      </w:r>
    </w:p>
    <w:p>
      <w:pPr>
        <w:widowControl w:val="0"/>
        <w:numPr>
          <w:ilvl w:val="0"/>
          <w:numId w:val="5"/>
        </w:numPr>
        <w:autoSpaceDE w:val="0"/>
        <w:autoSpaceDN w:val="0"/>
        <w:adjustRightInd w:val="0"/>
        <w:snapToGrid w:val="0"/>
        <w:ind w:firstLineChars="0"/>
        <w:jc w:val="left"/>
        <w:rPr>
          <w:rFonts w:ascii="宋体" w:hAnsi="宋体"/>
          <w:b/>
        </w:rPr>
      </w:pPr>
      <w:r>
        <w:rPr>
          <w:rFonts w:hint="eastAsia" w:ascii="宋体" w:hAnsi="宋体"/>
          <w:b/>
        </w:rPr>
        <w:t>否决性评审</w:t>
      </w:r>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检查不同投标人的投标文件是否由同一单位或者个人编制；</w:t>
      </w:r>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rPr>
        <w:t>检查</w:t>
      </w:r>
      <w:r>
        <w:rPr>
          <w:rFonts w:hint="eastAsia" w:ascii="宋体" w:hAnsi="宋体"/>
          <w:snapToGrid w:val="0"/>
          <w:kern w:val="0"/>
        </w:rPr>
        <w:t>投标文件是否对应招标文件编制需求</w:t>
      </w:r>
      <w:r>
        <w:rPr>
          <w:rFonts w:hint="eastAsia" w:ascii="宋体" w:hAnsi="宋体"/>
        </w:rPr>
        <w:t>。</w:t>
      </w:r>
    </w:p>
    <w:p>
      <w:pPr>
        <w:widowControl w:val="0"/>
        <w:numPr>
          <w:ilvl w:val="0"/>
          <w:numId w:val="5"/>
        </w:numPr>
        <w:autoSpaceDE w:val="0"/>
        <w:autoSpaceDN w:val="0"/>
        <w:adjustRightInd w:val="0"/>
        <w:snapToGrid w:val="0"/>
        <w:ind w:firstLineChars="0"/>
        <w:jc w:val="left"/>
        <w:rPr>
          <w:rFonts w:ascii="宋体" w:hAnsi="宋体"/>
          <w:b/>
        </w:rPr>
      </w:pPr>
      <w:r>
        <w:rPr>
          <w:rFonts w:ascii="宋体" w:hAnsi="宋体"/>
          <w:b/>
        </w:rPr>
        <w:t>废标条件</w:t>
      </w:r>
    </w:p>
    <w:p>
      <w:pPr>
        <w:widowControl w:val="0"/>
        <w:numPr>
          <w:ilvl w:val="1"/>
          <w:numId w:val="5"/>
        </w:numPr>
        <w:autoSpaceDE w:val="0"/>
        <w:autoSpaceDN w:val="0"/>
        <w:adjustRightInd w:val="0"/>
        <w:snapToGrid w:val="0"/>
        <w:ind w:firstLineChars="0"/>
        <w:jc w:val="left"/>
        <w:rPr>
          <w:rFonts w:ascii="宋体" w:hAnsi="宋体"/>
          <w:b/>
        </w:rPr>
      </w:pPr>
      <w:r>
        <w:rPr>
          <w:rFonts w:hint="eastAsia" w:ascii="宋体" w:hAnsi="宋体"/>
          <w:szCs w:val="21"/>
        </w:rPr>
        <w:t>详见投标人须知：否决性条款摘要。</w:t>
      </w:r>
    </w:p>
    <w:p>
      <w:pPr>
        <w:widowControl w:val="0"/>
        <w:numPr>
          <w:ilvl w:val="0"/>
          <w:numId w:val="5"/>
        </w:numPr>
        <w:autoSpaceDE w:val="0"/>
        <w:autoSpaceDN w:val="0"/>
        <w:adjustRightInd w:val="0"/>
        <w:snapToGrid w:val="0"/>
        <w:ind w:firstLineChars="0"/>
        <w:jc w:val="left"/>
        <w:rPr>
          <w:rFonts w:ascii="宋体" w:hAnsi="宋体"/>
          <w:b/>
        </w:rPr>
      </w:pPr>
      <w:bookmarkStart w:id="317" w:name="_Toc351032833"/>
      <w:bookmarkStart w:id="318" w:name="_Toc523252730"/>
      <w:bookmarkStart w:id="319" w:name="_Toc350872401"/>
      <w:bookmarkStart w:id="320" w:name="_Toc290992893"/>
      <w:bookmarkStart w:id="321" w:name="_Toc291178117"/>
      <w:bookmarkStart w:id="322" w:name="_Toc361737578"/>
      <w:r>
        <w:rPr>
          <w:rFonts w:hint="eastAsia" w:ascii="宋体" w:hAnsi="宋体"/>
          <w:b/>
        </w:rPr>
        <w:t>附则</w:t>
      </w:r>
      <w:bookmarkEnd w:id="317"/>
      <w:bookmarkEnd w:id="318"/>
      <w:bookmarkEnd w:id="319"/>
      <w:bookmarkEnd w:id="320"/>
      <w:bookmarkEnd w:id="321"/>
      <w:bookmarkEnd w:id="322"/>
    </w:p>
    <w:p>
      <w:pPr>
        <w:widowControl w:val="0"/>
        <w:numPr>
          <w:ilvl w:val="1"/>
          <w:numId w:val="5"/>
        </w:numPr>
        <w:autoSpaceDE w:val="0"/>
        <w:autoSpaceDN w:val="0"/>
        <w:adjustRightInd w:val="0"/>
        <w:snapToGrid w:val="0"/>
        <w:ind w:firstLineChars="0"/>
        <w:jc w:val="left"/>
        <w:rPr>
          <w:rFonts w:ascii="宋体" w:hAnsi="宋体"/>
          <w:b/>
        </w:rPr>
      </w:pPr>
      <w:r>
        <w:rPr>
          <w:rFonts w:ascii="宋体" w:hAnsi="宋体"/>
          <w:szCs w:val="21"/>
        </w:rPr>
        <w:t>本评</w:t>
      </w:r>
      <w:r>
        <w:rPr>
          <w:rFonts w:hint="eastAsia" w:ascii="宋体" w:hAnsi="宋体"/>
          <w:szCs w:val="21"/>
        </w:rPr>
        <w:t>定</w:t>
      </w:r>
      <w:r>
        <w:rPr>
          <w:rFonts w:ascii="宋体" w:hAnsi="宋体"/>
          <w:szCs w:val="21"/>
        </w:rPr>
        <w:t>标办法由</w:t>
      </w:r>
      <w:r>
        <w:rPr>
          <w:rFonts w:hint="eastAsia" w:ascii="宋体" w:hAnsi="宋体"/>
          <w:szCs w:val="21"/>
        </w:rPr>
        <w:t>招标人</w:t>
      </w:r>
      <w:r>
        <w:rPr>
          <w:rFonts w:ascii="宋体" w:hAnsi="宋体"/>
          <w:szCs w:val="21"/>
        </w:rPr>
        <w:t>负责解释。</w:t>
      </w:r>
    </w:p>
    <w:p>
      <w:pPr>
        <w:widowControl w:val="0"/>
        <w:numPr>
          <w:ilvl w:val="0"/>
          <w:numId w:val="5"/>
        </w:numPr>
        <w:autoSpaceDE w:val="0"/>
        <w:autoSpaceDN w:val="0"/>
        <w:adjustRightInd w:val="0"/>
        <w:snapToGrid w:val="0"/>
        <w:ind w:firstLineChars="0"/>
        <w:jc w:val="left"/>
        <w:rPr>
          <w:rFonts w:ascii="宋体" w:hAnsi="宋体"/>
          <w:b/>
        </w:rPr>
      </w:pPr>
      <w:r>
        <w:rPr>
          <w:rFonts w:hint="eastAsia" w:ascii="宋体" w:hAnsi="宋体"/>
          <w:b/>
        </w:rPr>
        <w:t>附件一</w:t>
      </w:r>
    </w:p>
    <w:tbl>
      <w:tblPr>
        <w:tblStyle w:val="49"/>
        <w:tblW w:w="8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111"/>
        <w:gridCol w:w="1519"/>
        <w:gridCol w:w="3843"/>
        <w:gridCol w:w="1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3" w:type="dxa"/>
            <w:gridSpan w:val="5"/>
            <w:shd w:val="clear" w:color="auto" w:fill="D9E2F3"/>
            <w:vAlign w:val="center"/>
          </w:tcPr>
          <w:p>
            <w:pPr>
              <w:widowControl w:val="0"/>
              <w:autoSpaceDE w:val="0"/>
              <w:autoSpaceDN w:val="0"/>
              <w:adjustRightInd w:val="0"/>
              <w:snapToGrid w:val="0"/>
              <w:ind w:firstLine="0" w:firstLineChars="0"/>
              <w:jc w:val="center"/>
              <w:rPr>
                <w:rFonts w:ascii="宋体" w:hAnsi="宋体" w:cs="宋体"/>
                <w:b/>
                <w:sz w:val="32"/>
                <w:szCs w:val="32"/>
              </w:rPr>
            </w:pPr>
            <w:r>
              <w:rPr>
                <w:rFonts w:hint="eastAsia" w:ascii="宋体" w:hAnsi="宋体" w:cs="宋体"/>
                <w:b/>
                <w:sz w:val="32"/>
                <w:szCs w:val="32"/>
              </w:rPr>
              <w:t>《初步评审审查标准》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42" w:type="dxa"/>
            <w:gridSpan w:val="2"/>
            <w:vAlign w:val="center"/>
          </w:tcPr>
          <w:p>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条款号</w:t>
            </w:r>
          </w:p>
        </w:tc>
        <w:tc>
          <w:tcPr>
            <w:tcW w:w="1519" w:type="dxa"/>
            <w:vAlign w:val="center"/>
          </w:tcPr>
          <w:p>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评审因素</w:t>
            </w:r>
          </w:p>
        </w:tc>
        <w:tc>
          <w:tcPr>
            <w:tcW w:w="3843" w:type="dxa"/>
            <w:vAlign w:val="center"/>
          </w:tcPr>
          <w:p>
            <w:pPr>
              <w:widowControl w:val="0"/>
              <w:autoSpaceDE w:val="0"/>
              <w:autoSpaceDN w:val="0"/>
              <w:adjustRightInd w:val="0"/>
              <w:snapToGrid w:val="0"/>
              <w:ind w:firstLine="0" w:firstLineChars="0"/>
              <w:jc w:val="center"/>
              <w:rPr>
                <w:rFonts w:ascii="宋体" w:hAnsi="宋体" w:cs="宋体"/>
                <w:b/>
                <w:sz w:val="24"/>
              </w:rPr>
            </w:pPr>
            <w:r>
              <w:rPr>
                <w:rFonts w:ascii="宋体" w:hAnsi="宋体" w:cs="宋体"/>
                <w:b/>
                <w:sz w:val="24"/>
              </w:rPr>
              <w:t>评审</w:t>
            </w:r>
            <w:r>
              <w:rPr>
                <w:rFonts w:hint="eastAsia" w:ascii="宋体" w:hAnsi="宋体" w:cs="宋体"/>
                <w:b/>
                <w:sz w:val="24"/>
              </w:rPr>
              <w:t>内容</w:t>
            </w:r>
          </w:p>
        </w:tc>
        <w:tc>
          <w:tcPr>
            <w:tcW w:w="1519" w:type="dxa"/>
            <w:vAlign w:val="center"/>
          </w:tcPr>
          <w:p>
            <w:pPr>
              <w:widowControl w:val="0"/>
              <w:autoSpaceDE w:val="0"/>
              <w:autoSpaceDN w:val="0"/>
              <w:adjustRightInd w:val="0"/>
              <w:snapToGrid w:val="0"/>
              <w:ind w:firstLine="0" w:firstLineChars="0"/>
              <w:jc w:val="center"/>
              <w:rPr>
                <w:rFonts w:ascii="宋体" w:hAnsi="宋体" w:cs="宋体"/>
                <w:b/>
                <w:sz w:val="24"/>
              </w:rPr>
            </w:pPr>
            <w:r>
              <w:rPr>
                <w:rFonts w:hint="eastAsia" w:ascii="宋体" w:hAnsi="宋体" w:cs="宋体"/>
                <w:b/>
                <w:sz w:val="24"/>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1</w:t>
            </w:r>
          </w:p>
        </w:tc>
        <w:tc>
          <w:tcPr>
            <w:tcW w:w="1111" w:type="dxa"/>
            <w:vMerge w:val="restart"/>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形式评审标准</w:t>
            </w: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投标人名称</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与营业执照</w:t>
            </w:r>
            <w:r>
              <w:rPr>
                <w:rFonts w:hint="eastAsia" w:ascii="宋体" w:hAnsi="宋体" w:cs="宋体"/>
                <w:szCs w:val="21"/>
              </w:rPr>
              <w:t>（事业单位法人证书或其他主体开办证明）</w:t>
            </w:r>
            <w:r>
              <w:rPr>
                <w:rFonts w:ascii="宋体" w:hAnsi="宋体" w:cs="宋体"/>
                <w:szCs w:val="21"/>
              </w:rPr>
              <w:t>、资质证书一致</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center"/>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投标文件格式</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符合第</w:t>
            </w:r>
            <w:r>
              <w:rPr>
                <w:rFonts w:hint="eastAsia" w:ascii="宋体" w:hAnsi="宋体" w:cs="宋体"/>
                <w:szCs w:val="21"/>
              </w:rPr>
              <w:t>五</w:t>
            </w:r>
            <w:r>
              <w:rPr>
                <w:rFonts w:ascii="宋体" w:hAnsi="宋体" w:cs="宋体"/>
                <w:szCs w:val="21"/>
              </w:rPr>
              <w:t>章</w:t>
            </w:r>
            <w:r>
              <w:rPr>
                <w:rFonts w:ascii="宋体" w:hAnsi="宋体"/>
                <w:szCs w:val="21"/>
              </w:rPr>
              <w:t>“</w:t>
            </w:r>
            <w:r>
              <w:rPr>
                <w:rFonts w:ascii="宋体" w:hAnsi="宋体" w:cs="宋体"/>
                <w:szCs w:val="21"/>
              </w:rPr>
              <w:t>投标文件格式</w:t>
            </w:r>
            <w:r>
              <w:rPr>
                <w:rFonts w:ascii="宋体" w:hAnsi="宋体"/>
                <w:szCs w:val="21"/>
              </w:rPr>
              <w:t>”</w:t>
            </w:r>
            <w:r>
              <w:rPr>
                <w:rFonts w:ascii="宋体" w:hAnsi="宋体" w:cs="宋体"/>
                <w:szCs w:val="21"/>
              </w:rPr>
              <w:t>的</w:t>
            </w:r>
            <w:r>
              <w:rPr>
                <w:rFonts w:hint="eastAsia" w:ascii="宋体" w:hAnsi="宋体" w:cs="宋体"/>
                <w:szCs w:val="21"/>
              </w:rPr>
              <w:t>要求</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center"/>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报价唯一</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只能有一个有效报价</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center"/>
              <w:rPr>
                <w:rFonts w:ascii="宋体" w:hAnsi="宋体"/>
              </w:rPr>
            </w:pPr>
          </w:p>
        </w:tc>
        <w:tc>
          <w:tcPr>
            <w:tcW w:w="1111" w:type="dxa"/>
            <w:vMerge w:val="continue"/>
          </w:tcPr>
          <w:p>
            <w:pPr>
              <w:widowControl w:val="0"/>
              <w:autoSpaceDE w:val="0"/>
              <w:autoSpaceDN w:val="0"/>
              <w:adjustRightInd w:val="0"/>
              <w:snapToGrid w:val="0"/>
              <w:ind w:firstLine="0" w:firstLineChars="0"/>
              <w:jc w:val="center"/>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否决性条款判定</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招标文件否决性条款摘要中列明的情形</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hint="eastAsia"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2</w:t>
            </w:r>
          </w:p>
        </w:tc>
        <w:tc>
          <w:tcPr>
            <w:tcW w:w="1111" w:type="dxa"/>
            <w:vMerge w:val="restart"/>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资格评审标准</w:t>
            </w: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营业执照</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具备有效的营业执照（事业单位法人证书或其他主体开办证明）</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center"/>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其他资格要求</w:t>
            </w:r>
          </w:p>
        </w:tc>
        <w:tc>
          <w:tcPr>
            <w:tcW w:w="3843" w:type="dxa"/>
            <w:vAlign w:val="center"/>
          </w:tcPr>
          <w:p>
            <w:pPr>
              <w:widowControl w:val="0"/>
              <w:autoSpaceDE w:val="0"/>
              <w:autoSpaceDN w:val="0"/>
              <w:adjustRightInd w:val="0"/>
              <w:snapToGrid w:val="0"/>
              <w:ind w:firstLine="0" w:firstLineChars="0"/>
              <w:jc w:val="left"/>
              <w:rPr>
                <w:rFonts w:ascii="宋体" w:hAnsi="宋体"/>
                <w:szCs w:val="21"/>
              </w:rPr>
            </w:pPr>
            <w:r>
              <w:rPr>
                <w:rFonts w:ascii="宋体" w:hAnsi="宋体"/>
                <w:szCs w:val="21"/>
              </w:rPr>
              <w:t>符合</w:t>
            </w:r>
            <w:r>
              <w:rPr>
                <w:rFonts w:hint="eastAsia" w:ascii="宋体" w:hAnsi="宋体"/>
                <w:szCs w:val="21"/>
              </w:rPr>
              <w:t>招标文件要求</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center"/>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center"/>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不存在禁止投标的情形</w:t>
            </w:r>
          </w:p>
        </w:tc>
        <w:tc>
          <w:tcPr>
            <w:tcW w:w="3843" w:type="dxa"/>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不存在第一章“投标人须知”第三节“总则”中1.4.</w:t>
            </w:r>
            <w:r>
              <w:rPr>
                <w:rFonts w:ascii="宋体" w:hAnsi="宋体"/>
                <w:szCs w:val="21"/>
              </w:rPr>
              <w:t>5</w:t>
            </w:r>
            <w:r>
              <w:rPr>
                <w:rFonts w:hint="eastAsia" w:ascii="宋体" w:hAnsi="宋体"/>
                <w:szCs w:val="21"/>
              </w:rPr>
              <w:t>规定的任何一种情形</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3</w:t>
            </w:r>
          </w:p>
        </w:tc>
        <w:tc>
          <w:tcPr>
            <w:tcW w:w="1111" w:type="dxa"/>
            <w:vMerge w:val="restart"/>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响应性评审标准</w:t>
            </w: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投标报价未高于最高限价</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left"/>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投标内容</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left"/>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投标有效期</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left"/>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服务期</w:t>
            </w:r>
          </w:p>
        </w:tc>
        <w:tc>
          <w:tcPr>
            <w:tcW w:w="3843" w:type="dxa"/>
            <w:vAlign w:val="center"/>
          </w:tcPr>
          <w:p>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pPr>
              <w:widowControl w:val="0"/>
              <w:autoSpaceDE w:val="0"/>
              <w:autoSpaceDN w:val="0"/>
              <w:adjustRightInd w:val="0"/>
              <w:snapToGrid w:val="0"/>
              <w:ind w:firstLine="0" w:firstLineChars="0"/>
              <w:jc w:val="left"/>
              <w:rPr>
                <w:rFonts w:ascii="宋体" w:hAnsi="宋体"/>
              </w:rPr>
            </w:pPr>
          </w:p>
        </w:tc>
        <w:tc>
          <w:tcPr>
            <w:tcW w:w="1111" w:type="dxa"/>
            <w:vMerge w:val="continue"/>
            <w:vAlign w:val="center"/>
          </w:tcPr>
          <w:p>
            <w:pPr>
              <w:widowControl w:val="0"/>
              <w:autoSpaceDE w:val="0"/>
              <w:autoSpaceDN w:val="0"/>
              <w:adjustRightInd w:val="0"/>
              <w:snapToGrid w:val="0"/>
              <w:ind w:firstLine="0" w:firstLineChars="0"/>
              <w:jc w:val="left"/>
              <w:rPr>
                <w:rFonts w:ascii="宋体" w:hAnsi="宋体"/>
              </w:rPr>
            </w:pPr>
          </w:p>
        </w:tc>
        <w:tc>
          <w:tcPr>
            <w:tcW w:w="1519" w:type="dxa"/>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投标文件响应情况</w:t>
            </w:r>
          </w:p>
        </w:tc>
        <w:tc>
          <w:tcPr>
            <w:tcW w:w="3843" w:type="dxa"/>
            <w:vAlign w:val="center"/>
          </w:tcPr>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商务、技术不可偏离项（“★”）完全响应招标文件要求</w:t>
            </w:r>
          </w:p>
        </w:tc>
        <w:tc>
          <w:tcPr>
            <w:tcW w:w="1519" w:type="dxa"/>
            <w:vAlign w:val="center"/>
          </w:tcPr>
          <w:p>
            <w:pPr>
              <w:widowControl w:val="0"/>
              <w:autoSpaceDE w:val="0"/>
              <w:autoSpaceDN w:val="0"/>
              <w:adjustRightInd w:val="0"/>
              <w:snapToGrid w:val="0"/>
              <w:ind w:firstLine="0" w:firstLineChars="0"/>
              <w:jc w:val="left"/>
              <w:rPr>
                <w:rFonts w:ascii="宋体" w:hAnsi="宋体"/>
              </w:rPr>
            </w:pPr>
            <w:r>
              <w:rPr>
                <w:rFonts w:ascii="宋体" w:hAnsi="宋体"/>
              </w:rPr>
              <w:t>是否符合要求</w:t>
            </w:r>
          </w:p>
        </w:tc>
      </w:tr>
    </w:tbl>
    <w:p>
      <w:pPr>
        <w:widowControl w:val="0"/>
        <w:autoSpaceDE w:val="0"/>
        <w:autoSpaceDN w:val="0"/>
        <w:adjustRightInd w:val="0"/>
        <w:snapToGrid w:val="0"/>
        <w:ind w:firstLine="0" w:firstLineChars="0"/>
        <w:jc w:val="center"/>
        <w:outlineLvl w:val="1"/>
        <w:rPr>
          <w:rFonts w:ascii="宋体" w:hAnsi="宋体"/>
          <w:szCs w:val="21"/>
        </w:rPr>
      </w:pPr>
      <w:r>
        <w:rPr>
          <w:rFonts w:ascii="宋体" w:hAnsi="宋体"/>
          <w:szCs w:val="21"/>
        </w:rPr>
        <w:br w:type="page"/>
      </w:r>
      <w:bookmarkStart w:id="323" w:name="_Toc49247159"/>
      <w:r>
        <w:rPr>
          <w:rFonts w:hint="eastAsia" w:ascii="宋体" w:hAnsi="宋体"/>
          <w:b/>
          <w:sz w:val="32"/>
        </w:rPr>
        <w:t>二、评标方法</w:t>
      </w:r>
      <w:bookmarkEnd w:id="323"/>
    </w:p>
    <w:p>
      <w:pPr>
        <w:widowControl w:val="0"/>
        <w:autoSpaceDE w:val="0"/>
        <w:autoSpaceDN w:val="0"/>
        <w:adjustRightInd w:val="0"/>
        <w:snapToGrid w:val="0"/>
        <w:ind w:firstLine="0" w:firstLineChars="0"/>
        <w:jc w:val="center"/>
        <w:rPr>
          <w:rFonts w:ascii="宋体" w:hAnsi="宋体"/>
          <w:b/>
          <w:sz w:val="32"/>
        </w:rPr>
      </w:pPr>
      <w:r>
        <w:rPr>
          <w:rFonts w:hint="eastAsia" w:ascii="宋体" w:hAnsi="宋体"/>
          <w:b/>
          <w:sz w:val="32"/>
        </w:rPr>
        <w:t>（综合评分法）</w:t>
      </w:r>
    </w:p>
    <w:p>
      <w:pPr>
        <w:widowControl w:val="0"/>
        <w:autoSpaceDE w:val="0"/>
        <w:autoSpaceDN w:val="0"/>
        <w:adjustRightInd w:val="0"/>
        <w:snapToGrid w:val="0"/>
        <w:ind w:firstLine="0" w:firstLineChars="0"/>
        <w:jc w:val="left"/>
        <w:rPr>
          <w:rFonts w:ascii="宋体" w:hAnsi="宋体"/>
        </w:rPr>
      </w:pPr>
      <w:bookmarkStart w:id="324" w:name="_bookmark90"/>
      <w:bookmarkEnd w:id="324"/>
      <w:bookmarkStart w:id="325" w:name="_bookmark91"/>
      <w:bookmarkEnd w:id="325"/>
      <w:bookmarkStart w:id="326" w:name="_Toc177546571"/>
      <w:bookmarkStart w:id="327" w:name="_Toc229236501"/>
      <w:bookmarkStart w:id="328" w:name="_Toc209869262"/>
      <w:r>
        <w:rPr>
          <w:rFonts w:hint="eastAsia" w:ascii="宋体" w:hAnsi="宋体"/>
        </w:rPr>
        <w:t>本项目采用综合评分法，是指在最大限度地满足招标文件实质性要求前提下，按照招标文件规定的评审标准进行评审，按评审因素的量化指标评审，排序靠前的为中标候选人。</w:t>
      </w:r>
    </w:p>
    <w:p>
      <w:pPr>
        <w:widowControl w:val="0"/>
        <w:numPr>
          <w:ilvl w:val="0"/>
          <w:numId w:val="6"/>
        </w:numPr>
        <w:autoSpaceDE w:val="0"/>
        <w:autoSpaceDN w:val="0"/>
        <w:adjustRightInd w:val="0"/>
        <w:snapToGrid w:val="0"/>
        <w:ind w:firstLineChars="0"/>
        <w:jc w:val="left"/>
        <w:rPr>
          <w:rFonts w:ascii="宋体" w:hAnsi="宋体"/>
          <w:b/>
        </w:rPr>
      </w:pPr>
      <w:bookmarkStart w:id="329" w:name="_Toc523252726"/>
      <w:r>
        <w:rPr>
          <w:rFonts w:hint="eastAsia" w:ascii="宋体" w:hAnsi="宋体"/>
          <w:b/>
        </w:rPr>
        <w:t>评标程序</w:t>
      </w:r>
      <w:bookmarkEnd w:id="329"/>
    </w:p>
    <w:p>
      <w:pPr>
        <w:widowControl w:val="0"/>
        <w:numPr>
          <w:ilvl w:val="1"/>
          <w:numId w:val="6"/>
        </w:numPr>
        <w:autoSpaceDE w:val="0"/>
        <w:autoSpaceDN w:val="0"/>
        <w:adjustRightInd w:val="0"/>
        <w:snapToGrid w:val="0"/>
        <w:ind w:firstLineChars="0"/>
        <w:jc w:val="left"/>
        <w:rPr>
          <w:rFonts w:ascii="宋体" w:hAnsi="宋体"/>
          <w:b/>
        </w:rPr>
      </w:pPr>
      <w:r>
        <w:rPr>
          <w:rFonts w:ascii="宋体" w:hAnsi="宋体"/>
        </w:rPr>
        <w:t>初步评审</w:t>
      </w:r>
    </w:p>
    <w:p>
      <w:pPr>
        <w:widowControl w:val="0"/>
        <w:numPr>
          <w:ilvl w:val="2"/>
          <w:numId w:val="6"/>
        </w:numPr>
        <w:autoSpaceDE w:val="0"/>
        <w:autoSpaceDN w:val="0"/>
        <w:adjustRightInd w:val="0"/>
        <w:snapToGrid w:val="0"/>
        <w:ind w:firstLineChars="0"/>
        <w:jc w:val="left"/>
        <w:rPr>
          <w:rFonts w:ascii="宋体" w:hAnsi="宋体"/>
          <w:b/>
        </w:rPr>
      </w:pPr>
      <w:r>
        <w:rPr>
          <w:rFonts w:ascii="宋体" w:hAnsi="宋体"/>
        </w:rPr>
        <w:t>评标</w:t>
      </w:r>
      <w:r>
        <w:rPr>
          <w:rFonts w:hint="eastAsia" w:ascii="宋体" w:hAnsi="宋体"/>
        </w:rPr>
        <w:t>小组</w:t>
      </w:r>
      <w:r>
        <w:rPr>
          <w:rFonts w:ascii="宋体" w:hAnsi="宋体"/>
        </w:rPr>
        <w:t>可以要求投标人提交第</w:t>
      </w:r>
      <w:r>
        <w:rPr>
          <w:rFonts w:hint="eastAsia" w:ascii="宋体" w:hAnsi="宋体"/>
        </w:rPr>
        <w:t>一</w:t>
      </w:r>
      <w:r>
        <w:rPr>
          <w:rFonts w:ascii="宋体" w:hAnsi="宋体"/>
        </w:rPr>
        <w:t>章“投标人须知”规定的有关证明和证件的原件，以便核验。评标</w:t>
      </w:r>
      <w:r>
        <w:rPr>
          <w:rFonts w:hint="eastAsia" w:ascii="宋体" w:hAnsi="宋体"/>
        </w:rPr>
        <w:t>小组</w:t>
      </w:r>
      <w:r>
        <w:rPr>
          <w:rFonts w:ascii="宋体" w:hAnsi="宋体"/>
        </w:rPr>
        <w:t>依据本章规定的标准对投标文件进行初步评审</w:t>
      </w:r>
      <w:r>
        <w:rPr>
          <w:rFonts w:hint="eastAsia" w:ascii="宋体" w:hAnsi="宋体"/>
        </w:rPr>
        <w:t>，</w:t>
      </w:r>
      <w:r>
        <w:rPr>
          <w:rFonts w:ascii="宋体" w:hAnsi="宋体"/>
        </w:rPr>
        <w:t>有一项不符合评审标准的，评标</w:t>
      </w:r>
      <w:r>
        <w:rPr>
          <w:rFonts w:hint="eastAsia" w:ascii="宋体" w:hAnsi="宋体"/>
        </w:rPr>
        <w:t>小组</w:t>
      </w:r>
      <w:r>
        <w:rPr>
          <w:rFonts w:ascii="宋体" w:hAnsi="宋体"/>
        </w:rPr>
        <w:t>应当否决其投标。初步评审的结论是“通过”或“不通过”，只有</w:t>
      </w:r>
      <w:r>
        <w:rPr>
          <w:rFonts w:hint="eastAsia" w:ascii="宋体" w:hAnsi="宋体"/>
        </w:rPr>
        <w:t>结论为</w:t>
      </w:r>
      <w:r>
        <w:rPr>
          <w:rFonts w:ascii="宋体" w:hAnsi="宋体"/>
        </w:rPr>
        <w:t>“通过”的投标方能进入下一阶段的评标，否则其投标将按</w:t>
      </w:r>
      <w:r>
        <w:rPr>
          <w:rFonts w:hint="eastAsia" w:ascii="宋体" w:hAnsi="宋体"/>
        </w:rPr>
        <w:t>废</w:t>
      </w:r>
      <w:r>
        <w:rPr>
          <w:rFonts w:ascii="宋体" w:hAnsi="宋体"/>
        </w:rPr>
        <w:t>标处理。</w:t>
      </w:r>
    </w:p>
    <w:p>
      <w:pPr>
        <w:widowControl w:val="0"/>
        <w:numPr>
          <w:ilvl w:val="1"/>
          <w:numId w:val="6"/>
        </w:numPr>
        <w:autoSpaceDE w:val="0"/>
        <w:autoSpaceDN w:val="0"/>
        <w:adjustRightInd w:val="0"/>
        <w:snapToGrid w:val="0"/>
        <w:ind w:firstLineChars="0"/>
        <w:jc w:val="left"/>
        <w:rPr>
          <w:rFonts w:ascii="宋体" w:hAnsi="宋体"/>
        </w:rPr>
      </w:pPr>
      <w:bookmarkStart w:id="330" w:name="_bookmark89"/>
      <w:bookmarkEnd w:id="330"/>
      <w:r>
        <w:rPr>
          <w:rFonts w:ascii="宋体" w:hAnsi="宋体"/>
        </w:rPr>
        <w:t>详细评审</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rPr>
        <w:t>小组</w:t>
      </w:r>
      <w:r>
        <w:rPr>
          <w:rFonts w:ascii="宋体" w:hAnsi="宋体"/>
          <w:spacing w:val="-3"/>
        </w:rPr>
        <w:t>按</w:t>
      </w:r>
      <w:r>
        <w:rPr>
          <w:rFonts w:ascii="宋体" w:hAnsi="宋体"/>
        </w:rPr>
        <w:t>本</w:t>
      </w:r>
      <w:r>
        <w:rPr>
          <w:rFonts w:ascii="宋体" w:hAnsi="宋体"/>
          <w:spacing w:val="-3"/>
        </w:rPr>
        <w:t>章</w:t>
      </w:r>
      <w:r>
        <w:rPr>
          <w:rFonts w:ascii="宋体" w:hAnsi="宋体"/>
        </w:rPr>
        <w:t>规</w:t>
      </w:r>
      <w:r>
        <w:rPr>
          <w:rFonts w:ascii="宋体" w:hAnsi="宋体"/>
          <w:spacing w:val="-3"/>
        </w:rPr>
        <w:t>定</w:t>
      </w:r>
      <w:r>
        <w:rPr>
          <w:rFonts w:ascii="宋体" w:hAnsi="宋体"/>
        </w:rPr>
        <w:t>的</w:t>
      </w:r>
      <w:r>
        <w:rPr>
          <w:rFonts w:ascii="宋体" w:hAnsi="宋体"/>
          <w:spacing w:val="-3"/>
        </w:rPr>
        <w:t>量</w:t>
      </w:r>
      <w:r>
        <w:rPr>
          <w:rFonts w:ascii="宋体" w:hAnsi="宋体"/>
        </w:rPr>
        <w:t>化</w:t>
      </w:r>
      <w:r>
        <w:rPr>
          <w:rFonts w:ascii="宋体" w:hAnsi="宋体"/>
          <w:spacing w:val="-3"/>
        </w:rPr>
        <w:t>因</w:t>
      </w:r>
      <w:r>
        <w:rPr>
          <w:rFonts w:ascii="宋体" w:hAnsi="宋体"/>
        </w:rPr>
        <w:t>素</w:t>
      </w:r>
      <w:r>
        <w:rPr>
          <w:rFonts w:ascii="宋体" w:hAnsi="宋体"/>
          <w:spacing w:val="-3"/>
        </w:rPr>
        <w:t>和</w:t>
      </w:r>
      <w:r>
        <w:rPr>
          <w:rFonts w:ascii="宋体" w:hAnsi="宋体"/>
        </w:rPr>
        <w:t>分值</w:t>
      </w:r>
      <w:r>
        <w:rPr>
          <w:rFonts w:ascii="宋体" w:hAnsi="宋体"/>
          <w:spacing w:val="-3"/>
        </w:rPr>
        <w:t>进</w:t>
      </w:r>
      <w:r>
        <w:rPr>
          <w:rFonts w:ascii="宋体" w:hAnsi="宋体"/>
        </w:rPr>
        <w:t>行</w:t>
      </w:r>
      <w:r>
        <w:rPr>
          <w:rFonts w:ascii="宋体" w:hAnsi="宋体"/>
          <w:spacing w:val="-3"/>
        </w:rPr>
        <w:t>打</w:t>
      </w:r>
      <w:r>
        <w:rPr>
          <w:rFonts w:ascii="宋体" w:hAnsi="宋体"/>
        </w:rPr>
        <w:t>分</w:t>
      </w:r>
      <w:r>
        <w:rPr>
          <w:rFonts w:hint="eastAsia" w:ascii="宋体" w:hAnsi="宋体"/>
        </w:rPr>
        <w:t>，</w:t>
      </w:r>
      <w:r>
        <w:rPr>
          <w:rFonts w:ascii="宋体" w:hAnsi="宋体"/>
        </w:rPr>
        <w:t>并</w:t>
      </w:r>
      <w:r>
        <w:rPr>
          <w:rFonts w:ascii="宋体" w:hAnsi="宋体"/>
          <w:spacing w:val="-3"/>
        </w:rPr>
        <w:t>计</w:t>
      </w:r>
      <w:r>
        <w:rPr>
          <w:rFonts w:ascii="宋体" w:hAnsi="宋体"/>
        </w:rPr>
        <w:t>算</w:t>
      </w:r>
      <w:r>
        <w:rPr>
          <w:rFonts w:ascii="宋体" w:hAnsi="宋体"/>
          <w:spacing w:val="-3"/>
        </w:rPr>
        <w:t>出综</w:t>
      </w:r>
      <w:r>
        <w:rPr>
          <w:rFonts w:ascii="宋体" w:hAnsi="宋体"/>
        </w:rPr>
        <w:t>合评</w:t>
      </w:r>
      <w:r>
        <w:rPr>
          <w:rFonts w:ascii="宋体" w:hAnsi="宋体"/>
          <w:spacing w:val="-3"/>
        </w:rPr>
        <w:t>估</w:t>
      </w:r>
      <w:r>
        <w:rPr>
          <w:rFonts w:ascii="宋体" w:hAnsi="宋体"/>
        </w:rPr>
        <w:t>得</w:t>
      </w:r>
      <w:r>
        <w:rPr>
          <w:rFonts w:ascii="宋体" w:hAnsi="宋体"/>
          <w:spacing w:val="-3"/>
        </w:rPr>
        <w:t>分</w:t>
      </w:r>
      <w:r>
        <w:rPr>
          <w:rFonts w:ascii="宋体" w:hAnsi="宋体"/>
        </w:rPr>
        <w:t>。</w:t>
      </w:r>
    </w:p>
    <w:p>
      <w:pPr>
        <w:widowControl w:val="0"/>
        <w:numPr>
          <w:ilvl w:val="3"/>
          <w:numId w:val="6"/>
        </w:numPr>
        <w:autoSpaceDE w:val="0"/>
        <w:autoSpaceDN w:val="0"/>
        <w:adjustRightInd w:val="0"/>
        <w:snapToGrid w:val="0"/>
        <w:ind w:firstLineChars="0"/>
        <w:jc w:val="left"/>
        <w:rPr>
          <w:rFonts w:ascii="宋体" w:hAnsi="宋体"/>
        </w:rPr>
      </w:pPr>
      <w:r>
        <w:rPr>
          <w:rFonts w:ascii="宋体" w:hAnsi="宋体"/>
        </w:rPr>
        <w:t>按本章商务</w:t>
      </w:r>
      <w:r>
        <w:rPr>
          <w:rFonts w:hint="eastAsia" w:ascii="宋体" w:hAnsi="宋体"/>
        </w:rPr>
        <w:t>标评审标准</w:t>
      </w:r>
      <w:r>
        <w:rPr>
          <w:rFonts w:ascii="宋体" w:hAnsi="宋体"/>
        </w:rPr>
        <w:t>规定的评审因素和分值对商务部分计算出得分A；</w:t>
      </w:r>
    </w:p>
    <w:p>
      <w:pPr>
        <w:widowControl w:val="0"/>
        <w:numPr>
          <w:ilvl w:val="3"/>
          <w:numId w:val="6"/>
        </w:numPr>
        <w:autoSpaceDE w:val="0"/>
        <w:autoSpaceDN w:val="0"/>
        <w:adjustRightInd w:val="0"/>
        <w:snapToGrid w:val="0"/>
        <w:ind w:firstLineChars="0"/>
        <w:jc w:val="left"/>
        <w:rPr>
          <w:rFonts w:ascii="宋体" w:hAnsi="宋体"/>
        </w:rPr>
      </w:pPr>
      <w:r>
        <w:rPr>
          <w:rFonts w:ascii="宋体" w:hAnsi="宋体"/>
        </w:rPr>
        <w:t>按本章技术</w:t>
      </w:r>
      <w:r>
        <w:rPr>
          <w:rFonts w:hint="eastAsia" w:ascii="宋体" w:hAnsi="宋体"/>
        </w:rPr>
        <w:t>标评审标准</w:t>
      </w:r>
      <w:r>
        <w:rPr>
          <w:rFonts w:ascii="宋体" w:hAnsi="宋体"/>
        </w:rPr>
        <w:t>规定的评审因素和分值对技术部分计算出得分B；</w:t>
      </w:r>
    </w:p>
    <w:p>
      <w:pPr>
        <w:widowControl w:val="0"/>
        <w:numPr>
          <w:ilvl w:val="3"/>
          <w:numId w:val="6"/>
        </w:numPr>
        <w:autoSpaceDE w:val="0"/>
        <w:autoSpaceDN w:val="0"/>
        <w:adjustRightInd w:val="0"/>
        <w:snapToGrid w:val="0"/>
        <w:ind w:firstLineChars="0"/>
        <w:jc w:val="left"/>
        <w:rPr>
          <w:rFonts w:ascii="宋体" w:hAnsi="宋体"/>
        </w:rPr>
      </w:pPr>
      <w:r>
        <w:rPr>
          <w:rFonts w:ascii="宋体" w:hAnsi="宋体"/>
        </w:rPr>
        <w:t>按本章</w:t>
      </w:r>
      <w:r>
        <w:rPr>
          <w:rFonts w:hint="eastAsia" w:ascii="宋体" w:hAnsi="宋体"/>
        </w:rPr>
        <w:t>价格标评审方法</w:t>
      </w:r>
      <w:r>
        <w:rPr>
          <w:rFonts w:ascii="宋体" w:hAnsi="宋体"/>
        </w:rPr>
        <w:t>规定的评审因素和分值对投标报价计算出得分C；</w:t>
      </w:r>
    </w:p>
    <w:p>
      <w:pPr>
        <w:widowControl w:val="0"/>
        <w:numPr>
          <w:ilvl w:val="3"/>
          <w:numId w:val="6"/>
        </w:numPr>
        <w:autoSpaceDE w:val="0"/>
        <w:autoSpaceDN w:val="0"/>
        <w:adjustRightInd w:val="0"/>
        <w:snapToGrid w:val="0"/>
        <w:ind w:firstLineChars="0"/>
        <w:jc w:val="left"/>
        <w:rPr>
          <w:rFonts w:ascii="宋体" w:hAnsi="宋体"/>
        </w:rPr>
      </w:pPr>
      <w:r>
        <w:rPr>
          <w:rFonts w:ascii="宋体" w:hAnsi="宋体"/>
        </w:rPr>
        <w:t>评分分值计算保留小数点后两位，小数点后第三位“四舍五入”。</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rPr>
        <w:t>投标人得分=A+B+C。</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rPr>
        <w:t>小组</w:t>
      </w:r>
      <w:r>
        <w:rPr>
          <w:rFonts w:ascii="宋体" w:hAnsi="宋体"/>
          <w:spacing w:val="-4"/>
        </w:rPr>
        <w:t>发现投标人的报价明显低于其他投标报价，使得其投标报价可能低于其</w:t>
      </w:r>
      <w:r>
        <w:rPr>
          <w:rFonts w:ascii="宋体" w:hAnsi="宋体"/>
          <w:spacing w:val="-1"/>
        </w:rPr>
        <w:t>成本的，应当要求该投标人作出书面说明并提供相应的证明材料。投标人不能合理说明或者</w:t>
      </w:r>
      <w:r>
        <w:rPr>
          <w:rFonts w:ascii="宋体" w:hAnsi="宋体"/>
          <w:spacing w:val="-6"/>
        </w:rPr>
        <w:t>不能提供相应证明材料的，</w:t>
      </w:r>
      <w:r>
        <w:rPr>
          <w:rFonts w:hint="eastAsia" w:ascii="宋体" w:hAnsi="宋体"/>
          <w:spacing w:val="-6"/>
        </w:rPr>
        <w:t>由</w:t>
      </w:r>
      <w:r>
        <w:rPr>
          <w:rFonts w:ascii="宋体" w:hAnsi="宋体"/>
        </w:rPr>
        <w:t>评标</w:t>
      </w:r>
      <w:r>
        <w:rPr>
          <w:rFonts w:hint="eastAsia" w:ascii="宋体" w:hAnsi="宋体"/>
        </w:rPr>
        <w:t>小组</w:t>
      </w:r>
      <w:r>
        <w:rPr>
          <w:rFonts w:ascii="宋体" w:hAnsi="宋体"/>
          <w:spacing w:val="-6"/>
        </w:rPr>
        <w:t>认定该投标人以低于成本报价竞标，并否决其投标。</w:t>
      </w:r>
    </w:p>
    <w:p>
      <w:pPr>
        <w:widowControl w:val="0"/>
        <w:numPr>
          <w:ilvl w:val="1"/>
          <w:numId w:val="6"/>
        </w:numPr>
        <w:autoSpaceDE w:val="0"/>
        <w:autoSpaceDN w:val="0"/>
        <w:adjustRightInd w:val="0"/>
        <w:snapToGrid w:val="0"/>
        <w:ind w:firstLineChars="0"/>
        <w:jc w:val="left"/>
        <w:rPr>
          <w:rFonts w:ascii="宋体" w:hAnsi="宋体"/>
        </w:rPr>
      </w:pPr>
      <w:r>
        <w:rPr>
          <w:rFonts w:ascii="宋体" w:hAnsi="宋体"/>
        </w:rPr>
        <w:t>投标文件的澄清</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spacing w:val="-4"/>
        </w:rPr>
        <w:t>在评标过程中，</w:t>
      </w:r>
      <w:r>
        <w:rPr>
          <w:rFonts w:ascii="宋体" w:hAnsi="宋体"/>
        </w:rPr>
        <w:t>评标</w:t>
      </w:r>
      <w:r>
        <w:rPr>
          <w:rFonts w:hint="eastAsia" w:ascii="宋体" w:hAnsi="宋体"/>
        </w:rPr>
        <w:t>小组</w:t>
      </w:r>
      <w:r>
        <w:rPr>
          <w:rFonts w:ascii="宋体" w:hAnsi="宋体"/>
          <w:spacing w:val="-4"/>
        </w:rPr>
        <w:t>可以书面形式要求投标人对投标文件中含义不明确、对同</w:t>
      </w:r>
      <w:r>
        <w:rPr>
          <w:rFonts w:ascii="宋体" w:hAnsi="宋体"/>
          <w:spacing w:val="-1"/>
        </w:rPr>
        <w:t>类问题表述不一致或者有明显文字和计算错误的内容作必要的澄清、说明或补正。澄清、说明</w:t>
      </w:r>
      <w:r>
        <w:rPr>
          <w:rFonts w:ascii="宋体" w:hAnsi="宋体"/>
        </w:rPr>
        <w:t>或补正应以</w:t>
      </w:r>
      <w:r>
        <w:rPr>
          <w:rFonts w:hint="eastAsia" w:ascii="宋体" w:hAnsi="宋体"/>
        </w:rPr>
        <w:t>书面方式</w:t>
      </w:r>
      <w:r>
        <w:rPr>
          <w:rFonts w:ascii="宋体" w:hAnsi="宋体"/>
        </w:rPr>
        <w:t>进行。评标</w:t>
      </w:r>
      <w:r>
        <w:rPr>
          <w:rFonts w:hint="eastAsia" w:ascii="宋体" w:hAnsi="宋体"/>
        </w:rPr>
        <w:t>小组</w:t>
      </w:r>
      <w:r>
        <w:rPr>
          <w:rFonts w:ascii="宋体" w:hAnsi="宋体"/>
        </w:rPr>
        <w:t>不接受投标人主动提出的澄清、说明或补正。</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spacing w:val="-4"/>
        </w:rPr>
        <w:t>澄清、说明或补正不得超出投标文件的范围且不得改变投标文件的实质性内容，并构</w:t>
      </w:r>
      <w:r>
        <w:rPr>
          <w:rFonts w:ascii="宋体" w:hAnsi="宋体"/>
        </w:rPr>
        <w:t>成投标文件的组成部分。</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w:t>
      </w:r>
      <w:r>
        <w:rPr>
          <w:rFonts w:hint="eastAsia" w:ascii="宋体" w:hAnsi="宋体"/>
        </w:rPr>
        <w:t>小组</w:t>
      </w:r>
      <w:r>
        <w:rPr>
          <w:rFonts w:ascii="宋体" w:hAnsi="宋体"/>
          <w:spacing w:val="-7"/>
        </w:rPr>
        <w:t>对投标人提交的澄清、说明或补正有疑问的，可以要求投标人进一步澄清、</w:t>
      </w:r>
      <w:r>
        <w:rPr>
          <w:rFonts w:ascii="宋体" w:hAnsi="宋体"/>
        </w:rPr>
        <w:t>说明或补正，直至满足评标委员会的要求。</w:t>
      </w:r>
    </w:p>
    <w:p>
      <w:pPr>
        <w:widowControl w:val="0"/>
        <w:numPr>
          <w:ilvl w:val="2"/>
          <w:numId w:val="6"/>
        </w:numPr>
        <w:autoSpaceDE w:val="0"/>
        <w:autoSpaceDN w:val="0"/>
        <w:adjustRightInd w:val="0"/>
        <w:snapToGrid w:val="0"/>
        <w:ind w:firstLineChars="0"/>
        <w:jc w:val="left"/>
        <w:rPr>
          <w:rFonts w:ascii="宋体" w:hAnsi="宋体"/>
        </w:rPr>
      </w:pPr>
      <w:r>
        <w:rPr>
          <w:rFonts w:hint="eastAsia" w:ascii="宋体" w:hAnsi="宋体"/>
        </w:rPr>
        <w:t>投标文件存在投标报价问题的，</w:t>
      </w:r>
      <w:r>
        <w:rPr>
          <w:rFonts w:ascii="宋体" w:hAnsi="宋体"/>
        </w:rPr>
        <w:t>评标</w:t>
      </w:r>
      <w:r>
        <w:rPr>
          <w:rFonts w:hint="eastAsia" w:ascii="宋体" w:hAnsi="宋体"/>
        </w:rPr>
        <w:t>小组可以进行投标报价的算术修正，投标报价算术修正按有利于招标人的原则进行，具体修正原则详见本章《价格标评审方法》。修正后的投标报价经投标人同意后，对投标人起约束作用。如果投标人不接受修正后的报价，其投标将被拒绝。</w:t>
      </w:r>
    </w:p>
    <w:p>
      <w:pPr>
        <w:widowControl w:val="0"/>
        <w:numPr>
          <w:ilvl w:val="1"/>
          <w:numId w:val="6"/>
        </w:numPr>
        <w:autoSpaceDE w:val="0"/>
        <w:autoSpaceDN w:val="0"/>
        <w:adjustRightInd w:val="0"/>
        <w:snapToGrid w:val="0"/>
        <w:ind w:firstLineChars="0"/>
        <w:jc w:val="left"/>
        <w:rPr>
          <w:rFonts w:ascii="宋体" w:hAnsi="宋体"/>
        </w:rPr>
      </w:pPr>
      <w:r>
        <w:rPr>
          <w:rFonts w:ascii="宋体" w:hAnsi="宋体"/>
        </w:rPr>
        <w:t>评标结果</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rPr>
        <w:t>除第</w:t>
      </w:r>
      <w:r>
        <w:rPr>
          <w:rFonts w:hint="eastAsia" w:ascii="宋体" w:hAnsi="宋体"/>
        </w:rPr>
        <w:t>一</w:t>
      </w:r>
      <w:r>
        <w:rPr>
          <w:rFonts w:ascii="宋体" w:hAnsi="宋体"/>
        </w:rPr>
        <w:t>章</w:t>
      </w:r>
      <w:r>
        <w:rPr>
          <w:rFonts w:ascii="宋体" w:hAnsi="宋体"/>
          <w:iCs/>
        </w:rPr>
        <w:t>“投标人须知”</w:t>
      </w:r>
      <w:r>
        <w:rPr>
          <w:rFonts w:ascii="宋体" w:hAnsi="宋体"/>
        </w:rPr>
        <w:t>前附表授权直接确定中标人外，评标</w:t>
      </w:r>
      <w:r>
        <w:rPr>
          <w:rFonts w:hint="eastAsia" w:ascii="宋体" w:hAnsi="宋体"/>
        </w:rPr>
        <w:t>小组</w:t>
      </w:r>
      <w:r>
        <w:rPr>
          <w:rFonts w:ascii="宋体" w:hAnsi="宋体"/>
        </w:rPr>
        <w:t>按照得分由高到低的顺序推荐中标人，并标明排序。</w:t>
      </w:r>
    </w:p>
    <w:p>
      <w:pPr>
        <w:widowControl w:val="0"/>
        <w:numPr>
          <w:ilvl w:val="2"/>
          <w:numId w:val="6"/>
        </w:numPr>
        <w:autoSpaceDE w:val="0"/>
        <w:autoSpaceDN w:val="0"/>
        <w:adjustRightInd w:val="0"/>
        <w:snapToGrid w:val="0"/>
        <w:ind w:firstLineChars="0"/>
        <w:jc w:val="left"/>
        <w:rPr>
          <w:rFonts w:ascii="宋体" w:hAnsi="宋体"/>
        </w:rPr>
      </w:pPr>
      <w:r>
        <w:rPr>
          <w:rFonts w:ascii="宋体" w:hAnsi="宋体"/>
        </w:rPr>
        <w:t>评标委员会完成评标后，应当向招标人提交书面评标报告和中标人名单。</w:t>
      </w:r>
    </w:p>
    <w:p>
      <w:pPr>
        <w:widowControl w:val="0"/>
        <w:autoSpaceDE w:val="0"/>
        <w:autoSpaceDN w:val="0"/>
        <w:adjustRightInd w:val="0"/>
        <w:snapToGrid w:val="0"/>
        <w:ind w:firstLine="0" w:firstLineChars="0"/>
        <w:jc w:val="left"/>
        <w:rPr>
          <w:rFonts w:ascii="宋体" w:hAnsi="宋体"/>
        </w:rPr>
      </w:pPr>
    </w:p>
    <w:p>
      <w:pPr>
        <w:widowControl w:val="0"/>
        <w:numPr>
          <w:ilvl w:val="0"/>
          <w:numId w:val="6"/>
        </w:numPr>
        <w:autoSpaceDE w:val="0"/>
        <w:autoSpaceDN w:val="0"/>
        <w:adjustRightInd w:val="0"/>
        <w:snapToGrid w:val="0"/>
        <w:ind w:firstLineChars="0"/>
        <w:jc w:val="left"/>
        <w:rPr>
          <w:rFonts w:ascii="宋体" w:hAnsi="宋体"/>
          <w:b/>
          <w:szCs w:val="21"/>
        </w:rPr>
      </w:pPr>
      <w:r>
        <w:rPr>
          <w:rFonts w:hint="eastAsia" w:ascii="宋体" w:hAnsi="宋体"/>
          <w:b/>
          <w:szCs w:val="21"/>
        </w:rPr>
        <w:t>中标人的确定</w:t>
      </w:r>
    </w:p>
    <w:p>
      <w:pPr>
        <w:widowControl w:val="0"/>
        <w:numPr>
          <w:ilvl w:val="1"/>
          <w:numId w:val="6"/>
        </w:numPr>
        <w:autoSpaceDE w:val="0"/>
        <w:autoSpaceDN w:val="0"/>
        <w:adjustRightInd w:val="0"/>
        <w:snapToGrid w:val="0"/>
        <w:ind w:firstLineChars="0"/>
        <w:jc w:val="left"/>
        <w:rPr>
          <w:rFonts w:ascii="宋体" w:hAnsi="宋体"/>
          <w:b/>
          <w:szCs w:val="21"/>
        </w:rPr>
      </w:pPr>
      <w:r>
        <w:rPr>
          <w:rFonts w:hint="eastAsia" w:ascii="宋体" w:hAnsi="宋体"/>
          <w:szCs w:val="21"/>
        </w:rPr>
        <w:t>按评审综合得分从高至低的顺序进行排序，总得分排名第一的为中标候选人，经评审小组集体表决后，形成评标报告。</w:t>
      </w:r>
    </w:p>
    <w:p>
      <w:pPr>
        <w:widowControl w:val="0"/>
        <w:numPr>
          <w:ilvl w:val="1"/>
          <w:numId w:val="6"/>
        </w:numPr>
        <w:autoSpaceDE w:val="0"/>
        <w:autoSpaceDN w:val="0"/>
        <w:adjustRightInd w:val="0"/>
        <w:snapToGrid w:val="0"/>
        <w:ind w:firstLineChars="0"/>
        <w:jc w:val="left"/>
        <w:rPr>
          <w:rFonts w:ascii="宋体" w:hAnsi="宋体"/>
          <w:szCs w:val="21"/>
        </w:rPr>
      </w:pPr>
      <w:r>
        <w:rPr>
          <w:rFonts w:hint="eastAsia" w:ascii="宋体" w:hAnsi="宋体"/>
          <w:szCs w:val="21"/>
        </w:rPr>
        <w:t>评审得分相同的，由</w:t>
      </w:r>
      <w:r>
        <w:rPr>
          <w:rFonts w:ascii="宋体" w:hAnsi="宋体"/>
        </w:rPr>
        <w:t>评标</w:t>
      </w:r>
      <w:r>
        <w:rPr>
          <w:rFonts w:hint="eastAsia" w:ascii="宋体" w:hAnsi="宋体"/>
        </w:rPr>
        <w:t>小组按照</w:t>
      </w:r>
      <w:r>
        <w:rPr>
          <w:rFonts w:hint="eastAsia" w:hAnsi="宋体" w:cs="宋体"/>
          <w:bCs/>
          <w:color w:val="585858" w:themeColor="text1" w:themeTint="A6"/>
        </w:rPr>
        <w:t>商务得分高者优先选择，商务得分也相同的，报价低者优先选择，若价格也相同，则抽签</w:t>
      </w:r>
      <w:r>
        <w:rPr>
          <w:rFonts w:hint="eastAsia" w:ascii="宋体" w:hAnsi="宋体"/>
          <w:szCs w:val="21"/>
        </w:rPr>
        <w:t>确定中标人。</w:t>
      </w:r>
    </w:p>
    <w:p>
      <w:pPr>
        <w:widowControl w:val="0"/>
        <w:autoSpaceDE w:val="0"/>
        <w:autoSpaceDN w:val="0"/>
        <w:adjustRightInd w:val="0"/>
        <w:snapToGrid w:val="0"/>
        <w:ind w:firstLine="0" w:firstLineChars="0"/>
        <w:jc w:val="left"/>
        <w:rPr>
          <w:rFonts w:ascii="宋体" w:hAnsi="宋体"/>
          <w:szCs w:val="21"/>
        </w:rPr>
      </w:pPr>
    </w:p>
    <w:p>
      <w:pPr>
        <w:widowControl w:val="0"/>
        <w:numPr>
          <w:ilvl w:val="0"/>
          <w:numId w:val="6"/>
        </w:numPr>
        <w:autoSpaceDE w:val="0"/>
        <w:autoSpaceDN w:val="0"/>
        <w:adjustRightInd w:val="0"/>
        <w:snapToGrid w:val="0"/>
        <w:ind w:firstLineChars="0"/>
        <w:jc w:val="left"/>
        <w:rPr>
          <w:rFonts w:ascii="宋体" w:hAnsi="宋体"/>
          <w:b/>
          <w:szCs w:val="21"/>
        </w:rPr>
      </w:pPr>
      <w:r>
        <w:rPr>
          <w:rFonts w:hint="eastAsia" w:ascii="宋体" w:hAnsi="宋体"/>
          <w:b/>
          <w:szCs w:val="21"/>
        </w:rPr>
        <w:t>附表</w:t>
      </w:r>
    </w:p>
    <w:p>
      <w:pPr>
        <w:ind w:left="0" w:leftChars="0" w:firstLine="0" w:firstLineChars="0"/>
        <w:jc w:val="both"/>
      </w:pPr>
      <w:r>
        <w:rPr>
          <w:rFonts w:hint="eastAsia" w:ascii="宋体" w:hAnsi="宋体" w:eastAsia="宋体" w:cs="Times New Roman"/>
          <w:szCs w:val="21"/>
        </w:rPr>
        <w:t>附表1-1《</w:t>
      </w:r>
      <w:r>
        <w:rPr>
          <w:rFonts w:hint="eastAsia" w:ascii="宋体" w:hAnsi="宋体" w:eastAsia="宋体" w:cs="Times New Roman"/>
          <w:szCs w:val="21"/>
          <w:lang w:val="en-US" w:eastAsia="zh-CN"/>
        </w:rPr>
        <w:t>灯笼国旗等装饰物</w:t>
      </w:r>
      <w:r>
        <w:rPr>
          <w:rFonts w:hint="eastAsia" w:ascii="宋体" w:hAnsi="宋体" w:eastAsia="宋体" w:cs="Times New Roman"/>
          <w:szCs w:val="21"/>
        </w:rPr>
        <w:t>招标</w:t>
      </w:r>
      <w:r>
        <w:rPr>
          <w:rFonts w:hint="eastAsia" w:ascii="宋体" w:hAnsi="宋体" w:eastAsia="宋体" w:cs="Times New Roman"/>
          <w:szCs w:val="21"/>
          <w:lang w:val="en-US" w:eastAsia="zh-CN"/>
        </w:rPr>
        <w:t>采购</w:t>
      </w:r>
      <w:r>
        <w:rPr>
          <w:rFonts w:hint="eastAsia" w:ascii="宋体" w:hAnsi="宋体" w:eastAsia="宋体" w:cs="Times New Roman"/>
          <w:szCs w:val="21"/>
        </w:rPr>
        <w:t>方案</w:t>
      </w:r>
      <w:r>
        <w:rPr>
          <w:rFonts w:hint="eastAsia" w:ascii="宋体" w:hAnsi="宋体"/>
          <w:szCs w:val="21"/>
        </w:rPr>
        <w:t>》</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2</w:t>
      </w:r>
      <w:r>
        <w:rPr>
          <w:rFonts w:hint="eastAsia" w:ascii="宋体" w:hAnsi="宋体"/>
          <w:szCs w:val="21"/>
        </w:rPr>
        <w:t>-1《商务标评审标准》</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3</w:t>
      </w:r>
      <w:r>
        <w:rPr>
          <w:rFonts w:hint="eastAsia" w:ascii="宋体" w:hAnsi="宋体"/>
          <w:szCs w:val="21"/>
        </w:rPr>
        <w:t>-1《技术标评审标准》</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4</w:t>
      </w:r>
      <w:r>
        <w:rPr>
          <w:rFonts w:hint="eastAsia" w:ascii="宋体" w:hAnsi="宋体"/>
          <w:szCs w:val="21"/>
        </w:rPr>
        <w:t>-1《价格标评审方法》</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w:t>
      </w:r>
      <w:r>
        <w:rPr>
          <w:rFonts w:hint="eastAsia" w:ascii="宋体" w:hAnsi="宋体"/>
          <w:szCs w:val="21"/>
          <w:lang w:val="en-US" w:eastAsia="zh-CN"/>
        </w:rPr>
        <w:t>5</w:t>
      </w:r>
      <w:r>
        <w:rPr>
          <w:rFonts w:hint="eastAsia" w:ascii="宋体" w:hAnsi="宋体"/>
          <w:szCs w:val="21"/>
        </w:rPr>
        <w:t>-1《商务标、技术标、价格标权重表和综合得分汇总》</w:t>
      </w:r>
    </w:p>
    <w:bookmarkEnd w:id="326"/>
    <w:bookmarkEnd w:id="327"/>
    <w:bookmarkEnd w:id="328"/>
    <w:p>
      <w:pPr>
        <w:widowControl w:val="0"/>
        <w:autoSpaceDE w:val="0"/>
        <w:autoSpaceDN w:val="0"/>
        <w:adjustRightInd w:val="0"/>
        <w:snapToGrid w:val="0"/>
        <w:ind w:firstLine="0" w:firstLineChars="0"/>
        <w:jc w:val="left"/>
        <w:rPr>
          <w:rFonts w:ascii="宋体" w:hAnsi="宋体"/>
        </w:rPr>
      </w:pPr>
      <w:r>
        <w:rPr>
          <w:rFonts w:ascii="宋体" w:hAnsi="宋体"/>
        </w:rPr>
        <w:br w:type="page"/>
      </w:r>
    </w:p>
    <w:p>
      <w:pPr>
        <w:jc w:val="both"/>
        <w:rPr>
          <w:rFonts w:ascii="宋体" w:hAnsi="宋体" w:cs="宋体"/>
          <w:b w:val="0"/>
          <w:bCs w:val="0"/>
          <w:color w:val="auto"/>
          <w:sz w:val="24"/>
          <w:szCs w:val="24"/>
        </w:rPr>
      </w:pPr>
      <w:r>
        <w:rPr>
          <w:rFonts w:hint="eastAsia" w:ascii="宋体" w:hAnsi="宋体" w:eastAsia="宋体" w:cs="Times New Roman"/>
          <w:szCs w:val="21"/>
        </w:rPr>
        <w:t>附表1-1</w:t>
      </w:r>
      <w:r>
        <w:rPr>
          <w:rFonts w:hint="eastAsia" w:ascii="宋体" w:hAnsi="宋体" w:eastAsia="宋体" w:cs="Times New Roman"/>
          <w:szCs w:val="21"/>
          <w:lang w:val="en-US" w:eastAsia="zh-CN"/>
        </w:rPr>
        <w:t xml:space="preserve">  </w:t>
      </w:r>
      <w:r>
        <w:rPr>
          <w:rFonts w:hint="eastAsia" w:ascii="宋体" w:hAnsi="宋体" w:cs="宋体"/>
          <w:b w:val="0"/>
          <w:bCs w:val="0"/>
          <w:color w:val="auto"/>
          <w:sz w:val="24"/>
          <w:szCs w:val="24"/>
          <w:lang w:val="en-US" w:eastAsia="zh-CN"/>
        </w:rPr>
        <w:t>灯笼国旗等装饰物</w:t>
      </w:r>
      <w:r>
        <w:rPr>
          <w:rFonts w:hint="eastAsia" w:ascii="宋体" w:hAnsi="宋体" w:cs="宋体"/>
          <w:b w:val="0"/>
          <w:bCs w:val="0"/>
          <w:color w:val="auto"/>
          <w:sz w:val="24"/>
          <w:szCs w:val="24"/>
        </w:rPr>
        <w:t>招标</w:t>
      </w:r>
      <w:r>
        <w:rPr>
          <w:rFonts w:hint="eastAsia" w:ascii="宋体" w:hAnsi="宋体" w:cs="宋体"/>
          <w:b w:val="0"/>
          <w:bCs w:val="0"/>
          <w:color w:val="auto"/>
          <w:sz w:val="24"/>
          <w:szCs w:val="24"/>
          <w:lang w:val="en-US" w:eastAsia="zh-CN"/>
        </w:rPr>
        <w:t>采购</w:t>
      </w:r>
      <w:r>
        <w:rPr>
          <w:rFonts w:hint="eastAsia" w:ascii="宋体" w:hAnsi="宋体" w:cs="宋体"/>
          <w:b w:val="0"/>
          <w:bCs w:val="0"/>
          <w:color w:val="auto"/>
          <w:sz w:val="24"/>
          <w:szCs w:val="24"/>
        </w:rPr>
        <w:t>方案</w:t>
      </w:r>
    </w:p>
    <w:tbl>
      <w:tblPr>
        <w:tblStyle w:val="4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831"/>
        <w:gridCol w:w="6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68" w:type="dxa"/>
            <w:vAlign w:val="center"/>
          </w:tcPr>
          <w:p>
            <w:pPr>
              <w:ind w:left="0" w:leftChars="0" w:firstLine="0" w:firstLineChars="0"/>
              <w:jc w:val="both"/>
              <w:rPr>
                <w:rFonts w:ascii="宋体" w:hAnsi="宋体" w:cs="宋体"/>
                <w:b/>
                <w:bCs/>
                <w:color w:val="000000" w:themeColor="text1"/>
                <w:sz w:val="24"/>
                <w:szCs w:val="24"/>
              </w:rPr>
            </w:pPr>
            <w:r>
              <w:rPr>
                <w:rFonts w:hint="eastAsia" w:ascii="宋体" w:hAnsi="宋体" w:cs="宋体"/>
                <w:b/>
                <w:bCs/>
                <w:color w:val="000000" w:themeColor="text1"/>
                <w:sz w:val="24"/>
                <w:szCs w:val="24"/>
              </w:rPr>
              <w:t>序号</w:t>
            </w:r>
          </w:p>
        </w:tc>
        <w:tc>
          <w:tcPr>
            <w:tcW w:w="1831" w:type="dxa"/>
            <w:vAlign w:val="center"/>
          </w:tcPr>
          <w:p>
            <w:pPr>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名</w:t>
            </w:r>
            <w:r>
              <w:rPr>
                <w:rFonts w:ascii="宋体" w:hAnsi="宋体" w:cs="宋体"/>
                <w:b/>
                <w:bCs/>
                <w:color w:val="000000" w:themeColor="text1"/>
                <w:sz w:val="24"/>
                <w:szCs w:val="24"/>
              </w:rPr>
              <w:t xml:space="preserve">  </w:t>
            </w:r>
            <w:r>
              <w:rPr>
                <w:rFonts w:hint="eastAsia" w:ascii="宋体" w:hAnsi="宋体" w:cs="宋体"/>
                <w:b/>
                <w:bCs/>
                <w:color w:val="000000" w:themeColor="text1"/>
                <w:sz w:val="24"/>
                <w:szCs w:val="24"/>
              </w:rPr>
              <w:t>称</w:t>
            </w:r>
          </w:p>
        </w:tc>
        <w:tc>
          <w:tcPr>
            <w:tcW w:w="6581" w:type="dxa"/>
            <w:vAlign w:val="center"/>
          </w:tcPr>
          <w:p>
            <w:pPr>
              <w:jc w:val="center"/>
              <w:rPr>
                <w:rFonts w:ascii="宋体" w:hAnsi="宋体" w:cs="宋体"/>
                <w:b/>
                <w:bCs/>
                <w:color w:val="000000" w:themeColor="text1"/>
                <w:sz w:val="24"/>
                <w:szCs w:val="24"/>
              </w:rPr>
            </w:pPr>
            <w:r>
              <w:rPr>
                <w:rFonts w:hint="eastAsia" w:ascii="宋体" w:hAnsi="宋体" w:cs="宋体"/>
                <w:b/>
                <w:bCs/>
                <w:color w:val="000000" w:themeColor="text1"/>
                <w:sz w:val="24"/>
                <w:szCs w:val="24"/>
              </w:rPr>
              <w:t>主</w:t>
            </w:r>
            <w:r>
              <w:rPr>
                <w:rFonts w:ascii="宋体" w:hAnsi="宋体" w:cs="宋体"/>
                <w:b/>
                <w:bCs/>
                <w:color w:val="000000" w:themeColor="text1"/>
                <w:sz w:val="24"/>
                <w:szCs w:val="24"/>
              </w:rPr>
              <w:t xml:space="preserve">   </w:t>
            </w:r>
            <w:r>
              <w:rPr>
                <w:rFonts w:hint="eastAsia" w:ascii="宋体" w:hAnsi="宋体" w:cs="宋体"/>
                <w:b/>
                <w:bCs/>
                <w:color w:val="000000" w:themeColor="text1"/>
                <w:sz w:val="24"/>
                <w:szCs w:val="24"/>
              </w:rPr>
              <w:t>要</w:t>
            </w:r>
            <w:r>
              <w:rPr>
                <w:rFonts w:ascii="宋体" w:hAnsi="宋体" w:cs="宋体"/>
                <w:b/>
                <w:bCs/>
                <w:color w:val="000000" w:themeColor="text1"/>
                <w:sz w:val="24"/>
                <w:szCs w:val="24"/>
              </w:rPr>
              <w:t xml:space="preserve">   </w:t>
            </w:r>
            <w:r>
              <w:rPr>
                <w:rFonts w:hint="eastAsia" w:ascii="宋体" w:hAnsi="宋体" w:cs="宋体"/>
                <w:b/>
                <w:bCs/>
                <w:color w:val="000000" w:themeColor="text1"/>
                <w:sz w:val="24"/>
                <w:szCs w:val="24"/>
              </w:rPr>
              <w:t>内</w:t>
            </w:r>
            <w:r>
              <w:rPr>
                <w:rFonts w:ascii="宋体" w:hAnsi="宋体" w:cs="宋体"/>
                <w:b/>
                <w:bCs/>
                <w:color w:val="000000" w:themeColor="text1"/>
                <w:sz w:val="24"/>
                <w:szCs w:val="24"/>
              </w:rPr>
              <w:t xml:space="preserve">   </w:t>
            </w:r>
            <w:r>
              <w:rPr>
                <w:rFonts w:hint="eastAsia" w:ascii="宋体" w:hAnsi="宋体" w:cs="宋体"/>
                <w:b/>
                <w:bCs/>
                <w:color w:val="000000" w:themeColor="text1"/>
                <w:sz w:val="24"/>
                <w:szCs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ascii="宋体" w:hAnsi="宋体" w:cs="宋体"/>
                <w:bCs/>
                <w:color w:val="000000" w:themeColor="text1"/>
                <w:szCs w:val="21"/>
              </w:rPr>
              <w:t>1</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工程名称</w:t>
            </w:r>
          </w:p>
        </w:tc>
        <w:tc>
          <w:tcPr>
            <w:tcW w:w="6581" w:type="dxa"/>
            <w:vAlign w:val="center"/>
          </w:tcPr>
          <w:p>
            <w:pPr>
              <w:spacing w:line="380" w:lineRule="exact"/>
              <w:ind w:left="0" w:leftChars="0" w:firstLine="0" w:firstLineChars="0"/>
              <w:jc w:val="left"/>
              <w:rPr>
                <w:rFonts w:hint="eastAsia" w:eastAsia="宋体" w:cs="宋体" w:asciiTheme="minorEastAsia" w:hAnsiTheme="minorEastAsia"/>
                <w:bCs/>
                <w:color w:val="000000" w:themeColor="text1"/>
                <w:szCs w:val="21"/>
                <w:lang w:eastAsia="zh-CN"/>
              </w:rPr>
            </w:pPr>
            <w:r>
              <w:rPr>
                <w:rFonts w:hint="eastAsia" w:ascii="宋体" w:hAnsi="宋体" w:eastAsia="宋体" w:cs="宋体"/>
                <w:color w:val="000000" w:themeColor="text1"/>
                <w:sz w:val="21"/>
                <w:szCs w:val="21"/>
              </w:rPr>
              <w:t>节日灯笼国旗等装饰物</w:t>
            </w:r>
            <w:r>
              <w:rPr>
                <w:rFonts w:hint="eastAsia" w:ascii="宋体" w:hAnsi="宋体" w:eastAsia="宋体" w:cs="宋体"/>
                <w:color w:val="000000" w:themeColor="text1"/>
                <w:sz w:val="21"/>
                <w:szCs w:val="21"/>
                <w:lang w:val="en-US"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2</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项目简介</w:t>
            </w:r>
          </w:p>
        </w:tc>
        <w:tc>
          <w:tcPr>
            <w:tcW w:w="6581" w:type="dxa"/>
            <w:vAlign w:val="center"/>
          </w:tcPr>
          <w:p>
            <w:pPr>
              <w:spacing w:line="380" w:lineRule="exact"/>
              <w:ind w:left="0" w:leftChars="0" w:firstLine="0" w:firstLineChars="0"/>
              <w:jc w:val="left"/>
              <w:rPr>
                <w:rFonts w:ascii="宋体" w:hAnsi="宋体" w:cs="宋体"/>
                <w:bCs/>
                <w:color w:val="000000" w:themeColor="text1"/>
                <w:szCs w:val="21"/>
              </w:rPr>
            </w:pPr>
            <w:r>
              <w:rPr>
                <w:rFonts w:hint="eastAsia" w:ascii="宋体" w:hAnsi="宋体" w:cs="宋体"/>
                <w:bCs/>
                <w:color w:val="000000" w:themeColor="text1"/>
                <w:szCs w:val="21"/>
              </w:rPr>
              <w:t>为装扮及提升城市节日氛围，丰富美好城市元素，国庆节和春节期间</w:t>
            </w:r>
            <w:r>
              <w:rPr>
                <w:rFonts w:hint="eastAsia" w:ascii="宋体" w:hAnsi="宋体" w:cs="宋体"/>
                <w:bCs/>
                <w:color w:val="000000" w:themeColor="text1"/>
                <w:szCs w:val="21"/>
                <w:lang w:val="en-US" w:eastAsia="zh-CN"/>
              </w:rPr>
              <w:t>采购灯笼国旗，悬挂</w:t>
            </w:r>
            <w:r>
              <w:rPr>
                <w:rFonts w:hint="eastAsia" w:ascii="宋体" w:hAnsi="宋体" w:cs="宋体"/>
                <w:bCs/>
                <w:color w:val="000000" w:themeColor="text1"/>
                <w:szCs w:val="21"/>
              </w:rPr>
              <w:t>在大浪街道范围内公共区域及道路两侧。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3</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招标范围</w:t>
            </w:r>
          </w:p>
        </w:tc>
        <w:tc>
          <w:tcPr>
            <w:tcW w:w="6581" w:type="dxa"/>
            <w:vAlign w:val="center"/>
          </w:tcPr>
          <w:p>
            <w:pPr>
              <w:spacing w:line="380" w:lineRule="exact"/>
              <w:ind w:left="0" w:leftChars="0" w:firstLine="0" w:firstLineChars="0"/>
              <w:jc w:val="left"/>
              <w:rPr>
                <w:rFonts w:hint="default" w:ascii="宋体" w:hAnsi="宋体" w:cs="宋体"/>
                <w:bCs/>
                <w:color w:val="000000" w:themeColor="text1"/>
                <w:szCs w:val="21"/>
                <w:lang w:val="en-US"/>
              </w:rPr>
            </w:pPr>
            <w:r>
              <w:rPr>
                <w:rFonts w:hint="eastAsia" w:ascii="宋体" w:hAnsi="宋体" w:cs="宋体"/>
                <w:bCs/>
                <w:color w:val="000000" w:themeColor="text1"/>
                <w:szCs w:val="21"/>
              </w:rPr>
              <w:t>本次招标主要内容包括以下方面：</w:t>
            </w:r>
            <w:r>
              <w:rPr>
                <w:rFonts w:hint="eastAsia" w:ascii="宋体" w:hAnsi="宋体" w:cs="宋体"/>
                <w:bCs/>
                <w:color w:val="000000" w:themeColor="text1"/>
                <w:szCs w:val="21"/>
                <w:lang w:val="en-US" w:eastAsia="zh-CN"/>
              </w:rPr>
              <w:t>龙华区大浪街道范围内：华旺路、华荣路、华兴路、大浪南路、民塘路、浪荣路、华繁路、布龙路、和平路的</w:t>
            </w:r>
            <w:r>
              <w:rPr>
                <w:rFonts w:hint="eastAsia" w:ascii="宋体" w:hAnsi="宋体" w:cs="宋体"/>
                <w:bCs/>
                <w:color w:val="000000" w:themeColor="text1"/>
                <w:szCs w:val="21"/>
              </w:rPr>
              <w:t>202</w:t>
            </w:r>
            <w:r>
              <w:rPr>
                <w:rFonts w:hint="eastAsia" w:ascii="宋体" w:hAnsi="宋体" w:cs="宋体"/>
                <w:bCs/>
                <w:color w:val="000000" w:themeColor="text1"/>
                <w:szCs w:val="21"/>
                <w:lang w:val="en-US" w:eastAsia="zh-CN"/>
              </w:rPr>
              <w:t>4</w:t>
            </w:r>
            <w:r>
              <w:rPr>
                <w:rFonts w:hint="eastAsia" w:ascii="宋体" w:hAnsi="宋体" w:cs="宋体"/>
                <w:bCs/>
                <w:color w:val="000000" w:themeColor="text1"/>
                <w:szCs w:val="21"/>
              </w:rPr>
              <w:t>年</w:t>
            </w:r>
            <w:r>
              <w:rPr>
                <w:rFonts w:hint="eastAsia" w:ascii="宋体" w:hAnsi="宋体" w:cs="宋体"/>
                <w:bCs/>
                <w:color w:val="000000" w:themeColor="text1"/>
                <w:szCs w:val="21"/>
                <w:lang w:val="en-US" w:eastAsia="zh-CN"/>
              </w:rPr>
              <w:t>节日</w:t>
            </w:r>
            <w:r>
              <w:rPr>
                <w:rFonts w:hint="eastAsia" w:ascii="宋体" w:hAnsi="宋体" w:cs="宋体"/>
                <w:bCs/>
                <w:color w:val="000000" w:themeColor="text1"/>
                <w:szCs w:val="21"/>
              </w:rPr>
              <w:t>灯笼</w:t>
            </w:r>
            <w:r>
              <w:rPr>
                <w:rFonts w:hint="eastAsia" w:ascii="宋体" w:hAnsi="宋体" w:cs="宋体"/>
                <w:bCs/>
                <w:color w:val="000000" w:themeColor="text1"/>
                <w:szCs w:val="21"/>
                <w:lang w:val="en-US" w:eastAsia="zh-CN"/>
              </w:rPr>
              <w:t>国旗等装饰物采购</w:t>
            </w:r>
            <w:r>
              <w:rPr>
                <w:rFonts w:hint="eastAsia" w:ascii="宋体" w:hAnsi="宋体" w:cs="宋体"/>
                <w:bCs/>
                <w:color w:val="000000" w:themeColor="text1"/>
                <w:szCs w:val="21"/>
              </w:rPr>
              <w:t>服务</w:t>
            </w:r>
            <w:r>
              <w:rPr>
                <w:rFonts w:hint="eastAsia" w:ascii="宋体" w:hAnsi="宋体" w:cs="宋体"/>
                <w:bCs/>
                <w:color w:val="000000" w:themeColor="text1"/>
                <w:szCs w:val="21"/>
                <w:lang w:eastAsia="zh-CN"/>
              </w:rPr>
              <w:t>，</w:t>
            </w:r>
            <w:r>
              <w:rPr>
                <w:rFonts w:hint="eastAsia" w:ascii="宋体" w:hAnsi="宋体" w:cs="宋体"/>
                <w:bCs/>
                <w:color w:val="000000" w:themeColor="text1"/>
                <w:szCs w:val="21"/>
                <w:lang w:val="en-US" w:eastAsia="zh-CN"/>
              </w:rPr>
              <w:t>包含灯笼和国旗及配套物品配送到场。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4</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招标方式</w:t>
            </w:r>
          </w:p>
        </w:tc>
        <w:tc>
          <w:tcPr>
            <w:tcW w:w="6581" w:type="dxa"/>
            <w:vAlign w:val="center"/>
          </w:tcPr>
          <w:p>
            <w:pPr>
              <w:spacing w:line="380" w:lineRule="exact"/>
              <w:ind w:left="0" w:leftChars="0" w:firstLine="0" w:firstLineChars="0"/>
              <w:jc w:val="left"/>
              <w:rPr>
                <w:rFonts w:hint="default" w:ascii="宋体" w:hAnsi="宋体" w:cs="宋体" w:eastAsiaTheme="minorEastAsia"/>
                <w:bCs/>
                <w:color w:val="000000" w:themeColor="text1"/>
                <w:szCs w:val="21"/>
                <w:lang w:val="en-US" w:eastAsia="zh-CN"/>
              </w:rPr>
            </w:pPr>
            <w:r>
              <w:rPr>
                <w:rFonts w:hint="eastAsia" w:ascii="宋体" w:hAnsi="宋体" w:cs="宋体"/>
                <w:bCs/>
                <w:color w:val="000000" w:themeColor="text1"/>
                <w:szCs w:val="21"/>
                <w:lang w:val="en-US" w:eastAsia="zh-CN"/>
              </w:rPr>
              <w:t>企业自行组织采购招标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5</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计价方式</w:t>
            </w:r>
          </w:p>
        </w:tc>
        <w:tc>
          <w:tcPr>
            <w:tcW w:w="6581" w:type="dxa"/>
            <w:vAlign w:val="center"/>
          </w:tcPr>
          <w:p>
            <w:pPr>
              <w:pStyle w:val="46"/>
              <w:widowControl/>
              <w:spacing w:line="380" w:lineRule="exact"/>
              <w:ind w:left="0" w:leftChars="0" w:firstLine="0" w:firstLineChars="0"/>
              <w:rPr>
                <w:rFonts w:ascii="宋体" w:hAnsi="宋体" w:cs="宋体"/>
                <w:bCs/>
                <w:color w:val="000000" w:themeColor="text1"/>
                <w:szCs w:val="21"/>
              </w:rPr>
            </w:pPr>
            <w:r>
              <w:rPr>
                <w:rFonts w:hint="eastAsia" w:ascii="宋体" w:hAnsi="宋体" w:cs="宋体"/>
                <w:bCs/>
                <w:color w:val="000000" w:themeColor="text1"/>
                <w:kern w:val="2"/>
                <w:sz w:val="21"/>
                <w:szCs w:val="21"/>
                <w:lang w:val="en-US" w:eastAsia="zh-CN"/>
              </w:rPr>
              <w:t>固定单价</w:t>
            </w:r>
            <w:r>
              <w:rPr>
                <w:rFonts w:hint="eastAsia" w:ascii="宋体" w:hAnsi="宋体" w:cs="宋体"/>
                <w:bCs/>
                <w:color w:val="000000" w:themeColor="text1"/>
                <w:kern w:val="2"/>
                <w:sz w:val="21"/>
                <w:szCs w:val="21"/>
              </w:rPr>
              <w:t>。结算时，</w:t>
            </w:r>
            <w:r>
              <w:rPr>
                <w:rFonts w:hint="eastAsia" w:ascii="宋体" w:hAnsi="宋体" w:cs="宋体"/>
                <w:bCs/>
                <w:color w:val="000000" w:themeColor="text1"/>
                <w:kern w:val="2"/>
                <w:sz w:val="21"/>
                <w:szCs w:val="21"/>
                <w:lang w:val="en-US" w:eastAsia="zh-CN"/>
              </w:rPr>
              <w:t>以实际交货验收数量为依据，结算金额不得超过合同价</w:t>
            </w:r>
            <w:r>
              <w:rPr>
                <w:rFonts w:hint="eastAsia" w:ascii="宋体" w:hAnsi="宋体" w:cs="宋体"/>
                <w:bCs/>
                <w:color w:val="000000" w:themeColor="text1"/>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6</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投标上限价</w:t>
            </w:r>
          </w:p>
        </w:tc>
        <w:tc>
          <w:tcPr>
            <w:tcW w:w="6581" w:type="dxa"/>
            <w:vAlign w:val="center"/>
          </w:tcPr>
          <w:p>
            <w:pPr>
              <w:pStyle w:val="416"/>
              <w:spacing w:line="380" w:lineRule="exact"/>
              <w:jc w:val="left"/>
              <w:rPr>
                <w:rFonts w:hint="default" w:eastAsia="宋体" w:asciiTheme="minorEastAsia" w:hAnsiTheme="minorEastAsia"/>
                <w:color w:val="000000" w:themeColor="text1"/>
                <w:lang w:val="en-US" w:eastAsia="zh-CN"/>
              </w:rPr>
            </w:pPr>
            <w:r>
              <w:rPr>
                <w:rFonts w:hint="eastAsia" w:asciiTheme="minorEastAsia" w:hAnsiTheme="minorEastAsia" w:eastAsiaTheme="minorEastAsia"/>
                <w:color w:val="000000" w:themeColor="text1"/>
              </w:rPr>
              <w:t>投标上限价</w:t>
            </w:r>
            <w:r>
              <w:rPr>
                <w:rFonts w:hint="eastAsia" w:asciiTheme="minorEastAsia" w:hAnsiTheme="minorEastAsia" w:eastAsiaTheme="minorEastAsia"/>
                <w:color w:val="000000" w:themeColor="text1"/>
                <w:lang w:val="en-US" w:eastAsia="zh-CN"/>
              </w:rPr>
              <w:t>：灯笼上限价108.3元/个（</w:t>
            </w:r>
            <w:r>
              <w:rPr>
                <w:rFonts w:hint="eastAsia" w:ascii="宋体" w:hAnsi="宋体" w:eastAsia="宋体" w:cs="宋体"/>
                <w:color w:val="000000" w:themeColor="text1"/>
                <w:lang w:val="en-US" w:eastAsia="zh-CN"/>
              </w:rPr>
              <w:t>≦</w:t>
            </w:r>
            <w:r>
              <w:rPr>
                <w:rFonts w:hint="eastAsia" w:asciiTheme="minorEastAsia" w:hAnsiTheme="minorEastAsia" w:eastAsiaTheme="minorEastAsia"/>
                <w:color w:val="000000" w:themeColor="text1"/>
                <w:lang w:val="en-US" w:eastAsia="zh-CN"/>
              </w:rPr>
              <w:t>3101个），单面旗帜上限价57.5元/面（</w:t>
            </w:r>
            <w:r>
              <w:rPr>
                <w:rFonts w:hint="eastAsia" w:ascii="宋体" w:hAnsi="宋体" w:eastAsia="宋体" w:cs="宋体"/>
                <w:color w:val="000000" w:themeColor="text1"/>
                <w:lang w:val="en-US" w:eastAsia="zh-CN"/>
              </w:rPr>
              <w:t>≦</w:t>
            </w:r>
            <w:r>
              <w:rPr>
                <w:rFonts w:hint="eastAsia" w:asciiTheme="minorEastAsia" w:hAnsiTheme="minorEastAsia" w:eastAsiaTheme="minorEastAsia"/>
                <w:color w:val="000000" w:themeColor="text1"/>
                <w:lang w:val="en-US" w:eastAsia="zh-CN"/>
              </w:rPr>
              <w:t>2086面）,灯笼和国旗采购数量，根据业主单位要求和现场实际悬挂数量据实结算，采购总金额上限价为455783.3</w:t>
            </w:r>
            <w:r>
              <w:rPr>
                <w:rFonts w:hint="eastAsia" w:asciiTheme="minorEastAsia" w:hAnsiTheme="minorEastAsia" w:eastAsiaTheme="minorEastAsia"/>
                <w:color w:val="000000" w:themeColor="text1"/>
                <w:lang w:val="en-US" w:eastAsia="zh-CN"/>
              </w:rPr>
              <w:t>元。上限价均包含国旗、灯笼运输和物料等费用。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7</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资格审查方式</w:t>
            </w:r>
          </w:p>
        </w:tc>
        <w:tc>
          <w:tcPr>
            <w:tcW w:w="6581" w:type="dxa"/>
            <w:vAlign w:val="center"/>
          </w:tcPr>
          <w:p>
            <w:pPr>
              <w:spacing w:line="380" w:lineRule="exact"/>
              <w:jc w:val="left"/>
              <w:rPr>
                <w:rFonts w:cs="宋体" w:asciiTheme="minorEastAsia" w:hAnsiTheme="minorEastAsia" w:eastAsiaTheme="minorEastAsia"/>
                <w:color w:val="000000" w:themeColor="text1"/>
                <w:szCs w:val="21"/>
              </w:rPr>
            </w:pPr>
            <w:r>
              <w:rPr>
                <w:rFonts w:hint="eastAsia" w:asciiTheme="minorEastAsia" w:hAnsiTheme="minorEastAsia"/>
                <w:color w:val="000000" w:themeColor="text1"/>
                <w:szCs w:val="21"/>
                <w:lang w:eastAsia="zh-CN"/>
              </w:rPr>
              <w:t>□</w:t>
            </w:r>
            <w:r>
              <w:rPr>
                <w:rFonts w:hint="eastAsia" w:asciiTheme="minorEastAsia" w:hAnsiTheme="minorEastAsia" w:eastAsiaTheme="minorEastAsia"/>
                <w:color w:val="000000" w:themeColor="text1"/>
                <w:szCs w:val="21"/>
              </w:rPr>
              <w:t xml:space="preserve">投标报名    </w:t>
            </w:r>
            <w:r>
              <w:rPr>
                <w:rFonts w:hint="eastAsia" w:asciiTheme="minorEastAsia" w:hAnsiTheme="minorEastAsia"/>
                <w:color w:val="000000" w:themeColor="text1"/>
                <w:szCs w:val="21"/>
                <w:lang w:eastAsia="zh-CN"/>
              </w:rPr>
              <w:t>□</w:t>
            </w:r>
            <w:r>
              <w:rPr>
                <w:rFonts w:hint="eastAsia" w:asciiTheme="minorEastAsia" w:hAnsiTheme="minorEastAsia" w:eastAsiaTheme="minorEastAsia"/>
                <w:color w:val="000000" w:themeColor="text1"/>
                <w:szCs w:val="21"/>
              </w:rPr>
              <w:t xml:space="preserve">资格预审     </w:t>
            </w:r>
            <w:r>
              <w:rPr>
                <w:rFonts w:hint="eastAsia" w:asciiTheme="minorEastAsia" w:hAnsiTheme="minorEastAsia"/>
                <w:color w:val="000000" w:themeColor="text1"/>
                <w:szCs w:val="21"/>
                <w:lang w:eastAsia="zh-CN"/>
              </w:rPr>
              <w:t>☑</w:t>
            </w:r>
            <w:r>
              <w:rPr>
                <w:rFonts w:hint="eastAsia" w:asciiTheme="minorEastAsia" w:hAnsiTheme="minorEastAsia" w:eastAsiaTheme="minorEastAsia"/>
                <w:color w:val="000000" w:themeColor="text1"/>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8</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是否接受联合体</w:t>
            </w:r>
          </w:p>
        </w:tc>
        <w:tc>
          <w:tcPr>
            <w:tcW w:w="6581" w:type="dxa"/>
            <w:vAlign w:val="center"/>
          </w:tcPr>
          <w:p>
            <w:pPr>
              <w:spacing w:line="380" w:lineRule="exact"/>
              <w:jc w:val="left"/>
              <w:rPr>
                <w:rFonts w:cs="宋体" w:asciiTheme="minorEastAsia" w:hAnsiTheme="minorEastAsia" w:eastAsiaTheme="minorEastAsia"/>
                <w:color w:val="000000" w:themeColor="text1"/>
                <w:szCs w:val="21"/>
              </w:rPr>
            </w:pPr>
            <w:r>
              <w:rPr>
                <w:rFonts w:hint="eastAsia" w:asciiTheme="minorEastAsia" w:hAnsiTheme="minorEastAsia"/>
                <w:color w:val="000000" w:themeColor="text1"/>
                <w:szCs w:val="21"/>
                <w:lang w:eastAsia="zh-CN"/>
              </w:rPr>
              <w:t>☑</w:t>
            </w:r>
            <w:r>
              <w:rPr>
                <w:rFonts w:hint="eastAsia" w:asciiTheme="minorEastAsia" w:hAnsiTheme="minorEastAsia" w:eastAsiaTheme="minorEastAsia"/>
                <w:color w:val="000000" w:themeColor="text1"/>
                <w:szCs w:val="21"/>
              </w:rPr>
              <w:t xml:space="preserve">不接受    □接受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9</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投标人资质要求</w:t>
            </w:r>
          </w:p>
        </w:tc>
        <w:tc>
          <w:tcPr>
            <w:tcW w:w="6581" w:type="dxa"/>
            <w:vAlign w:val="center"/>
          </w:tcPr>
          <w:p>
            <w:pPr>
              <w:pStyle w:val="46"/>
              <w:widowControl/>
              <w:spacing w:line="380" w:lineRule="exact"/>
              <w:ind w:left="0" w:leftChars="0" w:firstLine="0" w:firstLineChars="0"/>
              <w:rPr>
                <w:color w:val="000000" w:themeColor="text1"/>
              </w:rPr>
            </w:pPr>
            <w:r>
              <w:rPr>
                <w:rFonts w:hint="eastAsia" w:ascii="宋体" w:hAnsi="宋体" w:cs="宋体"/>
                <w:bCs/>
                <w:color w:val="000000" w:themeColor="text1"/>
                <w:kern w:val="2"/>
                <w:sz w:val="21"/>
                <w:szCs w:val="21"/>
              </w:rPr>
              <w:t>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投标人必须按照招标文件所提供的《投标及履约承诺函》进行承诺（详见招标文件相应章节）；本项目不接受进口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10</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服务期</w:t>
            </w:r>
          </w:p>
        </w:tc>
        <w:tc>
          <w:tcPr>
            <w:tcW w:w="6581" w:type="dxa"/>
            <w:vAlign w:val="center"/>
          </w:tcPr>
          <w:p>
            <w:pPr>
              <w:spacing w:line="380" w:lineRule="exact"/>
              <w:ind w:left="0" w:leftChars="0" w:firstLine="0" w:firstLineChars="0"/>
              <w:jc w:val="left"/>
              <w:rPr>
                <w:rFonts w:ascii="宋体" w:hAnsi="宋体" w:cs="宋体"/>
                <w:bCs/>
                <w:color w:val="000000" w:themeColor="text1"/>
                <w:szCs w:val="21"/>
              </w:rPr>
            </w:pPr>
            <w:bookmarkStart w:id="331" w:name="_Toc450482930"/>
            <w:bookmarkStart w:id="332" w:name="_Toc469400845"/>
            <w:bookmarkStart w:id="333" w:name="_Toc450482895"/>
            <w:r>
              <w:rPr>
                <w:rFonts w:hint="eastAsia" w:ascii="宋体" w:hAnsi="宋体" w:cs="宋体"/>
                <w:bCs/>
                <w:color w:val="000000" w:themeColor="text1"/>
                <w:szCs w:val="21"/>
              </w:rPr>
              <w:t>计划</w:t>
            </w:r>
            <w:r>
              <w:rPr>
                <w:rFonts w:hint="eastAsia" w:ascii="宋体" w:hAnsi="宋体" w:cs="宋体"/>
                <w:bCs/>
                <w:color w:val="000000" w:themeColor="text1"/>
                <w:szCs w:val="21"/>
                <w:lang w:val="en-US" w:eastAsia="zh-CN"/>
              </w:rPr>
              <w:t>采购</w:t>
            </w:r>
            <w:r>
              <w:rPr>
                <w:rFonts w:hint="eastAsia" w:ascii="宋体" w:hAnsi="宋体" w:cs="宋体"/>
                <w:bCs/>
                <w:color w:val="000000" w:themeColor="text1"/>
                <w:szCs w:val="21"/>
              </w:rPr>
              <w:t>时间</w:t>
            </w:r>
            <w:bookmarkEnd w:id="331"/>
            <w:bookmarkEnd w:id="332"/>
            <w:bookmarkEnd w:id="333"/>
            <w:r>
              <w:rPr>
                <w:rFonts w:hint="eastAsia" w:ascii="宋体" w:hAnsi="宋体" w:cs="宋体"/>
                <w:bCs/>
                <w:color w:val="000000" w:themeColor="text1"/>
                <w:szCs w:val="21"/>
              </w:rPr>
              <w:t>，春节灯笼</w:t>
            </w:r>
            <w:r>
              <w:rPr>
                <w:rFonts w:hint="eastAsia" w:ascii="宋体" w:hAnsi="宋体" w:cs="宋体"/>
                <w:bCs/>
                <w:color w:val="000000" w:themeColor="text1"/>
                <w:szCs w:val="21"/>
                <w:lang w:val="en-US" w:eastAsia="zh-CN"/>
              </w:rPr>
              <w:t>交货时间</w:t>
            </w:r>
            <w:r>
              <w:rPr>
                <w:rFonts w:hint="eastAsia" w:ascii="宋体" w:hAnsi="宋体" w:cs="宋体"/>
                <w:bCs/>
                <w:color w:val="000000" w:themeColor="text1"/>
                <w:szCs w:val="21"/>
              </w:rPr>
              <w:t>：</w:t>
            </w:r>
            <w:r>
              <w:rPr>
                <w:rFonts w:hint="eastAsia" w:ascii="宋体" w:hAnsi="宋体" w:cs="宋体"/>
                <w:bCs/>
                <w:color w:val="000000" w:themeColor="text1"/>
                <w:szCs w:val="21"/>
                <w:lang w:val="en-US" w:eastAsia="zh-CN"/>
              </w:rPr>
              <w:t>开标后两天内灯笼及18W</w:t>
            </w:r>
            <w:r>
              <w:rPr>
                <w:rFonts w:hint="eastAsia" w:cs="宋体"/>
                <w:color w:val="252525" w:themeColor="text1" w:themeTint="D9"/>
                <w:kern w:val="2"/>
                <w:szCs w:val="21"/>
                <w:lang w:val="en-US" w:eastAsia="zh-CN"/>
              </w:rPr>
              <w:t>T8</w:t>
            </w:r>
            <w:r>
              <w:rPr>
                <w:rFonts w:hint="eastAsia" w:cs="宋体"/>
                <w:color w:val="252525" w:themeColor="text1" w:themeTint="D9"/>
                <w:kern w:val="2"/>
                <w:szCs w:val="21"/>
                <w:lang w:eastAsia="zh-CN"/>
              </w:rPr>
              <w:t>防爆防水</w:t>
            </w:r>
            <w:r>
              <w:rPr>
                <w:rFonts w:hint="eastAsia" w:cs="宋体"/>
                <w:color w:val="252525" w:themeColor="text1" w:themeTint="D9"/>
                <w:kern w:val="2"/>
                <w:szCs w:val="21"/>
                <w:lang w:val="en-US" w:eastAsia="zh-CN"/>
              </w:rPr>
              <w:t>纳米灯管</w:t>
            </w:r>
            <w:r>
              <w:rPr>
                <w:rFonts w:hint="eastAsia" w:ascii="宋体" w:hAnsi="宋体" w:cs="宋体"/>
                <w:bCs/>
                <w:color w:val="000000" w:themeColor="text1"/>
                <w:szCs w:val="21"/>
                <w:lang w:val="en-US" w:eastAsia="zh-CN"/>
              </w:rPr>
              <w:t>配件需到货</w:t>
            </w:r>
            <w:r>
              <w:rPr>
                <w:rFonts w:hint="eastAsia" w:ascii="宋体" w:hAnsi="宋体" w:cs="宋体"/>
                <w:bCs/>
                <w:color w:val="000000" w:themeColor="text1"/>
                <w:szCs w:val="21"/>
              </w:rPr>
              <w:t>；</w:t>
            </w:r>
            <w:r>
              <w:rPr>
                <w:rFonts w:hint="eastAsia" w:ascii="宋体" w:hAnsi="宋体" w:cs="宋体"/>
                <w:bCs/>
                <w:color w:val="000000" w:themeColor="text1"/>
                <w:szCs w:val="21"/>
                <w:lang w:val="en-US" w:eastAsia="zh-CN"/>
              </w:rPr>
              <w:t>未能按要求到货作废标处理。</w:t>
            </w:r>
            <w:r>
              <w:rPr>
                <w:rFonts w:hint="eastAsia" w:ascii="宋体" w:hAnsi="宋体" w:cs="宋体"/>
                <w:bCs/>
                <w:color w:val="000000" w:themeColor="text1"/>
                <w:szCs w:val="21"/>
              </w:rPr>
              <w:t>国庆节国旗</w:t>
            </w:r>
            <w:r>
              <w:rPr>
                <w:rFonts w:hint="eastAsia" w:ascii="宋体" w:hAnsi="宋体" w:cs="宋体"/>
                <w:bCs/>
                <w:color w:val="000000" w:themeColor="text1"/>
                <w:szCs w:val="21"/>
                <w:lang w:val="en-US" w:eastAsia="zh-CN"/>
              </w:rPr>
              <w:t>交货时间</w:t>
            </w:r>
            <w:r>
              <w:rPr>
                <w:rFonts w:hint="eastAsia" w:ascii="宋体" w:hAnsi="宋体" w:cs="宋体"/>
                <w:bCs/>
                <w:color w:val="000000" w:themeColor="text1"/>
                <w:szCs w:val="21"/>
              </w:rPr>
              <w:t>：202</w:t>
            </w:r>
            <w:r>
              <w:rPr>
                <w:rFonts w:hint="eastAsia" w:ascii="宋体" w:hAnsi="宋体" w:cs="宋体"/>
                <w:bCs/>
                <w:color w:val="000000" w:themeColor="text1"/>
                <w:szCs w:val="21"/>
                <w:lang w:val="en-US" w:eastAsia="zh-CN"/>
              </w:rPr>
              <w:t>4</w:t>
            </w:r>
            <w:r>
              <w:rPr>
                <w:rFonts w:hint="eastAsia" w:ascii="宋体" w:hAnsi="宋体" w:cs="宋体"/>
                <w:bCs/>
                <w:color w:val="000000" w:themeColor="text1"/>
                <w:szCs w:val="21"/>
              </w:rPr>
              <w:t>年9月</w:t>
            </w:r>
            <w:r>
              <w:rPr>
                <w:rFonts w:hint="eastAsia" w:ascii="宋体" w:hAnsi="宋体" w:cs="宋体"/>
                <w:bCs/>
                <w:color w:val="000000" w:themeColor="text1"/>
                <w:szCs w:val="21"/>
                <w:lang w:val="en-US" w:eastAsia="zh-CN"/>
              </w:rPr>
              <w:t>20</w:t>
            </w:r>
            <w:r>
              <w:rPr>
                <w:rFonts w:hint="eastAsia" w:ascii="宋体" w:hAnsi="宋体" w:cs="宋体"/>
                <w:bCs/>
                <w:color w:val="000000" w:themeColor="text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11</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评标方式</w:t>
            </w:r>
          </w:p>
        </w:tc>
        <w:tc>
          <w:tcPr>
            <w:tcW w:w="6581" w:type="dxa"/>
            <w:vAlign w:val="center"/>
          </w:tcPr>
          <w:p>
            <w:pPr>
              <w:pStyle w:val="2"/>
              <w:spacing w:line="380" w:lineRule="exact"/>
              <w:ind w:left="0" w:leftChars="0" w:firstLine="0" w:firstLineChars="0"/>
              <w:rPr>
                <w:rFonts w:hint="eastAsia" w:hAnsi="宋体" w:eastAsia="宋体" w:cs="宋体"/>
                <w:bCs/>
                <w:color w:val="000000" w:themeColor="text1"/>
                <w:highlight w:val="none"/>
                <w:lang w:val="en-US" w:eastAsia="zh-CN"/>
              </w:rPr>
            </w:pPr>
            <w:r>
              <w:rPr>
                <w:rFonts w:hint="eastAsia" w:hAnsi="宋体" w:eastAsia="宋体" w:cs="宋体"/>
                <w:bCs/>
                <w:color w:val="000000" w:themeColor="text1"/>
                <w:highlight w:val="none"/>
                <w:lang w:val="en-US" w:eastAsia="zh-CN"/>
              </w:rPr>
              <w:t>综合评分法：</w:t>
            </w:r>
          </w:p>
          <w:p>
            <w:pPr>
              <w:pStyle w:val="2"/>
              <w:spacing w:line="380" w:lineRule="exact"/>
              <w:ind w:left="0" w:leftChars="0" w:firstLine="0" w:firstLineChars="0"/>
              <w:rPr>
                <w:rFonts w:hAnsi="宋体" w:eastAsia="宋体" w:cs="宋体"/>
                <w:bCs/>
                <w:color w:val="000000" w:themeColor="text1"/>
              </w:rPr>
            </w:pPr>
            <w:r>
              <w:rPr>
                <w:rFonts w:hint="eastAsia" w:hAnsi="宋体" w:eastAsia="宋体" w:cs="宋体"/>
                <w:bCs/>
                <w:color w:val="585858" w:themeColor="text1" w:themeTint="A6"/>
                <w:highlight w:val="none"/>
              </w:rPr>
              <w:t>本项目采用</w:t>
            </w:r>
            <w:r>
              <w:rPr>
                <w:rFonts w:hint="eastAsia" w:hAnsi="宋体" w:eastAsia="宋体" w:cs="宋体"/>
                <w:bCs/>
                <w:color w:val="585858" w:themeColor="text1" w:themeTint="A6"/>
                <w:highlight w:val="none"/>
                <w:lang w:val="en-US" w:eastAsia="zh-CN"/>
              </w:rPr>
              <w:t>综合评分</w:t>
            </w:r>
            <w:r>
              <w:rPr>
                <w:rFonts w:hint="eastAsia" w:hAnsi="宋体" w:eastAsia="宋体" w:cs="宋体"/>
                <w:bCs/>
                <w:color w:val="585858" w:themeColor="text1" w:themeTint="A6"/>
                <w:highlight w:val="none"/>
              </w:rPr>
              <w:t>法。由公司评标小组</w:t>
            </w:r>
            <w:r>
              <w:rPr>
                <w:rFonts w:hint="eastAsia" w:hAnsi="宋体" w:eastAsia="宋体" w:cs="宋体"/>
                <w:bCs/>
                <w:color w:val="585858" w:themeColor="text1" w:themeTint="A6"/>
                <w:highlight w:val="none"/>
                <w:lang w:val="en-US" w:eastAsia="zh-CN"/>
              </w:rPr>
              <w:t>对投标文件进行评审，综合分数最高的为中标人。</w:t>
            </w:r>
            <w:r>
              <w:rPr>
                <w:rFonts w:hint="eastAsia" w:hAnsi="宋体" w:eastAsia="宋体" w:cs="宋体"/>
                <w:bCs/>
                <w:color w:val="585858" w:themeColor="text1" w:themeTint="A6"/>
                <w:highlight w:val="none"/>
              </w:rPr>
              <w:t>综合评分相同的，</w:t>
            </w:r>
            <w:r>
              <w:rPr>
                <w:rFonts w:hint="eastAsia" w:hAnsi="宋体" w:eastAsia="宋体" w:cs="宋体"/>
                <w:bCs/>
                <w:color w:val="585858" w:themeColor="text1" w:themeTint="A6"/>
                <w:highlight w:val="none"/>
                <w:lang w:val="en-US" w:eastAsia="zh-CN"/>
              </w:rPr>
              <w:t>优先选择价格低者</w:t>
            </w:r>
            <w:r>
              <w:rPr>
                <w:rFonts w:hint="eastAsia" w:hAnsi="宋体" w:eastAsia="宋体" w:cs="宋体"/>
                <w:bCs/>
                <w:color w:val="585858" w:themeColor="text1" w:themeTint="A6"/>
                <w:highlight w:val="none"/>
              </w:rPr>
              <w:t>，</w:t>
            </w:r>
            <w:r>
              <w:rPr>
                <w:rFonts w:hint="eastAsia" w:hAnsi="宋体" w:eastAsia="宋体" w:cs="宋体"/>
                <w:bCs/>
                <w:color w:val="585858" w:themeColor="text1" w:themeTint="A6"/>
                <w:highlight w:val="none"/>
                <w:lang w:val="en-US" w:eastAsia="zh-CN"/>
              </w:rPr>
              <w:t>价格</w:t>
            </w:r>
            <w:r>
              <w:rPr>
                <w:rFonts w:hint="eastAsia" w:hAnsi="宋体" w:eastAsia="宋体" w:cs="宋体"/>
                <w:bCs/>
                <w:color w:val="585858" w:themeColor="text1" w:themeTint="A6"/>
                <w:highlight w:val="none"/>
              </w:rPr>
              <w:t>得分也相同的，</w:t>
            </w:r>
            <w:r>
              <w:rPr>
                <w:rFonts w:hint="eastAsia" w:hAnsi="宋体" w:eastAsia="宋体" w:cs="宋体"/>
                <w:bCs/>
                <w:color w:val="585858" w:themeColor="text1" w:themeTint="A6"/>
                <w:highlight w:val="none"/>
                <w:lang w:val="en-US" w:eastAsia="zh-CN"/>
              </w:rPr>
              <w:t>商务得分高</w:t>
            </w:r>
            <w:r>
              <w:rPr>
                <w:rFonts w:hint="eastAsia" w:hAnsi="宋体" w:eastAsia="宋体" w:cs="宋体"/>
                <w:bCs/>
                <w:color w:val="585858" w:themeColor="text1" w:themeTint="A6"/>
                <w:highlight w:val="none"/>
              </w:rPr>
              <w:t>者优先选择，若</w:t>
            </w:r>
            <w:r>
              <w:rPr>
                <w:rFonts w:hint="eastAsia" w:hAnsi="宋体" w:eastAsia="宋体" w:cs="宋体"/>
                <w:bCs/>
                <w:color w:val="585858" w:themeColor="text1" w:themeTint="A6"/>
                <w:highlight w:val="none"/>
                <w:lang w:val="en-US" w:eastAsia="zh-CN"/>
              </w:rPr>
              <w:t>商务分</w:t>
            </w:r>
            <w:r>
              <w:rPr>
                <w:rFonts w:hint="eastAsia" w:hAnsi="宋体" w:eastAsia="宋体" w:cs="宋体"/>
                <w:bCs/>
                <w:color w:val="585858" w:themeColor="text1" w:themeTint="A6"/>
                <w:highlight w:val="none"/>
              </w:rPr>
              <w:t>也相同，则抽签确定投标人进入候选。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12</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定标方法</w:t>
            </w:r>
          </w:p>
        </w:tc>
        <w:tc>
          <w:tcPr>
            <w:tcW w:w="6581" w:type="dxa"/>
            <w:vAlign w:val="center"/>
          </w:tcPr>
          <w:p>
            <w:pPr>
              <w:pStyle w:val="2"/>
              <w:spacing w:line="380" w:lineRule="exact"/>
              <w:rPr>
                <w:color w:val="000000" w:themeColor="text1"/>
              </w:rPr>
            </w:pPr>
            <w:r>
              <w:rPr>
                <w:rFonts w:hint="eastAsia" w:hAnsi="宋体" w:eastAsia="宋体" w:cs="宋体"/>
                <w:b/>
                <w:color w:val="000000" w:themeColor="text1"/>
              </w:rPr>
              <w:t>直接票决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13</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定标择优要素</w:t>
            </w:r>
          </w:p>
        </w:tc>
        <w:tc>
          <w:tcPr>
            <w:tcW w:w="6581" w:type="dxa"/>
            <w:vAlign w:val="center"/>
          </w:tcPr>
          <w:p>
            <w:pPr>
              <w:pStyle w:val="2"/>
              <w:spacing w:line="380" w:lineRule="exact"/>
              <w:ind w:left="0" w:leftChars="0" w:firstLine="0" w:firstLineChars="0"/>
              <w:rPr>
                <w:rFonts w:ascii="Calibri"/>
                <w:color w:val="000000" w:themeColor="text1"/>
              </w:rPr>
            </w:pPr>
            <w:r>
              <w:rPr>
                <w:rFonts w:hint="eastAsia" w:hAnsi="宋体" w:eastAsia="宋体" w:cs="宋体"/>
                <w:bCs/>
                <w:color w:val="000000" w:themeColor="text1"/>
              </w:rPr>
              <w:t>定标择优要素侧重考量：</w:t>
            </w:r>
            <w:r>
              <w:rPr>
                <w:rFonts w:hint="eastAsia" w:hAnsi="宋体" w:eastAsia="宋体" w:cs="宋体"/>
                <w:b/>
                <w:bCs w:val="0"/>
                <w:color w:val="000000" w:themeColor="text1"/>
                <w:lang w:val="en-US" w:eastAsia="zh-CN"/>
              </w:rPr>
              <w:t>灯笼国旗及18W</w:t>
            </w:r>
            <w:r>
              <w:rPr>
                <w:rFonts w:hint="eastAsia" w:cs="宋体"/>
                <w:b/>
                <w:bCs/>
                <w:color w:val="000000" w:themeColor="text1"/>
                <w:kern w:val="2"/>
                <w:szCs w:val="21"/>
                <w:lang w:val="en-US" w:eastAsia="zh-CN"/>
              </w:rPr>
              <w:t>T8</w:t>
            </w:r>
            <w:r>
              <w:rPr>
                <w:rFonts w:hint="eastAsia" w:cs="宋体"/>
                <w:b/>
                <w:bCs/>
                <w:color w:val="000000" w:themeColor="text1"/>
                <w:kern w:val="2"/>
                <w:szCs w:val="21"/>
                <w:lang w:eastAsia="zh-CN"/>
              </w:rPr>
              <w:t>防爆防水</w:t>
            </w:r>
            <w:r>
              <w:rPr>
                <w:rFonts w:hint="eastAsia" w:cs="宋体"/>
                <w:b/>
                <w:bCs/>
                <w:color w:val="000000" w:themeColor="text1"/>
                <w:kern w:val="2"/>
                <w:szCs w:val="21"/>
                <w:lang w:val="en-US" w:eastAsia="zh-CN"/>
              </w:rPr>
              <w:t>纳米灯管</w:t>
            </w:r>
            <w:r>
              <w:rPr>
                <w:rFonts w:hint="eastAsia" w:hAnsi="宋体" w:eastAsia="宋体" w:cs="宋体"/>
                <w:b/>
                <w:bCs w:val="0"/>
                <w:color w:val="000000" w:themeColor="text1"/>
                <w:lang w:val="en-US" w:eastAsia="zh-CN"/>
              </w:rPr>
              <w:t>质量</w:t>
            </w:r>
            <w:r>
              <w:rPr>
                <w:rFonts w:hint="eastAsia" w:hAnsi="宋体" w:eastAsia="宋体" w:cs="宋体"/>
                <w:b w:val="0"/>
                <w:bCs/>
                <w:color w:val="000000" w:themeColor="text1"/>
                <w:lang w:val="en-US" w:eastAsia="zh-CN"/>
              </w:rPr>
              <w:t>和报价</w:t>
            </w:r>
            <w:r>
              <w:rPr>
                <w:rFonts w:hint="eastAsia" w:hAnsi="宋体" w:eastAsia="宋体" w:cs="宋体"/>
                <w:b/>
                <w:bCs/>
                <w:color w:val="000000" w:themeColor="text1"/>
              </w:rPr>
              <w:t>，</w:t>
            </w:r>
            <w:r>
              <w:rPr>
                <w:rFonts w:hint="eastAsia" w:hAnsi="宋体" w:cs="宋体"/>
                <w:bCs/>
                <w:color w:val="000000" w:themeColor="text1"/>
              </w:rPr>
              <w:t>定标时按照上述要素综合择优。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14</w:t>
            </w:r>
          </w:p>
        </w:tc>
        <w:tc>
          <w:tcPr>
            <w:tcW w:w="1831" w:type="dxa"/>
            <w:vAlign w:val="center"/>
          </w:tcPr>
          <w:p>
            <w:pPr>
              <w:spacing w:line="380" w:lineRule="exact"/>
              <w:ind w:left="0" w:leftChars="0" w:firstLine="0" w:firstLineChars="0"/>
              <w:rPr>
                <w:rFonts w:ascii="宋体" w:hAnsi="宋体" w:cs="宋体"/>
                <w:bCs/>
                <w:color w:val="000000" w:themeColor="text1"/>
                <w:szCs w:val="21"/>
              </w:rPr>
            </w:pPr>
            <w:r>
              <w:rPr>
                <w:rFonts w:hint="eastAsia" w:ascii="宋体" w:hAnsi="宋体" w:cs="宋体"/>
                <w:bCs/>
                <w:color w:val="000000" w:themeColor="text1"/>
                <w:szCs w:val="21"/>
              </w:rPr>
              <w:t>定标委员会组建</w:t>
            </w:r>
          </w:p>
        </w:tc>
        <w:tc>
          <w:tcPr>
            <w:tcW w:w="6581" w:type="dxa"/>
            <w:vAlign w:val="center"/>
          </w:tcPr>
          <w:p>
            <w:pPr>
              <w:pStyle w:val="416"/>
              <w:spacing w:line="380" w:lineRule="exact"/>
              <w:rPr>
                <w:rFonts w:ascii="宋体" w:hAnsi="宋体" w:cs="宋体"/>
                <w:bCs/>
                <w:color w:val="000000" w:themeColor="text1"/>
              </w:rPr>
            </w:pPr>
            <w:r>
              <w:rPr>
                <w:rFonts w:hint="eastAsia" w:ascii="宋体" w:hAnsi="宋体" w:cs="宋体"/>
                <w:bCs/>
                <w:color w:val="000000" w:themeColor="text1"/>
              </w:rPr>
              <w:t>定标委员会成员共5名，监督人员共</w:t>
            </w:r>
            <w:r>
              <w:rPr>
                <w:rFonts w:hint="eastAsia" w:ascii="宋体" w:hAnsi="宋体" w:cs="宋体"/>
                <w:bCs/>
                <w:color w:val="000000" w:themeColor="text1"/>
                <w:lang w:val="en-US" w:eastAsia="zh-CN"/>
              </w:rPr>
              <w:t>1</w:t>
            </w:r>
            <w:r>
              <w:rPr>
                <w:rFonts w:hint="eastAsia" w:ascii="宋体" w:hAnsi="宋体" w:cs="宋体"/>
                <w:bCs/>
                <w:color w:val="000000" w:themeColor="text1"/>
              </w:rPr>
              <w:t>名，定标委员、监督由招标人自行组建。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15</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投标担保</w:t>
            </w:r>
          </w:p>
        </w:tc>
        <w:tc>
          <w:tcPr>
            <w:tcW w:w="6581" w:type="dxa"/>
            <w:vAlign w:val="center"/>
          </w:tcPr>
          <w:p>
            <w:pPr>
              <w:spacing w:line="380" w:lineRule="exact"/>
              <w:rPr>
                <w:rFonts w:ascii="宋体" w:hAnsi="宋体" w:cs="宋体"/>
                <w:bCs/>
                <w:color w:val="000000" w:themeColor="text1"/>
                <w:szCs w:val="21"/>
              </w:rPr>
            </w:pPr>
            <w:r>
              <w:rPr>
                <w:rFonts w:hint="eastAsia" w:ascii="宋体" w:hAnsi="宋体" w:cs="宋体"/>
                <w:bCs/>
                <w:color w:val="000000" w:themeColor="text1"/>
                <w:szCs w:val="21"/>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68"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16</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履约担保</w:t>
            </w:r>
          </w:p>
        </w:tc>
        <w:tc>
          <w:tcPr>
            <w:tcW w:w="6581" w:type="dxa"/>
            <w:vAlign w:val="center"/>
          </w:tcPr>
          <w:p>
            <w:pPr>
              <w:spacing w:line="380" w:lineRule="exact"/>
              <w:jc w:val="left"/>
              <w:rPr>
                <w:rFonts w:ascii="宋体" w:hAnsi="宋体" w:cs="宋体"/>
                <w:bCs/>
                <w:color w:val="000000" w:themeColor="text1"/>
                <w:szCs w:val="21"/>
              </w:rPr>
            </w:pPr>
            <w:r>
              <w:rPr>
                <w:rFonts w:hint="eastAsia" w:ascii="宋体" w:hAnsi="宋体" w:cs="宋体"/>
                <w:bCs/>
                <w:color w:val="000000" w:themeColor="text1"/>
                <w:szCs w:val="21"/>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68" w:type="dxa"/>
            <w:vAlign w:val="center"/>
          </w:tcPr>
          <w:p>
            <w:pPr>
              <w:spacing w:line="380" w:lineRule="exact"/>
              <w:ind w:left="0" w:leftChars="0" w:firstLine="0" w:firstLineChars="0"/>
              <w:jc w:val="both"/>
              <w:rPr>
                <w:rFonts w:hint="eastAsia" w:ascii="宋体" w:hAnsi="宋体" w:cs="宋体" w:eastAsiaTheme="minorEastAsia"/>
                <w:bCs/>
                <w:color w:val="000000" w:themeColor="text1"/>
                <w:szCs w:val="21"/>
                <w:lang w:eastAsia="zh-CN"/>
              </w:rPr>
            </w:pPr>
            <w:r>
              <w:rPr>
                <w:rFonts w:hint="eastAsia" w:ascii="宋体" w:hAnsi="宋体" w:cs="宋体"/>
                <w:bCs/>
                <w:color w:val="000000" w:themeColor="text1"/>
                <w:szCs w:val="21"/>
              </w:rPr>
              <w:t>1</w:t>
            </w:r>
            <w:r>
              <w:rPr>
                <w:rFonts w:hint="eastAsia" w:ascii="宋体" w:hAnsi="宋体" w:cs="宋体"/>
                <w:bCs/>
                <w:color w:val="000000" w:themeColor="text1"/>
                <w:szCs w:val="21"/>
                <w:lang w:val="en-US" w:eastAsia="zh-CN"/>
              </w:rPr>
              <w:t>7</w:t>
            </w:r>
          </w:p>
        </w:tc>
        <w:tc>
          <w:tcPr>
            <w:tcW w:w="1831" w:type="dxa"/>
            <w:vAlign w:val="center"/>
          </w:tcPr>
          <w:p>
            <w:pPr>
              <w:spacing w:line="380" w:lineRule="exact"/>
              <w:ind w:left="0" w:leftChars="0" w:firstLine="0" w:firstLineChars="0"/>
              <w:jc w:val="both"/>
              <w:rPr>
                <w:rFonts w:ascii="宋体" w:hAnsi="宋体" w:cs="宋体"/>
                <w:bCs/>
                <w:color w:val="000000" w:themeColor="text1"/>
                <w:szCs w:val="21"/>
              </w:rPr>
            </w:pPr>
            <w:r>
              <w:rPr>
                <w:rFonts w:hint="eastAsia" w:ascii="宋体" w:hAnsi="宋体" w:cs="宋体"/>
                <w:bCs/>
                <w:color w:val="000000" w:themeColor="text1"/>
                <w:szCs w:val="21"/>
              </w:rPr>
              <w:t>预付款支付与扣回</w:t>
            </w:r>
          </w:p>
        </w:tc>
        <w:tc>
          <w:tcPr>
            <w:tcW w:w="6581" w:type="dxa"/>
            <w:vAlign w:val="center"/>
          </w:tcPr>
          <w:p>
            <w:pPr>
              <w:adjustRightInd w:val="0"/>
              <w:snapToGrid w:val="0"/>
              <w:spacing w:line="380" w:lineRule="exact"/>
              <w:rPr>
                <w:rFonts w:ascii="宋体" w:hAnsi="宋体" w:cs="宋体"/>
                <w:bCs/>
                <w:color w:val="000000" w:themeColor="text1"/>
                <w:szCs w:val="21"/>
              </w:rPr>
            </w:pPr>
            <w:r>
              <w:rPr>
                <w:rFonts w:hint="eastAsia" w:ascii="宋体" w:hAnsi="宋体" w:cs="宋体"/>
                <w:bCs/>
                <w:color w:val="000000" w:themeColor="text1"/>
                <w:szCs w:val="21"/>
              </w:rPr>
              <w:t>不支付预付款。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768" w:type="dxa"/>
            <w:vAlign w:val="center"/>
          </w:tcPr>
          <w:p>
            <w:pPr>
              <w:spacing w:line="380" w:lineRule="exact"/>
              <w:ind w:left="0" w:leftChars="0" w:firstLine="0" w:firstLineChars="0"/>
              <w:jc w:val="both"/>
              <w:rPr>
                <w:rFonts w:hint="eastAsia" w:ascii="宋体" w:hAnsi="宋体" w:cs="宋体"/>
                <w:bCs/>
                <w:color w:val="000000" w:themeColor="text1"/>
                <w:szCs w:val="21"/>
                <w:lang w:eastAsia="zh-CN"/>
              </w:rPr>
            </w:pPr>
            <w:r>
              <w:rPr>
                <w:rFonts w:hint="eastAsia" w:ascii="宋体" w:hAnsi="宋体" w:cs="宋体"/>
                <w:bCs/>
                <w:color w:val="000000" w:themeColor="text1"/>
                <w:szCs w:val="21"/>
              </w:rPr>
              <w:t>1</w:t>
            </w:r>
            <w:r>
              <w:rPr>
                <w:rFonts w:hint="eastAsia" w:ascii="宋体" w:hAnsi="宋体" w:cs="宋体"/>
                <w:bCs/>
                <w:color w:val="000000" w:themeColor="text1"/>
                <w:szCs w:val="21"/>
                <w:lang w:val="en-US" w:eastAsia="zh-CN"/>
              </w:rPr>
              <w:t>8</w:t>
            </w:r>
          </w:p>
        </w:tc>
        <w:tc>
          <w:tcPr>
            <w:tcW w:w="1831" w:type="dxa"/>
            <w:vAlign w:val="center"/>
          </w:tcPr>
          <w:p>
            <w:pPr>
              <w:spacing w:line="380" w:lineRule="exact"/>
              <w:ind w:left="0" w:leftChars="0" w:firstLine="0" w:firstLineChars="0"/>
              <w:jc w:val="both"/>
              <w:rPr>
                <w:rFonts w:hint="eastAsia" w:ascii="宋体" w:hAnsi="宋体" w:cs="宋体"/>
                <w:bCs/>
                <w:color w:val="000000" w:themeColor="text1"/>
                <w:szCs w:val="21"/>
              </w:rPr>
            </w:pPr>
            <w:r>
              <w:rPr>
                <w:rFonts w:hint="eastAsia" w:ascii="宋体" w:hAnsi="宋体" w:cs="宋体"/>
                <w:bCs/>
                <w:color w:val="000000" w:themeColor="text1"/>
                <w:szCs w:val="21"/>
              </w:rPr>
              <w:t>合同款支付</w:t>
            </w:r>
          </w:p>
        </w:tc>
        <w:tc>
          <w:tcPr>
            <w:tcW w:w="6581" w:type="dxa"/>
            <w:vAlign w:val="center"/>
          </w:tcPr>
          <w:p>
            <w:pPr>
              <w:spacing w:line="380" w:lineRule="exact"/>
              <w:ind w:left="0" w:leftChars="0" w:firstLine="0" w:firstLineChars="0"/>
              <w:jc w:val="left"/>
              <w:rPr>
                <w:rFonts w:hint="eastAsia" w:ascii="宋体" w:hAnsi="宋体" w:cs="宋体"/>
                <w:bCs/>
                <w:color w:val="000000" w:themeColor="text1"/>
                <w:szCs w:val="21"/>
              </w:rPr>
            </w:pPr>
            <w:r>
              <w:rPr>
                <w:rFonts w:hint="eastAsia" w:ascii="宋体" w:hAnsi="宋体" w:cs="宋体"/>
                <w:bCs/>
                <w:color w:val="000000" w:themeColor="text1"/>
                <w:szCs w:val="21"/>
                <w:lang w:val="en-US" w:eastAsia="zh-CN"/>
              </w:rPr>
              <w:t>本合同一招一年，其中分春节和国庆两个节日时段采购，每次采购结束并验收合格，根据验收确认单，</w:t>
            </w:r>
            <w:r>
              <w:rPr>
                <w:rFonts w:hint="eastAsia" w:ascii="宋体" w:hAnsi="宋体" w:cs="宋体"/>
                <w:bCs/>
                <w:color w:val="000000" w:themeColor="text1"/>
                <w:szCs w:val="21"/>
              </w:rPr>
              <w:t>由乙方提供符合发包人要求的发票后，支付</w:t>
            </w:r>
            <w:r>
              <w:rPr>
                <w:rFonts w:hint="eastAsia" w:ascii="宋体" w:hAnsi="宋体" w:cs="宋体"/>
                <w:bCs/>
                <w:color w:val="000000" w:themeColor="text1"/>
                <w:szCs w:val="21"/>
                <w:lang w:val="en-US" w:eastAsia="zh-CN"/>
              </w:rPr>
              <w:t>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68" w:type="dxa"/>
            <w:vAlign w:val="center"/>
          </w:tcPr>
          <w:p>
            <w:pPr>
              <w:spacing w:line="380" w:lineRule="exact"/>
              <w:ind w:left="0" w:leftChars="0" w:firstLine="0" w:firstLineChars="0"/>
              <w:jc w:val="both"/>
              <w:rPr>
                <w:rFonts w:hint="default" w:ascii="宋体" w:hAnsi="宋体" w:cs="宋体"/>
                <w:bCs/>
                <w:color w:val="000000" w:themeColor="text1"/>
                <w:szCs w:val="21"/>
                <w:lang w:val="en-US" w:eastAsia="zh-CN"/>
              </w:rPr>
            </w:pPr>
            <w:r>
              <w:rPr>
                <w:rFonts w:hint="eastAsia" w:ascii="宋体" w:hAnsi="宋体" w:cs="宋体"/>
                <w:bCs/>
                <w:color w:val="000000" w:themeColor="text1"/>
                <w:szCs w:val="21"/>
                <w:lang w:val="en-US" w:eastAsia="zh-CN"/>
              </w:rPr>
              <w:t>19</w:t>
            </w:r>
          </w:p>
        </w:tc>
        <w:tc>
          <w:tcPr>
            <w:tcW w:w="1831" w:type="dxa"/>
            <w:vAlign w:val="center"/>
          </w:tcPr>
          <w:p>
            <w:pPr>
              <w:spacing w:line="380" w:lineRule="exact"/>
              <w:jc w:val="center"/>
              <w:rPr>
                <w:rFonts w:hint="eastAsia" w:ascii="宋体" w:hAnsi="宋体" w:cs="宋体"/>
                <w:bCs/>
                <w:color w:val="000000" w:themeColor="text1"/>
                <w:szCs w:val="21"/>
              </w:rPr>
            </w:pPr>
          </w:p>
          <w:p>
            <w:pPr>
              <w:spacing w:line="380" w:lineRule="exact"/>
              <w:ind w:left="0" w:leftChars="0" w:firstLine="0" w:firstLineChars="0"/>
              <w:jc w:val="both"/>
              <w:rPr>
                <w:rFonts w:hint="default" w:ascii="宋体" w:hAnsi="宋体" w:cs="宋体"/>
                <w:bCs/>
                <w:color w:val="000000" w:themeColor="text1"/>
                <w:szCs w:val="21"/>
                <w:lang w:val="en-US" w:eastAsia="zh-CN"/>
              </w:rPr>
            </w:pPr>
            <w:r>
              <w:rPr>
                <w:rFonts w:hint="eastAsia" w:ascii="宋体" w:hAnsi="宋体" w:cs="宋体"/>
                <w:bCs/>
                <w:color w:val="000000" w:themeColor="text1"/>
                <w:szCs w:val="21"/>
                <w:lang w:val="en-US" w:eastAsia="zh-CN"/>
              </w:rPr>
              <w:t>风险提示</w:t>
            </w:r>
          </w:p>
        </w:tc>
        <w:tc>
          <w:tcPr>
            <w:tcW w:w="6581" w:type="dxa"/>
            <w:vAlign w:val="center"/>
          </w:tcPr>
          <w:p>
            <w:pPr>
              <w:spacing w:line="380" w:lineRule="exact"/>
              <w:ind w:left="0" w:leftChars="0" w:firstLine="0" w:firstLineChars="0"/>
              <w:jc w:val="left"/>
              <w:rPr>
                <w:rFonts w:hint="default" w:ascii="宋体" w:hAnsi="宋体" w:cs="宋体" w:eastAsiaTheme="minorEastAsia"/>
                <w:bCs/>
                <w:color w:val="000000" w:themeColor="text1"/>
                <w:szCs w:val="21"/>
                <w:lang w:val="en-US" w:eastAsia="zh-CN"/>
              </w:rPr>
            </w:pPr>
            <w:r>
              <w:rPr>
                <w:rFonts w:hint="eastAsia" w:ascii="宋体" w:hAnsi="宋体" w:cs="宋体"/>
                <w:bCs/>
                <w:color w:val="000000" w:themeColor="text1"/>
                <w:szCs w:val="21"/>
                <w:lang w:val="en-US" w:eastAsia="zh-CN"/>
              </w:rPr>
              <w:t>该项目为计划采购，因政策或上级单位要求等原因，存在随时调整减少采购数量的风险，以及采购完成后，但因现场实际情况，减少需求量，出现退货风险，因此需投标企业周知并承诺自行承担风险（企业参加投标即视为自行承担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68" w:type="dxa"/>
            <w:vAlign w:val="center"/>
          </w:tcPr>
          <w:p>
            <w:pPr>
              <w:spacing w:line="380" w:lineRule="exact"/>
              <w:ind w:left="0" w:leftChars="0" w:firstLine="0" w:firstLineChars="0"/>
              <w:jc w:val="both"/>
              <w:rPr>
                <w:rFonts w:hint="default" w:ascii="宋体" w:hAnsi="宋体" w:cs="宋体"/>
                <w:bCs/>
                <w:color w:val="000000" w:themeColor="text1"/>
                <w:szCs w:val="21"/>
                <w:lang w:val="en-US" w:eastAsia="zh-CN"/>
              </w:rPr>
            </w:pPr>
            <w:r>
              <w:rPr>
                <w:rFonts w:hint="eastAsia" w:ascii="宋体" w:hAnsi="宋体" w:cs="宋体"/>
                <w:bCs/>
                <w:color w:val="000000" w:themeColor="text1"/>
                <w:szCs w:val="21"/>
                <w:lang w:val="en-US" w:eastAsia="zh-CN"/>
              </w:rPr>
              <w:t>20</w:t>
            </w:r>
          </w:p>
        </w:tc>
        <w:tc>
          <w:tcPr>
            <w:tcW w:w="1831" w:type="dxa"/>
            <w:vAlign w:val="center"/>
          </w:tcPr>
          <w:p>
            <w:pPr>
              <w:spacing w:line="380" w:lineRule="exact"/>
              <w:ind w:left="0" w:leftChars="0" w:firstLine="0" w:firstLineChars="0"/>
              <w:jc w:val="both"/>
              <w:rPr>
                <w:rFonts w:hint="eastAsia" w:ascii="宋体" w:hAnsi="宋体" w:cs="宋体"/>
                <w:bCs/>
                <w:color w:val="000000" w:themeColor="text1"/>
                <w:szCs w:val="21"/>
                <w:lang w:val="en-US" w:eastAsia="zh-CN"/>
              </w:rPr>
            </w:pPr>
            <w:r>
              <w:rPr>
                <w:rFonts w:hint="eastAsia" w:ascii="宋体" w:hAnsi="宋体" w:cs="宋体"/>
                <w:bCs/>
                <w:color w:val="000000" w:themeColor="text1"/>
                <w:szCs w:val="21"/>
              </w:rPr>
              <w:t>其他</w:t>
            </w:r>
          </w:p>
        </w:tc>
        <w:tc>
          <w:tcPr>
            <w:tcW w:w="6581" w:type="dxa"/>
            <w:vAlign w:val="center"/>
          </w:tcPr>
          <w:p>
            <w:pPr>
              <w:spacing w:line="380" w:lineRule="exact"/>
              <w:jc w:val="center"/>
              <w:rPr>
                <w:rFonts w:hint="eastAsia" w:ascii="宋体" w:hAnsi="宋体" w:cs="宋体"/>
                <w:bCs/>
                <w:color w:val="000000" w:themeColor="text1"/>
                <w:szCs w:val="21"/>
                <w:lang w:val="en-US" w:eastAsia="zh-CN"/>
              </w:rPr>
            </w:pPr>
            <w:r>
              <w:rPr>
                <w:rFonts w:hint="eastAsia" w:ascii="宋体" w:hAnsi="宋体" w:cs="宋体"/>
                <w:bCs/>
                <w:color w:val="000000" w:themeColor="text1"/>
                <w:szCs w:val="21"/>
              </w:rPr>
              <w:t>评分细则详见下表</w:t>
            </w:r>
          </w:p>
        </w:tc>
      </w:tr>
    </w:tbl>
    <w:p>
      <w:pPr>
        <w:widowControl w:val="0"/>
        <w:autoSpaceDE w:val="0"/>
        <w:autoSpaceDN w:val="0"/>
        <w:adjustRightInd w:val="0"/>
        <w:snapToGrid w:val="0"/>
        <w:ind w:firstLine="0" w:firstLineChars="0"/>
        <w:jc w:val="left"/>
        <w:rPr>
          <w:rFonts w:ascii="宋体" w:hAnsi="宋体"/>
        </w:rPr>
      </w:pPr>
    </w:p>
    <w:p>
      <w:pPr>
        <w:widowControl w:val="0"/>
        <w:autoSpaceDE w:val="0"/>
        <w:autoSpaceDN w:val="0"/>
        <w:adjustRightInd w:val="0"/>
        <w:snapToGrid w:val="0"/>
        <w:ind w:firstLine="0" w:firstLineChars="0"/>
        <w:jc w:val="left"/>
        <w:rPr>
          <w:rFonts w:ascii="宋体" w:hAnsi="宋体"/>
          <w:b/>
          <w:sz w:val="22"/>
        </w:rPr>
      </w:pPr>
      <w:r>
        <w:rPr>
          <w:rFonts w:hint="eastAsia" w:ascii="宋体" w:hAnsi="宋体"/>
          <w:b/>
          <w:sz w:val="22"/>
        </w:rPr>
        <w:t>附表</w:t>
      </w:r>
      <w:r>
        <w:rPr>
          <w:rFonts w:hint="eastAsia" w:ascii="宋体" w:hAnsi="宋体"/>
          <w:b/>
          <w:sz w:val="22"/>
          <w:lang w:val="en-US" w:eastAsia="zh-CN"/>
        </w:rPr>
        <w:t>2</w:t>
      </w:r>
      <w:r>
        <w:rPr>
          <w:rFonts w:hint="eastAsia" w:ascii="宋体" w:hAnsi="宋体"/>
          <w:b/>
          <w:sz w:val="22"/>
        </w:rPr>
        <w:t>-1 《商务标评审标准》</w:t>
      </w:r>
      <w:r>
        <w:rPr>
          <w:rFonts w:ascii="宋体" w:hAnsi="宋体"/>
          <w:b/>
          <w:sz w:val="22"/>
        </w:rPr>
        <w:tab/>
      </w:r>
    </w:p>
    <w:tbl>
      <w:tblPr>
        <w:tblStyle w:val="4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918"/>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529" w:type="dxa"/>
            <w:gridSpan w:val="4"/>
            <w:shd w:val="clear" w:color="auto" w:fill="D9E2F3"/>
            <w:vAlign w:val="center"/>
          </w:tcPr>
          <w:p>
            <w:pPr>
              <w:adjustRightInd w:val="0"/>
              <w:snapToGrid w:val="0"/>
              <w:spacing w:line="360" w:lineRule="exact"/>
              <w:ind w:firstLine="643"/>
              <w:jc w:val="center"/>
              <w:rPr>
                <w:b/>
                <w:color w:val="595959"/>
                <w:sz w:val="32"/>
                <w:szCs w:val="32"/>
              </w:rPr>
            </w:pPr>
            <w:r>
              <w:rPr>
                <w:rFonts w:hint="eastAsia"/>
                <w:b/>
                <w:color w:val="595959"/>
                <w:sz w:val="32"/>
                <w:szCs w:val="32"/>
              </w:rPr>
              <w:t>《商务标评审标准》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75" w:type="dxa"/>
            <w:vAlign w:val="center"/>
          </w:tcPr>
          <w:p>
            <w:pPr>
              <w:adjustRightInd w:val="0"/>
              <w:snapToGrid w:val="0"/>
              <w:spacing w:line="360" w:lineRule="exact"/>
              <w:ind w:firstLine="0" w:firstLineChars="0"/>
              <w:rPr>
                <w:b/>
                <w:color w:val="595959"/>
                <w:szCs w:val="21"/>
              </w:rPr>
            </w:pPr>
            <w:r>
              <w:rPr>
                <w:rFonts w:hint="eastAsia"/>
                <w:b/>
                <w:color w:val="595959"/>
                <w:szCs w:val="21"/>
              </w:rPr>
              <w:t>序号</w:t>
            </w:r>
          </w:p>
        </w:tc>
        <w:tc>
          <w:tcPr>
            <w:tcW w:w="1134" w:type="dxa"/>
            <w:vAlign w:val="center"/>
          </w:tcPr>
          <w:p>
            <w:pPr>
              <w:adjustRightInd w:val="0"/>
              <w:snapToGrid w:val="0"/>
              <w:spacing w:line="360" w:lineRule="exact"/>
              <w:ind w:firstLine="0" w:firstLineChars="0"/>
              <w:rPr>
                <w:b/>
                <w:color w:val="595959"/>
                <w:szCs w:val="21"/>
              </w:rPr>
            </w:pPr>
            <w:r>
              <w:rPr>
                <w:rFonts w:hint="eastAsia"/>
                <w:b/>
                <w:color w:val="595959"/>
                <w:szCs w:val="21"/>
              </w:rPr>
              <w:t>评审项目</w:t>
            </w:r>
          </w:p>
        </w:tc>
        <w:tc>
          <w:tcPr>
            <w:tcW w:w="5918" w:type="dxa"/>
            <w:vAlign w:val="center"/>
          </w:tcPr>
          <w:p>
            <w:pPr>
              <w:adjustRightInd w:val="0"/>
              <w:snapToGrid w:val="0"/>
              <w:spacing w:line="360" w:lineRule="exact"/>
              <w:ind w:firstLine="422"/>
              <w:jc w:val="center"/>
              <w:rPr>
                <w:b/>
                <w:color w:val="595959"/>
                <w:szCs w:val="21"/>
              </w:rPr>
            </w:pPr>
            <w:r>
              <w:rPr>
                <w:rFonts w:hint="eastAsia"/>
                <w:b/>
                <w:color w:val="595959"/>
                <w:szCs w:val="21"/>
              </w:rPr>
              <w:t>评审标准及证明材料</w:t>
            </w:r>
          </w:p>
        </w:tc>
        <w:tc>
          <w:tcPr>
            <w:tcW w:w="802" w:type="dxa"/>
            <w:vAlign w:val="center"/>
          </w:tcPr>
          <w:p>
            <w:pPr>
              <w:adjustRightInd w:val="0"/>
              <w:snapToGrid w:val="0"/>
              <w:spacing w:line="360" w:lineRule="exact"/>
              <w:ind w:firstLine="0" w:firstLineChars="0"/>
              <w:rPr>
                <w:b/>
                <w:color w:val="595959"/>
                <w:szCs w:val="21"/>
              </w:rPr>
            </w:pPr>
            <w:r>
              <w:rPr>
                <w:rFonts w:hint="eastAsia"/>
                <w:b/>
                <w:color w:val="595959"/>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675" w:type="dxa"/>
            <w:vMerge w:val="restart"/>
            <w:vAlign w:val="center"/>
          </w:tcPr>
          <w:p>
            <w:pPr>
              <w:adjustRightInd w:val="0"/>
              <w:snapToGrid w:val="0"/>
              <w:spacing w:line="360" w:lineRule="exact"/>
              <w:ind w:firstLine="420"/>
              <w:jc w:val="center"/>
              <w:rPr>
                <w:rFonts w:cs="宋体"/>
                <w:b/>
                <w:color w:val="595959"/>
                <w:szCs w:val="21"/>
              </w:rPr>
            </w:pPr>
            <w:r>
              <w:rPr>
                <w:rFonts w:cs="宋体"/>
                <w:color w:val="595959"/>
                <w:szCs w:val="21"/>
              </w:rPr>
              <w:t>1</w:t>
            </w:r>
          </w:p>
        </w:tc>
        <w:tc>
          <w:tcPr>
            <w:tcW w:w="1134" w:type="dxa"/>
            <w:vMerge w:val="restart"/>
            <w:vAlign w:val="center"/>
          </w:tcPr>
          <w:p>
            <w:pPr>
              <w:spacing w:line="240" w:lineRule="auto"/>
              <w:ind w:left="0" w:leftChars="0" w:firstLine="0" w:firstLineChars="0"/>
              <w:jc w:val="both"/>
              <w:rPr>
                <w:rFonts w:eastAsiaTheme="minorEastAsia"/>
                <w:color w:val="595959"/>
                <w:sz w:val="22"/>
              </w:rPr>
            </w:pPr>
            <w:r>
              <w:rPr>
                <w:rFonts w:hint="eastAsia"/>
                <w:color w:val="595959"/>
                <w:sz w:val="22"/>
              </w:rPr>
              <w:t xml:space="preserve">样品演示 </w:t>
            </w:r>
          </w:p>
          <w:p>
            <w:pPr>
              <w:spacing w:line="240" w:lineRule="auto"/>
              <w:ind w:firstLine="440"/>
              <w:jc w:val="center"/>
              <w:rPr>
                <w:color w:val="595959"/>
                <w:sz w:val="22"/>
              </w:rPr>
            </w:pPr>
          </w:p>
        </w:tc>
        <w:tc>
          <w:tcPr>
            <w:tcW w:w="5918" w:type="dxa"/>
            <w:vAlign w:val="center"/>
          </w:tcPr>
          <w:p>
            <w:pPr>
              <w:wordWrap w:val="0"/>
              <w:spacing w:line="360" w:lineRule="exact"/>
              <w:ind w:firstLine="422"/>
              <w:rPr>
                <w:rFonts w:cs="宋体"/>
                <w:color w:val="595959"/>
                <w:szCs w:val="21"/>
              </w:rPr>
            </w:pPr>
            <w:r>
              <w:rPr>
                <w:rFonts w:hint="eastAsia" w:cs="宋体"/>
                <w:b/>
                <w:bCs/>
                <w:color w:val="595959"/>
                <w:szCs w:val="21"/>
              </w:rPr>
              <w:t>考察内容：</w:t>
            </w:r>
          </w:p>
          <w:p>
            <w:pPr>
              <w:wordWrap w:val="0"/>
              <w:spacing w:line="360" w:lineRule="exact"/>
              <w:ind w:firstLine="420"/>
              <w:rPr>
                <w:rFonts w:cs="宋体" w:asciiTheme="minorHAnsi" w:hAnsiTheme="minorHAnsi" w:eastAsiaTheme="minorEastAsia"/>
                <w:color w:val="595959"/>
                <w:szCs w:val="21"/>
              </w:rPr>
            </w:pPr>
            <w:r>
              <w:rPr>
                <w:rFonts w:hint="eastAsia" w:cs="宋体"/>
                <w:color w:val="595959"/>
                <w:szCs w:val="21"/>
              </w:rPr>
              <w:t>投标人需提供拟使用的40寸灯笼、2#国旗、T8防爆防水纳米灯管光源样品并演示，其中灯笼为40寸涤纶面料，收拢高度122CM.。2#国旗为防水抗晒防静电面料，尺寸为240CM*160CM。T8防爆防水纳米灯管光源为三段18WT8防爆防水纳米灯管光源(每段长26CM）串联为一体式。</w:t>
            </w:r>
          </w:p>
        </w:tc>
        <w:tc>
          <w:tcPr>
            <w:tcW w:w="802" w:type="dxa"/>
            <w:vMerge w:val="restart"/>
            <w:vAlign w:val="center"/>
          </w:tcPr>
          <w:p>
            <w:pPr>
              <w:adjustRightInd w:val="0"/>
              <w:snapToGrid w:val="0"/>
              <w:spacing w:line="360" w:lineRule="exact"/>
              <w:ind w:firstLine="0" w:firstLineChars="0"/>
              <w:rPr>
                <w:rFonts w:cs="宋体"/>
                <w:color w:val="595959"/>
                <w:szCs w:val="21"/>
              </w:rPr>
            </w:pPr>
            <w:r>
              <w:rPr>
                <w:rFonts w:hint="eastAsia" w:cs="宋体"/>
                <w:color w:val="595959"/>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continue"/>
            <w:vAlign w:val="center"/>
          </w:tcPr>
          <w:p>
            <w:pPr>
              <w:adjustRightInd w:val="0"/>
              <w:snapToGrid w:val="0"/>
              <w:spacing w:line="360" w:lineRule="exact"/>
              <w:ind w:firstLine="422"/>
              <w:jc w:val="center"/>
              <w:rPr>
                <w:rFonts w:cs="宋体"/>
                <w:b/>
                <w:color w:val="595959"/>
                <w:szCs w:val="21"/>
              </w:rPr>
            </w:pPr>
          </w:p>
        </w:tc>
        <w:tc>
          <w:tcPr>
            <w:tcW w:w="1134" w:type="dxa"/>
            <w:vMerge w:val="continue"/>
            <w:vAlign w:val="center"/>
          </w:tcPr>
          <w:p>
            <w:pPr>
              <w:adjustRightInd w:val="0"/>
              <w:snapToGrid w:val="0"/>
              <w:spacing w:line="360" w:lineRule="exact"/>
              <w:ind w:firstLine="422"/>
              <w:jc w:val="center"/>
              <w:rPr>
                <w:rFonts w:cs="宋体"/>
                <w:b/>
                <w:color w:val="595959"/>
                <w:szCs w:val="21"/>
              </w:rPr>
            </w:pPr>
          </w:p>
        </w:tc>
        <w:tc>
          <w:tcPr>
            <w:tcW w:w="5918" w:type="dxa"/>
            <w:vAlign w:val="center"/>
          </w:tcPr>
          <w:p>
            <w:pPr>
              <w:wordWrap w:val="0"/>
              <w:spacing w:line="360" w:lineRule="exact"/>
              <w:ind w:firstLine="422"/>
              <w:rPr>
                <w:rFonts w:cs="宋体"/>
                <w:b/>
                <w:bCs/>
                <w:color w:val="595959"/>
                <w:szCs w:val="21"/>
              </w:rPr>
            </w:pPr>
            <w:r>
              <w:rPr>
                <w:rFonts w:hint="eastAsia" w:cs="宋体"/>
                <w:b/>
                <w:bCs/>
                <w:color w:val="595959"/>
                <w:szCs w:val="21"/>
              </w:rPr>
              <w:t>证明材料：</w:t>
            </w:r>
          </w:p>
          <w:p>
            <w:pPr>
              <w:wordWrap w:val="0"/>
              <w:spacing w:line="360" w:lineRule="exact"/>
              <w:ind w:firstLine="420"/>
              <w:rPr>
                <w:rFonts w:cs="宋体"/>
                <w:color w:val="595959"/>
                <w:szCs w:val="21"/>
              </w:rPr>
            </w:pPr>
            <w:r>
              <w:rPr>
                <w:rFonts w:hint="eastAsia" w:cs="宋体"/>
                <w:color w:val="595959"/>
                <w:szCs w:val="21"/>
              </w:rPr>
              <w:t>评审委员会根据拟使用样品的尺寸、外观、面料、T8防爆防水纳米灯管性能等是否达到招标文件要求进行分档评分：优100%分，良60%分，中30%分，差不得分。</w:t>
            </w:r>
          </w:p>
          <w:p>
            <w:pPr>
              <w:wordWrap w:val="0"/>
              <w:spacing w:line="360" w:lineRule="exact"/>
              <w:ind w:firstLine="420"/>
              <w:rPr>
                <w:rFonts w:cs="宋体" w:asciiTheme="minorHAnsi" w:hAnsiTheme="minorHAnsi" w:eastAsiaTheme="minorEastAsia"/>
                <w:color w:val="595959"/>
                <w:szCs w:val="21"/>
              </w:rPr>
            </w:pPr>
            <w:r>
              <w:rPr>
                <w:rFonts w:hint="eastAsia" w:cs="宋体"/>
                <w:color w:val="595959"/>
                <w:szCs w:val="21"/>
              </w:rPr>
              <w:t>注：不提供样品不得分</w:t>
            </w:r>
          </w:p>
        </w:tc>
        <w:tc>
          <w:tcPr>
            <w:tcW w:w="802" w:type="dxa"/>
            <w:vMerge w:val="continue"/>
            <w:vAlign w:val="center"/>
          </w:tcPr>
          <w:p>
            <w:pPr>
              <w:wordWrap w:val="0"/>
              <w:adjustRightInd w:val="0"/>
              <w:snapToGrid w:val="0"/>
              <w:spacing w:line="360" w:lineRule="exact"/>
              <w:ind w:firstLine="420"/>
              <w:rPr>
                <w:rFonts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restart"/>
            <w:vAlign w:val="center"/>
          </w:tcPr>
          <w:p>
            <w:pPr>
              <w:adjustRightInd w:val="0"/>
              <w:snapToGrid w:val="0"/>
              <w:spacing w:line="360" w:lineRule="exact"/>
              <w:ind w:firstLine="420"/>
              <w:jc w:val="center"/>
              <w:rPr>
                <w:rFonts w:cs="宋体"/>
                <w:bCs/>
                <w:color w:val="595959"/>
                <w:szCs w:val="21"/>
              </w:rPr>
            </w:pPr>
            <w:r>
              <w:rPr>
                <w:rFonts w:cs="宋体"/>
                <w:bCs/>
                <w:color w:val="595959"/>
                <w:szCs w:val="21"/>
              </w:rPr>
              <w:t>2</w:t>
            </w:r>
          </w:p>
        </w:tc>
        <w:tc>
          <w:tcPr>
            <w:tcW w:w="1134" w:type="dxa"/>
            <w:vMerge w:val="restart"/>
            <w:vAlign w:val="center"/>
          </w:tcPr>
          <w:p>
            <w:pPr>
              <w:spacing w:line="240" w:lineRule="auto"/>
              <w:ind w:left="0" w:leftChars="0" w:firstLine="0" w:firstLineChars="0"/>
              <w:jc w:val="both"/>
              <w:rPr>
                <w:rFonts w:eastAsiaTheme="minorEastAsia"/>
                <w:color w:val="595959"/>
                <w:sz w:val="22"/>
              </w:rPr>
            </w:pPr>
            <w:r>
              <w:rPr>
                <w:rFonts w:hint="eastAsia"/>
                <w:color w:val="595959"/>
                <w:sz w:val="22"/>
              </w:rPr>
              <w:t>投标人是否具有相关经营范围</w:t>
            </w:r>
          </w:p>
          <w:p>
            <w:pPr>
              <w:spacing w:line="240" w:lineRule="auto"/>
              <w:ind w:firstLine="440"/>
              <w:jc w:val="center"/>
              <w:rPr>
                <w:color w:val="595959"/>
                <w:sz w:val="22"/>
              </w:rPr>
            </w:pPr>
          </w:p>
        </w:tc>
        <w:tc>
          <w:tcPr>
            <w:tcW w:w="5918" w:type="dxa"/>
            <w:vAlign w:val="center"/>
          </w:tcPr>
          <w:p>
            <w:pPr>
              <w:wordWrap w:val="0"/>
              <w:spacing w:line="360" w:lineRule="exact"/>
              <w:ind w:firstLine="422"/>
              <w:rPr>
                <w:rFonts w:cs="宋体"/>
                <w:color w:val="595959"/>
                <w:szCs w:val="21"/>
              </w:rPr>
            </w:pPr>
            <w:r>
              <w:rPr>
                <w:rFonts w:hint="eastAsia" w:cs="宋体"/>
                <w:b/>
                <w:bCs/>
                <w:color w:val="595959"/>
                <w:szCs w:val="21"/>
              </w:rPr>
              <w:t>考察内容：</w:t>
            </w:r>
          </w:p>
          <w:p>
            <w:pPr>
              <w:wordWrap w:val="0"/>
              <w:spacing w:line="360" w:lineRule="exact"/>
              <w:ind w:firstLine="420"/>
              <w:rPr>
                <w:rFonts w:cs="宋体"/>
                <w:color w:val="595959"/>
                <w:szCs w:val="21"/>
              </w:rPr>
            </w:pPr>
            <w:r>
              <w:rPr>
                <w:rFonts w:hint="eastAsia" w:cs="宋体"/>
                <w:color w:val="595959"/>
                <w:szCs w:val="21"/>
              </w:rPr>
              <w:t>1.有灯笼制品研发及销售经营范围得50%分:</w:t>
            </w:r>
          </w:p>
          <w:p>
            <w:pPr>
              <w:wordWrap w:val="0"/>
              <w:spacing w:line="360" w:lineRule="exact"/>
              <w:ind w:firstLine="420"/>
              <w:rPr>
                <w:rFonts w:cs="宋体"/>
                <w:color w:val="595959"/>
                <w:szCs w:val="21"/>
              </w:rPr>
            </w:pPr>
            <w:r>
              <w:rPr>
                <w:rFonts w:hint="eastAsia" w:cs="宋体"/>
                <w:color w:val="595959"/>
                <w:szCs w:val="21"/>
              </w:rPr>
              <w:t>2有布艺制品研发及销售经营范围得 50%分:</w:t>
            </w:r>
          </w:p>
          <w:p>
            <w:pPr>
              <w:wordWrap w:val="0"/>
              <w:spacing w:line="360" w:lineRule="exact"/>
              <w:ind w:firstLine="420"/>
              <w:rPr>
                <w:rFonts w:cs="宋体"/>
                <w:color w:val="595959"/>
                <w:szCs w:val="21"/>
              </w:rPr>
            </w:pPr>
          </w:p>
          <w:p>
            <w:pPr>
              <w:spacing w:line="240" w:lineRule="auto"/>
              <w:ind w:firstLine="420"/>
              <w:rPr>
                <w:rFonts w:hAnsi="Courier New" w:asciiTheme="minorHAnsi" w:eastAsiaTheme="minorEastAsia"/>
                <w:szCs w:val="21"/>
              </w:rPr>
            </w:pPr>
            <w:r>
              <w:rPr>
                <w:rFonts w:hint="eastAsia" w:cs="宋体"/>
                <w:bCs/>
                <w:color w:val="595959"/>
                <w:szCs w:val="21"/>
              </w:rPr>
              <w:t>本项最高得10</w:t>
            </w:r>
            <w:r>
              <w:rPr>
                <w:rFonts w:cs="宋体"/>
                <w:bCs/>
                <w:color w:val="595959"/>
                <w:szCs w:val="21"/>
              </w:rPr>
              <w:t>0</w:t>
            </w:r>
            <w:r>
              <w:rPr>
                <w:rFonts w:hint="eastAsia" w:cs="宋体"/>
                <w:color w:val="595959"/>
                <w:szCs w:val="21"/>
              </w:rPr>
              <w:t>%</w:t>
            </w:r>
            <w:r>
              <w:rPr>
                <w:rFonts w:hint="eastAsia" w:cs="宋体"/>
                <w:bCs/>
                <w:color w:val="595959"/>
                <w:szCs w:val="21"/>
              </w:rPr>
              <w:t>分</w:t>
            </w:r>
          </w:p>
        </w:tc>
        <w:tc>
          <w:tcPr>
            <w:tcW w:w="802" w:type="dxa"/>
            <w:vMerge w:val="restart"/>
            <w:vAlign w:val="center"/>
          </w:tcPr>
          <w:p>
            <w:pPr>
              <w:adjustRightInd w:val="0"/>
              <w:snapToGrid w:val="0"/>
              <w:spacing w:line="360" w:lineRule="exact"/>
              <w:ind w:firstLine="0" w:firstLineChars="0"/>
              <w:rPr>
                <w:rFonts w:cs="宋体"/>
                <w:color w:val="595959"/>
                <w:szCs w:val="21"/>
              </w:rPr>
            </w:pPr>
            <w:r>
              <w:rPr>
                <w:rFonts w:hint="eastAsia" w:cs="宋体"/>
                <w:color w:val="595959"/>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0" w:hRule="atLeast"/>
          <w:jc w:val="center"/>
        </w:trPr>
        <w:tc>
          <w:tcPr>
            <w:tcW w:w="675" w:type="dxa"/>
            <w:vMerge w:val="continue"/>
            <w:vAlign w:val="center"/>
          </w:tcPr>
          <w:p>
            <w:pPr>
              <w:adjustRightInd w:val="0"/>
              <w:snapToGrid w:val="0"/>
              <w:spacing w:line="360" w:lineRule="exact"/>
              <w:ind w:firstLine="420"/>
              <w:jc w:val="center"/>
              <w:rPr>
                <w:rFonts w:cs="宋体"/>
                <w:bCs/>
                <w:color w:val="595959"/>
                <w:szCs w:val="21"/>
              </w:rPr>
            </w:pPr>
          </w:p>
        </w:tc>
        <w:tc>
          <w:tcPr>
            <w:tcW w:w="1134" w:type="dxa"/>
            <w:vMerge w:val="continue"/>
            <w:vAlign w:val="center"/>
          </w:tcPr>
          <w:p>
            <w:pPr>
              <w:adjustRightInd w:val="0"/>
              <w:snapToGrid w:val="0"/>
              <w:spacing w:line="360" w:lineRule="exact"/>
              <w:ind w:firstLine="420"/>
              <w:jc w:val="center"/>
              <w:rPr>
                <w:rFonts w:cs="宋体"/>
                <w:bCs/>
                <w:color w:val="595959"/>
                <w:szCs w:val="21"/>
              </w:rPr>
            </w:pPr>
          </w:p>
        </w:tc>
        <w:tc>
          <w:tcPr>
            <w:tcW w:w="5918" w:type="dxa"/>
            <w:vAlign w:val="center"/>
          </w:tcPr>
          <w:p>
            <w:pPr>
              <w:wordWrap w:val="0"/>
              <w:spacing w:line="360" w:lineRule="exact"/>
              <w:ind w:firstLine="422"/>
              <w:rPr>
                <w:rFonts w:cs="宋体"/>
                <w:b/>
                <w:bCs/>
                <w:color w:val="595959"/>
                <w:szCs w:val="21"/>
              </w:rPr>
            </w:pPr>
            <w:r>
              <w:rPr>
                <w:rFonts w:hint="eastAsia" w:cs="宋体"/>
                <w:b/>
                <w:bCs/>
                <w:color w:val="595959"/>
                <w:szCs w:val="21"/>
              </w:rPr>
              <w:t>证明材料：</w:t>
            </w:r>
          </w:p>
          <w:p>
            <w:pPr>
              <w:wordWrap w:val="0"/>
              <w:spacing w:line="360" w:lineRule="exact"/>
              <w:ind w:firstLine="420"/>
              <w:rPr>
                <w:rFonts w:cs="宋体" w:asciiTheme="minorHAnsi" w:hAnsiTheme="minorHAnsi" w:eastAsiaTheme="minorEastAsia"/>
                <w:color w:val="595959"/>
                <w:szCs w:val="21"/>
              </w:rPr>
            </w:pPr>
            <w:r>
              <w:rPr>
                <w:rFonts w:hint="eastAsia" w:cs="宋体"/>
                <w:color w:val="595959"/>
                <w:szCs w:val="21"/>
              </w:rPr>
              <w:t>.截图</w:t>
            </w:r>
            <w:r>
              <w:rPr>
                <w:rFonts w:hint="eastAsia"/>
                <w:color w:val="595959"/>
                <w:sz w:val="22"/>
              </w:rPr>
              <w:t>是否具有相关经营范围</w:t>
            </w:r>
            <w:r>
              <w:rPr>
                <w:rFonts w:hint="eastAsia" w:cs="宋体"/>
                <w:color w:val="595959"/>
                <w:szCs w:val="21"/>
              </w:rPr>
              <w:t>，未提供或提供的资料无法判断是否有效的均不得分。</w:t>
            </w:r>
          </w:p>
        </w:tc>
        <w:tc>
          <w:tcPr>
            <w:tcW w:w="802" w:type="dxa"/>
            <w:vMerge w:val="continue"/>
            <w:vAlign w:val="center"/>
          </w:tcPr>
          <w:p>
            <w:pPr>
              <w:adjustRightInd w:val="0"/>
              <w:snapToGrid w:val="0"/>
              <w:spacing w:line="360" w:lineRule="exact"/>
              <w:ind w:firstLine="420"/>
              <w:jc w:val="center"/>
              <w:rPr>
                <w:rFonts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jc w:val="center"/>
        </w:trPr>
        <w:tc>
          <w:tcPr>
            <w:tcW w:w="675" w:type="dxa"/>
            <w:vMerge w:val="restart"/>
            <w:vAlign w:val="center"/>
          </w:tcPr>
          <w:p>
            <w:pPr>
              <w:adjustRightInd w:val="0"/>
              <w:snapToGrid w:val="0"/>
              <w:spacing w:line="360" w:lineRule="exact"/>
              <w:ind w:firstLine="420"/>
              <w:jc w:val="center"/>
              <w:rPr>
                <w:rFonts w:cs="宋体"/>
                <w:bCs/>
                <w:color w:val="595959"/>
                <w:szCs w:val="21"/>
              </w:rPr>
            </w:pPr>
            <w:r>
              <w:rPr>
                <w:rFonts w:hint="eastAsia" w:cs="宋体"/>
                <w:bCs/>
                <w:color w:val="595959"/>
                <w:szCs w:val="21"/>
              </w:rPr>
              <w:t>3</w:t>
            </w:r>
          </w:p>
        </w:tc>
        <w:tc>
          <w:tcPr>
            <w:tcW w:w="1134" w:type="dxa"/>
            <w:vMerge w:val="restart"/>
            <w:vAlign w:val="center"/>
          </w:tcPr>
          <w:p>
            <w:pPr>
              <w:adjustRightInd w:val="0"/>
              <w:snapToGrid w:val="0"/>
              <w:spacing w:line="360" w:lineRule="exact"/>
              <w:ind w:left="0" w:leftChars="0" w:firstLine="0" w:firstLineChars="0"/>
              <w:jc w:val="both"/>
              <w:rPr>
                <w:rFonts w:cs="宋体"/>
                <w:bCs/>
                <w:color w:val="595959"/>
                <w:szCs w:val="21"/>
              </w:rPr>
            </w:pPr>
            <w:r>
              <w:rPr>
                <w:rFonts w:hint="eastAsia"/>
                <w:color w:val="595959"/>
                <w:sz w:val="22"/>
              </w:rPr>
              <w:t>投标人是否具有相关业绩</w:t>
            </w:r>
          </w:p>
        </w:tc>
        <w:tc>
          <w:tcPr>
            <w:tcW w:w="5918" w:type="dxa"/>
            <w:vAlign w:val="center"/>
          </w:tcPr>
          <w:p>
            <w:pPr>
              <w:wordWrap w:val="0"/>
              <w:spacing w:line="360" w:lineRule="exact"/>
              <w:ind w:firstLine="422"/>
              <w:rPr>
                <w:rFonts w:cs="宋体"/>
                <w:color w:val="595959"/>
                <w:szCs w:val="21"/>
              </w:rPr>
            </w:pPr>
            <w:r>
              <w:rPr>
                <w:rFonts w:hint="eastAsia" w:cs="宋体"/>
                <w:b/>
                <w:bCs/>
                <w:color w:val="595959"/>
                <w:szCs w:val="21"/>
              </w:rPr>
              <w:t>考察内容：</w:t>
            </w:r>
            <w:r>
              <w:rPr>
                <w:rFonts w:hint="eastAsia" w:cs="宋体"/>
                <w:color w:val="595959"/>
                <w:szCs w:val="21"/>
              </w:rPr>
              <w:t>每提供一个行政部门灯笼或国旗销售或安装业绩得20%分</w:t>
            </w:r>
          </w:p>
          <w:p>
            <w:pPr>
              <w:wordWrap w:val="0"/>
              <w:spacing w:line="360" w:lineRule="exact"/>
              <w:ind w:firstLine="420"/>
              <w:rPr>
                <w:rFonts w:cs="宋体"/>
                <w:color w:val="595959"/>
                <w:szCs w:val="21"/>
              </w:rPr>
            </w:pPr>
            <w:r>
              <w:rPr>
                <w:rFonts w:hint="eastAsia" w:cs="宋体"/>
                <w:bCs/>
                <w:color w:val="595959"/>
                <w:szCs w:val="21"/>
              </w:rPr>
              <w:t>本项最高得10</w:t>
            </w:r>
            <w:r>
              <w:rPr>
                <w:rFonts w:cs="宋体"/>
                <w:bCs/>
                <w:color w:val="595959"/>
                <w:szCs w:val="21"/>
              </w:rPr>
              <w:t>0</w:t>
            </w:r>
            <w:r>
              <w:rPr>
                <w:rFonts w:hint="eastAsia" w:cs="宋体"/>
                <w:color w:val="595959"/>
                <w:szCs w:val="21"/>
              </w:rPr>
              <w:t>%</w:t>
            </w:r>
            <w:r>
              <w:rPr>
                <w:rFonts w:hint="eastAsia" w:cs="宋体"/>
                <w:bCs/>
                <w:color w:val="595959"/>
                <w:szCs w:val="21"/>
              </w:rPr>
              <w:t>分</w:t>
            </w:r>
          </w:p>
        </w:tc>
        <w:tc>
          <w:tcPr>
            <w:tcW w:w="802" w:type="dxa"/>
            <w:vMerge w:val="restart"/>
            <w:vAlign w:val="center"/>
          </w:tcPr>
          <w:p>
            <w:pPr>
              <w:adjustRightInd w:val="0"/>
              <w:snapToGrid w:val="0"/>
              <w:spacing w:line="360" w:lineRule="exact"/>
              <w:ind w:firstLine="0" w:firstLineChars="0"/>
              <w:rPr>
                <w:rFonts w:cs="宋体"/>
                <w:color w:val="595959"/>
                <w:szCs w:val="21"/>
              </w:rPr>
            </w:pPr>
            <w:r>
              <w:rPr>
                <w:rFonts w:hint="eastAsia" w:cs="宋体"/>
                <w:color w:val="595959"/>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5" w:type="dxa"/>
            <w:vMerge w:val="continue"/>
            <w:vAlign w:val="center"/>
          </w:tcPr>
          <w:p>
            <w:pPr>
              <w:adjustRightInd w:val="0"/>
              <w:snapToGrid w:val="0"/>
              <w:spacing w:line="360" w:lineRule="exact"/>
              <w:ind w:firstLine="420"/>
              <w:jc w:val="center"/>
              <w:rPr>
                <w:rFonts w:cs="宋体"/>
                <w:bCs/>
                <w:color w:val="595959"/>
                <w:szCs w:val="21"/>
              </w:rPr>
            </w:pPr>
          </w:p>
        </w:tc>
        <w:tc>
          <w:tcPr>
            <w:tcW w:w="1134" w:type="dxa"/>
            <w:vMerge w:val="continue"/>
            <w:vAlign w:val="center"/>
          </w:tcPr>
          <w:p>
            <w:pPr>
              <w:adjustRightInd w:val="0"/>
              <w:snapToGrid w:val="0"/>
              <w:spacing w:line="360" w:lineRule="exact"/>
              <w:ind w:firstLine="420"/>
              <w:jc w:val="center"/>
              <w:rPr>
                <w:rFonts w:cs="宋体"/>
                <w:bCs/>
                <w:color w:val="595959"/>
                <w:szCs w:val="21"/>
              </w:rPr>
            </w:pPr>
          </w:p>
        </w:tc>
        <w:tc>
          <w:tcPr>
            <w:tcW w:w="5918" w:type="dxa"/>
            <w:vAlign w:val="center"/>
          </w:tcPr>
          <w:p>
            <w:pPr>
              <w:wordWrap w:val="0"/>
              <w:spacing w:line="360" w:lineRule="exact"/>
              <w:ind w:firstLine="422"/>
              <w:rPr>
                <w:rFonts w:cs="宋体"/>
                <w:b/>
                <w:bCs/>
                <w:color w:val="595959"/>
                <w:szCs w:val="21"/>
              </w:rPr>
            </w:pPr>
            <w:r>
              <w:rPr>
                <w:rFonts w:hint="eastAsia" w:cs="宋体"/>
                <w:b/>
                <w:bCs/>
                <w:color w:val="595959"/>
                <w:szCs w:val="21"/>
              </w:rPr>
              <w:t>证明材料：</w:t>
            </w:r>
          </w:p>
          <w:p>
            <w:pPr>
              <w:wordWrap w:val="0"/>
              <w:spacing w:line="360" w:lineRule="exact"/>
              <w:ind w:firstLine="420"/>
              <w:rPr>
                <w:rFonts w:cs="宋体"/>
                <w:color w:val="595959"/>
                <w:szCs w:val="21"/>
              </w:rPr>
            </w:pPr>
            <w:r>
              <w:rPr>
                <w:rFonts w:hint="eastAsia" w:cs="宋体"/>
                <w:color w:val="595959"/>
                <w:szCs w:val="21"/>
              </w:rPr>
              <w:t>提供中标通知书或合同关键页扫描件，原件备查。</w:t>
            </w:r>
          </w:p>
        </w:tc>
        <w:tc>
          <w:tcPr>
            <w:tcW w:w="802" w:type="dxa"/>
            <w:vMerge w:val="continue"/>
            <w:vAlign w:val="center"/>
          </w:tcPr>
          <w:p>
            <w:pPr>
              <w:adjustRightInd w:val="0"/>
              <w:snapToGrid w:val="0"/>
              <w:spacing w:line="360" w:lineRule="exact"/>
              <w:ind w:firstLine="420"/>
              <w:jc w:val="center"/>
              <w:rPr>
                <w:rFonts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5" w:type="dxa"/>
            <w:vMerge w:val="restart"/>
            <w:vAlign w:val="center"/>
          </w:tcPr>
          <w:p>
            <w:pPr>
              <w:adjustRightInd w:val="0"/>
              <w:snapToGrid w:val="0"/>
              <w:spacing w:line="360" w:lineRule="exact"/>
              <w:ind w:firstLine="420"/>
              <w:jc w:val="center"/>
              <w:rPr>
                <w:rFonts w:cs="宋体"/>
                <w:bCs/>
                <w:color w:val="595959"/>
                <w:szCs w:val="21"/>
              </w:rPr>
            </w:pPr>
            <w:r>
              <w:rPr>
                <w:rFonts w:hint="eastAsia" w:cs="宋体"/>
                <w:bCs/>
                <w:color w:val="595959"/>
                <w:szCs w:val="21"/>
              </w:rPr>
              <w:t>4</w:t>
            </w:r>
          </w:p>
        </w:tc>
        <w:tc>
          <w:tcPr>
            <w:tcW w:w="1134" w:type="dxa"/>
            <w:vMerge w:val="restart"/>
            <w:vAlign w:val="center"/>
          </w:tcPr>
          <w:p>
            <w:pPr>
              <w:adjustRightInd w:val="0"/>
              <w:snapToGrid w:val="0"/>
              <w:spacing w:line="360" w:lineRule="exact"/>
              <w:ind w:firstLine="420"/>
              <w:jc w:val="center"/>
              <w:rPr>
                <w:rFonts w:cs="宋体"/>
                <w:bCs/>
                <w:color w:val="595959"/>
                <w:szCs w:val="21"/>
              </w:rPr>
            </w:pPr>
            <w:r>
              <w:rPr>
                <w:rFonts w:hint="eastAsia" w:cs="宋体"/>
                <w:bCs/>
                <w:color w:val="595959"/>
                <w:szCs w:val="21"/>
              </w:rPr>
              <w:t>诚信</w:t>
            </w:r>
          </w:p>
        </w:tc>
        <w:tc>
          <w:tcPr>
            <w:tcW w:w="5918" w:type="dxa"/>
            <w:vAlign w:val="center"/>
          </w:tcPr>
          <w:p>
            <w:pPr>
              <w:wordWrap w:val="0"/>
              <w:spacing w:line="360" w:lineRule="exact"/>
              <w:ind w:firstLine="422"/>
              <w:rPr>
                <w:rFonts w:cs="宋体"/>
                <w:color w:val="595959"/>
                <w:szCs w:val="21"/>
              </w:rPr>
            </w:pPr>
            <w:r>
              <w:rPr>
                <w:rFonts w:hint="eastAsia" w:cs="宋体"/>
                <w:b/>
                <w:bCs/>
                <w:color w:val="595959"/>
                <w:szCs w:val="21"/>
              </w:rPr>
              <w:t>考察内容：</w:t>
            </w:r>
          </w:p>
          <w:p>
            <w:pPr>
              <w:wordWrap w:val="0"/>
              <w:spacing w:line="360" w:lineRule="exact"/>
              <w:ind w:firstLine="420"/>
              <w:rPr>
                <w:rFonts w:cs="宋体"/>
                <w:color w:val="595959"/>
                <w:szCs w:val="21"/>
              </w:rPr>
            </w:pPr>
            <w:r>
              <w:rPr>
                <w:rFonts w:hint="eastAsia" w:cs="宋体"/>
                <w:color w:val="595959"/>
                <w:szCs w:val="21"/>
              </w:rPr>
              <w:t>投标人在参与政府采购活动中存在诚信相关问题且在主管部门相关处理措施实施期限内的，本项不得分，否则得满分。</w:t>
            </w:r>
          </w:p>
        </w:tc>
        <w:tc>
          <w:tcPr>
            <w:tcW w:w="802" w:type="dxa"/>
            <w:vMerge w:val="restart"/>
            <w:vAlign w:val="center"/>
          </w:tcPr>
          <w:p>
            <w:pPr>
              <w:adjustRightInd w:val="0"/>
              <w:snapToGrid w:val="0"/>
              <w:spacing w:line="360" w:lineRule="exact"/>
              <w:ind w:firstLine="0" w:firstLineChars="0"/>
              <w:rPr>
                <w:rFonts w:cs="宋体"/>
                <w:color w:val="595959"/>
                <w:szCs w:val="21"/>
              </w:rPr>
            </w:pPr>
            <w:r>
              <w:rPr>
                <w:rFonts w:hint="eastAsia" w:cs="宋体"/>
                <w:color w:val="59595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5" w:type="dxa"/>
            <w:vMerge w:val="continue"/>
            <w:vAlign w:val="center"/>
          </w:tcPr>
          <w:p>
            <w:pPr>
              <w:adjustRightInd w:val="0"/>
              <w:snapToGrid w:val="0"/>
              <w:spacing w:line="360" w:lineRule="exact"/>
              <w:ind w:firstLine="420"/>
              <w:jc w:val="center"/>
              <w:rPr>
                <w:rFonts w:cs="宋体"/>
                <w:bCs/>
                <w:color w:val="595959"/>
                <w:szCs w:val="21"/>
              </w:rPr>
            </w:pPr>
          </w:p>
        </w:tc>
        <w:tc>
          <w:tcPr>
            <w:tcW w:w="1134" w:type="dxa"/>
            <w:vMerge w:val="continue"/>
            <w:vAlign w:val="center"/>
          </w:tcPr>
          <w:p>
            <w:pPr>
              <w:adjustRightInd w:val="0"/>
              <w:snapToGrid w:val="0"/>
              <w:spacing w:line="360" w:lineRule="exact"/>
              <w:ind w:firstLine="420"/>
              <w:jc w:val="center"/>
              <w:rPr>
                <w:rFonts w:cs="宋体"/>
                <w:bCs/>
                <w:color w:val="595959"/>
                <w:szCs w:val="21"/>
              </w:rPr>
            </w:pPr>
          </w:p>
        </w:tc>
        <w:tc>
          <w:tcPr>
            <w:tcW w:w="5918" w:type="dxa"/>
            <w:vAlign w:val="center"/>
          </w:tcPr>
          <w:p>
            <w:pPr>
              <w:wordWrap w:val="0"/>
              <w:spacing w:line="360" w:lineRule="exact"/>
              <w:ind w:firstLine="422"/>
              <w:rPr>
                <w:rFonts w:cs="宋体"/>
                <w:b/>
                <w:bCs/>
                <w:color w:val="595959"/>
                <w:szCs w:val="21"/>
              </w:rPr>
            </w:pPr>
            <w:r>
              <w:rPr>
                <w:rFonts w:hint="eastAsia" w:cs="宋体"/>
                <w:b/>
                <w:bCs/>
                <w:color w:val="595959"/>
                <w:szCs w:val="21"/>
              </w:rPr>
              <w:t>证明材料：</w:t>
            </w:r>
          </w:p>
          <w:p>
            <w:pPr>
              <w:wordWrap w:val="0"/>
              <w:spacing w:line="360" w:lineRule="exact"/>
              <w:ind w:firstLine="420"/>
              <w:rPr>
                <w:rFonts w:cs="宋体"/>
                <w:color w:val="595959"/>
                <w:szCs w:val="21"/>
              </w:rPr>
            </w:pPr>
            <w:r>
              <w:rPr>
                <w:rFonts w:hint="eastAsia" w:cs="宋体"/>
                <w:color w:val="595959"/>
                <w:szCs w:val="21"/>
              </w:rPr>
              <w:t>投标人无需提供任何证明材料，由工作人员查询后向评审委员会提供相关信息。</w:t>
            </w:r>
          </w:p>
        </w:tc>
        <w:tc>
          <w:tcPr>
            <w:tcW w:w="802" w:type="dxa"/>
            <w:vMerge w:val="continue"/>
            <w:vAlign w:val="center"/>
          </w:tcPr>
          <w:p>
            <w:pPr>
              <w:adjustRightInd w:val="0"/>
              <w:snapToGrid w:val="0"/>
              <w:spacing w:line="360" w:lineRule="exact"/>
              <w:ind w:firstLine="420"/>
              <w:jc w:val="center"/>
              <w:rPr>
                <w:rFonts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727" w:type="dxa"/>
            <w:gridSpan w:val="3"/>
            <w:vAlign w:val="center"/>
          </w:tcPr>
          <w:p>
            <w:pPr>
              <w:spacing w:line="360" w:lineRule="exact"/>
              <w:ind w:firstLine="422"/>
              <w:jc w:val="center"/>
              <w:rPr>
                <w:rFonts w:cs="宋体"/>
                <w:b/>
                <w:bCs/>
                <w:color w:val="595959"/>
                <w:szCs w:val="21"/>
              </w:rPr>
            </w:pPr>
            <w:r>
              <w:rPr>
                <w:rFonts w:hint="eastAsia" w:cs="宋体"/>
                <w:b/>
                <w:bCs/>
                <w:color w:val="595959"/>
                <w:szCs w:val="21"/>
              </w:rPr>
              <w:t>合计</w:t>
            </w:r>
          </w:p>
        </w:tc>
        <w:tc>
          <w:tcPr>
            <w:tcW w:w="802" w:type="dxa"/>
            <w:vAlign w:val="center"/>
          </w:tcPr>
          <w:p>
            <w:pPr>
              <w:adjustRightInd w:val="0"/>
              <w:snapToGrid w:val="0"/>
              <w:spacing w:line="360" w:lineRule="exact"/>
              <w:ind w:firstLine="0" w:firstLineChars="0"/>
              <w:rPr>
                <w:rFonts w:cs="宋体"/>
                <w:color w:val="595959"/>
                <w:szCs w:val="21"/>
              </w:rPr>
            </w:pPr>
            <w:r>
              <w:rPr>
                <w:rFonts w:hint="eastAsia" w:cs="宋体"/>
                <w:color w:val="595959"/>
                <w:szCs w:val="21"/>
              </w:rPr>
              <w:t>60</w:t>
            </w:r>
          </w:p>
        </w:tc>
      </w:tr>
    </w:tbl>
    <w:p>
      <w:pPr>
        <w:widowControl w:val="0"/>
        <w:autoSpaceDE w:val="0"/>
        <w:autoSpaceDN w:val="0"/>
        <w:adjustRightInd w:val="0"/>
        <w:snapToGrid w:val="0"/>
        <w:ind w:firstLine="0" w:firstLineChars="0"/>
        <w:jc w:val="left"/>
        <w:rPr>
          <w:rFonts w:ascii="宋体" w:hAnsi="宋体"/>
          <w:b/>
          <w:szCs w:val="21"/>
        </w:rPr>
      </w:pP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1、本表评审依据要求的各项证明文件须编入投标文件。</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2、表中要求提供相关证明文件的内容，投标文件中须明确加以说明并提供，未按要求提供相关文件或说明不清楚或评审委员会无法凭所提供的材料判断是否得分的情况，一律作不得分处理。</w:t>
      </w:r>
    </w:p>
    <w:p>
      <w:pPr>
        <w:widowControl w:val="0"/>
        <w:autoSpaceDE w:val="0"/>
        <w:autoSpaceDN w:val="0"/>
        <w:adjustRightInd w:val="0"/>
        <w:snapToGrid w:val="0"/>
        <w:ind w:firstLine="0" w:firstLineChars="0"/>
        <w:jc w:val="left"/>
        <w:rPr>
          <w:rFonts w:ascii="宋体" w:hAnsi="宋体"/>
          <w:b/>
          <w:sz w:val="22"/>
        </w:rPr>
      </w:pPr>
      <w:r>
        <w:rPr>
          <w:rFonts w:ascii="宋体" w:hAnsi="宋体"/>
        </w:rPr>
        <w:br w:type="page"/>
      </w:r>
      <w:r>
        <w:rPr>
          <w:rFonts w:hint="eastAsia" w:ascii="宋体" w:hAnsi="宋体"/>
          <w:b/>
          <w:sz w:val="22"/>
        </w:rPr>
        <w:t>附表</w:t>
      </w:r>
      <w:r>
        <w:rPr>
          <w:rFonts w:hint="eastAsia" w:ascii="宋体" w:hAnsi="宋体"/>
          <w:b/>
          <w:sz w:val="22"/>
          <w:lang w:val="en-US" w:eastAsia="zh-CN"/>
        </w:rPr>
        <w:t>3</w:t>
      </w:r>
      <w:r>
        <w:rPr>
          <w:rFonts w:hint="eastAsia" w:ascii="宋体" w:hAnsi="宋体"/>
          <w:b/>
          <w:sz w:val="22"/>
        </w:rPr>
        <w:t>-1 《技术标评审标准》</w:t>
      </w:r>
    </w:p>
    <w:tbl>
      <w:tblPr>
        <w:tblStyle w:val="4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918"/>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529" w:type="dxa"/>
            <w:gridSpan w:val="4"/>
            <w:shd w:val="clear" w:color="auto" w:fill="D9E2F3"/>
            <w:vAlign w:val="center"/>
          </w:tcPr>
          <w:p>
            <w:pPr>
              <w:adjustRightInd w:val="0"/>
              <w:snapToGrid w:val="0"/>
              <w:spacing w:line="360" w:lineRule="exact"/>
              <w:ind w:firstLine="643"/>
              <w:jc w:val="center"/>
              <w:rPr>
                <w:b/>
                <w:color w:val="595959"/>
                <w:sz w:val="32"/>
                <w:szCs w:val="32"/>
              </w:rPr>
            </w:pPr>
            <w:r>
              <w:rPr>
                <w:rFonts w:hint="eastAsia"/>
                <w:b/>
                <w:color w:val="595959"/>
                <w:sz w:val="32"/>
                <w:szCs w:val="32"/>
              </w:rPr>
              <w:t>《技术标评审标准》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75" w:type="dxa"/>
            <w:vAlign w:val="center"/>
          </w:tcPr>
          <w:p>
            <w:pPr>
              <w:adjustRightInd w:val="0"/>
              <w:snapToGrid w:val="0"/>
              <w:spacing w:line="360" w:lineRule="exact"/>
              <w:ind w:firstLine="0" w:firstLineChars="0"/>
              <w:rPr>
                <w:b/>
                <w:color w:val="595959"/>
                <w:szCs w:val="21"/>
              </w:rPr>
            </w:pPr>
            <w:r>
              <w:rPr>
                <w:rFonts w:hint="eastAsia"/>
                <w:b/>
                <w:color w:val="595959"/>
                <w:szCs w:val="21"/>
              </w:rPr>
              <w:t>序号</w:t>
            </w:r>
          </w:p>
        </w:tc>
        <w:tc>
          <w:tcPr>
            <w:tcW w:w="1134" w:type="dxa"/>
            <w:vAlign w:val="center"/>
          </w:tcPr>
          <w:p>
            <w:pPr>
              <w:adjustRightInd w:val="0"/>
              <w:snapToGrid w:val="0"/>
              <w:spacing w:line="360" w:lineRule="exact"/>
              <w:ind w:firstLine="0" w:firstLineChars="0"/>
              <w:rPr>
                <w:b/>
                <w:color w:val="595959"/>
                <w:szCs w:val="21"/>
              </w:rPr>
            </w:pPr>
            <w:r>
              <w:rPr>
                <w:rFonts w:hint="eastAsia"/>
                <w:b/>
                <w:color w:val="595959"/>
                <w:szCs w:val="21"/>
              </w:rPr>
              <w:t>评审项目</w:t>
            </w:r>
          </w:p>
        </w:tc>
        <w:tc>
          <w:tcPr>
            <w:tcW w:w="5918" w:type="dxa"/>
            <w:vAlign w:val="center"/>
          </w:tcPr>
          <w:p>
            <w:pPr>
              <w:adjustRightInd w:val="0"/>
              <w:snapToGrid w:val="0"/>
              <w:spacing w:line="360" w:lineRule="exact"/>
              <w:ind w:firstLine="422"/>
              <w:jc w:val="center"/>
              <w:rPr>
                <w:b/>
                <w:color w:val="595959"/>
                <w:szCs w:val="21"/>
              </w:rPr>
            </w:pPr>
            <w:r>
              <w:rPr>
                <w:rFonts w:hint="eastAsia"/>
                <w:b/>
                <w:color w:val="595959"/>
                <w:szCs w:val="21"/>
              </w:rPr>
              <w:t>评审标准及证明材料</w:t>
            </w:r>
          </w:p>
        </w:tc>
        <w:tc>
          <w:tcPr>
            <w:tcW w:w="802" w:type="dxa"/>
            <w:vAlign w:val="center"/>
          </w:tcPr>
          <w:p>
            <w:pPr>
              <w:adjustRightInd w:val="0"/>
              <w:snapToGrid w:val="0"/>
              <w:spacing w:line="360" w:lineRule="exact"/>
              <w:ind w:firstLine="0" w:firstLineChars="0"/>
              <w:rPr>
                <w:b/>
                <w:color w:val="595959"/>
                <w:szCs w:val="21"/>
              </w:rPr>
            </w:pPr>
            <w:r>
              <w:rPr>
                <w:rFonts w:hint="eastAsia"/>
                <w:b/>
                <w:color w:val="595959"/>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restart"/>
            <w:vAlign w:val="center"/>
          </w:tcPr>
          <w:p>
            <w:pPr>
              <w:adjustRightInd w:val="0"/>
              <w:snapToGrid w:val="0"/>
              <w:spacing w:line="360" w:lineRule="exact"/>
              <w:ind w:firstLine="420"/>
              <w:jc w:val="center"/>
              <w:rPr>
                <w:color w:val="595959"/>
                <w:szCs w:val="21"/>
              </w:rPr>
            </w:pPr>
            <w:r>
              <w:rPr>
                <w:rFonts w:hint="eastAsia" w:cs="宋体"/>
                <w:color w:val="595959"/>
                <w:szCs w:val="21"/>
              </w:rPr>
              <w:t>1</w:t>
            </w:r>
          </w:p>
        </w:tc>
        <w:tc>
          <w:tcPr>
            <w:tcW w:w="1134" w:type="dxa"/>
            <w:vMerge w:val="restart"/>
            <w:vAlign w:val="center"/>
          </w:tcPr>
          <w:p>
            <w:pPr>
              <w:adjustRightInd w:val="0"/>
              <w:snapToGrid w:val="0"/>
              <w:spacing w:line="360" w:lineRule="exact"/>
              <w:ind w:left="0" w:leftChars="0" w:firstLine="0" w:firstLineChars="0"/>
              <w:jc w:val="both"/>
              <w:rPr>
                <w:color w:val="595959"/>
                <w:szCs w:val="21"/>
              </w:rPr>
            </w:pPr>
            <w:r>
              <w:rPr>
                <w:rFonts w:hint="eastAsia" w:cs="宋体"/>
                <w:color w:val="595959"/>
                <w:szCs w:val="21"/>
              </w:rPr>
              <w:t>灯笼、国旗送达保障措施</w:t>
            </w:r>
          </w:p>
        </w:tc>
        <w:tc>
          <w:tcPr>
            <w:tcW w:w="5918" w:type="dxa"/>
            <w:vAlign w:val="center"/>
          </w:tcPr>
          <w:p>
            <w:pPr>
              <w:wordWrap w:val="0"/>
              <w:spacing w:line="360" w:lineRule="exact"/>
              <w:ind w:firstLine="422"/>
              <w:rPr>
                <w:rFonts w:cs="宋体"/>
                <w:b/>
                <w:bCs/>
                <w:color w:val="595959"/>
                <w:szCs w:val="21"/>
              </w:rPr>
            </w:pPr>
            <w:r>
              <w:rPr>
                <w:rFonts w:hint="eastAsia" w:cs="宋体"/>
                <w:b/>
                <w:bCs/>
                <w:color w:val="595959"/>
                <w:szCs w:val="21"/>
              </w:rPr>
              <w:t>考察内容：</w:t>
            </w:r>
          </w:p>
          <w:p>
            <w:pPr>
              <w:wordWrap w:val="0"/>
              <w:spacing w:line="360" w:lineRule="exact"/>
              <w:ind w:firstLine="420"/>
              <w:rPr>
                <w:rFonts w:cs="宋体"/>
                <w:color w:val="595959"/>
                <w:szCs w:val="21"/>
              </w:rPr>
            </w:pPr>
            <w:r>
              <w:rPr>
                <w:rFonts w:hint="eastAsia" w:cs="宋体"/>
                <w:color w:val="595959"/>
                <w:szCs w:val="21"/>
              </w:rPr>
              <w:t>在投标文件中详细说明技术保障措施（主要包括国旗、灯笼正常送达的交通组织和安全防护措施，以及各项紧急预案），评审委员会根据招标文件的需求和投标文件的响应情况，进行评价及分档评分：</w:t>
            </w:r>
          </w:p>
        </w:tc>
        <w:tc>
          <w:tcPr>
            <w:tcW w:w="802" w:type="dxa"/>
            <w:vMerge w:val="restart"/>
            <w:vAlign w:val="center"/>
          </w:tcPr>
          <w:p>
            <w:pPr>
              <w:adjustRightInd w:val="0"/>
              <w:snapToGrid w:val="0"/>
              <w:spacing w:line="360" w:lineRule="exact"/>
              <w:ind w:firstLine="0" w:firstLineChars="0"/>
              <w:rPr>
                <w:color w:val="595959"/>
                <w:szCs w:val="21"/>
              </w:rPr>
            </w:pPr>
            <w:r>
              <w:rPr>
                <w:rFonts w:hint="eastAsia" w:cs="宋体"/>
                <w:color w:val="59595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75" w:type="dxa"/>
            <w:vMerge w:val="continue"/>
            <w:vAlign w:val="center"/>
          </w:tcPr>
          <w:p>
            <w:pPr>
              <w:adjustRightInd w:val="0"/>
              <w:snapToGrid w:val="0"/>
              <w:spacing w:line="360" w:lineRule="exact"/>
              <w:ind w:firstLine="420"/>
              <w:jc w:val="center"/>
              <w:rPr>
                <w:color w:val="595959"/>
                <w:szCs w:val="21"/>
              </w:rPr>
            </w:pPr>
          </w:p>
        </w:tc>
        <w:tc>
          <w:tcPr>
            <w:tcW w:w="1134" w:type="dxa"/>
            <w:vMerge w:val="continue"/>
            <w:vAlign w:val="center"/>
          </w:tcPr>
          <w:p>
            <w:pPr>
              <w:adjustRightInd w:val="0"/>
              <w:snapToGrid w:val="0"/>
              <w:spacing w:line="360" w:lineRule="exact"/>
              <w:ind w:firstLine="420"/>
              <w:jc w:val="center"/>
              <w:rPr>
                <w:color w:val="595959"/>
                <w:szCs w:val="21"/>
              </w:rPr>
            </w:pPr>
          </w:p>
        </w:tc>
        <w:tc>
          <w:tcPr>
            <w:tcW w:w="5918" w:type="dxa"/>
            <w:vAlign w:val="center"/>
          </w:tcPr>
          <w:p>
            <w:pPr>
              <w:wordWrap w:val="0"/>
              <w:spacing w:line="360" w:lineRule="exact"/>
              <w:ind w:firstLine="422"/>
              <w:rPr>
                <w:rFonts w:cs="宋体"/>
                <w:b/>
                <w:bCs/>
                <w:color w:val="595959"/>
                <w:szCs w:val="21"/>
              </w:rPr>
            </w:pPr>
            <w:r>
              <w:rPr>
                <w:rFonts w:hint="eastAsia" w:cs="宋体"/>
                <w:b/>
                <w:bCs/>
                <w:color w:val="595959"/>
                <w:szCs w:val="21"/>
              </w:rPr>
              <w:t>评审标准：</w:t>
            </w:r>
          </w:p>
          <w:p>
            <w:pPr>
              <w:wordWrap w:val="0"/>
              <w:spacing w:line="360" w:lineRule="exact"/>
              <w:ind w:firstLine="420"/>
              <w:rPr>
                <w:rFonts w:cs="宋体"/>
                <w:color w:val="595959"/>
                <w:szCs w:val="21"/>
              </w:rPr>
            </w:pPr>
            <w:r>
              <w:rPr>
                <w:rFonts w:hint="eastAsia" w:cs="宋体"/>
                <w:color w:val="595959"/>
                <w:szCs w:val="21"/>
              </w:rPr>
              <w:t>（</w:t>
            </w:r>
            <w:r>
              <w:rPr>
                <w:rFonts w:cs="宋体"/>
                <w:color w:val="595959"/>
                <w:szCs w:val="21"/>
              </w:rPr>
              <w:t>1）技术保障措施内容全面；</w:t>
            </w:r>
          </w:p>
          <w:p>
            <w:pPr>
              <w:wordWrap w:val="0"/>
              <w:spacing w:line="360" w:lineRule="exact"/>
              <w:ind w:firstLine="420"/>
              <w:rPr>
                <w:rFonts w:cs="宋体"/>
                <w:color w:val="595959"/>
                <w:szCs w:val="21"/>
              </w:rPr>
            </w:pPr>
            <w:r>
              <w:rPr>
                <w:rFonts w:cs="宋体"/>
                <w:color w:val="595959"/>
                <w:szCs w:val="21"/>
              </w:rPr>
              <w:t>（2）技术保障措施内容具体；</w:t>
            </w:r>
          </w:p>
          <w:p>
            <w:pPr>
              <w:wordWrap w:val="0"/>
              <w:spacing w:line="360" w:lineRule="exact"/>
              <w:ind w:firstLine="420"/>
              <w:rPr>
                <w:rFonts w:cs="宋体"/>
                <w:color w:val="595959"/>
                <w:szCs w:val="21"/>
              </w:rPr>
            </w:pPr>
            <w:r>
              <w:rPr>
                <w:rFonts w:cs="宋体"/>
                <w:color w:val="595959"/>
                <w:szCs w:val="21"/>
              </w:rPr>
              <w:t>（3）技术保障措施内容科学合理；</w:t>
            </w:r>
          </w:p>
          <w:p>
            <w:pPr>
              <w:wordWrap w:val="0"/>
              <w:spacing w:line="360" w:lineRule="exact"/>
              <w:ind w:firstLine="420"/>
              <w:rPr>
                <w:rFonts w:cs="宋体"/>
                <w:color w:val="595959"/>
                <w:szCs w:val="21"/>
              </w:rPr>
            </w:pPr>
            <w:r>
              <w:rPr>
                <w:rFonts w:cs="宋体"/>
                <w:color w:val="595959"/>
                <w:szCs w:val="21"/>
              </w:rPr>
              <w:t>（4）技术保障措施内容针对性强；</w:t>
            </w:r>
          </w:p>
          <w:p>
            <w:pPr>
              <w:wordWrap w:val="0"/>
              <w:spacing w:line="360" w:lineRule="exact"/>
              <w:ind w:firstLine="420"/>
              <w:rPr>
                <w:rFonts w:cs="宋体"/>
                <w:color w:val="595959"/>
                <w:szCs w:val="21"/>
              </w:rPr>
            </w:pPr>
            <w:r>
              <w:rPr>
                <w:rFonts w:cs="宋体"/>
                <w:color w:val="595959"/>
                <w:szCs w:val="21"/>
              </w:rPr>
              <w:t>（5）技术保障措施内容可操作性强。</w:t>
            </w:r>
          </w:p>
          <w:p>
            <w:pPr>
              <w:wordWrap w:val="0"/>
              <w:spacing w:line="360" w:lineRule="exact"/>
              <w:ind w:firstLine="420"/>
              <w:rPr>
                <w:color w:val="595959"/>
                <w:szCs w:val="21"/>
              </w:rPr>
            </w:pPr>
            <w:r>
              <w:rPr>
                <w:rFonts w:cs="宋体"/>
                <w:color w:val="595959"/>
                <w:szCs w:val="21"/>
              </w:rPr>
              <w:t>优评分标准：满足以上五项要求的评价为优，得100%分；良评分标准：满足以上四项要求的评价为良，得75%分；中评分标准：满足以上三项要求的评价为中，得50%分；差评分标准：上述情况之外的，评差，得0%分。</w:t>
            </w:r>
          </w:p>
        </w:tc>
        <w:tc>
          <w:tcPr>
            <w:tcW w:w="802" w:type="dxa"/>
            <w:vMerge w:val="continue"/>
            <w:vAlign w:val="center"/>
          </w:tcPr>
          <w:p>
            <w:pPr>
              <w:adjustRightInd w:val="0"/>
              <w:snapToGrid w:val="0"/>
              <w:spacing w:line="360" w:lineRule="exact"/>
              <w:ind w:firstLine="420"/>
              <w:jc w:val="center"/>
              <w:rPr>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675" w:type="dxa"/>
            <w:vMerge w:val="continue"/>
            <w:vAlign w:val="center"/>
          </w:tcPr>
          <w:p>
            <w:pPr>
              <w:adjustRightInd w:val="0"/>
              <w:snapToGrid w:val="0"/>
              <w:spacing w:line="360" w:lineRule="exact"/>
              <w:ind w:firstLine="422"/>
              <w:jc w:val="center"/>
              <w:rPr>
                <w:b/>
                <w:color w:val="595959"/>
                <w:szCs w:val="21"/>
              </w:rPr>
            </w:pPr>
          </w:p>
        </w:tc>
        <w:tc>
          <w:tcPr>
            <w:tcW w:w="1134" w:type="dxa"/>
            <w:vMerge w:val="continue"/>
            <w:vAlign w:val="center"/>
          </w:tcPr>
          <w:p>
            <w:pPr>
              <w:adjustRightInd w:val="0"/>
              <w:snapToGrid w:val="0"/>
              <w:spacing w:line="360" w:lineRule="exact"/>
              <w:ind w:firstLine="422"/>
              <w:jc w:val="center"/>
              <w:rPr>
                <w:b/>
                <w:color w:val="595959"/>
                <w:szCs w:val="21"/>
              </w:rPr>
            </w:pPr>
          </w:p>
        </w:tc>
        <w:tc>
          <w:tcPr>
            <w:tcW w:w="5918" w:type="dxa"/>
            <w:vAlign w:val="center"/>
          </w:tcPr>
          <w:p>
            <w:pPr>
              <w:wordWrap w:val="0"/>
              <w:spacing w:line="360" w:lineRule="exact"/>
              <w:ind w:firstLine="422"/>
              <w:rPr>
                <w:bCs/>
                <w:color w:val="595959"/>
                <w:szCs w:val="21"/>
              </w:rPr>
            </w:pPr>
            <w:r>
              <w:rPr>
                <w:rFonts w:hint="eastAsia" w:cs="宋体"/>
                <w:b/>
                <w:bCs/>
                <w:color w:val="595959"/>
                <w:szCs w:val="21"/>
              </w:rPr>
              <w:t>证明文件</w:t>
            </w:r>
            <w:r>
              <w:rPr>
                <w:rFonts w:hint="eastAsia" w:cs="宋体"/>
                <w:color w:val="595959"/>
                <w:szCs w:val="21"/>
              </w:rPr>
              <w:t>：</w:t>
            </w:r>
          </w:p>
        </w:tc>
        <w:tc>
          <w:tcPr>
            <w:tcW w:w="802" w:type="dxa"/>
            <w:vMerge w:val="continue"/>
            <w:vAlign w:val="center"/>
          </w:tcPr>
          <w:p>
            <w:pPr>
              <w:adjustRightInd w:val="0"/>
              <w:snapToGrid w:val="0"/>
              <w:spacing w:line="360" w:lineRule="exact"/>
              <w:ind w:firstLine="422"/>
              <w:jc w:val="center"/>
              <w:rPr>
                <w:b/>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75" w:type="dxa"/>
            <w:vMerge w:val="restart"/>
            <w:vAlign w:val="center"/>
          </w:tcPr>
          <w:p>
            <w:pPr>
              <w:adjustRightInd w:val="0"/>
              <w:snapToGrid w:val="0"/>
              <w:spacing w:line="360" w:lineRule="exact"/>
              <w:ind w:firstLine="420"/>
              <w:jc w:val="center"/>
              <w:rPr>
                <w:b/>
                <w:color w:val="595959"/>
                <w:szCs w:val="21"/>
              </w:rPr>
            </w:pPr>
            <w:r>
              <w:rPr>
                <w:rFonts w:cs="宋体"/>
                <w:color w:val="595959"/>
                <w:szCs w:val="21"/>
              </w:rPr>
              <w:t>4</w:t>
            </w:r>
          </w:p>
        </w:tc>
        <w:tc>
          <w:tcPr>
            <w:tcW w:w="1134" w:type="dxa"/>
            <w:vMerge w:val="restart"/>
            <w:vAlign w:val="center"/>
          </w:tcPr>
          <w:p>
            <w:pPr>
              <w:adjustRightInd w:val="0"/>
              <w:snapToGrid w:val="0"/>
              <w:spacing w:line="360" w:lineRule="exact"/>
              <w:ind w:left="0" w:leftChars="0" w:firstLine="0" w:firstLineChars="0"/>
              <w:rPr>
                <w:rFonts w:cs="宋体"/>
                <w:color w:val="595959"/>
                <w:szCs w:val="21"/>
              </w:rPr>
            </w:pPr>
            <w:r>
              <w:rPr>
                <w:rFonts w:hint="eastAsia"/>
                <w:color w:val="595959"/>
                <w:szCs w:val="21"/>
              </w:rPr>
              <w:t>违约承诺</w:t>
            </w:r>
          </w:p>
        </w:tc>
        <w:tc>
          <w:tcPr>
            <w:tcW w:w="5918" w:type="dxa"/>
            <w:vAlign w:val="center"/>
          </w:tcPr>
          <w:p>
            <w:pPr>
              <w:wordWrap w:val="0"/>
              <w:spacing w:line="360" w:lineRule="exact"/>
              <w:ind w:firstLine="420"/>
              <w:rPr>
                <w:rFonts w:cs="宋体"/>
                <w:color w:val="595959"/>
                <w:szCs w:val="21"/>
              </w:rPr>
            </w:pPr>
            <w:r>
              <w:rPr>
                <w:rFonts w:hint="eastAsia" w:cs="宋体"/>
                <w:color w:val="595959"/>
                <w:szCs w:val="21"/>
              </w:rPr>
              <w:t>考察内容：投标人提供违约承诺得100</w:t>
            </w:r>
            <w:r>
              <w:rPr>
                <w:color w:val="595959"/>
                <w:szCs w:val="21"/>
              </w:rPr>
              <w:t>%</w:t>
            </w:r>
            <w:r>
              <w:rPr>
                <w:rFonts w:hint="eastAsia" w:cs="宋体"/>
                <w:color w:val="595959"/>
                <w:szCs w:val="21"/>
              </w:rPr>
              <w:t>分。要求提供承诺内容包括:</w:t>
            </w:r>
          </w:p>
          <w:p>
            <w:pPr>
              <w:wordWrap w:val="0"/>
              <w:spacing w:line="360" w:lineRule="exact"/>
              <w:ind w:firstLine="420"/>
              <w:rPr>
                <w:rFonts w:cs="宋体"/>
                <w:color w:val="595959"/>
                <w:szCs w:val="21"/>
              </w:rPr>
            </w:pPr>
            <w:r>
              <w:rPr>
                <w:rFonts w:hint="eastAsia" w:cs="宋体"/>
                <w:color w:val="595959"/>
                <w:szCs w:val="21"/>
              </w:rPr>
              <w:t>(1)全面响应项目招标文件中各项技术和商务要求；</w:t>
            </w:r>
          </w:p>
          <w:p>
            <w:pPr>
              <w:wordWrap w:val="0"/>
              <w:spacing w:line="360" w:lineRule="exact"/>
              <w:ind w:firstLine="420"/>
              <w:rPr>
                <w:rFonts w:cs="宋体"/>
                <w:color w:val="595959"/>
                <w:szCs w:val="21"/>
              </w:rPr>
            </w:pPr>
            <w:r>
              <w:rPr>
                <w:rFonts w:hint="eastAsia" w:cs="宋体"/>
                <w:color w:val="595959"/>
                <w:szCs w:val="21"/>
              </w:rPr>
              <w:t>(2)投标文件所列全部内容真实，不存在虚假情况；</w:t>
            </w:r>
          </w:p>
          <w:p>
            <w:pPr>
              <w:wordWrap w:val="0"/>
              <w:spacing w:line="360" w:lineRule="exact"/>
              <w:ind w:firstLine="420"/>
              <w:rPr>
                <w:rFonts w:cs="宋体"/>
                <w:color w:val="595959"/>
                <w:szCs w:val="21"/>
              </w:rPr>
            </w:pPr>
            <w:r>
              <w:rPr>
                <w:rFonts w:hint="eastAsia" w:cs="宋体"/>
                <w:color w:val="595959"/>
                <w:szCs w:val="21"/>
              </w:rPr>
              <w:t>(3)全面配合采购人，保质保量完成本服务项目。</w:t>
            </w:r>
          </w:p>
        </w:tc>
        <w:tc>
          <w:tcPr>
            <w:tcW w:w="802" w:type="dxa"/>
            <w:vMerge w:val="restart"/>
            <w:vAlign w:val="center"/>
          </w:tcPr>
          <w:p>
            <w:pPr>
              <w:adjustRightInd w:val="0"/>
              <w:snapToGrid w:val="0"/>
              <w:spacing w:line="360" w:lineRule="exact"/>
              <w:ind w:firstLine="0" w:firstLineChars="0"/>
              <w:rPr>
                <w:color w:val="595959"/>
                <w:szCs w:val="21"/>
              </w:rPr>
            </w:pPr>
            <w:r>
              <w:rPr>
                <w:rFonts w:hint="eastAsia" w:cs="宋体"/>
                <w:color w:val="59595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675" w:type="dxa"/>
            <w:vMerge w:val="continue"/>
            <w:vAlign w:val="center"/>
          </w:tcPr>
          <w:p>
            <w:pPr>
              <w:adjustRightInd w:val="0"/>
              <w:snapToGrid w:val="0"/>
              <w:spacing w:line="360" w:lineRule="exact"/>
              <w:ind w:firstLine="420"/>
              <w:jc w:val="center"/>
              <w:rPr>
                <w:rFonts w:cs="宋体"/>
                <w:color w:val="595959"/>
                <w:szCs w:val="21"/>
              </w:rPr>
            </w:pPr>
          </w:p>
        </w:tc>
        <w:tc>
          <w:tcPr>
            <w:tcW w:w="1134" w:type="dxa"/>
            <w:vMerge w:val="continue"/>
            <w:vAlign w:val="center"/>
          </w:tcPr>
          <w:p>
            <w:pPr>
              <w:adjustRightInd w:val="0"/>
              <w:snapToGrid w:val="0"/>
              <w:spacing w:line="360" w:lineRule="exact"/>
              <w:ind w:firstLine="420"/>
              <w:rPr>
                <w:color w:val="595959"/>
                <w:szCs w:val="21"/>
              </w:rPr>
            </w:pPr>
          </w:p>
        </w:tc>
        <w:tc>
          <w:tcPr>
            <w:tcW w:w="5918" w:type="dxa"/>
            <w:vAlign w:val="center"/>
          </w:tcPr>
          <w:p>
            <w:pPr>
              <w:wordWrap w:val="0"/>
              <w:spacing w:line="360" w:lineRule="exact"/>
              <w:ind w:firstLine="420"/>
              <w:rPr>
                <w:rFonts w:cs="宋体"/>
                <w:color w:val="595959"/>
                <w:szCs w:val="21"/>
              </w:rPr>
            </w:pPr>
            <w:r>
              <w:rPr>
                <w:rFonts w:hint="eastAsia" w:cs="宋体"/>
                <w:color w:val="595959"/>
                <w:szCs w:val="21"/>
              </w:rPr>
              <w:t>证明文件：</w:t>
            </w:r>
          </w:p>
          <w:p>
            <w:pPr>
              <w:wordWrap w:val="0"/>
              <w:spacing w:line="360" w:lineRule="exact"/>
              <w:ind w:firstLine="420"/>
              <w:rPr>
                <w:szCs w:val="20"/>
              </w:rPr>
            </w:pPr>
            <w:r>
              <w:rPr>
                <w:rFonts w:hint="eastAsia" w:cs="宋体"/>
                <w:color w:val="595959"/>
                <w:szCs w:val="21"/>
              </w:rPr>
              <w:t>提供承诺函(格式自拟)作为得分依据，未提供承诺或承诺内容不满足要求不得分。若违反任何一项承诺，同意全面接受采购人做出的相应违约处理。</w:t>
            </w:r>
          </w:p>
        </w:tc>
        <w:tc>
          <w:tcPr>
            <w:tcW w:w="802" w:type="dxa"/>
            <w:vMerge w:val="continue"/>
            <w:vAlign w:val="center"/>
          </w:tcPr>
          <w:p>
            <w:pPr>
              <w:adjustRightInd w:val="0"/>
              <w:snapToGrid w:val="0"/>
              <w:spacing w:line="360" w:lineRule="exact"/>
              <w:ind w:firstLine="420"/>
              <w:jc w:val="center"/>
              <w:rPr>
                <w:rFonts w:cs="宋体"/>
                <w:color w:val="59595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727" w:type="dxa"/>
            <w:gridSpan w:val="3"/>
            <w:vAlign w:val="center"/>
          </w:tcPr>
          <w:p>
            <w:pPr>
              <w:adjustRightInd w:val="0"/>
              <w:snapToGrid w:val="0"/>
              <w:spacing w:line="360" w:lineRule="exact"/>
              <w:ind w:firstLine="422"/>
              <w:jc w:val="center"/>
              <w:rPr>
                <w:b/>
                <w:color w:val="595959"/>
                <w:szCs w:val="21"/>
              </w:rPr>
            </w:pPr>
            <w:r>
              <w:rPr>
                <w:rFonts w:hint="eastAsia"/>
                <w:b/>
                <w:color w:val="595959"/>
                <w:szCs w:val="21"/>
              </w:rPr>
              <w:t>合计</w:t>
            </w:r>
          </w:p>
        </w:tc>
        <w:tc>
          <w:tcPr>
            <w:tcW w:w="802" w:type="dxa"/>
            <w:vAlign w:val="center"/>
          </w:tcPr>
          <w:p>
            <w:pPr>
              <w:adjustRightInd w:val="0"/>
              <w:snapToGrid w:val="0"/>
              <w:spacing w:line="360" w:lineRule="exact"/>
              <w:ind w:firstLine="0" w:firstLineChars="0"/>
              <w:rPr>
                <w:color w:val="595959"/>
                <w:szCs w:val="21"/>
              </w:rPr>
            </w:pPr>
            <w:r>
              <w:rPr>
                <w:rFonts w:hint="eastAsia"/>
                <w:color w:val="595959"/>
                <w:szCs w:val="21"/>
              </w:rPr>
              <w:t>10</w:t>
            </w:r>
          </w:p>
        </w:tc>
      </w:tr>
    </w:tbl>
    <w:p>
      <w:pPr>
        <w:widowControl w:val="0"/>
        <w:autoSpaceDE w:val="0"/>
        <w:autoSpaceDN w:val="0"/>
        <w:adjustRightInd w:val="0"/>
        <w:snapToGrid w:val="0"/>
        <w:ind w:firstLine="0" w:firstLineChars="0"/>
        <w:jc w:val="left"/>
        <w:rPr>
          <w:rFonts w:ascii="宋体" w:hAnsi="宋体"/>
          <w:b/>
          <w:szCs w:val="21"/>
        </w:rPr>
      </w:pP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1、本表评审依据要求的各项证明文件须编入投标文件。</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2、表中要求提供相关证明文件的内容，投标文件中须明确加以说明并提供，未按要求提供相关文件或说明不清楚或评审委员会无法凭所提供的材料判断是否得分的情况，一律作不得分处理。</w:t>
      </w:r>
    </w:p>
    <w:p>
      <w:pPr>
        <w:ind w:firstLine="442"/>
        <w:rPr>
          <w:rFonts w:ascii="宋体" w:hAnsi="宋体"/>
          <w:b/>
          <w:sz w:val="22"/>
        </w:rPr>
      </w:pPr>
    </w:p>
    <w:p>
      <w:pPr>
        <w:widowControl w:val="0"/>
        <w:autoSpaceDE w:val="0"/>
        <w:autoSpaceDN w:val="0"/>
        <w:adjustRightInd w:val="0"/>
        <w:snapToGrid w:val="0"/>
        <w:ind w:firstLine="0" w:firstLineChars="0"/>
        <w:jc w:val="left"/>
        <w:rPr>
          <w:rFonts w:ascii="宋体" w:hAnsi="宋体"/>
          <w:b/>
          <w:sz w:val="22"/>
        </w:rPr>
      </w:pPr>
      <w:r>
        <w:rPr>
          <w:rFonts w:hint="eastAsia" w:ascii="宋体" w:hAnsi="宋体"/>
          <w:b/>
          <w:sz w:val="22"/>
        </w:rPr>
        <w:t>附表</w:t>
      </w:r>
      <w:r>
        <w:rPr>
          <w:rFonts w:hint="eastAsia" w:ascii="宋体" w:hAnsi="宋体"/>
          <w:b/>
          <w:sz w:val="22"/>
          <w:lang w:val="en-US" w:eastAsia="zh-CN"/>
        </w:rPr>
        <w:t>4</w:t>
      </w:r>
      <w:r>
        <w:rPr>
          <w:rFonts w:hint="eastAsia" w:ascii="宋体" w:hAnsi="宋体"/>
          <w:b/>
          <w:sz w:val="22"/>
        </w:rPr>
        <w:t>-1《价格标评审方法》</w:t>
      </w:r>
    </w:p>
    <w:tbl>
      <w:tblPr>
        <w:tblStyle w:val="4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918"/>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529" w:type="dxa"/>
            <w:gridSpan w:val="4"/>
            <w:shd w:val="clear" w:color="auto" w:fill="D9E2F3"/>
            <w:vAlign w:val="center"/>
          </w:tcPr>
          <w:p>
            <w:pPr>
              <w:adjustRightInd w:val="0"/>
              <w:snapToGrid w:val="0"/>
              <w:spacing w:line="360" w:lineRule="exact"/>
              <w:ind w:firstLine="643"/>
              <w:jc w:val="center"/>
              <w:rPr>
                <w:b/>
                <w:color w:val="595959"/>
                <w:sz w:val="32"/>
                <w:szCs w:val="32"/>
              </w:rPr>
            </w:pPr>
            <w:r>
              <w:rPr>
                <w:rFonts w:hint="eastAsia"/>
                <w:b/>
                <w:color w:val="595959"/>
                <w:sz w:val="32"/>
                <w:szCs w:val="32"/>
              </w:rPr>
              <w:t>《价格部分评审标准》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75" w:type="dxa"/>
            <w:vAlign w:val="center"/>
          </w:tcPr>
          <w:p>
            <w:pPr>
              <w:adjustRightInd w:val="0"/>
              <w:snapToGrid w:val="0"/>
              <w:spacing w:line="360" w:lineRule="exact"/>
              <w:ind w:firstLine="0" w:firstLineChars="0"/>
              <w:rPr>
                <w:b/>
                <w:color w:val="595959"/>
                <w:szCs w:val="21"/>
              </w:rPr>
            </w:pPr>
            <w:r>
              <w:rPr>
                <w:rFonts w:hint="eastAsia"/>
                <w:b/>
                <w:color w:val="595959"/>
                <w:szCs w:val="21"/>
              </w:rPr>
              <w:t>序号</w:t>
            </w:r>
          </w:p>
        </w:tc>
        <w:tc>
          <w:tcPr>
            <w:tcW w:w="1134" w:type="dxa"/>
            <w:vAlign w:val="center"/>
          </w:tcPr>
          <w:p>
            <w:pPr>
              <w:adjustRightInd w:val="0"/>
              <w:snapToGrid w:val="0"/>
              <w:spacing w:line="360" w:lineRule="exact"/>
              <w:ind w:firstLine="0" w:firstLineChars="0"/>
              <w:rPr>
                <w:b/>
                <w:color w:val="595959"/>
                <w:szCs w:val="21"/>
              </w:rPr>
            </w:pPr>
            <w:r>
              <w:rPr>
                <w:rFonts w:hint="eastAsia"/>
                <w:b/>
                <w:color w:val="595959"/>
                <w:szCs w:val="21"/>
              </w:rPr>
              <w:t>评审项目</w:t>
            </w:r>
          </w:p>
        </w:tc>
        <w:tc>
          <w:tcPr>
            <w:tcW w:w="5918" w:type="dxa"/>
            <w:vAlign w:val="center"/>
          </w:tcPr>
          <w:p>
            <w:pPr>
              <w:adjustRightInd w:val="0"/>
              <w:snapToGrid w:val="0"/>
              <w:spacing w:line="360" w:lineRule="exact"/>
              <w:ind w:firstLine="422"/>
              <w:jc w:val="center"/>
              <w:rPr>
                <w:b/>
                <w:color w:val="595959"/>
                <w:szCs w:val="21"/>
              </w:rPr>
            </w:pPr>
            <w:r>
              <w:rPr>
                <w:rFonts w:hint="eastAsia"/>
                <w:b/>
                <w:color w:val="595959"/>
                <w:szCs w:val="21"/>
              </w:rPr>
              <w:t>评审标准及证明材料</w:t>
            </w:r>
          </w:p>
        </w:tc>
        <w:tc>
          <w:tcPr>
            <w:tcW w:w="802" w:type="dxa"/>
            <w:vAlign w:val="center"/>
          </w:tcPr>
          <w:p>
            <w:pPr>
              <w:adjustRightInd w:val="0"/>
              <w:snapToGrid w:val="0"/>
              <w:spacing w:line="360" w:lineRule="exact"/>
              <w:ind w:firstLine="0" w:firstLineChars="0"/>
              <w:rPr>
                <w:b/>
                <w:color w:val="595959"/>
                <w:szCs w:val="21"/>
              </w:rPr>
            </w:pPr>
            <w:r>
              <w:rPr>
                <w:rFonts w:hint="eastAsia"/>
                <w:b/>
                <w:color w:val="595959"/>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7" w:hRule="atLeast"/>
          <w:jc w:val="center"/>
        </w:trPr>
        <w:tc>
          <w:tcPr>
            <w:tcW w:w="675" w:type="dxa"/>
            <w:vAlign w:val="center"/>
          </w:tcPr>
          <w:p>
            <w:pPr>
              <w:adjustRightInd w:val="0"/>
              <w:snapToGrid w:val="0"/>
              <w:spacing w:line="360" w:lineRule="exact"/>
              <w:ind w:firstLine="420"/>
              <w:jc w:val="center"/>
              <w:rPr>
                <w:color w:val="595959"/>
                <w:szCs w:val="21"/>
              </w:rPr>
            </w:pPr>
            <w:r>
              <w:rPr>
                <w:rFonts w:hint="eastAsia" w:cs="宋体"/>
                <w:color w:val="595959"/>
                <w:szCs w:val="21"/>
              </w:rPr>
              <w:t>1</w:t>
            </w:r>
          </w:p>
        </w:tc>
        <w:tc>
          <w:tcPr>
            <w:tcW w:w="1134" w:type="dxa"/>
            <w:vAlign w:val="center"/>
          </w:tcPr>
          <w:p>
            <w:pPr>
              <w:adjustRightInd w:val="0"/>
              <w:snapToGrid w:val="0"/>
              <w:spacing w:line="360" w:lineRule="exact"/>
              <w:ind w:firstLine="0" w:firstLineChars="0"/>
              <w:rPr>
                <w:color w:val="595959"/>
                <w:szCs w:val="21"/>
              </w:rPr>
            </w:pPr>
            <w:r>
              <w:rPr>
                <w:rFonts w:hint="eastAsia" w:cs="宋体"/>
                <w:color w:val="595959"/>
                <w:szCs w:val="21"/>
              </w:rPr>
              <w:t>投标报价</w:t>
            </w:r>
          </w:p>
        </w:tc>
        <w:tc>
          <w:tcPr>
            <w:tcW w:w="5918" w:type="dxa"/>
            <w:vAlign w:val="center"/>
          </w:tcPr>
          <w:p>
            <w:pPr>
              <w:wordWrap w:val="0"/>
              <w:spacing w:line="360" w:lineRule="exact"/>
              <w:ind w:firstLine="420"/>
              <w:rPr>
                <w:rFonts w:cs="宋体"/>
                <w:color w:val="595959"/>
                <w:szCs w:val="21"/>
              </w:rPr>
            </w:pPr>
            <w:r>
              <w:rPr>
                <w:rFonts w:hint="eastAsia" w:cs="宋体"/>
                <w:color w:val="595959"/>
                <w:szCs w:val="21"/>
              </w:rPr>
              <w:t>价格分应当采用低价优先法计算，即满足招标文件要求且投标价格最低的投标报价为评标基准价，其价格分为满分。其他投标人的价格分统一按照下列公式计算:</w:t>
            </w:r>
          </w:p>
          <w:p>
            <w:pPr>
              <w:wordWrap w:val="0"/>
              <w:spacing w:line="360" w:lineRule="exact"/>
              <w:ind w:firstLine="420"/>
              <w:rPr>
                <w:rFonts w:cs="宋体"/>
                <w:color w:val="595959"/>
                <w:szCs w:val="21"/>
              </w:rPr>
            </w:pPr>
            <w:r>
              <w:rPr>
                <w:rFonts w:hint="eastAsia" w:cs="宋体"/>
                <w:color w:val="595959"/>
                <w:szCs w:val="21"/>
              </w:rPr>
              <w:t>投标报价得分=(评标基准价/投标报价)x100x权重</w:t>
            </w:r>
          </w:p>
          <w:p>
            <w:pPr>
              <w:wordWrap w:val="0"/>
              <w:spacing w:line="360" w:lineRule="exact"/>
              <w:ind w:firstLine="420"/>
              <w:rPr>
                <w:rFonts w:cs="宋体"/>
                <w:color w:val="595959"/>
                <w:szCs w:val="21"/>
              </w:rPr>
            </w:pPr>
            <w:r>
              <w:rPr>
                <w:rFonts w:hint="eastAsia" w:cs="宋体"/>
                <w:color w:val="595959"/>
                <w:szCs w:val="21"/>
              </w:rPr>
              <w:t>备注:</w:t>
            </w:r>
          </w:p>
          <w:p>
            <w:pPr>
              <w:wordWrap w:val="0"/>
              <w:spacing w:line="360" w:lineRule="exact"/>
              <w:ind w:firstLine="420"/>
              <w:rPr>
                <w:rFonts w:cs="宋体"/>
                <w:color w:val="595959"/>
                <w:szCs w:val="21"/>
              </w:rPr>
            </w:pPr>
            <w:r>
              <w:rPr>
                <w:rFonts w:hint="eastAsia" w:cs="宋体"/>
                <w:color w:val="595959"/>
                <w:szCs w:val="21"/>
              </w:rPr>
              <w:t>1、因落实政府采购政策进行价格调整的，以调整后的价格计算评标基准价和投标报价。</w:t>
            </w:r>
          </w:p>
          <w:p>
            <w:pPr>
              <w:wordWrap w:val="0"/>
              <w:spacing w:line="360" w:lineRule="exact"/>
              <w:ind w:firstLine="420"/>
              <w:rPr>
                <w:color w:val="595959"/>
                <w:szCs w:val="21"/>
              </w:rPr>
            </w:pPr>
            <w:r>
              <w:rPr>
                <w:rFonts w:hint="eastAsia" w:cs="宋体"/>
                <w:color w:val="595959"/>
                <w:szCs w:val="21"/>
              </w:rPr>
              <w:t>2、投标报价得分四舍五入后，小数点后保留两位有效数。</w:t>
            </w:r>
          </w:p>
        </w:tc>
        <w:tc>
          <w:tcPr>
            <w:tcW w:w="802" w:type="dxa"/>
            <w:vAlign w:val="center"/>
          </w:tcPr>
          <w:p>
            <w:pPr>
              <w:adjustRightInd w:val="0"/>
              <w:snapToGrid w:val="0"/>
              <w:spacing w:line="360" w:lineRule="exact"/>
              <w:ind w:firstLine="0" w:firstLineChars="0"/>
              <w:rPr>
                <w:color w:val="595959"/>
                <w:szCs w:val="21"/>
              </w:rPr>
            </w:pPr>
            <w:r>
              <w:rPr>
                <w:rFonts w:hint="eastAsia" w:cs="宋体"/>
                <w:color w:val="595959"/>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727" w:type="dxa"/>
            <w:gridSpan w:val="3"/>
            <w:vAlign w:val="center"/>
          </w:tcPr>
          <w:p>
            <w:pPr>
              <w:adjustRightInd w:val="0"/>
              <w:snapToGrid w:val="0"/>
              <w:spacing w:line="360" w:lineRule="exact"/>
              <w:ind w:firstLine="422"/>
              <w:jc w:val="center"/>
              <w:rPr>
                <w:b/>
                <w:color w:val="595959"/>
                <w:szCs w:val="21"/>
              </w:rPr>
            </w:pPr>
            <w:r>
              <w:rPr>
                <w:rFonts w:hint="eastAsia"/>
                <w:b/>
                <w:color w:val="595959"/>
                <w:szCs w:val="21"/>
              </w:rPr>
              <w:t>合计</w:t>
            </w:r>
          </w:p>
        </w:tc>
        <w:tc>
          <w:tcPr>
            <w:tcW w:w="802" w:type="dxa"/>
            <w:vAlign w:val="center"/>
          </w:tcPr>
          <w:p>
            <w:pPr>
              <w:adjustRightInd w:val="0"/>
              <w:snapToGrid w:val="0"/>
              <w:spacing w:line="360" w:lineRule="exact"/>
              <w:ind w:firstLine="0" w:firstLineChars="0"/>
              <w:rPr>
                <w:color w:val="595959"/>
                <w:szCs w:val="21"/>
              </w:rPr>
            </w:pPr>
            <w:r>
              <w:rPr>
                <w:rFonts w:hint="eastAsia"/>
                <w:color w:val="595959"/>
                <w:szCs w:val="21"/>
              </w:rPr>
              <w:t>30</w:t>
            </w:r>
          </w:p>
        </w:tc>
      </w:tr>
    </w:tbl>
    <w:p>
      <w:pPr>
        <w:widowControl w:val="0"/>
        <w:autoSpaceDE w:val="0"/>
        <w:autoSpaceDN w:val="0"/>
        <w:adjustRightInd w:val="0"/>
        <w:snapToGrid w:val="0"/>
        <w:ind w:firstLine="0" w:firstLineChars="0"/>
        <w:jc w:val="center"/>
        <w:rPr>
          <w:rFonts w:ascii="宋体" w:hAnsi="宋体"/>
          <w:b/>
          <w:sz w:val="24"/>
        </w:rPr>
      </w:pPr>
    </w:p>
    <w:p>
      <w:pPr>
        <w:widowControl w:val="0"/>
        <w:numPr>
          <w:ilvl w:val="0"/>
          <w:numId w:val="7"/>
        </w:numPr>
        <w:autoSpaceDE w:val="0"/>
        <w:autoSpaceDN w:val="0"/>
        <w:adjustRightInd w:val="0"/>
        <w:snapToGrid w:val="0"/>
        <w:ind w:firstLineChars="0"/>
        <w:jc w:val="left"/>
        <w:rPr>
          <w:rFonts w:ascii="宋体" w:hAnsi="宋体"/>
          <w:b/>
          <w:szCs w:val="21"/>
        </w:rPr>
      </w:pPr>
      <w:r>
        <w:rPr>
          <w:rFonts w:hint="eastAsia" w:ascii="宋体" w:hAnsi="宋体"/>
          <w:b/>
          <w:szCs w:val="21"/>
        </w:rPr>
        <w:t>评标价格</w:t>
      </w:r>
    </w:p>
    <w:p>
      <w:pPr>
        <w:widowControl w:val="0"/>
        <w:numPr>
          <w:ilvl w:val="1"/>
          <w:numId w:val="8"/>
        </w:numPr>
        <w:autoSpaceDE w:val="0"/>
        <w:autoSpaceDN w:val="0"/>
        <w:adjustRightInd w:val="0"/>
        <w:snapToGrid w:val="0"/>
        <w:ind w:firstLineChars="0"/>
        <w:jc w:val="left"/>
        <w:rPr>
          <w:rFonts w:ascii="宋体" w:hAnsi="宋体"/>
          <w:b/>
          <w:szCs w:val="21"/>
        </w:rPr>
      </w:pPr>
      <w:r>
        <w:rPr>
          <w:rFonts w:hint="eastAsia" w:ascii="宋体" w:hAnsi="宋体"/>
        </w:rPr>
        <w:t>投标文件存在投标报价问题的，进行投标报价的算术修正，投标报价算术修正按有利于招标人的原则进行，具体修正原则为：</w:t>
      </w:r>
    </w:p>
    <w:p>
      <w:pPr>
        <w:widowControl w:val="0"/>
        <w:numPr>
          <w:ilvl w:val="2"/>
          <w:numId w:val="8"/>
        </w:numPr>
        <w:autoSpaceDE w:val="0"/>
        <w:autoSpaceDN w:val="0"/>
        <w:adjustRightInd w:val="0"/>
        <w:snapToGrid w:val="0"/>
        <w:ind w:firstLineChars="0"/>
        <w:jc w:val="left"/>
        <w:rPr>
          <w:rFonts w:ascii="宋体" w:hAnsi="宋体"/>
        </w:rPr>
      </w:pPr>
      <w:r>
        <w:rPr>
          <w:rFonts w:hint="eastAsia" w:ascii="宋体" w:hAnsi="宋体"/>
        </w:rPr>
        <w:t>若投标报价一览表中投标总价与投标文件中投标总价不一致，以投标报价一览表投标总价为准；</w:t>
      </w:r>
    </w:p>
    <w:p>
      <w:pPr>
        <w:widowControl w:val="0"/>
        <w:numPr>
          <w:ilvl w:val="2"/>
          <w:numId w:val="8"/>
        </w:numPr>
        <w:autoSpaceDE w:val="0"/>
        <w:autoSpaceDN w:val="0"/>
        <w:adjustRightInd w:val="0"/>
        <w:snapToGrid w:val="0"/>
        <w:ind w:firstLineChars="0"/>
        <w:jc w:val="left"/>
        <w:rPr>
          <w:rFonts w:ascii="宋体" w:hAnsi="宋体"/>
        </w:rPr>
      </w:pPr>
      <w:r>
        <w:rPr>
          <w:rFonts w:hint="eastAsia" w:ascii="宋体" w:hAnsi="宋体"/>
        </w:rPr>
        <w:t>当小写金额与大写金额有差异时，以大写金额为准（有明显错误的除外）；</w:t>
      </w:r>
    </w:p>
    <w:p>
      <w:pPr>
        <w:widowControl w:val="0"/>
        <w:numPr>
          <w:ilvl w:val="2"/>
          <w:numId w:val="8"/>
        </w:numPr>
        <w:autoSpaceDE w:val="0"/>
        <w:autoSpaceDN w:val="0"/>
        <w:adjustRightInd w:val="0"/>
        <w:snapToGrid w:val="0"/>
        <w:ind w:firstLineChars="0"/>
        <w:jc w:val="left"/>
        <w:rPr>
          <w:rFonts w:ascii="宋体" w:hAnsi="宋体"/>
        </w:rPr>
      </w:pPr>
      <w:r>
        <w:rPr>
          <w:rFonts w:hint="eastAsia" w:ascii="宋体" w:hAnsi="宋体"/>
        </w:rPr>
        <w:t>单价金额小数点有明显错位的，应以总价为准，并修改单价；</w:t>
      </w:r>
    </w:p>
    <w:p>
      <w:pPr>
        <w:widowControl w:val="0"/>
        <w:numPr>
          <w:ilvl w:val="2"/>
          <w:numId w:val="8"/>
        </w:numPr>
        <w:autoSpaceDE w:val="0"/>
        <w:autoSpaceDN w:val="0"/>
        <w:adjustRightInd w:val="0"/>
        <w:snapToGrid w:val="0"/>
        <w:ind w:firstLineChars="0"/>
        <w:jc w:val="left"/>
        <w:rPr>
          <w:rFonts w:ascii="宋体" w:hAnsi="宋体"/>
          <w:szCs w:val="21"/>
        </w:rPr>
      </w:pPr>
      <w:r>
        <w:rPr>
          <w:rFonts w:hint="eastAsia" w:ascii="宋体" w:hAnsi="宋体"/>
          <w:szCs w:val="21"/>
        </w:rPr>
        <w:t>投标报价为各分项报价金额之和，总价金额与依据单价计算出的结果不一致的，以有利于招标人的为准，即当单价与数量的乘积高于合价或总价时，以合价或总价为准调整单价；当单价与数量的乘积低于合价或总价时，以单价为准调整合价或总价，修正投标报价；如分项报价中存在缺漏项，则视为缺漏项的价格已包含在其他分项报价之中。投标人在投标截止时间前修改投标报价总额，应同时修改投标文件“分项报价表”中的相应报价。</w:t>
      </w:r>
    </w:p>
    <w:p>
      <w:pPr>
        <w:widowControl w:val="0"/>
        <w:numPr>
          <w:ilvl w:val="1"/>
          <w:numId w:val="8"/>
        </w:numPr>
        <w:autoSpaceDE w:val="0"/>
        <w:autoSpaceDN w:val="0"/>
        <w:adjustRightInd w:val="0"/>
        <w:snapToGrid w:val="0"/>
        <w:ind w:firstLineChars="0"/>
        <w:jc w:val="left"/>
        <w:rPr>
          <w:rFonts w:ascii="宋体" w:hAnsi="宋体"/>
          <w:szCs w:val="21"/>
        </w:rPr>
      </w:pPr>
      <w:r>
        <w:rPr>
          <w:rFonts w:hint="eastAsia" w:ascii="宋体" w:hAnsi="宋体"/>
          <w:szCs w:val="21"/>
        </w:rPr>
        <w:t>合同金额以经修正后的投标报价为准，缺漏项部分由投标人自行承担。</w:t>
      </w:r>
    </w:p>
    <w:p>
      <w:pPr>
        <w:widowControl w:val="0"/>
        <w:autoSpaceDE w:val="0"/>
        <w:autoSpaceDN w:val="0"/>
        <w:adjustRightInd w:val="0"/>
        <w:snapToGrid w:val="0"/>
        <w:ind w:firstLine="0" w:firstLineChars="0"/>
        <w:jc w:val="left"/>
        <w:rPr>
          <w:rFonts w:ascii="宋体" w:hAnsi="宋体"/>
          <w:szCs w:val="21"/>
        </w:rPr>
      </w:pP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2、价格标评审的计算：</w:t>
      </w:r>
    </w:p>
    <w:tbl>
      <w:tblPr>
        <w:tblStyle w:val="49"/>
        <w:tblW w:w="85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1133"/>
        <w:gridCol w:w="1558"/>
        <w:gridCol w:w="48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restart"/>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投标</w:t>
            </w:r>
            <w:r>
              <w:rPr>
                <w:rFonts w:ascii="宋体" w:hAnsi="宋体"/>
                <w:b/>
                <w:szCs w:val="21"/>
              </w:rPr>
              <w:t>报价得分</w:t>
            </w:r>
          </w:p>
        </w:tc>
        <w:tc>
          <w:tcPr>
            <w:tcW w:w="7565" w:type="dxa"/>
            <w:gridSpan w:val="3"/>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基准价</w:t>
            </w:r>
            <w:r>
              <w:rPr>
                <w:rFonts w:ascii="宋体" w:hAnsi="宋体"/>
                <w:b/>
                <w:szCs w:val="21"/>
              </w:rPr>
              <w:t>和算法类型选择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vAlign w:val="center"/>
          </w:tcPr>
          <w:p>
            <w:pPr>
              <w:widowControl w:val="0"/>
              <w:autoSpaceDE w:val="0"/>
              <w:autoSpaceDN w:val="0"/>
              <w:adjustRightInd w:val="0"/>
              <w:snapToGrid w:val="0"/>
              <w:ind w:firstLine="0" w:firstLineChars="0"/>
              <w:rPr>
                <w:rFonts w:ascii="宋体" w:hAnsi="宋体"/>
                <w:szCs w:val="21"/>
              </w:rPr>
            </w:pPr>
          </w:p>
        </w:tc>
        <w:tc>
          <w:tcPr>
            <w:tcW w:w="1133" w:type="dxa"/>
            <w:vMerge w:val="restart"/>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基准价</w:t>
            </w:r>
          </w:p>
        </w:tc>
        <w:tc>
          <w:tcPr>
            <w:tcW w:w="6432" w:type="dxa"/>
            <w:gridSpan w:val="2"/>
            <w:vAlign w:val="center"/>
          </w:tcPr>
          <w:p>
            <w:pPr>
              <w:widowControl w:val="0"/>
              <w:autoSpaceDE w:val="0"/>
              <w:autoSpaceDN w:val="0"/>
              <w:adjustRightInd w:val="0"/>
              <w:snapToGrid w:val="0"/>
              <w:ind w:firstLine="210" w:firstLineChars="100"/>
              <w:rPr>
                <w:rFonts w:ascii="宋体" w:hAnsi="宋体"/>
                <w:szCs w:val="21"/>
              </w:rPr>
            </w:pPr>
            <w:r>
              <w:rPr>
                <w:rFonts w:hint="eastAsia" w:ascii="宋体" w:hAnsi="宋体"/>
                <w:szCs w:val="21"/>
              </w:rPr>
              <w:t>当有效投标报价少于3家时，则此次招标无效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vAlign w:val="center"/>
          </w:tcPr>
          <w:p>
            <w:pPr>
              <w:widowControl w:val="0"/>
              <w:autoSpaceDE w:val="0"/>
              <w:autoSpaceDN w:val="0"/>
              <w:adjustRightInd w:val="0"/>
              <w:snapToGrid w:val="0"/>
              <w:ind w:firstLine="0" w:firstLineChars="0"/>
              <w:rPr>
                <w:rFonts w:ascii="宋体" w:hAnsi="宋体"/>
                <w:szCs w:val="21"/>
              </w:rPr>
            </w:pPr>
          </w:p>
        </w:tc>
        <w:tc>
          <w:tcPr>
            <w:tcW w:w="1133" w:type="dxa"/>
            <w:vMerge w:val="continue"/>
            <w:vAlign w:val="center"/>
          </w:tcPr>
          <w:p>
            <w:pPr>
              <w:widowControl w:val="0"/>
              <w:autoSpaceDE w:val="0"/>
              <w:autoSpaceDN w:val="0"/>
              <w:adjustRightInd w:val="0"/>
              <w:snapToGrid w:val="0"/>
              <w:ind w:firstLine="0" w:firstLineChars="0"/>
              <w:jc w:val="center"/>
              <w:rPr>
                <w:rFonts w:ascii="宋体" w:hAnsi="宋体"/>
                <w:b/>
                <w:szCs w:val="21"/>
              </w:rPr>
            </w:pPr>
          </w:p>
        </w:tc>
        <w:tc>
          <w:tcPr>
            <w:tcW w:w="6432" w:type="dxa"/>
            <w:gridSpan w:val="2"/>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w:t>
            </w:r>
            <w:r>
              <w:rPr>
                <w:rFonts w:hint="eastAsia" w:ascii="宋体" w:hAnsi="宋体"/>
                <w:b/>
                <w:bCs/>
                <w:szCs w:val="21"/>
              </w:rPr>
              <w:t>有效投标报价的最低价为基价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8" w:type="dxa"/>
            <w:vMerge w:val="continue"/>
            <w:vAlign w:val="center"/>
          </w:tcPr>
          <w:p>
            <w:pPr>
              <w:widowControl w:val="0"/>
              <w:autoSpaceDE w:val="0"/>
              <w:autoSpaceDN w:val="0"/>
              <w:adjustRightInd w:val="0"/>
              <w:snapToGrid w:val="0"/>
              <w:ind w:firstLine="0" w:firstLineChars="0"/>
              <w:rPr>
                <w:rFonts w:ascii="宋体" w:hAnsi="宋体"/>
                <w:szCs w:val="21"/>
              </w:rPr>
            </w:pPr>
          </w:p>
        </w:tc>
        <w:tc>
          <w:tcPr>
            <w:tcW w:w="1133" w:type="dxa"/>
            <w:vMerge w:val="continue"/>
            <w:vAlign w:val="center"/>
          </w:tcPr>
          <w:p>
            <w:pPr>
              <w:widowControl w:val="0"/>
              <w:autoSpaceDE w:val="0"/>
              <w:autoSpaceDN w:val="0"/>
              <w:adjustRightInd w:val="0"/>
              <w:snapToGrid w:val="0"/>
              <w:ind w:firstLine="0" w:firstLineChars="0"/>
              <w:rPr>
                <w:rFonts w:ascii="宋体" w:hAnsi="宋体"/>
                <w:szCs w:val="21"/>
              </w:rPr>
            </w:pPr>
          </w:p>
        </w:tc>
        <w:tc>
          <w:tcPr>
            <w:tcW w:w="1558" w:type="dxa"/>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☑其他</w:t>
            </w:r>
            <w:r>
              <w:rPr>
                <w:rFonts w:ascii="宋体" w:hAnsi="宋体"/>
                <w:szCs w:val="21"/>
              </w:rPr>
              <w:t>方法</w:t>
            </w:r>
          </w:p>
        </w:tc>
        <w:tc>
          <w:tcPr>
            <w:tcW w:w="4874" w:type="dxa"/>
            <w:vAlign w:val="center"/>
          </w:tcPr>
          <w:p>
            <w:pPr>
              <w:widowControl w:val="0"/>
              <w:autoSpaceDE w:val="0"/>
              <w:autoSpaceDN w:val="0"/>
              <w:adjustRightInd w:val="0"/>
              <w:snapToGrid w:val="0"/>
              <w:ind w:firstLine="0" w:firstLineChars="0"/>
              <w:rPr>
                <w:rFonts w:ascii="宋体" w:hAnsi="宋体"/>
                <w:b/>
                <w:bCs/>
                <w:szCs w:val="21"/>
              </w:rPr>
            </w:pPr>
            <w:r>
              <w:rPr>
                <w:rFonts w:hint="eastAsia" w:ascii="宋体" w:hAnsi="宋体"/>
                <w:b/>
                <w:bCs/>
                <w:szCs w:val="21"/>
              </w:rPr>
              <w:t>投标报价</w:t>
            </w:r>
            <w:r>
              <w:rPr>
                <w:rFonts w:ascii="宋体" w:hAnsi="宋体"/>
                <w:b/>
                <w:bCs/>
                <w:szCs w:val="21"/>
              </w:rPr>
              <w:t>(</w:t>
            </w:r>
            <w:r>
              <w:rPr>
                <w:rFonts w:hint="eastAsia" w:ascii="宋体" w:hAnsi="宋体"/>
                <w:b/>
                <w:bCs/>
                <w:szCs w:val="21"/>
              </w:rPr>
              <w:t>投保报价</w:t>
            </w:r>
            <w:r>
              <w:rPr>
                <w:rFonts w:ascii="宋体" w:hAnsi="宋体"/>
                <w:b/>
                <w:bCs/>
                <w:szCs w:val="21"/>
              </w:rPr>
              <w:t>)</w:t>
            </w:r>
            <w:r>
              <w:rPr>
                <w:rFonts w:hint="eastAsia" w:ascii="宋体" w:hAnsi="宋体"/>
                <w:b/>
                <w:bCs/>
                <w:szCs w:val="21"/>
              </w:rPr>
              <w:t>得分</w:t>
            </w:r>
            <w:r>
              <w:rPr>
                <w:rFonts w:ascii="宋体" w:hAnsi="宋体"/>
                <w:b/>
                <w:bCs/>
                <w:szCs w:val="21"/>
              </w:rPr>
              <w:t>=(</w:t>
            </w:r>
            <w:r>
              <w:rPr>
                <w:rFonts w:hint="eastAsia" w:ascii="宋体" w:hAnsi="宋体"/>
                <w:b/>
                <w:bCs/>
                <w:szCs w:val="21"/>
              </w:rPr>
              <w:t>评标基准价／投标报价</w:t>
            </w:r>
          </w:p>
          <w:p>
            <w:pPr>
              <w:widowControl w:val="0"/>
              <w:autoSpaceDE w:val="0"/>
              <w:autoSpaceDN w:val="0"/>
              <w:adjustRightInd w:val="0"/>
              <w:snapToGrid w:val="0"/>
              <w:ind w:firstLine="0" w:firstLineChars="0"/>
              <w:rPr>
                <w:rFonts w:ascii="宋体" w:hAnsi="宋体"/>
                <w:szCs w:val="21"/>
              </w:rPr>
            </w:pPr>
            <w:r>
              <w:rPr>
                <w:rFonts w:ascii="宋体" w:hAnsi="宋体"/>
                <w:b/>
                <w:bCs/>
                <w:szCs w:val="21"/>
              </w:rPr>
              <w:t>(</w:t>
            </w:r>
            <w:r>
              <w:rPr>
                <w:rFonts w:hint="eastAsia" w:ascii="宋体" w:hAnsi="宋体"/>
                <w:b/>
                <w:bCs/>
                <w:szCs w:val="21"/>
              </w:rPr>
              <w:t>投保报价</w:t>
            </w:r>
            <w:r>
              <w:rPr>
                <w:rFonts w:ascii="宋体" w:hAnsi="宋体"/>
                <w:b/>
                <w:bCs/>
                <w:szCs w:val="21"/>
              </w:rPr>
              <w:t>))×</w:t>
            </w:r>
            <w:r>
              <w:rPr>
                <w:rFonts w:hint="eastAsia" w:ascii="宋体" w:hAnsi="宋体"/>
                <w:b/>
                <w:bCs/>
                <w:szCs w:val="21"/>
              </w:rPr>
              <w:t>3</w:t>
            </w:r>
            <w:r>
              <w:rPr>
                <w:rFonts w:ascii="宋体" w:hAnsi="宋体"/>
                <w:b/>
                <w:bCs/>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3" w:type="dxa"/>
            <w:gridSpan w:val="4"/>
            <w:vAlign w:val="center"/>
          </w:tcPr>
          <w:p>
            <w:pPr>
              <w:widowControl w:val="0"/>
              <w:autoSpaceDE w:val="0"/>
              <w:autoSpaceDN w:val="0"/>
              <w:adjustRightInd w:val="0"/>
              <w:snapToGrid w:val="0"/>
              <w:ind w:firstLine="0" w:firstLineChars="0"/>
              <w:rPr>
                <w:rFonts w:ascii="宋体" w:hAnsi="宋体"/>
                <w:szCs w:val="21"/>
              </w:rPr>
            </w:pPr>
            <w:r>
              <w:rPr>
                <w:rFonts w:hint="eastAsia" w:ascii="宋体" w:hAnsi="宋体"/>
                <w:szCs w:val="21"/>
              </w:rPr>
              <w:t>注：未通过初步评审的投标人的价格得分计算：未通过初步评审的投标人，不计算价格得分。</w:t>
            </w:r>
          </w:p>
        </w:tc>
      </w:tr>
    </w:tbl>
    <w:p>
      <w:pPr>
        <w:widowControl w:val="0"/>
        <w:autoSpaceDN w:val="0"/>
        <w:adjustRightInd w:val="0"/>
        <w:snapToGrid w:val="0"/>
        <w:ind w:firstLine="0" w:firstLineChars="0"/>
        <w:jc w:val="left"/>
        <w:rPr>
          <w:rFonts w:ascii="宋体" w:hAnsi="宋体"/>
          <w:b/>
          <w:sz w:val="22"/>
        </w:rPr>
      </w:pPr>
    </w:p>
    <w:p>
      <w:pPr>
        <w:widowControl w:val="0"/>
        <w:autoSpaceDN w:val="0"/>
        <w:adjustRightInd w:val="0"/>
        <w:snapToGrid w:val="0"/>
        <w:ind w:firstLine="0" w:firstLineChars="0"/>
        <w:jc w:val="left"/>
        <w:rPr>
          <w:rFonts w:ascii="宋体" w:hAnsi="宋体"/>
          <w:b/>
          <w:sz w:val="22"/>
        </w:rPr>
      </w:pPr>
      <w:r>
        <w:rPr>
          <w:rFonts w:hint="eastAsia" w:ascii="宋体" w:hAnsi="宋体"/>
          <w:b/>
          <w:sz w:val="22"/>
        </w:rPr>
        <w:t>附表</w:t>
      </w:r>
      <w:r>
        <w:rPr>
          <w:rFonts w:hint="eastAsia" w:ascii="宋体" w:hAnsi="宋体"/>
          <w:b/>
          <w:sz w:val="22"/>
          <w:lang w:val="en-US" w:eastAsia="zh-CN"/>
        </w:rPr>
        <w:t>5</w:t>
      </w:r>
      <w:r>
        <w:rPr>
          <w:rFonts w:hint="eastAsia" w:ascii="宋体" w:hAnsi="宋体"/>
          <w:b/>
          <w:sz w:val="22"/>
        </w:rPr>
        <w:t>-1 《商务标、技术标、价格标权重表和综合得分汇总》</w:t>
      </w:r>
    </w:p>
    <w:p>
      <w:pPr>
        <w:widowControl w:val="0"/>
        <w:autoSpaceDE w:val="0"/>
        <w:autoSpaceDN w:val="0"/>
        <w:adjustRightInd w:val="0"/>
        <w:snapToGrid w:val="0"/>
        <w:ind w:firstLine="0" w:firstLineChars="0"/>
        <w:rPr>
          <w:rFonts w:ascii="宋体" w:hAnsi="宋体"/>
          <w:b/>
        </w:rPr>
      </w:pPr>
    </w:p>
    <w:tbl>
      <w:tblPr>
        <w:tblStyle w:val="4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528" w:type="dxa"/>
            <w:gridSpan w:val="4"/>
            <w:shd w:val="clear" w:color="auto" w:fill="D9E2F3"/>
            <w:vAlign w:val="center"/>
          </w:tcPr>
          <w:p>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《商务标、技术标、价格标权重表和综合得分汇总》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vAlign w:val="center"/>
          </w:tcPr>
          <w:p>
            <w:pPr>
              <w:widowControl w:val="0"/>
              <w:autoSpaceDE w:val="0"/>
              <w:autoSpaceDN w:val="0"/>
              <w:adjustRightInd w:val="0"/>
              <w:snapToGrid w:val="0"/>
              <w:ind w:firstLine="0" w:firstLineChars="0"/>
              <w:jc w:val="center"/>
              <w:rPr>
                <w:rFonts w:ascii="宋体" w:hAnsi="宋体"/>
                <w:b/>
              </w:rPr>
            </w:pPr>
            <w:r>
              <w:rPr>
                <w:rFonts w:hint="eastAsia" w:ascii="宋体" w:hAnsi="宋体"/>
                <w:b/>
              </w:rPr>
              <w:t>权重名称</w:t>
            </w:r>
          </w:p>
        </w:tc>
        <w:tc>
          <w:tcPr>
            <w:tcW w:w="2158" w:type="dxa"/>
            <w:vAlign w:val="center"/>
          </w:tcPr>
          <w:p>
            <w:pPr>
              <w:widowControl w:val="0"/>
              <w:autoSpaceDE w:val="0"/>
              <w:autoSpaceDN w:val="0"/>
              <w:adjustRightInd w:val="0"/>
              <w:snapToGrid w:val="0"/>
              <w:ind w:firstLine="0" w:firstLineChars="0"/>
              <w:jc w:val="center"/>
              <w:rPr>
                <w:rFonts w:ascii="宋体" w:hAnsi="宋体"/>
                <w:b/>
              </w:rPr>
            </w:pPr>
            <w:r>
              <w:rPr>
                <w:rFonts w:hint="eastAsia" w:ascii="宋体" w:hAnsi="宋体"/>
                <w:b/>
              </w:rPr>
              <w:t>商务标权重</w:t>
            </w:r>
          </w:p>
        </w:tc>
        <w:tc>
          <w:tcPr>
            <w:tcW w:w="2159" w:type="dxa"/>
            <w:vAlign w:val="center"/>
          </w:tcPr>
          <w:p>
            <w:pPr>
              <w:widowControl w:val="0"/>
              <w:autoSpaceDE w:val="0"/>
              <w:autoSpaceDN w:val="0"/>
              <w:adjustRightInd w:val="0"/>
              <w:snapToGrid w:val="0"/>
              <w:ind w:firstLine="0" w:firstLineChars="0"/>
              <w:jc w:val="center"/>
              <w:rPr>
                <w:rFonts w:ascii="宋体" w:hAnsi="宋体"/>
                <w:b/>
              </w:rPr>
            </w:pPr>
            <w:r>
              <w:rPr>
                <w:rFonts w:hint="eastAsia" w:ascii="宋体" w:hAnsi="宋体"/>
                <w:b/>
              </w:rPr>
              <w:t>技术标权重</w:t>
            </w:r>
          </w:p>
        </w:tc>
        <w:tc>
          <w:tcPr>
            <w:tcW w:w="2159" w:type="dxa"/>
            <w:vAlign w:val="center"/>
          </w:tcPr>
          <w:p>
            <w:pPr>
              <w:widowControl w:val="0"/>
              <w:autoSpaceDE w:val="0"/>
              <w:autoSpaceDN w:val="0"/>
              <w:adjustRightInd w:val="0"/>
              <w:snapToGrid w:val="0"/>
              <w:ind w:firstLine="0" w:firstLineChars="0"/>
              <w:jc w:val="center"/>
              <w:rPr>
                <w:rFonts w:ascii="宋体" w:hAnsi="宋体"/>
                <w:b/>
              </w:rPr>
            </w:pPr>
            <w:r>
              <w:rPr>
                <w:rFonts w:hint="eastAsia" w:ascii="宋体" w:hAnsi="宋体"/>
                <w:b/>
              </w:rPr>
              <w:t>价格标权重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权重</w:t>
            </w:r>
          </w:p>
        </w:tc>
        <w:tc>
          <w:tcPr>
            <w:tcW w:w="2158" w:type="dxa"/>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60</w:t>
            </w:r>
          </w:p>
        </w:tc>
        <w:tc>
          <w:tcPr>
            <w:tcW w:w="2159" w:type="dxa"/>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10</w:t>
            </w:r>
          </w:p>
        </w:tc>
        <w:tc>
          <w:tcPr>
            <w:tcW w:w="2159" w:type="dxa"/>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投标人综合得分</w:t>
            </w:r>
          </w:p>
        </w:tc>
        <w:tc>
          <w:tcPr>
            <w:tcW w:w="6476" w:type="dxa"/>
            <w:gridSpan w:val="3"/>
            <w:vAlign w:val="center"/>
          </w:tcPr>
          <w:p>
            <w:pPr>
              <w:widowControl w:val="0"/>
              <w:autoSpaceDE w:val="0"/>
              <w:autoSpaceDN w:val="0"/>
              <w:adjustRightInd w:val="0"/>
              <w:snapToGrid w:val="0"/>
              <w:ind w:firstLine="0" w:firstLineChars="0"/>
              <w:jc w:val="center"/>
              <w:rPr>
                <w:rFonts w:ascii="宋体" w:hAnsi="宋体"/>
              </w:rPr>
            </w:pPr>
            <w:r>
              <w:rPr>
                <w:rFonts w:hint="eastAsia" w:ascii="宋体" w:hAnsi="宋体"/>
              </w:rPr>
              <w:t>商务标得分+技术标得分+价格标得分=100</w:t>
            </w:r>
          </w:p>
        </w:tc>
      </w:tr>
    </w:tbl>
    <w:p>
      <w:pPr>
        <w:widowControl w:val="0"/>
        <w:autoSpaceDE w:val="0"/>
        <w:autoSpaceDN w:val="0"/>
        <w:adjustRightInd w:val="0"/>
        <w:snapToGrid w:val="0"/>
        <w:ind w:firstLine="0" w:firstLineChars="0"/>
        <w:jc w:val="left"/>
        <w:rPr>
          <w:rFonts w:ascii="宋体" w:hAnsi="宋体"/>
        </w:rPr>
      </w:pPr>
    </w:p>
    <w:p>
      <w:pPr>
        <w:widowControl w:val="0"/>
        <w:autoSpaceDE w:val="0"/>
        <w:autoSpaceDN w:val="0"/>
        <w:adjustRightInd w:val="0"/>
        <w:snapToGrid w:val="0"/>
        <w:ind w:firstLine="0" w:firstLineChars="0"/>
        <w:jc w:val="left"/>
        <w:rPr>
          <w:rFonts w:ascii="宋体" w:hAnsi="宋体"/>
        </w:rPr>
      </w:pPr>
    </w:p>
    <w:p>
      <w:pPr>
        <w:widowControl w:val="0"/>
        <w:autoSpaceDE w:val="0"/>
        <w:autoSpaceDN w:val="0"/>
        <w:adjustRightInd w:val="0"/>
        <w:snapToGrid w:val="0"/>
        <w:ind w:firstLine="0" w:firstLineChars="0"/>
        <w:jc w:val="center"/>
        <w:outlineLvl w:val="1"/>
        <w:rPr>
          <w:rFonts w:ascii="宋体" w:hAnsi="宋体"/>
          <w:szCs w:val="21"/>
        </w:rPr>
      </w:pPr>
      <w:r>
        <w:rPr>
          <w:rFonts w:ascii="宋体" w:hAnsi="宋体"/>
        </w:rPr>
        <w:br w:type="page"/>
      </w:r>
      <w:bookmarkEnd w:id="296"/>
      <w:bookmarkEnd w:id="298"/>
      <w:bookmarkEnd w:id="299"/>
      <w:bookmarkEnd w:id="300"/>
      <w:bookmarkEnd w:id="301"/>
      <w:bookmarkEnd w:id="302"/>
      <w:bookmarkStart w:id="334" w:name="_Toc48740536"/>
      <w:bookmarkStart w:id="335" w:name="_Toc49247160"/>
      <w:bookmarkStart w:id="336" w:name="_Toc152042387"/>
      <w:bookmarkStart w:id="337" w:name="_Toc152045609"/>
      <w:bookmarkStart w:id="338" w:name="_Toc144974577"/>
      <w:bookmarkStart w:id="339" w:name="_Toc403513554"/>
      <w:r>
        <w:rPr>
          <w:rFonts w:hint="eastAsia" w:ascii="宋体" w:hAnsi="宋体"/>
          <w:b/>
          <w:sz w:val="32"/>
          <w:szCs w:val="32"/>
        </w:rPr>
        <w:t>三、定标方法</w:t>
      </w:r>
      <w:bookmarkEnd w:id="334"/>
      <w:bookmarkEnd w:id="335"/>
    </w:p>
    <w:p>
      <w:pPr>
        <w:widowControl w:val="0"/>
        <w:autoSpaceDE w:val="0"/>
        <w:autoSpaceDN w:val="0"/>
        <w:adjustRightInd w:val="0"/>
        <w:snapToGrid w:val="0"/>
        <w:ind w:firstLine="0" w:firstLineChars="0"/>
        <w:rPr>
          <w:rFonts w:ascii="宋体" w:hAnsi="宋体"/>
          <w:bCs/>
          <w:kern w:val="0"/>
          <w:szCs w:val="21"/>
        </w:rPr>
      </w:pPr>
      <w:r>
        <w:rPr>
          <w:rFonts w:hint="eastAsia" w:ascii="宋体" w:hAnsi="宋体"/>
          <w:kern w:val="0"/>
          <w:szCs w:val="21"/>
        </w:rPr>
        <w:t>招标人在定标过程中，应当坚持择优与竞价相结合，择优为主。招标人</w:t>
      </w:r>
      <w:r>
        <w:rPr>
          <w:rFonts w:hint="eastAsia" w:ascii="宋体" w:hAnsi="宋体"/>
          <w:bCs/>
          <w:kern w:val="0"/>
          <w:szCs w:val="21"/>
        </w:rPr>
        <w:t>采用下列方法确定中标人：</w:t>
      </w:r>
    </w:p>
    <w:p>
      <w:pPr>
        <w:widowControl w:val="0"/>
        <w:numPr>
          <w:ilvl w:val="0"/>
          <w:numId w:val="9"/>
        </w:numPr>
        <w:autoSpaceDE w:val="0"/>
        <w:autoSpaceDN w:val="0"/>
        <w:adjustRightInd w:val="0"/>
        <w:snapToGrid w:val="0"/>
        <w:ind w:firstLineChars="0"/>
        <w:rPr>
          <w:rFonts w:ascii="宋体" w:hAnsi="宋体"/>
          <w:b/>
          <w:kern w:val="0"/>
          <w:szCs w:val="21"/>
        </w:rPr>
      </w:pPr>
      <w:r>
        <w:rPr>
          <w:rFonts w:hint="eastAsia" w:ascii="宋体" w:hAnsi="宋体"/>
          <w:b/>
          <w:kern w:val="0"/>
          <w:szCs w:val="21"/>
        </w:rPr>
        <w:t>票决定标法</w:t>
      </w:r>
    </w:p>
    <w:p>
      <w:pPr>
        <w:widowControl w:val="0"/>
        <w:numPr>
          <w:ilvl w:val="1"/>
          <w:numId w:val="9"/>
        </w:numPr>
        <w:autoSpaceDE w:val="0"/>
        <w:autoSpaceDN w:val="0"/>
        <w:adjustRightInd w:val="0"/>
        <w:snapToGrid w:val="0"/>
        <w:ind w:firstLineChars="0"/>
        <w:rPr>
          <w:rFonts w:ascii="宋体" w:hAnsi="宋体"/>
          <w:b/>
          <w:kern w:val="0"/>
          <w:szCs w:val="21"/>
        </w:rPr>
      </w:pPr>
      <w:r>
        <w:rPr>
          <w:rFonts w:hint="eastAsia" w:ascii="宋体" w:hAnsi="宋体"/>
          <w:b/>
          <w:kern w:val="0"/>
          <w:szCs w:val="21"/>
        </w:rPr>
        <w:t>直接票决定标</w:t>
      </w:r>
    </w:p>
    <w:bookmarkEnd w:id="336"/>
    <w:bookmarkEnd w:id="337"/>
    <w:bookmarkEnd w:id="338"/>
    <w:bookmarkEnd w:id="339"/>
    <w:p>
      <w:pPr>
        <w:widowControl w:val="0"/>
        <w:autoSpaceDE w:val="0"/>
        <w:autoSpaceDN w:val="0"/>
        <w:adjustRightInd w:val="0"/>
        <w:snapToGrid w:val="0"/>
        <w:ind w:firstLine="0" w:firstLineChars="0"/>
        <w:jc w:val="left"/>
        <w:outlineLvl w:val="0"/>
        <w:rPr>
          <w:rFonts w:ascii="宋体" w:hAnsi="宋体"/>
          <w:b/>
          <w:sz w:val="52"/>
          <w:szCs w:val="52"/>
        </w:rPr>
      </w:pPr>
      <w:bookmarkStart w:id="340" w:name="_Toc49247161"/>
      <w:bookmarkStart w:id="341" w:name="_Toc49247162"/>
      <w:bookmarkStart w:id="342" w:name="_Toc403513619"/>
      <w:bookmarkStart w:id="343" w:name="_Toc406669470"/>
      <w:r>
        <w:rPr>
          <w:rFonts w:hint="eastAsia" w:ascii="宋体" w:hAnsi="宋体" w:cs="宋体"/>
          <w:bCs/>
          <w:color w:val="585858" w:themeColor="text1" w:themeTint="A6"/>
          <w:szCs w:val="21"/>
        </w:rPr>
        <w:t>评标方法为综合评分法。综合评分总分第一名的供应商为中标供应商。若综合评分总分出现并列第一名的情况，评审价格低者优先选择，若价格也相同，则抽签确定中标供应商。</w:t>
      </w:r>
    </w:p>
    <w:p>
      <w:pPr>
        <w:widowControl w:val="0"/>
        <w:autoSpaceDE w:val="0"/>
        <w:autoSpaceDN w:val="0"/>
        <w:adjustRightInd w:val="0"/>
        <w:snapToGrid w:val="0"/>
        <w:ind w:firstLine="0" w:firstLineChars="0"/>
        <w:jc w:val="left"/>
        <w:outlineLvl w:val="0"/>
        <w:rPr>
          <w:rFonts w:ascii="宋体" w:hAnsi="宋体"/>
          <w:b/>
          <w:sz w:val="52"/>
          <w:szCs w:val="52"/>
        </w:rPr>
      </w:pPr>
    </w:p>
    <w:p>
      <w:pPr>
        <w:widowControl w:val="0"/>
        <w:autoSpaceDE w:val="0"/>
        <w:autoSpaceDN w:val="0"/>
        <w:adjustRightInd w:val="0"/>
        <w:snapToGrid w:val="0"/>
        <w:ind w:firstLine="0" w:firstLineChars="0"/>
        <w:jc w:val="left"/>
        <w:outlineLvl w:val="0"/>
        <w:rPr>
          <w:rFonts w:ascii="宋体" w:hAnsi="宋体"/>
          <w:b/>
          <w:sz w:val="52"/>
          <w:szCs w:val="52"/>
        </w:rPr>
      </w:pPr>
    </w:p>
    <w:p>
      <w:pPr>
        <w:widowControl w:val="0"/>
        <w:autoSpaceDE w:val="0"/>
        <w:autoSpaceDN w:val="0"/>
        <w:adjustRightInd w:val="0"/>
        <w:snapToGrid w:val="0"/>
        <w:ind w:firstLine="0" w:firstLineChars="0"/>
        <w:jc w:val="left"/>
        <w:outlineLvl w:val="0"/>
        <w:rPr>
          <w:rFonts w:ascii="宋体" w:hAnsi="宋体"/>
          <w:b/>
          <w:sz w:val="52"/>
          <w:szCs w:val="52"/>
        </w:rPr>
      </w:pPr>
    </w:p>
    <w:p>
      <w:pPr>
        <w:widowControl w:val="0"/>
        <w:autoSpaceDE w:val="0"/>
        <w:autoSpaceDN w:val="0"/>
        <w:adjustRightInd w:val="0"/>
        <w:snapToGrid w:val="0"/>
        <w:ind w:firstLine="0" w:firstLineChars="0"/>
        <w:jc w:val="left"/>
        <w:outlineLvl w:val="0"/>
        <w:rPr>
          <w:rFonts w:ascii="宋体" w:hAnsi="宋体"/>
          <w:b/>
          <w:sz w:val="52"/>
          <w:szCs w:val="52"/>
        </w:rPr>
      </w:pPr>
    </w:p>
    <w:p>
      <w:pPr>
        <w:widowControl w:val="0"/>
        <w:autoSpaceDE w:val="0"/>
        <w:autoSpaceDN w:val="0"/>
        <w:adjustRightInd w:val="0"/>
        <w:snapToGrid w:val="0"/>
        <w:ind w:firstLine="0" w:firstLineChars="0"/>
        <w:jc w:val="left"/>
        <w:outlineLvl w:val="0"/>
        <w:rPr>
          <w:rFonts w:ascii="宋体" w:hAnsi="宋体"/>
          <w:b/>
          <w:sz w:val="52"/>
          <w:szCs w:val="52"/>
        </w:rPr>
      </w:pPr>
    </w:p>
    <w:p>
      <w:pPr>
        <w:pStyle w:val="15"/>
        <w:ind w:firstLine="1044"/>
        <w:rPr>
          <w:rFonts w:ascii="宋体" w:hAnsi="宋体"/>
          <w:b/>
          <w:sz w:val="52"/>
          <w:szCs w:val="52"/>
        </w:rPr>
      </w:pPr>
    </w:p>
    <w:p>
      <w:pPr>
        <w:pStyle w:val="15"/>
        <w:ind w:firstLine="1044"/>
        <w:rPr>
          <w:rFonts w:ascii="宋体" w:hAnsi="宋体"/>
          <w:b/>
          <w:sz w:val="52"/>
          <w:szCs w:val="52"/>
        </w:rPr>
      </w:pPr>
    </w:p>
    <w:p>
      <w:pPr>
        <w:widowControl w:val="0"/>
        <w:autoSpaceDE w:val="0"/>
        <w:autoSpaceDN w:val="0"/>
        <w:adjustRightInd w:val="0"/>
        <w:snapToGrid w:val="0"/>
        <w:ind w:firstLine="0" w:firstLineChars="0"/>
        <w:jc w:val="left"/>
        <w:outlineLvl w:val="0"/>
        <w:rPr>
          <w:rFonts w:ascii="宋体" w:hAnsi="宋体"/>
          <w:b/>
          <w:sz w:val="52"/>
          <w:szCs w:val="52"/>
        </w:rPr>
      </w:pPr>
    </w:p>
    <w:p>
      <w:pPr>
        <w:widowControl w:val="0"/>
        <w:autoSpaceDE w:val="0"/>
        <w:autoSpaceDN w:val="0"/>
        <w:adjustRightInd w:val="0"/>
        <w:snapToGrid w:val="0"/>
        <w:ind w:firstLine="0" w:firstLineChars="0"/>
        <w:jc w:val="left"/>
        <w:outlineLvl w:val="0"/>
        <w:rPr>
          <w:rFonts w:ascii="宋体" w:hAnsi="宋体"/>
          <w:b/>
          <w:sz w:val="52"/>
          <w:szCs w:val="52"/>
        </w:rPr>
      </w:pPr>
    </w:p>
    <w:p>
      <w:pPr>
        <w:widowControl w:val="0"/>
        <w:numPr>
          <w:ilvl w:val="0"/>
          <w:numId w:val="10"/>
        </w:numPr>
        <w:autoSpaceDE w:val="0"/>
        <w:autoSpaceDN w:val="0"/>
        <w:adjustRightInd w:val="0"/>
        <w:snapToGrid w:val="0"/>
        <w:ind w:firstLine="0" w:firstLineChars="0"/>
        <w:jc w:val="left"/>
        <w:outlineLvl w:val="0"/>
        <w:rPr>
          <w:rFonts w:ascii="宋体" w:hAnsi="宋体"/>
          <w:b/>
          <w:sz w:val="52"/>
          <w:szCs w:val="52"/>
        </w:rPr>
      </w:pPr>
      <w:r>
        <w:rPr>
          <w:rFonts w:hint="eastAsia" w:ascii="宋体" w:hAnsi="宋体"/>
          <w:b/>
          <w:sz w:val="52"/>
          <w:szCs w:val="52"/>
        </w:rPr>
        <w:t>合同条款及格式</w:t>
      </w:r>
      <w:bookmarkEnd w:id="340"/>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0" w:firstLineChars="0"/>
      </w:pPr>
    </w:p>
    <w:p>
      <w:pPr>
        <w:pStyle w:val="15"/>
        <w:ind w:firstLine="420"/>
      </w:pPr>
    </w:p>
    <w:p>
      <w:pPr>
        <w:tabs>
          <w:tab w:val="left" w:pos="4950"/>
        </w:tabs>
        <w:ind w:firstLine="0" w:firstLineChars="0"/>
        <w:rPr>
          <w:rFonts w:ascii="宋体" w:hAnsi="宋体" w:cs="宋体"/>
          <w:b/>
          <w:sz w:val="48"/>
          <w:szCs w:val="48"/>
        </w:rPr>
      </w:pPr>
    </w:p>
    <w:p>
      <w:pPr>
        <w:tabs>
          <w:tab w:val="left" w:pos="4950"/>
        </w:tabs>
        <w:ind w:firstLine="0" w:firstLineChars="0"/>
        <w:rPr>
          <w:rFonts w:ascii="宋体" w:hAnsi="宋体" w:cs="宋体"/>
          <w:b/>
          <w:sz w:val="48"/>
          <w:szCs w:val="48"/>
        </w:rPr>
      </w:pPr>
    </w:p>
    <w:p>
      <w:pPr>
        <w:tabs>
          <w:tab w:val="left" w:pos="4950"/>
        </w:tabs>
        <w:ind w:firstLine="964"/>
        <w:rPr>
          <w:rFonts w:ascii="宋体" w:hAnsi="宋体" w:cs="宋体"/>
          <w:b/>
          <w:sz w:val="44"/>
          <w:szCs w:val="44"/>
        </w:rPr>
      </w:pPr>
      <w:r>
        <w:rPr>
          <w:rFonts w:hint="eastAsia" w:ascii="宋体" w:hAnsi="宋体" w:cs="宋体"/>
          <w:b/>
          <w:sz w:val="48"/>
          <w:szCs w:val="48"/>
        </w:rPr>
        <w:t>节日灯笼国旗等装饰物采购合同</w:t>
      </w:r>
    </w:p>
    <w:p>
      <w:pPr>
        <w:ind w:firstLine="482"/>
        <w:jc w:val="center"/>
        <w:rPr>
          <w:b/>
          <w:bCs/>
          <w:sz w:val="24"/>
        </w:rPr>
      </w:pPr>
    </w:p>
    <w:p>
      <w:pPr>
        <w:ind w:firstLine="1044"/>
        <w:rPr>
          <w:rFonts w:ascii="宋体" w:hAnsi="宋体" w:cs="宋体"/>
          <w:b/>
          <w:bCs/>
          <w:sz w:val="52"/>
          <w:szCs w:val="52"/>
        </w:rPr>
      </w:pPr>
    </w:p>
    <w:p>
      <w:pPr>
        <w:ind w:firstLine="800" w:firstLineChars="250"/>
        <w:jc w:val="left"/>
        <w:rPr>
          <w:rFonts w:ascii="宋体" w:hAnsi="宋体"/>
          <w:sz w:val="32"/>
          <w:szCs w:val="32"/>
          <w:u w:val="single"/>
        </w:rPr>
      </w:pPr>
    </w:p>
    <w:p>
      <w:pPr>
        <w:ind w:firstLine="640"/>
        <w:jc w:val="left"/>
        <w:rPr>
          <w:rFonts w:ascii="宋体" w:hAnsi="宋体"/>
          <w:sz w:val="32"/>
          <w:szCs w:val="32"/>
          <w:u w:val="single"/>
        </w:rPr>
      </w:pPr>
      <w:r>
        <w:rPr>
          <w:rFonts w:hint="eastAsia" w:ascii="宋体" w:hAnsi="宋体"/>
          <w:sz w:val="32"/>
          <w:szCs w:val="32"/>
        </w:rPr>
        <w:t xml:space="preserve">     甲    方：深圳市龙华环境有限公司</w:t>
      </w:r>
    </w:p>
    <w:p>
      <w:pPr>
        <w:ind w:firstLine="640"/>
        <w:jc w:val="left"/>
        <w:rPr>
          <w:rFonts w:ascii="宋体" w:hAnsi="宋体"/>
          <w:sz w:val="32"/>
          <w:szCs w:val="32"/>
          <w:u w:val="single"/>
        </w:rPr>
      </w:pPr>
    </w:p>
    <w:p>
      <w:pPr>
        <w:ind w:firstLine="640"/>
        <w:jc w:val="left"/>
        <w:rPr>
          <w:rFonts w:ascii="宋体" w:hAnsi="宋体"/>
          <w:sz w:val="32"/>
          <w:szCs w:val="32"/>
          <w:u w:val="single"/>
        </w:rPr>
      </w:pPr>
      <w:r>
        <w:rPr>
          <w:rFonts w:hint="eastAsia" w:ascii="宋体" w:hAnsi="宋体"/>
          <w:sz w:val="32"/>
          <w:szCs w:val="32"/>
        </w:rPr>
        <w:t xml:space="preserve">     乙    方：</w:t>
      </w:r>
      <w:r>
        <w:rPr>
          <w:rFonts w:hint="eastAsia" w:ascii="宋体" w:hAnsi="宋体" w:cs="宋体"/>
          <w:sz w:val="32"/>
          <w:szCs w:val="32"/>
        </w:rPr>
        <w:t xml:space="preserve"> </w:t>
      </w:r>
      <w:r>
        <w:rPr>
          <w:rFonts w:hint="eastAsia" w:ascii="宋体" w:hAnsi="宋体" w:cs="宋体"/>
          <w:sz w:val="32"/>
          <w:szCs w:val="32"/>
          <w:u w:val="single"/>
        </w:rPr>
        <w:t xml:space="preserve">                    </w:t>
      </w:r>
    </w:p>
    <w:p>
      <w:pPr>
        <w:ind w:firstLine="640"/>
        <w:jc w:val="left"/>
        <w:rPr>
          <w:rFonts w:ascii="宋体" w:hAnsi="宋体"/>
          <w:sz w:val="32"/>
          <w:szCs w:val="32"/>
        </w:rPr>
      </w:pPr>
      <w:r>
        <w:rPr>
          <w:rFonts w:hint="eastAsia" w:ascii="宋体" w:hAnsi="宋体"/>
          <w:sz w:val="32"/>
          <w:szCs w:val="32"/>
        </w:rPr>
        <w:t xml:space="preserve">     </w:t>
      </w:r>
    </w:p>
    <w:p>
      <w:pPr>
        <w:ind w:firstLine="800" w:firstLineChars="250"/>
        <w:jc w:val="left"/>
        <w:rPr>
          <w:rFonts w:ascii="宋体" w:hAnsi="宋体"/>
          <w:sz w:val="32"/>
          <w:szCs w:val="32"/>
          <w:u w:val="single"/>
        </w:rPr>
      </w:pPr>
      <w:r>
        <w:rPr>
          <w:rFonts w:hint="eastAsia" w:ascii="宋体" w:hAnsi="宋体"/>
          <w:sz w:val="32"/>
          <w:szCs w:val="32"/>
        </w:rPr>
        <w:t>订立时间：   年    月    日</w:t>
      </w:r>
    </w:p>
    <w:p>
      <w:pPr>
        <w:tabs>
          <w:tab w:val="left" w:pos="4950"/>
        </w:tabs>
        <w:ind w:firstLine="560"/>
        <w:rPr>
          <w:rFonts w:ascii="仿宋_GB2312" w:hAnsi="仿宋_GB2312" w:eastAsia="仿宋_GB2312" w:cs="仿宋_GB2312"/>
          <w:bCs/>
          <w:sz w:val="28"/>
          <w:szCs w:val="28"/>
        </w:rPr>
      </w:pPr>
    </w:p>
    <w:p>
      <w:pPr>
        <w:pStyle w:val="15"/>
        <w:ind w:firstLine="420"/>
      </w:pPr>
    </w:p>
    <w:p>
      <w:pPr>
        <w:pStyle w:val="15"/>
        <w:ind w:firstLine="420"/>
      </w:pPr>
    </w:p>
    <w:p>
      <w:pPr>
        <w:pStyle w:val="15"/>
        <w:ind w:firstLine="420"/>
      </w:pPr>
    </w:p>
    <w:p>
      <w:pPr>
        <w:pStyle w:val="15"/>
        <w:ind w:firstLine="420"/>
      </w:pPr>
    </w:p>
    <w:p>
      <w:pPr>
        <w:pStyle w:val="15"/>
        <w:ind w:firstLine="420"/>
      </w:pPr>
    </w:p>
    <w:p>
      <w:pPr>
        <w:pStyle w:val="15"/>
        <w:ind w:firstLine="420"/>
      </w:pPr>
    </w:p>
    <w:p>
      <w:pPr>
        <w:pStyle w:val="15"/>
        <w:ind w:firstLine="420"/>
      </w:pPr>
    </w:p>
    <w:p>
      <w:pPr>
        <w:tabs>
          <w:tab w:val="left" w:pos="4950"/>
        </w:tabs>
        <w:ind w:firstLine="56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甲方：</w:t>
      </w:r>
      <w:r>
        <w:rPr>
          <w:rFonts w:hint="eastAsia" w:ascii="仿宋_GB2312" w:hAnsi="仿宋_GB2312" w:eastAsia="仿宋_GB2312" w:cs="仿宋_GB2312"/>
          <w:bCs/>
          <w:sz w:val="28"/>
          <w:szCs w:val="28"/>
          <w:u w:val="single"/>
        </w:rPr>
        <w:t xml:space="preserve"> 深圳市龙华环境有限公司                                                                </w:t>
      </w:r>
    </w:p>
    <w:p>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bCs/>
          <w:sz w:val="28"/>
          <w:szCs w:val="28"/>
          <w:u w:val="single"/>
        </w:rPr>
        <w:t xml:space="preserve"> 深圳市龙华区观盛三路龙馨家园A栋龙华建设15层 </w:t>
      </w:r>
    </w:p>
    <w:p>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统社会信用代码：</w:t>
      </w:r>
      <w:r>
        <w:rPr>
          <w:rFonts w:hint="eastAsia" w:ascii="仿宋_GB2312" w:hAnsi="仿宋_GB2312" w:eastAsia="仿宋_GB2312" w:cs="仿宋_GB2312"/>
          <w:bCs/>
          <w:sz w:val="28"/>
          <w:szCs w:val="28"/>
          <w:u w:val="single"/>
        </w:rPr>
        <w:t xml:space="preserve"> 91440300MA5F4K33XD</w:t>
      </w:r>
    </w:p>
    <w:p>
      <w:pPr>
        <w:pStyle w:val="15"/>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开户银行：</w:t>
      </w:r>
      <w:r>
        <w:rPr>
          <w:rFonts w:hint="eastAsia" w:ascii="仿宋_GB2312" w:hAnsi="仿宋_GB2312" w:eastAsia="仿宋_GB2312" w:cs="仿宋_GB2312"/>
          <w:bCs/>
          <w:sz w:val="28"/>
          <w:szCs w:val="28"/>
          <w:u w:val="single"/>
        </w:rPr>
        <w:t>中国民生银行股份有限公司深圳龙华支行</w:t>
      </w:r>
    </w:p>
    <w:p>
      <w:pPr>
        <w:pStyle w:val="15"/>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银行账户：</w:t>
      </w:r>
      <w:r>
        <w:rPr>
          <w:rFonts w:ascii="仿宋_GB2312" w:hAnsi="仿宋_GB2312" w:eastAsia="仿宋_GB2312" w:cs="仿宋_GB2312"/>
          <w:bCs/>
          <w:sz w:val="28"/>
          <w:szCs w:val="28"/>
          <w:u w:val="single"/>
        </w:rPr>
        <w:t>698003181</w:t>
      </w:r>
      <w:r>
        <w:rPr>
          <w:rFonts w:ascii="仿宋_GB2312" w:hAnsi="仿宋_GB2312" w:eastAsia="仿宋_GB2312" w:cs="仿宋_GB2312"/>
          <w:bCs/>
          <w:sz w:val="28"/>
          <w:szCs w:val="28"/>
        </w:rPr>
        <w:t xml:space="preserve"> </w:t>
      </w:r>
    </w:p>
    <w:p>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13537521158      </w:t>
      </w:r>
      <w:r>
        <w:rPr>
          <w:rFonts w:hint="eastAsia" w:ascii="仿宋_GB2312" w:hAnsi="仿宋_GB2312" w:eastAsia="仿宋_GB2312" w:cs="仿宋_GB2312"/>
          <w:bCs/>
          <w:sz w:val="28"/>
          <w:szCs w:val="28"/>
        </w:rPr>
        <w:t xml:space="preserve">      联系人:</w:t>
      </w:r>
      <w:r>
        <w:rPr>
          <w:rFonts w:hint="eastAsia" w:ascii="仿宋_GB2312" w:hAnsi="仿宋_GB2312" w:eastAsia="仿宋_GB2312" w:cs="仿宋_GB2312"/>
          <w:bCs/>
          <w:sz w:val="28"/>
          <w:szCs w:val="28"/>
          <w:u w:val="single"/>
        </w:rPr>
        <w:t xml:space="preserve"> 陈果  </w:t>
      </w:r>
      <w:r>
        <w:rPr>
          <w:rFonts w:hint="eastAsia" w:ascii="仿宋_GB2312" w:hAnsi="仿宋_GB2312" w:eastAsia="仿宋_GB2312" w:cs="仿宋_GB2312"/>
          <w:bCs/>
          <w:sz w:val="28"/>
          <w:szCs w:val="28"/>
        </w:rPr>
        <w:t xml:space="preserve">    </w:t>
      </w:r>
    </w:p>
    <w:p>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电子邮箱：</w:t>
      </w:r>
      <w:r>
        <w:rPr>
          <w:rFonts w:hint="eastAsia" w:ascii="仿宋_GB2312" w:hAnsi="仿宋_GB2312" w:eastAsia="仿宋_GB2312" w:cs="仿宋_GB2312"/>
          <w:bCs/>
          <w:sz w:val="28"/>
          <w:szCs w:val="28"/>
          <w:u w:val="single"/>
        </w:rPr>
        <w:t xml:space="preserve">  847596970@qq.com          </w:t>
      </w:r>
      <w:r>
        <w:rPr>
          <w:rFonts w:hint="eastAsia" w:ascii="仿宋_GB2312" w:hAnsi="仿宋_GB2312" w:eastAsia="仿宋_GB2312" w:cs="仿宋_GB2312"/>
          <w:bCs/>
          <w:sz w:val="28"/>
          <w:szCs w:val="28"/>
        </w:rPr>
        <w:t xml:space="preserve">                              </w:t>
      </w:r>
    </w:p>
    <w:p>
      <w:pPr>
        <w:ind w:firstLine="560"/>
        <w:jc w:val="left"/>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乙方：</w:t>
      </w:r>
      <w:r>
        <w:rPr>
          <w:rFonts w:hint="eastAsia" w:ascii="仿宋_GB2312" w:hAnsi="仿宋_GB2312" w:eastAsia="仿宋_GB2312" w:cs="仿宋_GB2312"/>
          <w:bCs/>
          <w:sz w:val="28"/>
          <w:szCs w:val="28"/>
          <w:u w:val="single"/>
        </w:rPr>
        <w:t xml:space="preserve">                                    </w:t>
      </w:r>
    </w:p>
    <w:p>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pPr>
        <w:tabs>
          <w:tab w:val="left" w:pos="4950"/>
        </w:tabs>
        <w:ind w:firstLine="560"/>
        <w:rPr>
          <w:rFonts w:ascii="仿宋_GB2312" w:hAnsi="仿宋_GB2312" w:eastAsia="仿宋_GB2312" w:cs="仿宋_GB2312"/>
          <w:bCs/>
          <w:sz w:val="28"/>
          <w:szCs w:val="28"/>
          <w:u w:val="single"/>
        </w:rPr>
      </w:pPr>
      <w:r>
        <w:rPr>
          <w:rFonts w:hint="eastAsia" w:ascii="仿宋_GB2312" w:hAnsi="仿宋_GB2312" w:eastAsia="仿宋_GB2312" w:cs="仿宋_GB2312"/>
          <w:bCs/>
          <w:sz w:val="28"/>
          <w:szCs w:val="28"/>
        </w:rPr>
        <w:t>统社会信用代码：</w:t>
      </w:r>
      <w:r>
        <w:rPr>
          <w:rFonts w:hint="eastAsia" w:ascii="仿宋_GB2312" w:hAnsi="仿宋_GB2312" w:eastAsia="仿宋_GB2312" w:cs="仿宋_GB2312"/>
          <w:bCs/>
          <w:sz w:val="28"/>
          <w:szCs w:val="28"/>
          <w:u w:val="single"/>
        </w:rPr>
        <w:t xml:space="preserve">                           </w:t>
      </w:r>
    </w:p>
    <w:p>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开户银行：</w:t>
      </w:r>
      <w:r>
        <w:rPr>
          <w:rFonts w:hint="eastAsia" w:ascii="仿宋_GB2312" w:hAnsi="仿宋_GB2312" w:eastAsia="仿宋_GB2312" w:cs="仿宋_GB2312"/>
          <w:bCs/>
          <w:sz w:val="28"/>
          <w:szCs w:val="28"/>
          <w:u w:val="single"/>
        </w:rPr>
        <w:t xml:space="preserve">                                   </w:t>
      </w:r>
    </w:p>
    <w:p>
      <w:pPr>
        <w:ind w:firstLine="560"/>
        <w:rPr>
          <w:rFonts w:ascii="仿宋_GB2312" w:hAnsi="仿宋_GB2312" w:eastAsia="仿宋_GB2312" w:cs="仿宋_GB2312"/>
          <w:b/>
          <w:bCs/>
          <w:sz w:val="28"/>
          <w:szCs w:val="28"/>
        </w:rPr>
      </w:pPr>
      <w:r>
        <w:rPr>
          <w:rFonts w:hint="eastAsia" w:ascii="仿宋_GB2312" w:hAnsi="仿宋_GB2312" w:eastAsia="仿宋_GB2312" w:cs="仿宋_GB2312"/>
          <w:bCs/>
          <w:sz w:val="28"/>
          <w:szCs w:val="28"/>
        </w:rPr>
        <w:t>银行账号：</w:t>
      </w:r>
      <w:r>
        <w:rPr>
          <w:rFonts w:hint="eastAsia" w:ascii="仿宋_GB2312" w:hAnsi="仿宋_GB2312" w:eastAsia="仿宋_GB2312" w:cs="仿宋_GB2312"/>
          <w:bCs/>
          <w:sz w:val="28"/>
          <w:szCs w:val="28"/>
          <w:u w:val="single"/>
        </w:rPr>
        <w:t xml:space="preserve">                               </w:t>
      </w:r>
    </w:p>
    <w:p>
      <w:pPr>
        <w:tabs>
          <w:tab w:val="left" w:pos="4950"/>
        </w:tabs>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联系电话：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联系人： </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w:t>
      </w:r>
    </w:p>
    <w:p>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根据《中华人民共和国民法典》及有关法律法规和政策，经甲、乙双方协商，在平等、自愿的基础上，就乙方向甲方提供大浪街道</w:t>
      </w:r>
      <w:r>
        <w:rPr>
          <w:rFonts w:hint="eastAsia" w:ascii="宋体" w:hAnsi="宋体" w:cs="宋体"/>
          <w:sz w:val="28"/>
          <w:szCs w:val="28"/>
        </w:rPr>
        <w:t>节日灯笼国旗等装饰物采购</w:t>
      </w:r>
      <w:r>
        <w:rPr>
          <w:rFonts w:hint="eastAsia" w:ascii="仿宋_GB2312" w:hAnsi="仿宋_GB2312" w:eastAsia="仿宋_GB2312" w:cs="仿宋_GB2312"/>
          <w:bCs/>
          <w:sz w:val="28"/>
          <w:szCs w:val="28"/>
        </w:rPr>
        <w:t>事宜，自愿签订本合同，共同遵守本合同所列条款。</w:t>
      </w:r>
    </w:p>
    <w:p>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第一条 项目内容</w:t>
      </w:r>
    </w:p>
    <w:p>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本项目为2024年节日灯笼国旗等装饰物采购，包含</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组40寸灯笼、</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面2#国旗、</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串</w:t>
      </w:r>
      <w:r>
        <w:rPr>
          <w:rFonts w:hint="eastAsia" w:ascii="仿宋" w:hAnsi="仿宋" w:eastAsia="仿宋" w:cs="宋体"/>
          <w:b/>
          <w:color w:val="595959"/>
          <w:sz w:val="30"/>
          <w:szCs w:val="30"/>
        </w:rPr>
        <w:t>T8防爆防水纳米灯管光源（租赁）和</w:t>
      </w:r>
      <w:r>
        <w:rPr>
          <w:rFonts w:hint="eastAsia" w:ascii="仿宋" w:hAnsi="仿宋" w:eastAsia="仿宋" w:cs="宋体"/>
          <w:b/>
          <w:color w:val="595959"/>
          <w:sz w:val="30"/>
          <w:szCs w:val="30"/>
          <w:u w:val="single"/>
          <w:lang w:val="en-US" w:eastAsia="zh-CN"/>
        </w:rPr>
        <w:t xml:space="preserve">     </w:t>
      </w:r>
      <w:r>
        <w:rPr>
          <w:rFonts w:hint="eastAsia" w:ascii="仿宋" w:hAnsi="仿宋" w:eastAsia="仿宋" w:cs="宋体"/>
          <w:b/>
          <w:color w:val="595959"/>
          <w:sz w:val="30"/>
          <w:szCs w:val="30"/>
        </w:rPr>
        <w:t>套不锈钢旗杆（租赁）</w:t>
      </w:r>
      <w:r>
        <w:rPr>
          <w:rFonts w:hint="eastAsia" w:ascii="仿宋" w:hAnsi="仿宋" w:eastAsia="仿宋" w:cs="仿宋_GB2312"/>
          <w:bCs/>
          <w:sz w:val="28"/>
          <w:szCs w:val="28"/>
        </w:rPr>
        <w:t>等</w:t>
      </w:r>
      <w:r>
        <w:rPr>
          <w:rFonts w:hint="eastAsia" w:ascii="仿宋_GB2312" w:hAnsi="仿宋_GB2312" w:eastAsia="仿宋_GB2312" w:cs="仿宋_GB2312"/>
          <w:bCs/>
          <w:sz w:val="28"/>
          <w:szCs w:val="28"/>
        </w:rPr>
        <w:t>物资及配件采购并送货到现场。</w:t>
      </w:r>
    </w:p>
    <w:p>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 xml:space="preserve">第二条 </w:t>
      </w:r>
      <w:r>
        <w:rPr>
          <w:rFonts w:hint="eastAsia" w:ascii="方正小标宋简体" w:hAnsi="方正小标宋简体" w:eastAsia="方正小标宋简体" w:cs="方正小标宋简体"/>
          <w:sz w:val="32"/>
          <w:szCs w:val="32"/>
        </w:rPr>
        <w:t>项目验收及保修服务要求</w:t>
      </w:r>
    </w:p>
    <w:p>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1、交货安装要求</w:t>
      </w:r>
    </w:p>
    <w:p>
      <w:pPr>
        <w:ind w:firstLine="56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rPr>
        <w:t>（1）签订合同后在规定时间内完成供货，货物运输至大浪街道，经甲方检验合格，确认货物及相关配件与合同要求的材料、规格一致，且保证完好。</w:t>
      </w:r>
    </w:p>
    <w:p>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（2）乙方必须承担所需设备运输、安装调试、验收检测等其他类似的义务，并且承担运输费用。</w:t>
      </w:r>
    </w:p>
    <w:p>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2、保修期内的服务要求</w:t>
      </w:r>
    </w:p>
    <w:p>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（1）保修期：国旗和灯笼安装后应保修至拆除为止，人为损坏和恶劣天气造成损坏除外。</w:t>
      </w:r>
    </w:p>
    <w:p>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（2）维修响应及故障解决时间：在保修期内，乙方应对因国旗、灯笼及配件质量出现的问题在规定时间内免费维修、更换。</w:t>
      </w:r>
    </w:p>
    <w:p>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3、验收要求</w:t>
      </w:r>
    </w:p>
    <w:p>
      <w:pPr>
        <w:ind w:firstLine="560"/>
        <w:jc w:val="left"/>
        <w:textAlignment w:val="baseline"/>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（1）乙方已按照合同规定提供了全部产品及完整的技术资料。</w:t>
      </w:r>
    </w:p>
    <w:p>
      <w:pPr>
        <w:ind w:firstLine="56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rPr>
        <w:t>（2）货物符合招标文件技术规格书的要求，性能满足要求。货物具备产品合格证。</w:t>
      </w:r>
    </w:p>
    <w:p>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第三条 项目技术要求</w:t>
      </w:r>
    </w:p>
    <w:p>
      <w:pPr>
        <w:ind w:firstLine="560"/>
        <w:jc w:val="left"/>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1、国旗规格及标准：</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（1）尺寸规格</w:t>
      </w:r>
    </w:p>
    <w:tbl>
      <w:tblPr>
        <w:tblStyle w:val="49"/>
        <w:tblW w:w="9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695"/>
        <w:gridCol w:w="1710"/>
        <w:gridCol w:w="1725"/>
        <w:gridCol w:w="1519"/>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49" w:type="dxa"/>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型号</w:t>
            </w:r>
          </w:p>
        </w:tc>
        <w:tc>
          <w:tcPr>
            <w:tcW w:w="1695"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1号</w:t>
            </w:r>
          </w:p>
        </w:tc>
        <w:tc>
          <w:tcPr>
            <w:tcW w:w="1710"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2号</w:t>
            </w:r>
          </w:p>
        </w:tc>
        <w:tc>
          <w:tcPr>
            <w:tcW w:w="1725"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3号</w:t>
            </w:r>
          </w:p>
        </w:tc>
        <w:tc>
          <w:tcPr>
            <w:tcW w:w="1519"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4号</w:t>
            </w:r>
          </w:p>
        </w:tc>
        <w:tc>
          <w:tcPr>
            <w:tcW w:w="1650"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149" w:type="dxa"/>
          </w:tcPr>
          <w:p>
            <w:pPr>
              <w:spacing w:line="400" w:lineRule="exact"/>
              <w:ind w:firstLine="560"/>
              <w:jc w:val="center"/>
              <w:rPr>
                <w:rFonts w:ascii="仿宋_GB2312" w:hAnsi="仿宋_GB2312" w:eastAsia="仿宋_GB2312" w:cs="仿宋_GB2312"/>
                <w:bCs/>
                <w:sz w:val="28"/>
                <w:szCs w:val="28"/>
              </w:rPr>
            </w:pPr>
          </w:p>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尺寸（mm）</w:t>
            </w:r>
          </w:p>
        </w:tc>
        <w:tc>
          <w:tcPr>
            <w:tcW w:w="1695" w:type="dxa"/>
            <w:vAlign w:val="center"/>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2880*1920</w:t>
            </w:r>
          </w:p>
        </w:tc>
        <w:tc>
          <w:tcPr>
            <w:tcW w:w="1710" w:type="dxa"/>
            <w:vAlign w:val="center"/>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2400*1600</w:t>
            </w:r>
          </w:p>
        </w:tc>
        <w:tc>
          <w:tcPr>
            <w:tcW w:w="1725" w:type="dxa"/>
            <w:vAlign w:val="center"/>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1920*1280</w:t>
            </w:r>
          </w:p>
        </w:tc>
        <w:tc>
          <w:tcPr>
            <w:tcW w:w="1519" w:type="dxa"/>
            <w:vAlign w:val="center"/>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1440*960</w:t>
            </w:r>
          </w:p>
        </w:tc>
        <w:tc>
          <w:tcPr>
            <w:tcW w:w="1650" w:type="dxa"/>
            <w:vAlign w:val="center"/>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960*640</w:t>
            </w:r>
          </w:p>
        </w:tc>
      </w:tr>
    </w:tbl>
    <w:p>
      <w:pPr>
        <w:ind w:firstLine="700" w:firstLineChars="25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（2）辅助材料</w:t>
      </w:r>
    </w:p>
    <w:tbl>
      <w:tblPr>
        <w:tblStyle w:val="5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项目</w:t>
            </w:r>
          </w:p>
        </w:tc>
        <w:tc>
          <w:tcPr>
            <w:tcW w:w="6521" w:type="dxa"/>
            <w:vAlign w:val="center"/>
          </w:tcPr>
          <w:p>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材料规格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pStyle w:val="15"/>
              <w:spacing w:line="400" w:lineRule="exact"/>
              <w:ind w:left="0" w:firstLine="0" w:firstLineChars="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不锈钢旗杆（租赁）</w:t>
            </w:r>
          </w:p>
        </w:tc>
        <w:tc>
          <w:tcPr>
            <w:tcW w:w="6521" w:type="dxa"/>
            <w:vAlign w:val="center"/>
          </w:tcPr>
          <w:p>
            <w:pPr>
              <w:ind w:left="840" w:firstLine="700" w:firstLineChars="25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kern w:val="0"/>
                <w:sz w:val="28"/>
                <w:szCs w:val="28"/>
              </w:rPr>
              <w:t>长2750mm</w:t>
            </w:r>
          </w:p>
          <w:p>
            <w:pPr>
              <w:pStyle w:val="15"/>
              <w:spacing w:line="400" w:lineRule="exact"/>
              <w:ind w:left="840" w:firstLine="560"/>
              <w:jc w:val="center"/>
              <w:rPr>
                <w:rFonts w:ascii="仿宋_GB2312" w:hAnsi="仿宋_GB2312" w:eastAsia="仿宋_GB2312" w:cs="仿宋_GB2312"/>
                <w:bCs/>
                <w:kern w:val="0"/>
                <w:sz w:val="28"/>
                <w:szCs w:val="28"/>
              </w:rPr>
            </w:pPr>
          </w:p>
        </w:tc>
      </w:tr>
    </w:tbl>
    <w:p>
      <w:pPr>
        <w:ind w:firstLine="700" w:firstLineChars="250"/>
        <w:jc w:val="left"/>
        <w:textAlignment w:val="baseline"/>
        <w:rPr>
          <w:rFonts w:ascii="仿宋_GB2312" w:hAnsi="仿宋_GB2312" w:eastAsia="仿宋_GB2312" w:cs="仿宋_GB2312"/>
          <w:bCs/>
          <w:sz w:val="28"/>
          <w:szCs w:val="28"/>
        </w:rPr>
      </w:pPr>
    </w:p>
    <w:p>
      <w:pPr>
        <w:ind w:firstLine="700" w:firstLineChars="25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（3）制作要求</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①采用全新的防水纳米涂层纯涤纶面料。</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②采用丝网印刷工艺，双面显示效果一致。</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③其他规格参数必须符合《中华人民共和国国旗法》要求。</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（4）管理要求</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国旗在运输、交接期间，必须按照《中华人民共和国国旗法》相关规定进行。</w:t>
      </w:r>
    </w:p>
    <w:p>
      <w:pPr>
        <w:ind w:firstLine="560"/>
        <w:jc w:val="left"/>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2、灯笼规格及标准：</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（1）尺寸规格：</w:t>
      </w:r>
    </w:p>
    <w:tbl>
      <w:tblPr>
        <w:tblStyle w:val="49"/>
        <w:tblW w:w="91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3594"/>
        <w:gridCol w:w="1294"/>
        <w:gridCol w:w="1631"/>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5" w:type="dxa"/>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规格</w:t>
            </w:r>
          </w:p>
        </w:tc>
        <w:tc>
          <w:tcPr>
            <w:tcW w:w="3594"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项目</w:t>
            </w:r>
          </w:p>
        </w:tc>
        <w:tc>
          <w:tcPr>
            <w:tcW w:w="1294" w:type="dxa"/>
          </w:tcPr>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单位</w:t>
            </w:r>
          </w:p>
        </w:tc>
        <w:tc>
          <w:tcPr>
            <w:tcW w:w="1631"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尺寸</w:t>
            </w:r>
          </w:p>
        </w:tc>
        <w:tc>
          <w:tcPr>
            <w:tcW w:w="1354" w:type="dxa"/>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325" w:type="dxa"/>
            <w:vMerge w:val="restart"/>
          </w:tcPr>
          <w:p>
            <w:pPr>
              <w:spacing w:line="400" w:lineRule="exact"/>
              <w:ind w:firstLine="560"/>
              <w:jc w:val="center"/>
              <w:rPr>
                <w:rFonts w:ascii="仿宋_GB2312" w:hAnsi="仿宋_GB2312" w:eastAsia="仿宋_GB2312" w:cs="仿宋_GB2312"/>
                <w:bCs/>
                <w:sz w:val="28"/>
                <w:szCs w:val="28"/>
              </w:rPr>
            </w:pPr>
          </w:p>
          <w:p>
            <w:pPr>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48寸</w:t>
            </w:r>
          </w:p>
        </w:tc>
        <w:tc>
          <w:tcPr>
            <w:tcW w:w="35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收拢高度</w:t>
            </w:r>
          </w:p>
        </w:tc>
        <w:tc>
          <w:tcPr>
            <w:tcW w:w="12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1500</w:t>
            </w:r>
          </w:p>
        </w:tc>
        <w:tc>
          <w:tcPr>
            <w:tcW w:w="1354" w:type="dxa"/>
            <w:vAlign w:val="center"/>
          </w:tcPr>
          <w:p>
            <w:pPr>
              <w:spacing w:line="400" w:lineRule="exact"/>
              <w:ind w:firstLine="560"/>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5" w:type="dxa"/>
            <w:vMerge w:val="continue"/>
          </w:tcPr>
          <w:p>
            <w:pPr>
              <w:spacing w:line="400" w:lineRule="exact"/>
              <w:ind w:firstLine="560"/>
              <w:jc w:val="center"/>
              <w:rPr>
                <w:rFonts w:ascii="仿宋_GB2312" w:hAnsi="仿宋_GB2312" w:eastAsia="仿宋_GB2312" w:cs="仿宋_GB2312"/>
                <w:bCs/>
                <w:sz w:val="28"/>
                <w:szCs w:val="28"/>
              </w:rPr>
            </w:pPr>
          </w:p>
        </w:tc>
        <w:tc>
          <w:tcPr>
            <w:tcW w:w="35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撑开直径</w:t>
            </w:r>
          </w:p>
        </w:tc>
        <w:tc>
          <w:tcPr>
            <w:tcW w:w="12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1210</w:t>
            </w:r>
          </w:p>
        </w:tc>
        <w:tc>
          <w:tcPr>
            <w:tcW w:w="1354" w:type="dxa"/>
            <w:vAlign w:val="center"/>
          </w:tcPr>
          <w:p>
            <w:pPr>
              <w:spacing w:line="400" w:lineRule="exact"/>
              <w:ind w:firstLine="560"/>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continue"/>
          </w:tcPr>
          <w:p>
            <w:pPr>
              <w:spacing w:line="400" w:lineRule="exact"/>
              <w:ind w:firstLine="560"/>
              <w:jc w:val="center"/>
              <w:rPr>
                <w:rFonts w:ascii="仿宋_GB2312" w:hAnsi="仿宋_GB2312" w:eastAsia="仿宋_GB2312" w:cs="仿宋_GB2312"/>
                <w:bCs/>
                <w:sz w:val="28"/>
                <w:szCs w:val="28"/>
              </w:rPr>
            </w:pPr>
          </w:p>
        </w:tc>
        <w:tc>
          <w:tcPr>
            <w:tcW w:w="35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撑开高度</w:t>
            </w:r>
          </w:p>
        </w:tc>
        <w:tc>
          <w:tcPr>
            <w:tcW w:w="12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840</w:t>
            </w:r>
          </w:p>
        </w:tc>
        <w:tc>
          <w:tcPr>
            <w:tcW w:w="1354" w:type="dxa"/>
            <w:vAlign w:val="center"/>
          </w:tcPr>
          <w:p>
            <w:pPr>
              <w:spacing w:line="400" w:lineRule="exact"/>
              <w:ind w:firstLine="560"/>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restart"/>
          </w:tcPr>
          <w:p>
            <w:pPr>
              <w:spacing w:line="400" w:lineRule="exact"/>
              <w:ind w:firstLine="560"/>
              <w:jc w:val="center"/>
              <w:rPr>
                <w:rFonts w:ascii="仿宋_GB2312" w:hAnsi="仿宋_GB2312" w:eastAsia="仿宋_GB2312" w:cs="仿宋_GB2312"/>
                <w:bCs/>
                <w:sz w:val="28"/>
                <w:szCs w:val="28"/>
              </w:rPr>
            </w:pPr>
          </w:p>
          <w:p>
            <w:pPr>
              <w:pStyle w:val="15"/>
              <w:spacing w:line="400" w:lineRule="exact"/>
              <w:ind w:firstLine="0"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40寸</w:t>
            </w:r>
          </w:p>
        </w:tc>
        <w:tc>
          <w:tcPr>
            <w:tcW w:w="35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收拢高度</w:t>
            </w:r>
          </w:p>
        </w:tc>
        <w:tc>
          <w:tcPr>
            <w:tcW w:w="12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1220</w:t>
            </w:r>
          </w:p>
        </w:tc>
        <w:tc>
          <w:tcPr>
            <w:tcW w:w="1354" w:type="dxa"/>
            <w:vAlign w:val="center"/>
          </w:tcPr>
          <w:p>
            <w:pPr>
              <w:spacing w:line="400" w:lineRule="exact"/>
              <w:ind w:firstLine="560"/>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continue"/>
          </w:tcPr>
          <w:p>
            <w:pPr>
              <w:spacing w:line="400" w:lineRule="exact"/>
              <w:ind w:firstLine="560"/>
              <w:jc w:val="center"/>
              <w:rPr>
                <w:rFonts w:ascii="仿宋_GB2312" w:hAnsi="仿宋_GB2312" w:eastAsia="仿宋_GB2312" w:cs="仿宋_GB2312"/>
                <w:bCs/>
                <w:sz w:val="28"/>
                <w:szCs w:val="28"/>
              </w:rPr>
            </w:pPr>
          </w:p>
        </w:tc>
        <w:tc>
          <w:tcPr>
            <w:tcW w:w="35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撑开直径</w:t>
            </w:r>
          </w:p>
        </w:tc>
        <w:tc>
          <w:tcPr>
            <w:tcW w:w="12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1000</w:t>
            </w:r>
          </w:p>
        </w:tc>
        <w:tc>
          <w:tcPr>
            <w:tcW w:w="1354" w:type="dxa"/>
            <w:vAlign w:val="center"/>
          </w:tcPr>
          <w:p>
            <w:pPr>
              <w:spacing w:line="400" w:lineRule="exact"/>
              <w:ind w:firstLine="560"/>
              <w:jc w:val="center"/>
              <w:rPr>
                <w:rFonts w:ascii="仿宋_GB2312" w:hAnsi="仿宋_GB2312" w:eastAsia="仿宋_GB2312" w:cs="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25" w:type="dxa"/>
            <w:vMerge w:val="continue"/>
          </w:tcPr>
          <w:p>
            <w:pPr>
              <w:spacing w:line="400" w:lineRule="exact"/>
              <w:ind w:firstLine="560"/>
              <w:jc w:val="center"/>
              <w:rPr>
                <w:rFonts w:ascii="仿宋_GB2312" w:hAnsi="仿宋_GB2312" w:eastAsia="仿宋_GB2312" w:cs="仿宋_GB2312"/>
                <w:bCs/>
                <w:sz w:val="28"/>
                <w:szCs w:val="28"/>
              </w:rPr>
            </w:pPr>
          </w:p>
        </w:tc>
        <w:tc>
          <w:tcPr>
            <w:tcW w:w="35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撑开高度</w:t>
            </w:r>
          </w:p>
        </w:tc>
        <w:tc>
          <w:tcPr>
            <w:tcW w:w="1294"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mm</w:t>
            </w:r>
          </w:p>
        </w:tc>
        <w:tc>
          <w:tcPr>
            <w:tcW w:w="1631" w:type="dxa"/>
            <w:vAlign w:val="center"/>
          </w:tcPr>
          <w:p>
            <w:pPr>
              <w:spacing w:line="400" w:lineRule="exact"/>
              <w:ind w:firstLine="560"/>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700</w:t>
            </w:r>
          </w:p>
        </w:tc>
        <w:tc>
          <w:tcPr>
            <w:tcW w:w="1354" w:type="dxa"/>
            <w:vAlign w:val="center"/>
          </w:tcPr>
          <w:p>
            <w:pPr>
              <w:spacing w:line="400" w:lineRule="exact"/>
              <w:ind w:firstLine="560"/>
              <w:jc w:val="center"/>
              <w:rPr>
                <w:rFonts w:ascii="仿宋_GB2312" w:hAnsi="仿宋_GB2312" w:eastAsia="仿宋_GB2312" w:cs="仿宋_GB2312"/>
                <w:bCs/>
                <w:sz w:val="28"/>
                <w:szCs w:val="28"/>
              </w:rPr>
            </w:pPr>
          </w:p>
        </w:tc>
      </w:tr>
    </w:tbl>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（2）辅助材料：</w:t>
      </w:r>
    </w:p>
    <w:tbl>
      <w:tblPr>
        <w:tblStyle w:val="5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项目</w:t>
            </w:r>
          </w:p>
        </w:tc>
        <w:tc>
          <w:tcPr>
            <w:tcW w:w="6521" w:type="dxa"/>
            <w:vAlign w:val="center"/>
          </w:tcPr>
          <w:p>
            <w:pPr>
              <w:pStyle w:val="15"/>
              <w:spacing w:line="400" w:lineRule="exact"/>
              <w:ind w:left="840" w:firstLine="560"/>
              <w:jc w:val="center"/>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材料规格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4" w:type="dxa"/>
            <w:vAlign w:val="center"/>
          </w:tcPr>
          <w:p>
            <w:pPr>
              <w:pStyle w:val="15"/>
              <w:spacing w:line="400" w:lineRule="exact"/>
              <w:ind w:left="0" w:firstLine="0" w:firstLineChars="0"/>
              <w:rPr>
                <w:rFonts w:ascii="仿宋_GB2312" w:hAnsi="仿宋_GB2312" w:eastAsia="仿宋_GB2312" w:cs="仿宋_GB2312"/>
                <w:bCs/>
                <w:kern w:val="0"/>
                <w:sz w:val="28"/>
                <w:szCs w:val="28"/>
              </w:rPr>
            </w:pPr>
            <w:r>
              <w:rPr>
                <w:rFonts w:hint="eastAsia" w:ascii="仿宋" w:hAnsi="仿宋" w:eastAsia="仿宋" w:cs="宋体"/>
                <w:b/>
                <w:color w:val="595959"/>
                <w:sz w:val="30"/>
                <w:szCs w:val="30"/>
              </w:rPr>
              <w:t>光源</w:t>
            </w:r>
            <w:r>
              <w:rPr>
                <w:rFonts w:hint="eastAsia" w:ascii="仿宋_GB2312" w:hAnsi="仿宋_GB2312" w:eastAsia="仿宋_GB2312" w:cs="仿宋_GB2312"/>
                <w:bCs/>
                <w:kern w:val="0"/>
                <w:sz w:val="28"/>
                <w:szCs w:val="28"/>
              </w:rPr>
              <w:t>（租赁）</w:t>
            </w:r>
          </w:p>
        </w:tc>
        <w:tc>
          <w:tcPr>
            <w:tcW w:w="6521" w:type="dxa"/>
            <w:vAlign w:val="center"/>
          </w:tcPr>
          <w:p>
            <w:pPr>
              <w:pStyle w:val="15"/>
              <w:spacing w:line="400" w:lineRule="exact"/>
              <w:ind w:left="840" w:firstLine="602"/>
              <w:jc w:val="center"/>
              <w:rPr>
                <w:rFonts w:ascii="仿宋_GB2312" w:hAnsi="仿宋_GB2312" w:eastAsia="仿宋_GB2312" w:cs="仿宋_GB2312"/>
                <w:bCs/>
                <w:kern w:val="0"/>
                <w:sz w:val="28"/>
                <w:szCs w:val="28"/>
              </w:rPr>
            </w:pPr>
            <w:r>
              <w:rPr>
                <w:rFonts w:hint="eastAsia" w:ascii="仿宋" w:hAnsi="仿宋" w:eastAsia="仿宋" w:cs="宋体"/>
                <w:b/>
                <w:color w:val="595959"/>
                <w:sz w:val="30"/>
                <w:szCs w:val="30"/>
              </w:rPr>
              <w:t>18WT8防爆防水纳米灯管光源</w:t>
            </w:r>
          </w:p>
        </w:tc>
      </w:tr>
    </w:tbl>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（3）制作要求：</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①面料为全新的红色防水绸布，灯笼顶端、底端可出现与传统民族风格相关的图案。灯笼中部一般不出现文字或图案（上级部门有要求除外）。</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②为保证灯笼撑开形状保持完整，灯笼钢丝骨架需有限位线固定。</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③灯盘与骨架可分离，上下使用塑料灯盘，外圈为金黄色喷漆，内为白色，灯盘采用厚胶板注塑成型，具有较高的硬度。</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④灯笼撑开后采用3根钢丝下拉钩固定。</w:t>
      </w:r>
    </w:p>
    <w:p>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第四条 合同期限</w:t>
      </w:r>
    </w:p>
    <w:p>
      <w:pPr>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本合同期为一年。灯笼和国旗按照甲方要求及时送货到位。</w:t>
      </w:r>
    </w:p>
    <w:p>
      <w:pPr>
        <w:ind w:firstLine="560"/>
        <w:jc w:val="left"/>
        <w:textAlignment w:val="baseline"/>
        <w:rPr>
          <w:rFonts w:ascii="仿宋_GB2312" w:hAnsi="仿宋_GB2312" w:eastAsia="仿宋_GB2312" w:cs="仿宋_GB2312"/>
          <w:bCs/>
          <w:sz w:val="28"/>
          <w:szCs w:val="28"/>
        </w:rPr>
      </w:pPr>
      <w:bookmarkStart w:id="344" w:name="_Toc22611"/>
      <w:bookmarkStart w:id="345" w:name="_Toc28182"/>
      <w:bookmarkStart w:id="346" w:name="_Toc7217"/>
      <w:r>
        <w:rPr>
          <w:rFonts w:hint="eastAsia" w:ascii="仿宋_GB2312" w:hAnsi="仿宋_GB2312" w:eastAsia="仿宋_GB2312" w:cs="仿宋_GB2312"/>
          <w:bCs/>
          <w:sz w:val="28"/>
          <w:szCs w:val="28"/>
        </w:rPr>
        <w:t>第五条 合同价款及支付方式</w:t>
      </w:r>
      <w:bookmarkEnd w:id="344"/>
      <w:bookmarkEnd w:id="345"/>
      <w:bookmarkEnd w:id="346"/>
    </w:p>
    <w:p>
      <w:pPr>
        <w:ind w:firstLine="560"/>
        <w:jc w:val="left"/>
        <w:textAlignment w:val="baseline"/>
        <w:rPr>
          <w:rFonts w:ascii="仿宋_GB2312" w:hAnsi="仿宋_GB2312" w:eastAsia="仿宋_GB2312" w:cs="仿宋_GB2312"/>
          <w:sz w:val="28"/>
          <w:szCs w:val="28"/>
          <w:u w:val="single"/>
        </w:rPr>
      </w:pPr>
      <w:r>
        <w:rPr>
          <w:rFonts w:hint="eastAsia" w:ascii="仿宋_GB2312" w:hAnsi="仿宋_GB2312" w:eastAsia="仿宋_GB2312" w:cs="仿宋_GB2312"/>
          <w:bCs/>
          <w:sz w:val="28"/>
          <w:szCs w:val="28"/>
        </w:rPr>
        <w:t>1、此合同价款为人民币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，大写</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，其中灯笼 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元，国旗价</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元，价款包括但不限于物资、运输费、税费等实现合同一切目的费用</w:t>
      </w:r>
      <w:r>
        <w:rPr>
          <w:rFonts w:hint="eastAsia" w:ascii="仿宋_GB2312" w:hAnsi="仿宋_GB2312" w:eastAsia="仿宋_GB2312" w:cs="仿宋_GB2312"/>
          <w:sz w:val="28"/>
          <w:szCs w:val="28"/>
        </w:rPr>
        <w:t>。</w:t>
      </w:r>
    </w:p>
    <w:p>
      <w:pPr>
        <w:ind w:firstLine="56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2、甲方分别支付国旗、灯笼费。在拆除后十五个工作日后，甲方收到业主单位服务费用十五个工作日内，乙方向甲方提供</w:t>
      </w:r>
      <w:r>
        <w:rPr>
          <w:rFonts w:hint="eastAsia" w:ascii="仿宋_GB2312" w:hAnsi="仿宋_GB2312" w:eastAsia="仿宋_GB2312" w:cs="仿宋_GB2312"/>
          <w:color w:val="000000" w:themeColor="text1"/>
          <w:sz w:val="28"/>
          <w:szCs w:val="28"/>
        </w:rPr>
        <w:t>3%</w:t>
      </w:r>
      <w:r>
        <w:rPr>
          <w:rFonts w:hint="eastAsia" w:ascii="仿宋_GB2312" w:hAnsi="仿宋_GB2312" w:eastAsia="仿宋_GB2312" w:cs="仿宋_GB2312"/>
          <w:sz w:val="28"/>
          <w:szCs w:val="28"/>
        </w:rPr>
        <w:t>货物发票后，甲方以转账的方式向中标方支付国旗、灯笼费用。因业主单位财政支付流程导致付款不及时不视为甲方违约。</w:t>
      </w:r>
    </w:p>
    <w:p>
      <w:pPr>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Cs/>
          <w:sz w:val="28"/>
          <w:szCs w:val="28"/>
        </w:rPr>
        <w:t>在合同履行期间，因政策变化或实际管理需要，发生少挂等情况，导致灯笼、国旗未使用，乙方需无条件退货退款。</w:t>
      </w:r>
    </w:p>
    <w:p>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5、乙方指定的银行收款账号：</w:t>
      </w:r>
    </w:p>
    <w:p>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开户银行： </w:t>
      </w:r>
    </w:p>
    <w:p>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开户名： </w:t>
      </w:r>
    </w:p>
    <w:p>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银行账号： </w:t>
      </w:r>
    </w:p>
    <w:p>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联系人： </w:t>
      </w:r>
    </w:p>
    <w:p>
      <w:pPr>
        <w:spacing w:line="490" w:lineRule="exact"/>
        <w:ind w:firstLine="560"/>
        <w:rPr>
          <w:rFonts w:ascii="仿宋_GB2312" w:hAnsi="仿宋_GB2312" w:eastAsia="仿宋_GB2312" w:cs="仿宋_GB2312"/>
          <w:sz w:val="28"/>
          <w:szCs w:val="28"/>
          <w:u w:color="000000"/>
        </w:rPr>
      </w:pPr>
      <w:r>
        <w:rPr>
          <w:rFonts w:hint="eastAsia" w:ascii="仿宋_GB2312" w:hAnsi="仿宋_GB2312" w:eastAsia="仿宋_GB2312" w:cs="仿宋_GB2312"/>
          <w:sz w:val="28"/>
          <w:szCs w:val="28"/>
          <w:u w:color="000000"/>
        </w:rPr>
        <w:t xml:space="preserve">联系方式： </w:t>
      </w:r>
    </w:p>
    <w:p>
      <w:pPr>
        <w:ind w:firstLine="640"/>
        <w:rPr>
          <w:rFonts w:ascii="方正小标宋简体" w:hAnsi="方正小标宋简体" w:eastAsia="方正小标宋简体" w:cs="方正小标宋简体"/>
          <w:bCs/>
          <w:sz w:val="32"/>
          <w:szCs w:val="32"/>
        </w:rPr>
      </w:pPr>
      <w:bookmarkStart w:id="347" w:name="_Toc9711"/>
      <w:bookmarkStart w:id="348" w:name="_Toc13603"/>
      <w:bookmarkStart w:id="349" w:name="_Toc1505"/>
      <w:r>
        <w:rPr>
          <w:rFonts w:hint="eastAsia" w:ascii="方正小标宋简体" w:hAnsi="方正小标宋简体" w:eastAsia="方正小标宋简体" w:cs="方正小标宋简体"/>
          <w:bCs/>
          <w:sz w:val="32"/>
          <w:szCs w:val="32"/>
        </w:rPr>
        <w:t>第七条 权利和义务</w:t>
      </w:r>
      <w:bookmarkEnd w:id="347"/>
      <w:bookmarkEnd w:id="348"/>
      <w:bookmarkEnd w:id="349"/>
    </w:p>
    <w:p>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（一）甲方的权利和义务</w:t>
      </w:r>
    </w:p>
    <w:p>
      <w:pPr>
        <w:pStyle w:val="15"/>
        <w:spacing w:after="0"/>
        <w:ind w:firstLine="280" w:firstLineChars="100"/>
        <w:rPr>
          <w:rFonts w:ascii="仿宋_GB2312" w:hAnsi="仿宋_GB2312" w:eastAsia="仿宋_GB2312" w:cs="仿宋_GB2312"/>
          <w:sz w:val="28"/>
          <w:szCs w:val="28"/>
        </w:rPr>
      </w:pPr>
      <w:bookmarkStart w:id="350" w:name="_Toc30331"/>
      <w:bookmarkStart w:id="351" w:name="_Toc18897"/>
      <w:bookmarkStart w:id="352" w:name="_Toc8450"/>
      <w:r>
        <w:rPr>
          <w:rFonts w:hint="eastAsia" w:ascii="仿宋_GB2312" w:hAnsi="仿宋_GB2312" w:eastAsia="仿宋_GB2312" w:cs="仿宋_GB2312"/>
          <w:sz w:val="28"/>
          <w:szCs w:val="28"/>
        </w:rPr>
        <w:t>1、甲方根据相关规定制定龙华区大浪街道节日灯笼国旗等装饰物采购考核办法，有权采取日常检查、综合检查等方式对乙方的服务质量进行考核、评分，发现问题及时向乙方提出书面或口头整改意见。</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2、甲方有权对乙方落实本项目服务承诺情况和安全生产措施进行监督检查，发现乙方不符合服务要求的问题，有权要求乙方限期整改，如整改不达标则甲方有权提前终止合同。</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3、甲方有权监督检查乙方对项目服务人员的培训和管理情况，如存在拖欠薪资或其他严重违法情形，有权停止支付服务费用和提前解除合同。</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4、甲方有权要求乙方更换不符合服务项目要求（如未取得相应上岗证书、罢工、歇业等）的工作人员，乙方应在3个工作日内保证更换后的工作人员到岗。</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5、甲方有权对乙方的资金投入情况进行监督。如：每月是否按时发放员工的工资、补贴、津贴、社保、意外保险和水电等。若乙方工作不到位，甲方有权要求乙方限期整改。</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6、甲方应提供乙方开展服务项目所需的相关资料和必要条件，保证乙方能顺利开展服务工作。</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7、甲方根据考核结果计算货物费，扣除乙方应扣款后，将货物费支付给乙方。</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8、本合同服务费由政府拨款，如因政策影响，拨款未能及时到位，乙方不得以此为由不履行本合同规定的义务或要求甲方支付迟延付款违约金。</w:t>
      </w:r>
    </w:p>
    <w:p>
      <w:pPr>
        <w:ind w:firstLine="560"/>
        <w:rPr>
          <w:rFonts w:ascii="仿宋_GB2312" w:hAnsi="仿宋_GB2312" w:eastAsia="仿宋_GB2312" w:cs="仿宋_GB2312"/>
          <w:sz w:val="28"/>
          <w:szCs w:val="28"/>
        </w:rPr>
      </w:pPr>
    </w:p>
    <w:p>
      <w:pPr>
        <w:ind w:firstLine="56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（二）乙方的权利义务</w:t>
      </w:r>
    </w:p>
    <w:p>
      <w:pPr>
        <w:pStyle w:val="15"/>
        <w:spacing w:after="0"/>
        <w:ind w:firstLine="560"/>
        <w:rPr>
          <w:rFonts w:ascii="仿宋_GB2312" w:hAnsi="仿宋_GB2312" w:eastAsia="仿宋_GB2312" w:cs="仿宋_GB2312"/>
          <w:sz w:val="28"/>
          <w:szCs w:val="28"/>
        </w:rPr>
      </w:pPr>
      <w:bookmarkStart w:id="353" w:name="_Toc18992"/>
      <w:bookmarkStart w:id="354" w:name="_Toc29574"/>
      <w:bookmarkStart w:id="355" w:name="_Toc197"/>
      <w:r>
        <w:rPr>
          <w:rFonts w:hint="eastAsia" w:ascii="仿宋_GB2312" w:hAnsi="仿宋_GB2312" w:eastAsia="仿宋_GB2312" w:cs="仿宋_GB2312"/>
          <w:sz w:val="28"/>
          <w:szCs w:val="28"/>
        </w:rPr>
        <w:t xml:space="preserve"> 1、乙方有权根据合同及达到的服务质量等级（或考评分数）领取服务费用。</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2、乙方应根据招标文件的要求、投标文件的承诺以及本合同约定的项目服务标准和要求向甲方提交送货计划，经甲方认可后履行相应的责任和义务，保质保量完成项目服务内容。</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3、除甲方提供使用的设施设备外，乙方负责提供本服务项目所需的人员、设施、设备等，承担项目实施所需的人工费、材料费、设施费等一切费用。</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4、乙方有权对甲方及本服务项目管理工作提出意见建议。</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5、乙方服务过程中应接受甲方的监督和指导，不得以任何理由拒绝甲方监督人员的检查、考核等要求。</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6、乙方服务过程中应接受甲方及其上级主管部门组织的检查和考评，并积极参加市、区开展的各类竞赛活动。</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7、如遇天气恶劣（以全市任一区域发布台风黄、橙、红色及红色暴雨等4种气象灾害预警信号为准）无法正常开展服务工作，乙方应安排人员坚守岗位并做好防灾、安保等应急准备，台风或暴雨过后，乙方应立即组织人员开展服务工作。特殊情况，如需协助抢险救灾工作的，乙方应服从甲方的统一指挥和调动。</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8、乙方应严格按照安全生产相关规章制度的规定进行服务，在合同服务管理过程中，发生的任何安全事故处理和一切费用由乙方承担。</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9、乙方根据本合同所承担的服务内容，自行到有关部门为其聘请的人员申办用工、社会保险和居住证件等手续。依照《劳动法》合法用工，按照《深圳市员工工资支付条例》等有关规定和乙方投标承诺按时足额发放员工工资（不得低于深圳市最低工资标准和乙方投标报价水平）、按国家及深圳市规定的缴交比例为人员购买养老、医疗、工伤、失业、生育保险并缴纳住房公积金；安排好员工的生活、生产、培训及管理等工作。如乙方或其员工发生违法事件，或因用工劳务合同、劳资等产生纠纷，由乙方承担一切相关经济和法律责任，不得向甲方主张任何权利。</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10、乙方根据有关法律、法规、规章、政策和本合同的规定开展服务内容时，不得损害国家、集体及第三人的合法权益，不得获取不当利益，否则，由此所产生的一切法律责任由乙方承担。</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11、乙方未经甲方同意，不得将本服务项目整体或部分分包、转包给第三方。</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12、乙方为实施本项目服务的行为，及为实施本项目服务提供的技术、材料、设施均不会对任何第三方构成侵权或引起第三方索赔，否则如有第三方因乙方之服务行为而向甲方索赔，甲方因此产生的所有费用及损失均应由乙方予以赔偿。</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13、在合同期内，因政府政策变化或甲方管理需要等原因需要调整乙方的服务方案时，乙方要服从大局和甲方意见，由此造成的经济损失，甲方无需承担赔偿责任。</w:t>
      </w:r>
    </w:p>
    <w:p>
      <w:pPr>
        <w:pStyle w:val="15"/>
        <w:spacing w:after="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14、乙方应指定固定联系人，保持通讯畅通，确保甲方监管人员能够随时联系。 </w:t>
      </w:r>
    </w:p>
    <w:p>
      <w:pPr>
        <w:pStyle w:val="15"/>
        <w:spacing w:after="0"/>
        <w:ind w:firstLine="56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5、物品在运输途中发生毁损、灭失的风险由乙方负担。</w:t>
      </w:r>
    </w:p>
    <w:bookmarkEnd w:id="353"/>
    <w:bookmarkEnd w:id="354"/>
    <w:bookmarkEnd w:id="355"/>
    <w:p>
      <w:pPr>
        <w:ind w:firstLine="560"/>
        <w:rPr>
          <w:rFonts w:ascii="仿宋_GB2312" w:hAnsi="仿宋_GB2312" w:eastAsia="仿宋_GB2312" w:cs="仿宋_GB2312"/>
          <w:sz w:val="28"/>
          <w:szCs w:val="28"/>
        </w:rPr>
      </w:pPr>
    </w:p>
    <w:p>
      <w:pPr>
        <w:ind w:firstLine="640"/>
        <w:rPr>
          <w:rFonts w:ascii="方正小标宋简体" w:hAnsi="方正小标宋简体" w:eastAsia="方正小标宋简体" w:cs="方正小标宋简体"/>
          <w:color w:val="FF0000"/>
          <w:sz w:val="32"/>
          <w:szCs w:val="32"/>
        </w:rPr>
      </w:pPr>
      <w:r>
        <w:rPr>
          <w:rFonts w:hint="eastAsia" w:ascii="方正小标宋简体" w:hAnsi="方正小标宋简体" w:eastAsia="方正小标宋简体" w:cs="方正小标宋简体"/>
          <w:sz w:val="32"/>
          <w:szCs w:val="32"/>
        </w:rPr>
        <w:t>第八条 合同的解除或终止</w:t>
      </w:r>
      <w:bookmarkEnd w:id="350"/>
      <w:bookmarkEnd w:id="351"/>
      <w:bookmarkEnd w:id="352"/>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（一）本合同出现以下情况时，甲方有权立即解除本合同或向有关部门申请取消乙方中标资格，并由乙方承担相关违约责任：</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bookmarkStart w:id="356" w:name="_Toc19576"/>
      <w:bookmarkStart w:id="357" w:name="_Toc24239"/>
      <w:bookmarkStart w:id="358" w:name="_Toc19321"/>
      <w:r>
        <w:rPr>
          <w:rFonts w:hint="eastAsia" w:ascii="仿宋_GB2312" w:hAnsi="仿宋_GB2312" w:eastAsia="仿宋_GB2312" w:cs="仿宋_GB2312"/>
          <w:bCs/>
          <w:sz w:val="28"/>
          <w:szCs w:val="28"/>
        </w:rPr>
        <w:t>1、由于乙方未按合同规定在中标公告发布之日起</w:t>
      </w:r>
      <w:r>
        <w:rPr>
          <w:rFonts w:hint="eastAsia" w:ascii="仿宋_GB2312" w:hAnsi="仿宋_GB2312" w:eastAsia="仿宋_GB2312" w:cs="仿宋_GB2312"/>
          <w:bCs/>
          <w:sz w:val="28"/>
          <w:szCs w:val="28"/>
          <w:u w:val="single"/>
        </w:rPr>
        <w:t xml:space="preserve"> 7 </w:t>
      </w:r>
      <w:r>
        <w:rPr>
          <w:rFonts w:hint="eastAsia" w:ascii="仿宋_GB2312" w:hAnsi="仿宋_GB2312" w:eastAsia="仿宋_GB2312" w:cs="仿宋_GB2312"/>
          <w:bCs/>
          <w:sz w:val="28"/>
          <w:szCs w:val="28"/>
        </w:rPr>
        <w:t>天内配备数量足够、素质合格的服务设备和服务人员或其他原因严重影响合同履行。</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2、因乙方管理不善或负主要责任、造成乙方员工或其他人员1人以上（含1人）死亡或2人以上（含2人）重伤的。</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乙方未按时足额发放员工工资（含加班工资）的人数达5人以上的，或乙方拖欠任1名员工工资（含加班工资）达3个月以上（含3个月）的，或乙方拖欠员工工资累计数额（含加班工资）达伍仟元以上的，或违反深圳市最低工资标准的要求发放工资的。</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4、乙方未经甲方同意将本服务项目分包或者转包给第三方的。</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5、乙方在履行本合同服务时违反法律法规或因弄虚造假及其他不正当行为造成性质恶劣的社会影响的。</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6、乙方被撤销相关服务运营资质的；</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7、乙方未经甲方同意将在本服务项目的服务期内获得的甲方有关的所有非公开资料和信息擅自泄露或提供给第三方使用的。</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8、乙方资不抵债，申请破产的。</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（二）因甲方管理需要或政府政策变动原因，甲方需解除本合同的，应提前30天以书面形式通知乙方，由此造成的经济损失，甲方不负赔偿（补偿）责任。</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（三）因战争、自然灾害等不可抗力导致合同终止的，双方互不承担赔偿责任。</w:t>
      </w:r>
    </w:p>
    <w:p>
      <w:pPr>
        <w:ind w:firstLine="560"/>
        <w:rPr>
          <w:rFonts w:ascii="仿宋_GB2312" w:hAnsi="仿宋_GB2312" w:eastAsia="仿宋_GB2312" w:cs="仿宋_GB2312"/>
          <w:bCs/>
          <w:sz w:val="28"/>
          <w:szCs w:val="28"/>
        </w:rPr>
      </w:pPr>
    </w:p>
    <w:p>
      <w:pPr>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第九条 违约责任</w:t>
      </w:r>
      <w:bookmarkEnd w:id="356"/>
      <w:bookmarkEnd w:id="357"/>
      <w:bookmarkEnd w:id="358"/>
    </w:p>
    <w:p>
      <w:pPr>
        <w:tabs>
          <w:tab w:val="left" w:pos="425"/>
          <w:tab w:val="left" w:pos="900"/>
        </w:tabs>
        <w:autoSpaceDE w:val="0"/>
        <w:autoSpaceDN w:val="0"/>
        <w:adjustRightInd w:val="0"/>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乙方交付的货物不符合招标文件、投标文件或本合同规定的，甲方有权拒收。</w:t>
      </w:r>
    </w:p>
    <w:p>
      <w:pPr>
        <w:tabs>
          <w:tab w:val="left" w:pos="425"/>
          <w:tab w:val="left" w:pos="900"/>
        </w:tabs>
        <w:autoSpaceDE w:val="0"/>
        <w:autoSpaceDN w:val="0"/>
        <w:adjustRightInd w:val="0"/>
        <w:ind w:firstLine="560"/>
      </w:pPr>
      <w:r>
        <w:rPr>
          <w:rFonts w:hint="eastAsia" w:ascii="仿宋_GB2312" w:hAnsi="仿宋_GB2312" w:eastAsia="仿宋_GB2312" w:cs="仿宋_GB2312"/>
          <w:sz w:val="28"/>
          <w:szCs w:val="28"/>
        </w:rPr>
        <w:t>2</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乙方未能按本合同规定的时间完成灯笼、国旗等送货上门的，从逾期之日起每日按本合同总价3%的金额向甲方支付违约金；逾期3天以上（含3天）的，甲方有权终止合同，要求乙方支付违约金，并且给甲方造成的经济损失由乙方承担赔偿责任。</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3、因乙方原因导致本合同解除或终止或无法继续履行的，乙方需向甲方支付本合同总服务费用的</w:t>
      </w:r>
      <w:r>
        <w:rPr>
          <w:rFonts w:hint="eastAsia" w:ascii="仿宋_GB2312" w:hAnsi="仿宋_GB2312" w:eastAsia="仿宋_GB2312" w:cs="仿宋_GB2312"/>
          <w:bCs/>
          <w:sz w:val="28"/>
          <w:szCs w:val="28"/>
          <w:u w:val="single"/>
        </w:rPr>
        <w:t xml:space="preserve"> 10 </w:t>
      </w:r>
      <w:r>
        <w:rPr>
          <w:rFonts w:hint="eastAsia" w:ascii="仿宋_GB2312" w:hAnsi="仿宋_GB2312" w:eastAsia="仿宋_GB2312" w:cs="仿宋_GB2312"/>
          <w:bCs/>
          <w:sz w:val="28"/>
          <w:szCs w:val="28"/>
        </w:rPr>
        <w:t>%作为违约金，还应赔偿甲方由此造成的损失。</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4、因乙方原因导致侵权纠纷、劳资纠纷、劳务合同纠纷、罢工歇业、服务中断等影响本合同服务内容正常进行时，乙方需向甲方支付本合同总服务费用的</w:t>
      </w:r>
      <w:r>
        <w:rPr>
          <w:rFonts w:hint="eastAsia" w:ascii="仿宋_GB2312" w:hAnsi="仿宋_GB2312" w:eastAsia="仿宋_GB2312" w:cs="仿宋_GB2312"/>
          <w:bCs/>
          <w:sz w:val="28"/>
          <w:szCs w:val="28"/>
          <w:u w:val="single"/>
        </w:rPr>
        <w:t xml:space="preserve"> 10  </w:t>
      </w:r>
      <w:r>
        <w:rPr>
          <w:rFonts w:hint="eastAsia" w:ascii="仿宋_GB2312" w:hAnsi="仿宋_GB2312" w:eastAsia="仿宋_GB2312" w:cs="仿宋_GB2312"/>
          <w:bCs/>
          <w:sz w:val="28"/>
          <w:szCs w:val="28"/>
        </w:rPr>
        <w:t>%作为违约金，还应赔偿甲方由此造成的损失。</w:t>
      </w:r>
    </w:p>
    <w:p>
      <w:pPr>
        <w:ind w:firstLine="560"/>
        <w:jc w:val="left"/>
        <w:rPr>
          <w:rFonts w:ascii="仿宋_GB2312" w:hAnsi="仿宋_GB2312" w:eastAsia="仿宋_GB2312" w:cs="仿宋_GB2312"/>
          <w:bCs/>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bCs/>
          <w:sz w:val="28"/>
          <w:szCs w:val="28"/>
        </w:rPr>
        <w:t>、</w:t>
      </w:r>
      <w:r>
        <w:rPr>
          <w:rFonts w:hint="eastAsia" w:ascii="仿宋_GB2312" w:hAnsi="仿宋_GB2312" w:eastAsia="仿宋_GB2312" w:cs="仿宋_GB2312"/>
          <w:sz w:val="28"/>
          <w:szCs w:val="28"/>
        </w:rPr>
        <w:t>其它违约责任按《中华人民共和国民法典》处理。</w:t>
      </w:r>
    </w:p>
    <w:p>
      <w:pPr>
        <w:pStyle w:val="15"/>
        <w:tabs>
          <w:tab w:val="left" w:pos="562"/>
          <w:tab w:val="left" w:pos="3372"/>
          <w:tab w:val="left" w:pos="3653"/>
        </w:tabs>
        <w:ind w:right="-92" w:rightChars="-44" w:firstLine="640"/>
        <w:rPr>
          <w:rFonts w:ascii="方正小标宋简体" w:hAnsi="方正小标宋简体" w:eastAsia="方正小标宋简体" w:cs="方正小标宋简体"/>
          <w:bCs/>
          <w:sz w:val="32"/>
          <w:szCs w:val="32"/>
          <w:lang w:val="zh-TW"/>
        </w:rPr>
      </w:pPr>
      <w:r>
        <w:rPr>
          <w:rFonts w:hint="eastAsia" w:ascii="方正小标宋简体" w:hAnsi="方正小标宋简体" w:eastAsia="方正小标宋简体" w:cs="方正小标宋简体"/>
          <w:bCs/>
          <w:sz w:val="32"/>
          <w:szCs w:val="32"/>
          <w:lang w:val="zh-TW"/>
        </w:rPr>
        <w:t>第十条</w:t>
      </w:r>
      <w:r>
        <w:rPr>
          <w:rFonts w:hint="eastAsia" w:ascii="方正小标宋简体" w:hAnsi="方正小标宋简体" w:eastAsia="方正小标宋简体" w:cs="方正小标宋简体"/>
          <w:bCs/>
          <w:sz w:val="32"/>
          <w:szCs w:val="32"/>
        </w:rPr>
        <w:t xml:space="preserve"> </w:t>
      </w:r>
      <w:r>
        <w:rPr>
          <w:rFonts w:hint="eastAsia" w:ascii="方正小标宋简体" w:hAnsi="方正小标宋简体" w:eastAsia="方正小标宋简体" w:cs="方正小标宋简体"/>
          <w:bCs/>
          <w:sz w:val="32"/>
          <w:szCs w:val="32"/>
          <w:lang w:val="zh-TW"/>
        </w:rPr>
        <w:t>考核方式</w:t>
      </w:r>
    </w:p>
    <w:p>
      <w:pPr>
        <w:pStyle w:val="15"/>
        <w:tabs>
          <w:tab w:val="left" w:pos="562"/>
          <w:tab w:val="left" w:pos="3372"/>
          <w:tab w:val="left" w:pos="3653"/>
        </w:tabs>
        <w:ind w:right="-92" w:rightChars="-44" w:firstLine="560"/>
        <w:rPr>
          <w:rFonts w:ascii="仿宋_GB2312" w:hAnsi="仿宋_GB2312" w:eastAsia="仿宋_GB2312" w:cs="仿宋_GB2312"/>
          <w:bCs/>
          <w:sz w:val="28"/>
          <w:szCs w:val="28"/>
          <w:lang w:val="zh-TW"/>
        </w:rPr>
      </w:pPr>
      <w:r>
        <w:rPr>
          <w:rFonts w:hint="eastAsia" w:ascii="仿宋_GB2312" w:hAnsi="仿宋_GB2312" w:eastAsia="仿宋_GB2312" w:cs="仿宋_GB2312"/>
          <w:bCs/>
          <w:sz w:val="28"/>
          <w:szCs w:val="28"/>
          <w:lang w:val="zh-TW"/>
        </w:rPr>
        <w:t>检查考核方式为随机考核</w:t>
      </w:r>
    </w:p>
    <w:p>
      <w:pPr>
        <w:ind w:firstLine="560"/>
        <w:jc w:val="left"/>
        <w:textAlignment w:val="baseline"/>
        <w:rPr>
          <w:rFonts w:ascii="仿宋_GB2312" w:hAnsi="仿宋_GB2312" w:eastAsia="仿宋_GB2312" w:cs="仿宋_GB2312"/>
          <w:bCs/>
          <w:sz w:val="28"/>
          <w:szCs w:val="28"/>
        </w:rPr>
      </w:pPr>
      <w:bookmarkStart w:id="359" w:name="_Toc12476"/>
      <w:bookmarkStart w:id="360" w:name="_Toc6665"/>
      <w:bookmarkStart w:id="361" w:name="_Toc8790"/>
      <w:r>
        <w:rPr>
          <w:rFonts w:hint="eastAsia" w:ascii="仿宋_GB2312" w:hAnsi="仿宋_GB2312" w:eastAsia="仿宋_GB2312" w:cs="仿宋_GB2312"/>
          <w:bCs/>
          <w:sz w:val="28"/>
          <w:szCs w:val="28"/>
        </w:rPr>
        <w:t>1、考核扣款不设上限（具体扣款标准按附件：《龙华区大浪街道节日灯笼国旗等装饰悬挂服务考核内容及扣款标准表》）执行；</w:t>
      </w: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2、乙方在服务期内发生重大安全事故并造成恶劣影响，甲方有权立即终止本合同，而由此造成的经济损失和法律责任全部由乙方承担。</w:t>
      </w:r>
    </w:p>
    <w:p>
      <w:pPr>
        <w:ind w:firstLine="64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第十一条 争议解决</w:t>
      </w:r>
      <w:bookmarkEnd w:id="359"/>
      <w:bookmarkEnd w:id="360"/>
      <w:bookmarkEnd w:id="361"/>
      <w:r>
        <w:rPr>
          <w:rFonts w:hint="eastAsia" w:ascii="方正小标宋简体" w:hAnsi="方正小标宋简体" w:eastAsia="方正小标宋简体" w:cs="方正小标宋简体"/>
          <w:sz w:val="32"/>
          <w:szCs w:val="32"/>
        </w:rPr>
        <w:t>方式</w:t>
      </w:r>
    </w:p>
    <w:p>
      <w:pPr>
        <w:ind w:firstLine="560"/>
        <w:rPr>
          <w:rFonts w:ascii="仿宋_GB2312" w:hAnsi="仿宋_GB2312" w:eastAsia="仿宋_GB2312" w:cs="仿宋_GB2312"/>
          <w:kern w:val="0"/>
          <w:sz w:val="32"/>
          <w:szCs w:val="32"/>
        </w:rPr>
      </w:pPr>
      <w:bookmarkStart w:id="362" w:name="_Toc24999"/>
      <w:bookmarkStart w:id="363" w:name="_Toc16046"/>
      <w:bookmarkStart w:id="364" w:name="_Toc30348"/>
      <w:r>
        <w:rPr>
          <w:rFonts w:hint="eastAsia" w:ascii="仿宋_GB2312" w:hAnsi="仿宋_GB2312" w:eastAsia="仿宋_GB2312" w:cs="仿宋_GB2312"/>
          <w:kern w:val="0"/>
          <w:sz w:val="28"/>
          <w:szCs w:val="28"/>
        </w:rPr>
        <w:t>甲、乙双方因合同履行发生其他争议时，应协商解决，协商不成的，由甲方所在地人民法院裁决。</w:t>
      </w:r>
    </w:p>
    <w:p>
      <w:pPr>
        <w:ind w:firstLine="64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第十二条 合同组成、份数及生效及其他</w:t>
      </w:r>
      <w:bookmarkEnd w:id="362"/>
      <w:bookmarkEnd w:id="363"/>
      <w:bookmarkEnd w:id="364"/>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1、本合同未尽事宜，甲乙双方另行签订补充协议，补充协议与本合同具有同等的法律效力。</w:t>
      </w:r>
    </w:p>
    <w:p>
      <w:pPr>
        <w:pStyle w:val="15"/>
        <w:tabs>
          <w:tab w:val="left" w:pos="562"/>
          <w:tab w:val="left" w:pos="3372"/>
          <w:tab w:val="left" w:pos="3653"/>
        </w:tabs>
        <w:ind w:right="-92" w:rightChars="-44"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2、本合同由正文、附件组成，经双方签字盖章后生效，共一式</w:t>
      </w:r>
      <w:r>
        <w:rPr>
          <w:rFonts w:hint="eastAsia" w:ascii="仿宋_GB2312" w:hAnsi="仿宋_GB2312" w:eastAsia="仿宋_GB2312" w:cs="仿宋_GB2312"/>
          <w:bCs/>
          <w:sz w:val="28"/>
          <w:szCs w:val="28"/>
          <w:u w:val="single"/>
        </w:rPr>
        <w:t>肆</w:t>
      </w:r>
      <w:r>
        <w:rPr>
          <w:rFonts w:hint="eastAsia" w:ascii="仿宋_GB2312" w:hAnsi="仿宋_GB2312" w:eastAsia="仿宋_GB2312" w:cs="仿宋_GB2312"/>
          <w:bCs/>
          <w:sz w:val="28"/>
          <w:szCs w:val="28"/>
        </w:rPr>
        <w:t>份，甲方执</w:t>
      </w:r>
      <w:r>
        <w:rPr>
          <w:rFonts w:hint="eastAsia" w:ascii="仿宋_GB2312" w:hAnsi="仿宋_GB2312" w:eastAsia="仿宋_GB2312" w:cs="仿宋_GB2312"/>
          <w:bCs/>
          <w:sz w:val="28"/>
          <w:szCs w:val="28"/>
          <w:u w:val="single"/>
        </w:rPr>
        <w:t>叁</w:t>
      </w:r>
      <w:r>
        <w:rPr>
          <w:rFonts w:hint="eastAsia" w:ascii="仿宋_GB2312" w:hAnsi="仿宋_GB2312" w:eastAsia="仿宋_GB2312" w:cs="仿宋_GB2312"/>
          <w:bCs/>
          <w:sz w:val="28"/>
          <w:szCs w:val="28"/>
        </w:rPr>
        <w:t>份，乙方执</w:t>
      </w:r>
      <w:r>
        <w:rPr>
          <w:rFonts w:hint="eastAsia" w:ascii="仿宋_GB2312" w:hAnsi="仿宋_GB2312" w:eastAsia="仿宋_GB2312" w:cs="仿宋_GB2312"/>
          <w:bCs/>
          <w:sz w:val="28"/>
          <w:szCs w:val="28"/>
          <w:u w:val="single"/>
        </w:rPr>
        <w:t>壹</w:t>
      </w:r>
      <w:r>
        <w:rPr>
          <w:rFonts w:hint="eastAsia" w:ascii="仿宋_GB2312" w:hAnsi="仿宋_GB2312" w:eastAsia="仿宋_GB2312" w:cs="仿宋_GB2312"/>
          <w:bCs/>
          <w:sz w:val="28"/>
          <w:szCs w:val="28"/>
        </w:rPr>
        <w:t>份，均具同等法律效力。</w:t>
      </w:r>
    </w:p>
    <w:p>
      <w:pPr>
        <w:pStyle w:val="15"/>
        <w:tabs>
          <w:tab w:val="left" w:pos="562"/>
          <w:tab w:val="left" w:pos="3372"/>
          <w:tab w:val="left" w:pos="3653"/>
        </w:tabs>
        <w:ind w:right="-92" w:rightChars="-44" w:firstLine="560"/>
        <w:rPr>
          <w:rFonts w:ascii="仿宋_GB2312" w:hAnsi="仿宋_GB2312" w:eastAsia="仿宋_GB2312" w:cs="仿宋_GB2312"/>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sz w:val="28"/>
          <w:szCs w:val="28"/>
        </w:rPr>
        <w:t>本合同载明的双方地址、电话为双方确认的联系方式，本合同履行期间，双方的任何通知、文件除了送至对方直接签收外，可按本合同载明联系方式以邮政特快专递送达另一方。任何一方变更联系方式应书面告知另一方，否则按原联系方式以邮政特快专递发出的通知、文件即使退回，仍视为送达。</w:t>
      </w:r>
    </w:p>
    <w:p>
      <w:pPr>
        <w:pStyle w:val="21"/>
        <w:ind w:firstLine="420"/>
      </w:pPr>
    </w:p>
    <w:p>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甲方（盖章）：深圳市龙华环境有限公司  乙方（盖章）：                               </w:t>
      </w:r>
    </w:p>
    <w:p>
      <w:pPr>
        <w:pStyle w:val="15"/>
        <w:ind w:firstLine="420"/>
      </w:pPr>
    </w:p>
    <w:p>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法定代表人（签字或盖章）：       法定代表人（签字或盖章）：</w:t>
      </w:r>
    </w:p>
    <w:p>
      <w:pPr>
        <w:ind w:firstLine="560"/>
        <w:rPr>
          <w:rFonts w:ascii="仿宋_GB2312" w:hAnsi="仿宋_GB2312" w:eastAsia="仿宋_GB2312" w:cs="仿宋_GB2312"/>
          <w:bCs/>
          <w:sz w:val="28"/>
          <w:szCs w:val="28"/>
        </w:rPr>
      </w:pPr>
    </w:p>
    <w:p>
      <w:pPr>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授权代理人（签字）：                 授权代理人（签字）：</w:t>
      </w:r>
    </w:p>
    <w:p>
      <w:pPr>
        <w:pStyle w:val="15"/>
        <w:ind w:firstLine="560"/>
        <w:rPr>
          <w:rFonts w:ascii="仿宋_GB2312" w:hAnsi="仿宋_GB2312" w:eastAsia="仿宋_GB2312" w:cs="仿宋_GB2312"/>
          <w:bCs/>
          <w:sz w:val="28"/>
          <w:szCs w:val="28"/>
        </w:rPr>
      </w:pPr>
    </w:p>
    <w:p>
      <w:pPr>
        <w:pStyle w:val="15"/>
        <w:ind w:firstLine="700" w:firstLineChars="2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年 月 日                           年  月   日</w:t>
      </w:r>
    </w:p>
    <w:p>
      <w:pPr>
        <w:pStyle w:val="15"/>
        <w:ind w:firstLine="56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合同签订地：深圳市龙华区大浪街道</w:t>
      </w:r>
    </w:p>
    <w:p>
      <w:pPr>
        <w:pStyle w:val="15"/>
        <w:ind w:firstLine="560"/>
        <w:rPr>
          <w:rFonts w:ascii="仿宋_GB2312" w:hAnsi="仿宋_GB2312" w:eastAsia="仿宋_GB2312" w:cs="仿宋_GB2312"/>
          <w:bCs/>
          <w:sz w:val="28"/>
          <w:szCs w:val="28"/>
        </w:rPr>
      </w:pPr>
    </w:p>
    <w:p>
      <w:pPr>
        <w:pStyle w:val="15"/>
        <w:ind w:firstLine="560"/>
        <w:rPr>
          <w:rFonts w:ascii="仿宋_GB2312" w:hAnsi="仿宋_GB2312" w:eastAsia="仿宋_GB2312" w:cs="仿宋_GB2312"/>
          <w:bCs/>
          <w:sz w:val="28"/>
          <w:szCs w:val="28"/>
        </w:rPr>
      </w:pPr>
    </w:p>
    <w:p>
      <w:pPr>
        <w:pStyle w:val="15"/>
        <w:ind w:firstLine="560"/>
        <w:rPr>
          <w:rFonts w:ascii="仿宋_GB2312" w:hAnsi="仿宋_GB2312" w:eastAsia="仿宋_GB2312" w:cs="仿宋_GB2312"/>
          <w:bCs/>
          <w:sz w:val="28"/>
          <w:szCs w:val="28"/>
        </w:rPr>
      </w:pPr>
    </w:p>
    <w:p>
      <w:pPr>
        <w:pStyle w:val="15"/>
        <w:ind w:firstLine="560"/>
        <w:rPr>
          <w:rFonts w:ascii="仿宋_GB2312" w:hAnsi="仿宋_GB2312" w:eastAsia="仿宋_GB2312" w:cs="仿宋_GB2312"/>
          <w:bCs/>
          <w:sz w:val="28"/>
          <w:szCs w:val="28"/>
        </w:rPr>
      </w:pPr>
    </w:p>
    <w:p>
      <w:pPr>
        <w:pStyle w:val="15"/>
        <w:ind w:firstLine="560"/>
        <w:rPr>
          <w:rFonts w:ascii="仿宋_GB2312" w:hAnsi="仿宋_GB2312" w:eastAsia="仿宋_GB2312" w:cs="仿宋_GB2312"/>
          <w:bCs/>
          <w:sz w:val="28"/>
          <w:szCs w:val="28"/>
        </w:rPr>
      </w:pPr>
    </w:p>
    <w:p>
      <w:pPr>
        <w:pStyle w:val="21"/>
        <w:ind w:firstLine="420"/>
      </w:pPr>
    </w:p>
    <w:p>
      <w:pPr>
        <w:ind w:firstLine="560"/>
        <w:jc w:val="left"/>
        <w:textAlignment w:val="baseline"/>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附件：</w:t>
      </w:r>
    </w:p>
    <w:p>
      <w:pPr>
        <w:pStyle w:val="15"/>
        <w:tabs>
          <w:tab w:val="left" w:pos="562"/>
          <w:tab w:val="left" w:pos="3372"/>
          <w:tab w:val="left" w:pos="3653"/>
        </w:tabs>
        <w:ind w:right="-92" w:rightChars="-44" w:firstLine="640"/>
        <w:jc w:val="center"/>
        <w:rPr>
          <w:rFonts w:ascii="方正小标宋简体" w:hAnsi="方正小标宋简体" w:eastAsia="方正小标宋简体" w:cs="方正小标宋简体"/>
          <w:bCs/>
          <w:sz w:val="32"/>
          <w:szCs w:val="32"/>
          <w:lang w:val="zh-TW"/>
        </w:rPr>
      </w:pPr>
      <w:r>
        <w:rPr>
          <w:rFonts w:hint="eastAsia" w:ascii="方正小标宋简体" w:hAnsi="方正小标宋简体" w:eastAsia="方正小标宋简体" w:cs="方正小标宋简体"/>
          <w:bCs/>
          <w:sz w:val="32"/>
          <w:szCs w:val="32"/>
          <w:lang w:val="zh-TW"/>
        </w:rPr>
        <w:t>龙华区大浪街道节日灯笼国旗等装饰物采购项目</w:t>
      </w:r>
    </w:p>
    <w:p>
      <w:pPr>
        <w:pStyle w:val="15"/>
        <w:tabs>
          <w:tab w:val="left" w:pos="562"/>
          <w:tab w:val="left" w:pos="3372"/>
          <w:tab w:val="left" w:pos="3653"/>
        </w:tabs>
        <w:ind w:right="-92" w:rightChars="-44" w:firstLine="640"/>
        <w:jc w:val="center"/>
        <w:rPr>
          <w:rFonts w:ascii="方正小标宋简体" w:hAnsi="方正小标宋简体" w:eastAsia="方正小标宋简体" w:cs="方正小标宋简体"/>
          <w:bCs/>
          <w:sz w:val="32"/>
          <w:szCs w:val="32"/>
          <w:lang w:val="zh-TW"/>
        </w:rPr>
      </w:pPr>
      <w:r>
        <w:rPr>
          <w:rFonts w:hint="eastAsia" w:ascii="方正小标宋简体" w:hAnsi="方正小标宋简体" w:eastAsia="方正小标宋简体" w:cs="方正小标宋简体"/>
          <w:bCs/>
          <w:sz w:val="32"/>
          <w:szCs w:val="32"/>
          <w:lang w:val="zh-TW"/>
        </w:rPr>
        <w:t>考核内容及扣款标准表</w:t>
      </w:r>
    </w:p>
    <w:tbl>
      <w:tblPr>
        <w:tblStyle w:val="49"/>
        <w:tblW w:w="9640" w:type="dxa"/>
        <w:tblInd w:w="-411" w:type="dxa"/>
        <w:tblLayout w:type="fixed"/>
        <w:tblCellMar>
          <w:top w:w="0" w:type="dxa"/>
          <w:left w:w="0" w:type="dxa"/>
          <w:bottom w:w="0" w:type="dxa"/>
          <w:right w:w="0" w:type="dxa"/>
        </w:tblCellMar>
      </w:tblPr>
      <w:tblGrid>
        <w:gridCol w:w="1267"/>
        <w:gridCol w:w="5538"/>
        <w:gridCol w:w="1843"/>
        <w:gridCol w:w="992"/>
      </w:tblGrid>
      <w:tr>
        <w:tblPrEx>
          <w:tblCellMar>
            <w:top w:w="0" w:type="dxa"/>
            <w:left w:w="0" w:type="dxa"/>
            <w:bottom w:w="0" w:type="dxa"/>
            <w:right w:w="0" w:type="dxa"/>
          </w:tblCellMar>
        </w:tblPrEx>
        <w:trPr>
          <w:trHeight w:val="435" w:hRule="atLeast"/>
        </w:trPr>
        <w:tc>
          <w:tcPr>
            <w:tcW w:w="126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考核项目</w:t>
            </w:r>
          </w:p>
        </w:tc>
        <w:tc>
          <w:tcPr>
            <w:tcW w:w="553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考核内容</w:t>
            </w:r>
          </w:p>
        </w:tc>
        <w:tc>
          <w:tcPr>
            <w:tcW w:w="1843" w:type="dxa"/>
            <w:tcBorders>
              <w:top w:val="single" w:color="000000" w:sz="8" w:space="0"/>
              <w:left w:val="nil"/>
              <w:bottom w:val="single" w:color="000000" w:sz="8" w:space="0"/>
              <w:right w:val="nil"/>
            </w:tcBorders>
            <w:shd w:val="clear" w:color="auto" w:fill="auto"/>
            <w:tcMar>
              <w:top w:w="15" w:type="dxa"/>
              <w:left w:w="15" w:type="dxa"/>
              <w:right w:w="15" w:type="dxa"/>
            </w:tcMar>
            <w:vAlign w:val="center"/>
          </w:tcPr>
          <w:p>
            <w:pPr>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扣款标准</w:t>
            </w:r>
          </w:p>
        </w:tc>
        <w:tc>
          <w:tcPr>
            <w:tcW w:w="9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2"/>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rPr>
              <w:t>备注</w:t>
            </w:r>
          </w:p>
        </w:tc>
      </w:tr>
      <w:tr>
        <w:tblPrEx>
          <w:tblCellMar>
            <w:top w:w="0" w:type="dxa"/>
            <w:left w:w="0" w:type="dxa"/>
            <w:bottom w:w="0" w:type="dxa"/>
            <w:right w:w="0" w:type="dxa"/>
          </w:tblCellMar>
        </w:tblPrEx>
        <w:trPr>
          <w:trHeight w:val="626" w:hRule="atLeast"/>
        </w:trPr>
        <w:tc>
          <w:tcPr>
            <w:tcW w:w="1267"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国旗质量</w:t>
            </w:r>
          </w:p>
          <w:p>
            <w:pPr>
              <w:ind w:firstLine="0" w:firstLineChars="0"/>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rPr>
              <w:t>考核项目</w:t>
            </w: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1.未采用有关规定的国旗型号尺寸，经查证属实的。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每发现一面扣除服务费20元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2.未采用</w:t>
            </w:r>
            <w:r>
              <w:rPr>
                <w:rFonts w:hint="eastAsia" w:asciiTheme="minorEastAsia" w:hAnsiTheme="minorEastAsia" w:eastAsiaTheme="minorEastAsia" w:cstheme="minorEastAsia"/>
                <w:bCs/>
                <w:szCs w:val="21"/>
              </w:rPr>
              <w:t>全新的</w:t>
            </w:r>
            <w:r>
              <w:rPr>
                <w:rFonts w:hint="eastAsia" w:asciiTheme="minorEastAsia" w:hAnsiTheme="minorEastAsia" w:eastAsiaTheme="minorEastAsia" w:cstheme="minorEastAsia"/>
                <w:kern w:val="0"/>
                <w:szCs w:val="21"/>
              </w:rPr>
              <w:t>防水纳米涂层纯涤纶面料，经查证属实的。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每发现一面扣除服务费20元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3.未采用丝网印刷工艺，双面显示效果不一致，经查证属实的。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420"/>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每发现一面扣除服务费20元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600" w:hRule="atLeast"/>
        </w:trPr>
        <w:tc>
          <w:tcPr>
            <w:tcW w:w="1267"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ind w:firstLine="422"/>
              <w:jc w:val="center"/>
              <w:rPr>
                <w:rFonts w:asciiTheme="minorEastAsia" w:hAnsiTheme="minorEastAsia" w:eastAsiaTheme="minorEastAsia" w:cstheme="minorEastAsia"/>
                <w:b/>
                <w:color w:val="000000"/>
                <w:szCs w:val="21"/>
              </w:rPr>
            </w:pPr>
          </w:p>
        </w:tc>
        <w:tc>
          <w:tcPr>
            <w:tcW w:w="5538"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4.悬挂国旗及配件与合同规定规格不符，经查证属实的。</w:t>
            </w:r>
          </w:p>
        </w:tc>
        <w:tc>
          <w:tcPr>
            <w:tcW w:w="1843" w:type="dxa"/>
            <w:tcBorders>
              <w:top w:val="nil"/>
              <w:left w:val="nil"/>
              <w:bottom w:val="single" w:color="auto" w:sz="4" w:space="0"/>
              <w:right w:val="nil"/>
            </w:tcBorders>
            <w:shd w:val="clear" w:color="auto" w:fill="auto"/>
            <w:tcMar>
              <w:top w:w="15" w:type="dxa"/>
              <w:left w:w="15" w:type="dxa"/>
              <w:right w:w="15" w:type="dxa"/>
            </w:tcMar>
            <w:vAlign w:val="center"/>
          </w:tcPr>
          <w:p>
            <w:pPr>
              <w:ind w:firstLine="420"/>
              <w:jc w:val="center"/>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每发现一处扣除服务费20元</w:t>
            </w:r>
          </w:p>
        </w:tc>
        <w:tc>
          <w:tcPr>
            <w:tcW w:w="992"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r>
        <w:tblPrEx>
          <w:tblCellMar>
            <w:top w:w="0" w:type="dxa"/>
            <w:left w:w="0" w:type="dxa"/>
            <w:bottom w:w="0" w:type="dxa"/>
            <w:right w:w="0" w:type="dxa"/>
          </w:tblCellMar>
        </w:tblPrEx>
        <w:trPr>
          <w:trHeight w:val="846" w:hRule="atLeast"/>
        </w:trPr>
        <w:tc>
          <w:tcPr>
            <w:tcW w:w="1267" w:type="dxa"/>
            <w:tcBorders>
              <w:top w:val="single" w:color="auto" w:sz="4"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b/>
                <w:color w:val="000000"/>
                <w:kern w:val="0"/>
                <w:szCs w:val="21"/>
              </w:rPr>
            </w:pPr>
            <w:r>
              <w:rPr>
                <w:rFonts w:hint="eastAsia" w:asciiTheme="minorEastAsia" w:hAnsiTheme="minorEastAsia" w:eastAsiaTheme="minorEastAsia" w:cstheme="minorEastAsia"/>
                <w:b/>
                <w:color w:val="000000"/>
                <w:kern w:val="0"/>
                <w:szCs w:val="21"/>
              </w:rPr>
              <w:t>灯笼质量</w:t>
            </w:r>
          </w:p>
          <w:p>
            <w:pPr>
              <w:ind w:firstLine="0" w:firstLineChars="0"/>
              <w:textAlignment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kern w:val="0"/>
                <w:szCs w:val="21"/>
              </w:rPr>
              <w:t>考核项目</w:t>
            </w:r>
          </w:p>
        </w:tc>
        <w:tc>
          <w:tcPr>
            <w:tcW w:w="553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1.悬挂灯笼及配件与合同规定规格不符，经查证属实的。</w:t>
            </w:r>
          </w:p>
        </w:tc>
        <w:tc>
          <w:tcPr>
            <w:tcW w:w="1843" w:type="dxa"/>
            <w:tcBorders>
              <w:top w:val="nil"/>
              <w:left w:val="nil"/>
              <w:bottom w:val="single" w:color="000000" w:sz="8" w:space="0"/>
              <w:right w:val="nil"/>
            </w:tcBorders>
            <w:shd w:val="clear" w:color="auto" w:fill="auto"/>
            <w:tcMar>
              <w:top w:w="15" w:type="dxa"/>
              <w:left w:w="15" w:type="dxa"/>
              <w:right w:w="15" w:type="dxa"/>
            </w:tcMar>
            <w:vAlign w:val="center"/>
          </w:tcPr>
          <w:p>
            <w:pPr>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每发现一处扣除服务费35元</w:t>
            </w:r>
          </w:p>
        </w:tc>
        <w:tc>
          <w:tcPr>
            <w:tcW w:w="992"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ind w:firstLine="420"/>
              <w:jc w:val="center"/>
              <w:rPr>
                <w:rFonts w:asciiTheme="minorEastAsia" w:hAnsiTheme="minorEastAsia" w:eastAsiaTheme="minorEastAsia" w:cstheme="minorEastAsia"/>
                <w:color w:val="000000"/>
                <w:szCs w:val="21"/>
              </w:rPr>
            </w:pPr>
          </w:p>
        </w:tc>
      </w:tr>
    </w:tbl>
    <w:p>
      <w:pPr>
        <w:ind w:firstLine="420"/>
      </w:pPr>
    </w:p>
    <w:bookmarkEnd w:id="341"/>
    <w:bookmarkEnd w:id="342"/>
    <w:bookmarkEnd w:id="343"/>
    <w:p>
      <w:pPr>
        <w:widowControl w:val="0"/>
        <w:autoSpaceDE w:val="0"/>
        <w:autoSpaceDN w:val="0"/>
        <w:adjustRightInd w:val="0"/>
        <w:snapToGrid w:val="0"/>
        <w:ind w:firstLine="0" w:firstLineChars="0"/>
        <w:jc w:val="center"/>
        <w:outlineLvl w:val="0"/>
        <w:rPr>
          <w:rFonts w:hint="eastAsia" w:ascii="宋体" w:hAnsi="宋体"/>
          <w:b/>
          <w:bCs/>
          <w:sz w:val="52"/>
          <w:szCs w:val="52"/>
        </w:rPr>
      </w:pPr>
      <w:bookmarkStart w:id="365" w:name="_Toc144974855"/>
      <w:bookmarkStart w:id="366" w:name="_Toc152042575"/>
      <w:bookmarkStart w:id="367" w:name="_Toc49247165"/>
      <w:bookmarkStart w:id="368" w:name="_Toc152045786"/>
    </w:p>
    <w:p>
      <w:pPr>
        <w:widowControl w:val="0"/>
        <w:autoSpaceDE w:val="0"/>
        <w:autoSpaceDN w:val="0"/>
        <w:adjustRightInd w:val="0"/>
        <w:snapToGrid w:val="0"/>
        <w:ind w:firstLine="0" w:firstLineChars="0"/>
        <w:jc w:val="center"/>
        <w:outlineLvl w:val="0"/>
        <w:rPr>
          <w:rFonts w:hint="eastAsia" w:ascii="宋体" w:hAnsi="宋体"/>
          <w:b/>
          <w:bCs/>
          <w:sz w:val="52"/>
          <w:szCs w:val="52"/>
        </w:rPr>
      </w:pPr>
    </w:p>
    <w:p>
      <w:pPr>
        <w:widowControl w:val="0"/>
        <w:autoSpaceDE w:val="0"/>
        <w:autoSpaceDN w:val="0"/>
        <w:adjustRightInd w:val="0"/>
        <w:snapToGrid w:val="0"/>
        <w:ind w:firstLine="0" w:firstLineChars="0"/>
        <w:jc w:val="center"/>
        <w:outlineLvl w:val="0"/>
        <w:rPr>
          <w:rFonts w:hint="eastAsia" w:ascii="宋体" w:hAnsi="宋体"/>
          <w:b/>
          <w:bCs/>
          <w:sz w:val="52"/>
          <w:szCs w:val="52"/>
        </w:rPr>
      </w:pPr>
    </w:p>
    <w:p>
      <w:pPr>
        <w:widowControl w:val="0"/>
        <w:autoSpaceDE w:val="0"/>
        <w:autoSpaceDN w:val="0"/>
        <w:adjustRightInd w:val="0"/>
        <w:snapToGrid w:val="0"/>
        <w:ind w:firstLine="0" w:firstLineChars="0"/>
        <w:jc w:val="center"/>
        <w:outlineLvl w:val="0"/>
        <w:rPr>
          <w:rFonts w:hint="eastAsia" w:ascii="宋体" w:hAnsi="宋体"/>
          <w:b/>
          <w:bCs/>
          <w:sz w:val="52"/>
          <w:szCs w:val="52"/>
        </w:rPr>
      </w:pPr>
    </w:p>
    <w:p>
      <w:pPr>
        <w:widowControl w:val="0"/>
        <w:autoSpaceDE w:val="0"/>
        <w:autoSpaceDN w:val="0"/>
        <w:adjustRightInd w:val="0"/>
        <w:snapToGrid w:val="0"/>
        <w:ind w:firstLine="0" w:firstLineChars="0"/>
        <w:jc w:val="center"/>
        <w:outlineLvl w:val="0"/>
        <w:rPr>
          <w:rFonts w:ascii="宋体" w:hAnsi="宋体"/>
          <w:sz w:val="52"/>
          <w:szCs w:val="52"/>
        </w:rPr>
      </w:pPr>
      <w:r>
        <w:rPr>
          <w:rFonts w:hint="eastAsia" w:ascii="宋体" w:hAnsi="宋体"/>
          <w:b/>
          <w:bCs/>
          <w:sz w:val="52"/>
          <w:szCs w:val="52"/>
        </w:rPr>
        <w:t>第</w:t>
      </w:r>
      <w:r>
        <w:rPr>
          <w:rFonts w:hint="eastAsia" w:ascii="宋体" w:hAnsi="宋体"/>
          <w:b/>
          <w:bCs/>
          <w:sz w:val="52"/>
          <w:szCs w:val="52"/>
          <w:lang w:val="en-US" w:eastAsia="zh-CN"/>
        </w:rPr>
        <w:t>四</w:t>
      </w:r>
      <w:r>
        <w:rPr>
          <w:rFonts w:hint="eastAsia" w:ascii="宋体" w:hAnsi="宋体"/>
          <w:b/>
          <w:bCs/>
          <w:sz w:val="52"/>
          <w:szCs w:val="52"/>
        </w:rPr>
        <w:t>章 投标文件格式</w:t>
      </w:r>
      <w:bookmarkEnd w:id="365"/>
      <w:bookmarkEnd w:id="366"/>
      <w:bookmarkEnd w:id="367"/>
      <w:bookmarkEnd w:id="368"/>
    </w:p>
    <w:p>
      <w:pPr>
        <w:widowControl w:val="0"/>
        <w:autoSpaceDE w:val="0"/>
        <w:autoSpaceDN w:val="0"/>
        <w:adjustRightInd w:val="0"/>
        <w:snapToGrid w:val="0"/>
        <w:ind w:firstLine="0" w:firstLineChars="0"/>
        <w:jc w:val="center"/>
        <w:rPr>
          <w:rFonts w:ascii="宋体" w:hAnsi="宋体"/>
          <w:b/>
          <w:sz w:val="20"/>
          <w:szCs w:val="20"/>
        </w:rPr>
      </w:pPr>
      <w:bookmarkStart w:id="369" w:name="_Toc277844085"/>
      <w:bookmarkStart w:id="370" w:name="_Toc277844084"/>
      <w:r>
        <w:rPr>
          <w:rFonts w:hint="eastAsia" w:ascii="宋体" w:hAnsi="宋体" w:cs="Courier New"/>
          <w:b/>
          <w:bCs/>
          <w:sz w:val="84"/>
          <w:szCs w:val="84"/>
        </w:rPr>
        <w:t>投标文件</w:t>
      </w:r>
    </w:p>
    <w:p>
      <w:pPr>
        <w:widowControl w:val="0"/>
        <w:autoSpaceDE w:val="0"/>
        <w:autoSpaceDN w:val="0"/>
        <w:adjustRightInd w:val="0"/>
        <w:snapToGrid w:val="0"/>
        <w:ind w:firstLine="0" w:firstLineChars="0"/>
        <w:jc w:val="center"/>
        <w:rPr>
          <w:rFonts w:ascii="宋体" w:hAnsi="宋体"/>
          <w:sz w:val="28"/>
          <w:szCs w:val="28"/>
        </w:rPr>
      </w:pPr>
    </w:p>
    <w:p>
      <w:pPr>
        <w:widowControl w:val="0"/>
        <w:autoSpaceDE w:val="0"/>
        <w:autoSpaceDN w:val="0"/>
        <w:adjustRightInd w:val="0"/>
        <w:snapToGrid w:val="0"/>
        <w:ind w:firstLine="0" w:firstLineChars="0"/>
        <w:jc w:val="center"/>
        <w:rPr>
          <w:rFonts w:ascii="宋体" w:hAnsi="宋体"/>
          <w:sz w:val="28"/>
          <w:szCs w:val="28"/>
        </w:rPr>
      </w:pPr>
    </w:p>
    <w:p>
      <w:pPr>
        <w:widowControl w:val="0"/>
        <w:autoSpaceDE w:val="0"/>
        <w:autoSpaceDN w:val="0"/>
        <w:adjustRightInd w:val="0"/>
        <w:snapToGrid w:val="0"/>
        <w:ind w:firstLine="0" w:firstLineChars="0"/>
        <w:jc w:val="center"/>
        <w:rPr>
          <w:rFonts w:ascii="宋体" w:hAnsi="宋体"/>
          <w:sz w:val="28"/>
          <w:szCs w:val="28"/>
        </w:rPr>
      </w:pPr>
    </w:p>
    <w:p>
      <w:pPr>
        <w:widowControl w:val="0"/>
        <w:autoSpaceDE w:val="0"/>
        <w:autoSpaceDN w:val="0"/>
        <w:adjustRightInd w:val="0"/>
        <w:snapToGrid w:val="0"/>
        <w:ind w:firstLine="0" w:firstLineChars="0"/>
        <w:jc w:val="center"/>
        <w:rPr>
          <w:rFonts w:ascii="宋体" w:hAnsi="宋体"/>
          <w:sz w:val="28"/>
          <w:szCs w:val="28"/>
        </w:rPr>
      </w:pPr>
    </w:p>
    <w:tbl>
      <w:tblPr>
        <w:tblStyle w:val="49"/>
        <w:tblW w:w="8523" w:type="dxa"/>
        <w:tblInd w:w="0" w:type="dxa"/>
        <w:tblLayout w:type="fixed"/>
        <w:tblCellMar>
          <w:top w:w="0" w:type="dxa"/>
          <w:left w:w="108" w:type="dxa"/>
          <w:bottom w:w="0" w:type="dxa"/>
          <w:right w:w="108" w:type="dxa"/>
        </w:tblCellMar>
      </w:tblPr>
      <w:tblGrid>
        <w:gridCol w:w="3650"/>
        <w:gridCol w:w="4873"/>
      </w:tblGrid>
      <w:tr>
        <w:tblPrEx>
          <w:tblCellMar>
            <w:top w:w="0" w:type="dxa"/>
            <w:left w:w="108" w:type="dxa"/>
            <w:bottom w:w="0" w:type="dxa"/>
            <w:right w:w="108" w:type="dxa"/>
          </w:tblCellMar>
        </w:tblPrEx>
        <w:tc>
          <w:tcPr>
            <w:tcW w:w="3650"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tblPrEx>
          <w:tblCellMar>
            <w:top w:w="0" w:type="dxa"/>
            <w:left w:w="108" w:type="dxa"/>
            <w:bottom w:w="0" w:type="dxa"/>
            <w:right w:w="108" w:type="dxa"/>
          </w:tblCellMar>
        </w:tblPrEx>
        <w:tc>
          <w:tcPr>
            <w:tcW w:w="3650"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tblPrEx>
          <w:tblCellMar>
            <w:top w:w="0" w:type="dxa"/>
            <w:left w:w="108" w:type="dxa"/>
            <w:bottom w:w="0" w:type="dxa"/>
            <w:right w:w="108" w:type="dxa"/>
          </w:tblCellMar>
        </w:tblPrEx>
        <w:tc>
          <w:tcPr>
            <w:tcW w:w="3650"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投标人：</w:t>
            </w:r>
          </w:p>
        </w:tc>
        <w:tc>
          <w:tcPr>
            <w:tcW w:w="487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tblPrEx>
          <w:tblCellMar>
            <w:top w:w="0" w:type="dxa"/>
            <w:left w:w="108" w:type="dxa"/>
            <w:bottom w:w="0" w:type="dxa"/>
            <w:right w:w="108" w:type="dxa"/>
          </w:tblCellMar>
        </w:tblPrEx>
        <w:tc>
          <w:tcPr>
            <w:tcW w:w="3650"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487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tblPrEx>
          <w:tblCellMar>
            <w:top w:w="0" w:type="dxa"/>
            <w:left w:w="108" w:type="dxa"/>
            <w:bottom w:w="0" w:type="dxa"/>
            <w:right w:w="108" w:type="dxa"/>
          </w:tblCellMar>
        </w:tblPrEx>
        <w:tc>
          <w:tcPr>
            <w:tcW w:w="3650" w:type="dxa"/>
            <w:vAlign w:val="center"/>
          </w:tcPr>
          <w:p>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vAlign w:val="center"/>
          </w:tcPr>
          <w:p>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pPr>
        <w:widowControl w:val="0"/>
        <w:autoSpaceDE w:val="0"/>
        <w:autoSpaceDN w:val="0"/>
        <w:adjustRightInd w:val="0"/>
        <w:snapToGrid w:val="0"/>
        <w:ind w:firstLine="0" w:firstLineChars="0"/>
        <w:jc w:val="left"/>
        <w:rPr>
          <w:rFonts w:ascii="宋体" w:hAnsi="宋体"/>
          <w:b/>
          <w:sz w:val="44"/>
          <w:szCs w:val="44"/>
        </w:rPr>
      </w:pPr>
    </w:p>
    <w:p>
      <w:pPr>
        <w:widowControl w:val="0"/>
        <w:autoSpaceDE w:val="0"/>
        <w:autoSpaceDN w:val="0"/>
        <w:adjustRightInd w:val="0"/>
        <w:snapToGrid w:val="0"/>
        <w:ind w:firstLine="0" w:firstLineChars="0"/>
        <w:rPr>
          <w:rFonts w:ascii="宋体" w:hAnsi="宋体"/>
        </w:rPr>
      </w:pPr>
    </w:p>
    <w:p>
      <w:pPr>
        <w:widowControl w:val="0"/>
        <w:autoSpaceDE w:val="0"/>
        <w:autoSpaceDN w:val="0"/>
        <w:adjustRightInd w:val="0"/>
        <w:snapToGrid w:val="0"/>
        <w:ind w:firstLine="0" w:firstLineChars="0"/>
        <w:jc w:val="center"/>
        <w:rPr>
          <w:rFonts w:ascii="宋体" w:hAnsi="宋体"/>
          <w:b/>
          <w:sz w:val="32"/>
          <w:szCs w:val="32"/>
        </w:rPr>
      </w:pPr>
      <w:r>
        <w:rPr>
          <w:rFonts w:ascii="宋体" w:hAnsi="宋体"/>
        </w:rPr>
        <w:br w:type="page"/>
      </w:r>
      <w:r>
        <w:rPr>
          <w:rFonts w:hint="eastAsia" w:ascii="宋体" w:hAnsi="宋体"/>
          <w:b/>
          <w:sz w:val="32"/>
          <w:szCs w:val="32"/>
        </w:rPr>
        <w:t>目录</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一、资格审查文件部分</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A1、营业执照</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A2、《投标及履约承诺函》</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A3、法定代表人资格证明书</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A4、法定代表人授权委托书</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A5、投标人情况介绍</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A6、其他</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二、商务标部分</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B1、投标函</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B2、承诺书</w:t>
      </w:r>
    </w:p>
    <w:p>
      <w:pPr>
        <w:widowControl w:val="0"/>
        <w:autoSpaceDE w:val="0"/>
        <w:autoSpaceDN w:val="0"/>
        <w:adjustRightInd w:val="0"/>
        <w:snapToGrid w:val="0"/>
        <w:ind w:firstLine="0" w:firstLineChars="0"/>
        <w:jc w:val="left"/>
        <w:outlineLvl w:val="1"/>
        <w:rPr>
          <w:rFonts w:ascii="宋体" w:hAnsi="宋体"/>
          <w:szCs w:val="21"/>
        </w:rPr>
      </w:pPr>
      <w:r>
        <w:rPr>
          <w:rFonts w:hint="eastAsia" w:ascii="宋体" w:hAnsi="宋体"/>
        </w:rPr>
        <w:t>B5、</w:t>
      </w:r>
      <w:r>
        <w:rPr>
          <w:rFonts w:hint="eastAsia" w:ascii="宋体" w:hAnsi="宋体"/>
          <w:szCs w:val="21"/>
        </w:rPr>
        <w:t>投标人同类业绩</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szCs w:val="21"/>
        </w:rPr>
        <w:t>B8、诚信</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szCs w:val="21"/>
        </w:rPr>
        <w:t>B9、</w:t>
      </w:r>
      <w:r>
        <w:rPr>
          <w:rFonts w:hint="eastAsia" w:ascii="宋体" w:hAnsi="宋体"/>
        </w:rPr>
        <w:t>其他</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三、技术标部分</w:t>
      </w:r>
    </w:p>
    <w:p>
      <w:pPr>
        <w:widowControl w:val="0"/>
        <w:autoSpaceDE w:val="0"/>
        <w:autoSpaceDN w:val="0"/>
        <w:adjustRightInd w:val="0"/>
        <w:snapToGrid w:val="0"/>
        <w:ind w:firstLine="0" w:firstLineChars="0"/>
        <w:jc w:val="left"/>
        <w:outlineLvl w:val="1"/>
        <w:rPr>
          <w:rFonts w:ascii="宋体" w:hAnsi="宋体"/>
          <w:szCs w:val="21"/>
        </w:rPr>
      </w:pPr>
      <w:r>
        <w:rPr>
          <w:rFonts w:hint="eastAsia" w:ascii="宋体" w:hAnsi="宋体"/>
        </w:rPr>
        <w:t>C1、</w:t>
      </w:r>
      <w:r>
        <w:rPr>
          <w:rFonts w:hint="eastAsia" w:ascii="宋体" w:hAnsi="宋体"/>
          <w:szCs w:val="21"/>
        </w:rPr>
        <w:t>服务保障措施</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C2、</w:t>
      </w:r>
      <w:r>
        <w:rPr>
          <w:rFonts w:hint="eastAsia" w:ascii="宋体" w:hAnsi="宋体" w:cs="宋体"/>
          <w:szCs w:val="21"/>
        </w:rPr>
        <w:t>违约承诺</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C3、其他</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四、价格标部分</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D1、投标报价一览表</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rPr>
        <w:t>D2、其他（投标人认为应补充提供的其他文件资料或说明。）</w:t>
      </w:r>
      <w:r>
        <w:rPr>
          <w:rFonts w:ascii="宋体" w:hAnsi="宋体"/>
        </w:rPr>
        <w:br w:type="page"/>
      </w:r>
      <w:bookmarkStart w:id="371" w:name="_Toc49247166"/>
      <w:bookmarkStart w:id="372" w:name="_Hlk532142363"/>
      <w:r>
        <w:rPr>
          <w:rFonts w:hint="eastAsia" w:ascii="宋体" w:hAnsi="宋体"/>
          <w:b/>
          <w:sz w:val="44"/>
          <w:szCs w:val="44"/>
        </w:rPr>
        <w:t>一</w:t>
      </w:r>
      <w:r>
        <w:rPr>
          <w:rFonts w:ascii="宋体" w:hAnsi="宋体"/>
          <w:b/>
          <w:sz w:val="44"/>
          <w:szCs w:val="44"/>
        </w:rPr>
        <w:t>、</w:t>
      </w:r>
      <w:r>
        <w:rPr>
          <w:rFonts w:hint="eastAsia" w:ascii="宋体" w:hAnsi="宋体"/>
          <w:b/>
          <w:sz w:val="44"/>
          <w:szCs w:val="44"/>
        </w:rPr>
        <w:t>资格审查文件部分</w:t>
      </w:r>
      <w:bookmarkEnd w:id="371"/>
      <w:bookmarkEnd w:id="372"/>
    </w:p>
    <w:p>
      <w:pPr>
        <w:pStyle w:val="4"/>
        <w:spacing w:before="0" w:after="0"/>
        <w:ind w:firstLine="0" w:firstLineChars="0"/>
        <w:rPr>
          <w:rFonts w:ascii="宋体" w:hAnsi="宋体" w:cs="宋体"/>
          <w:b/>
          <w:bCs/>
          <w:sz w:val="21"/>
          <w:szCs w:val="21"/>
        </w:rPr>
      </w:pPr>
      <w:r>
        <w:rPr>
          <w:rFonts w:hint="eastAsia" w:ascii="宋体" w:hAnsi="宋体" w:cs="宋体"/>
          <w:b/>
          <w:bCs/>
          <w:sz w:val="21"/>
          <w:szCs w:val="21"/>
        </w:rPr>
        <w:t>A1、营业执照</w:t>
      </w:r>
    </w:p>
    <w:p>
      <w:pPr>
        <w:ind w:firstLine="422"/>
        <w:rPr>
          <w:rFonts w:ascii="宋体" w:hAnsi="宋体" w:cs="宋体"/>
          <w:b/>
          <w:bCs/>
          <w:szCs w:val="21"/>
        </w:rPr>
      </w:pPr>
    </w:p>
    <w:p>
      <w:pPr>
        <w:pStyle w:val="4"/>
        <w:spacing w:before="0" w:after="0"/>
        <w:ind w:firstLine="0" w:firstLineChars="0"/>
        <w:rPr>
          <w:rFonts w:ascii="宋体" w:hAnsi="宋体" w:cs="宋体"/>
          <w:b/>
          <w:bCs/>
          <w:sz w:val="21"/>
          <w:szCs w:val="21"/>
        </w:rPr>
      </w:pPr>
      <w:r>
        <w:rPr>
          <w:rFonts w:hint="eastAsia" w:ascii="宋体" w:hAnsi="宋体" w:cs="宋体"/>
          <w:b/>
          <w:bCs/>
          <w:sz w:val="21"/>
          <w:szCs w:val="21"/>
        </w:rPr>
        <w:t>A2、其他补充材料（如：授权函、委托书等）</w:t>
      </w:r>
    </w:p>
    <w:p>
      <w:pPr>
        <w:widowControl w:val="0"/>
        <w:autoSpaceDE w:val="0"/>
        <w:autoSpaceDN w:val="0"/>
        <w:adjustRightInd w:val="0"/>
        <w:snapToGrid w:val="0"/>
        <w:ind w:firstLine="0" w:firstLineChars="0"/>
        <w:rPr>
          <w:rFonts w:ascii="宋体" w:hAnsi="宋体" w:cs="宋体"/>
          <w:b/>
          <w:bCs/>
          <w:szCs w:val="21"/>
        </w:rPr>
      </w:pPr>
    </w:p>
    <w:p>
      <w:pPr>
        <w:pStyle w:val="4"/>
        <w:spacing w:before="0" w:after="0"/>
        <w:ind w:firstLine="0" w:firstLineChars="0"/>
        <w:rPr>
          <w:rFonts w:ascii="宋体" w:hAnsi="宋体" w:cs="宋体"/>
          <w:b/>
          <w:bCs/>
          <w:sz w:val="21"/>
          <w:szCs w:val="21"/>
        </w:rPr>
      </w:pPr>
      <w:r>
        <w:rPr>
          <w:rFonts w:hint="eastAsia" w:ascii="宋体" w:hAnsi="宋体" w:cs="宋体"/>
          <w:b/>
          <w:bCs/>
          <w:sz w:val="21"/>
          <w:szCs w:val="21"/>
        </w:rPr>
        <w:t>A3、《投标及履约承诺函》</w:t>
      </w:r>
    </w:p>
    <w:p>
      <w:pPr>
        <w:ind w:firstLine="480"/>
        <w:jc w:val="center"/>
        <w:rPr>
          <w:rFonts w:ascii="宋体" w:hAnsi="宋体" w:cs="宋体"/>
          <w:sz w:val="24"/>
        </w:rPr>
      </w:pPr>
      <w:r>
        <w:rPr>
          <w:rFonts w:hint="eastAsia" w:ascii="宋体" w:hAnsi="宋体" w:cs="宋体"/>
          <w:kern w:val="0"/>
          <w:sz w:val="24"/>
        </w:rPr>
        <w:t>投标及履约承诺函</w:t>
      </w:r>
    </w:p>
    <w:p>
      <w:pPr>
        <w:ind w:firstLine="420"/>
        <w:rPr>
          <w:rFonts w:ascii="宋体" w:hAnsi="宋体" w:cs="宋体"/>
        </w:rPr>
      </w:pPr>
      <w:r>
        <w:rPr>
          <w:rFonts w:hint="eastAsia" w:ascii="宋体" w:hAnsi="宋体" w:cs="宋体"/>
        </w:rPr>
        <w:t xml:space="preserve">致：深圳市龙华环境有限公司 </w:t>
      </w:r>
    </w:p>
    <w:p>
      <w:pPr>
        <w:ind w:firstLine="420"/>
        <w:rPr>
          <w:rFonts w:ascii="宋体" w:hAnsi="宋体" w:cs="宋体"/>
        </w:rPr>
      </w:pPr>
      <w:r>
        <w:rPr>
          <w:rFonts w:hint="eastAsia" w:ascii="宋体" w:hAnsi="宋体" w:cs="宋体"/>
        </w:rPr>
        <w:t>我单位承诺：</w:t>
      </w:r>
    </w:p>
    <w:p>
      <w:pPr>
        <w:ind w:left="-120" w:firstLine="420"/>
        <w:rPr>
          <w:rFonts w:ascii="宋体" w:hAnsi="宋体" w:cs="宋体"/>
          <w:szCs w:val="21"/>
        </w:rPr>
      </w:pPr>
      <w:r>
        <w:rPr>
          <w:rFonts w:hint="eastAsia" w:ascii="宋体" w:hAnsi="宋体" w:cs="宋体"/>
          <w:szCs w:val="21"/>
        </w:rPr>
        <w:t>1、对本招标项目所提供的货物或服务未侵犯知识产权。</w:t>
      </w:r>
    </w:p>
    <w:p>
      <w:pPr>
        <w:ind w:left="-120" w:firstLine="420"/>
        <w:rPr>
          <w:rFonts w:ascii="宋体" w:hAnsi="宋体" w:cs="宋体"/>
          <w:szCs w:val="21"/>
        </w:rPr>
      </w:pPr>
      <w:r>
        <w:rPr>
          <w:rFonts w:hint="eastAsia" w:ascii="宋体" w:hAnsi="宋体" w:cs="宋体"/>
          <w:szCs w:val="21"/>
        </w:rPr>
        <w:t>2、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left="-120" w:firstLine="420"/>
        <w:rPr>
          <w:rFonts w:ascii="宋体" w:hAnsi="宋体" w:cs="宋体"/>
          <w:szCs w:val="21"/>
        </w:rPr>
      </w:pPr>
      <w:r>
        <w:rPr>
          <w:rFonts w:hint="eastAsia" w:ascii="宋体" w:hAnsi="宋体" w:cs="宋体"/>
          <w:szCs w:val="21"/>
        </w:rPr>
        <w:t>3、我单位参与该项目投标，严格遵守相关法律，投标做到诚实，不造假，不围标、串标、陪标。我单位已清楚，如违反上述要求，其投标将作废，被列入不良记录名单并在网上曝光，同时将被提请相关部门给予审查。</w:t>
      </w:r>
    </w:p>
    <w:p>
      <w:pPr>
        <w:ind w:left="-120" w:firstLine="420"/>
        <w:rPr>
          <w:rFonts w:ascii="宋体" w:hAnsi="宋体" w:cs="宋体"/>
          <w:szCs w:val="21"/>
        </w:rPr>
      </w:pPr>
      <w:r>
        <w:rPr>
          <w:rFonts w:hint="eastAsia" w:ascii="宋体" w:hAnsi="宋体" w:cs="宋体"/>
          <w:szCs w:val="21"/>
        </w:rPr>
        <w:t>4、如果中标，做到守信，不偷工减料，不非法转包，依照本项目招标文件需求内容、签署的采购合同及本单位在投标中所作的一切承诺履约。项目验收达到全部指标合格，力争优良。</w:t>
      </w:r>
    </w:p>
    <w:p>
      <w:pPr>
        <w:ind w:left="-120" w:firstLine="420"/>
        <w:rPr>
          <w:rFonts w:ascii="宋体" w:hAnsi="宋体" w:cs="宋体"/>
          <w:szCs w:val="21"/>
        </w:rPr>
      </w:pPr>
      <w:r>
        <w:rPr>
          <w:rFonts w:hint="eastAsia" w:ascii="宋体" w:hAnsi="宋体" w:cs="宋体"/>
          <w:szCs w:val="21"/>
        </w:rPr>
        <w:t>5、我单位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且愿意接受相关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相关部门的处理处罚。</w:t>
      </w:r>
    </w:p>
    <w:p>
      <w:pPr>
        <w:ind w:left="-120" w:firstLine="420"/>
        <w:rPr>
          <w:rFonts w:ascii="宋体" w:hAnsi="宋体" w:cs="宋体"/>
          <w:szCs w:val="21"/>
        </w:rPr>
      </w:pPr>
      <w:r>
        <w:rPr>
          <w:rFonts w:hint="eastAsia" w:ascii="宋体" w:hAnsi="宋体" w:cs="宋体"/>
          <w:szCs w:val="21"/>
        </w:rPr>
        <w:t>6、我单位参与本项目投标前三年内，在经营活动中不存在</w:t>
      </w:r>
      <w:r>
        <w:rPr>
          <w:rFonts w:hint="eastAsia" w:ascii="宋体" w:hAnsi="宋体" w:cs="宋体"/>
        </w:rPr>
        <w:t>重大违法记录</w:t>
      </w:r>
      <w:r>
        <w:rPr>
          <w:rFonts w:hint="eastAsia" w:ascii="宋体" w:hAnsi="宋体" w:cs="宋体"/>
          <w:szCs w:val="21"/>
        </w:rPr>
        <w:t>的情形。</w:t>
      </w:r>
      <w:r>
        <w:rPr>
          <w:rFonts w:hint="eastAsia" w:ascii="宋体" w:hAnsi="宋体" w:cs="宋体"/>
        </w:rPr>
        <w:t>（重大违法记录是指：因违法经营受到刑事处罚或者责令停产停业、吊销许可证或者执照、较大数额罚款等行政处罚）</w:t>
      </w:r>
    </w:p>
    <w:p>
      <w:pPr>
        <w:ind w:left="-120" w:firstLine="420"/>
        <w:rPr>
          <w:rFonts w:ascii="宋体" w:hAnsi="宋体" w:cs="宋体"/>
          <w:szCs w:val="21"/>
        </w:rPr>
      </w:pPr>
      <w:r>
        <w:rPr>
          <w:rFonts w:hint="eastAsia" w:ascii="宋体" w:hAnsi="宋体" w:cs="宋体"/>
          <w:szCs w:val="21"/>
        </w:rPr>
        <w:t>7、我单位参与本项目时不存在被有关部门禁止参与本项目且在有效期内的情况。</w:t>
      </w:r>
    </w:p>
    <w:p>
      <w:pPr>
        <w:ind w:left="-120" w:firstLine="420"/>
        <w:rPr>
          <w:rFonts w:ascii="宋体" w:hAnsi="宋体" w:cs="宋体"/>
          <w:szCs w:val="21"/>
        </w:rPr>
      </w:pPr>
      <w:r>
        <w:rPr>
          <w:rFonts w:hint="eastAsia" w:ascii="宋体" w:hAnsi="宋体" w:cs="宋体"/>
          <w:szCs w:val="21"/>
        </w:rPr>
        <w:t>8、我单位参与本项目近三年内（投标人成立不足三年的可从成立之日起算），我单位、单位法定代表人均无行贿犯罪记录。</w:t>
      </w:r>
    </w:p>
    <w:p>
      <w:pPr>
        <w:ind w:left="-120" w:firstLine="420"/>
        <w:rPr>
          <w:rFonts w:ascii="宋体" w:hAnsi="宋体" w:cs="宋体"/>
          <w:szCs w:val="21"/>
        </w:rPr>
      </w:pPr>
      <w:r>
        <w:rPr>
          <w:rFonts w:hint="eastAsia" w:ascii="宋体" w:hAnsi="宋体" w:cs="宋体"/>
          <w:szCs w:val="21"/>
        </w:rPr>
        <w:t>9、参照《中华人民共和国政府采购法实施条例》第十八条规定，我单位承诺：不存在“单位负责人为同一人或者存在直接控股、管理关系的不同供应商，参加同一合同项下的招标项目”的情形。</w:t>
      </w:r>
    </w:p>
    <w:p>
      <w:pPr>
        <w:ind w:left="-120" w:firstLine="420"/>
        <w:rPr>
          <w:rFonts w:ascii="宋体" w:hAnsi="宋体" w:cs="宋体"/>
          <w:szCs w:val="21"/>
        </w:rPr>
      </w:pPr>
      <w:r>
        <w:rPr>
          <w:rFonts w:hint="eastAsia" w:ascii="宋体" w:hAnsi="宋体" w:cs="宋体"/>
          <w:szCs w:val="21"/>
        </w:rPr>
        <w:t>10、参照《中华人民共和国政府采购法》第二十二条规定，我单位承诺：具备供应商参加本项目应当具备的条件：（一）具有独立承担民事责任的能力；（二）具有良好的商业信誉和健全的财务会计制度（如为新成立公司需提供情况说明，证明无财务往来等情况；以上均未能提供，需提供承诺函，承诺具有良好的商业信誉和健全的财务会计制度；）；（三）具有履行合同所必需的设备和专业技术能力；（四）有依法缴纳税收和社会保障资金的良好记录（如为新成立公司需提供情况说明，证明人员情况；以上均未能提供，需提供承诺函，承诺将会依法缴纳税收和社会保障资金；）。</w:t>
      </w:r>
    </w:p>
    <w:p>
      <w:pPr>
        <w:pStyle w:val="109"/>
        <w:ind w:firstLine="420"/>
        <w:rPr>
          <w:rFonts w:hAnsi="宋体" w:cs="宋体"/>
        </w:rPr>
      </w:pPr>
      <w:r>
        <w:rPr>
          <w:rFonts w:hint="eastAsia" w:hAnsi="宋体" w:cs="宋体"/>
        </w:rPr>
        <w:t>以上承诺，如有违反，愿依照国家相关法律接受相关处理结果，并愿承担由此给采购人带来的损失。</w:t>
      </w:r>
    </w:p>
    <w:p>
      <w:pPr>
        <w:ind w:firstLine="420"/>
        <w:rPr>
          <w:rFonts w:ascii="宋体" w:hAnsi="宋体" w:cs="宋体"/>
        </w:rPr>
      </w:pPr>
      <w:r>
        <w:rPr>
          <w:rFonts w:hint="eastAsia" w:ascii="宋体" w:hAnsi="宋体" w:cs="宋体"/>
        </w:rPr>
        <w:t xml:space="preserve">   </w:t>
      </w:r>
    </w:p>
    <w:p>
      <w:pPr>
        <w:ind w:firstLine="420"/>
        <w:rPr>
          <w:rFonts w:ascii="宋体" w:hAnsi="宋体" w:cs="宋体"/>
        </w:rPr>
      </w:pPr>
      <w:r>
        <w:rPr>
          <w:rFonts w:hint="eastAsia" w:ascii="宋体" w:hAnsi="宋体" w:cs="宋体"/>
        </w:rPr>
        <w:t xml:space="preserve"> </w:t>
      </w:r>
    </w:p>
    <w:p>
      <w:pPr>
        <w:ind w:firstLine="420"/>
        <w:rPr>
          <w:rFonts w:ascii="宋体" w:hAnsi="宋体" w:cs="宋体"/>
        </w:rPr>
      </w:pPr>
      <w:r>
        <w:rPr>
          <w:rFonts w:hint="eastAsia" w:ascii="宋体" w:hAnsi="宋体" w:cs="宋体"/>
        </w:rPr>
        <w:t xml:space="preserve">                                       投标单位名称：</w:t>
      </w:r>
    </w:p>
    <w:p>
      <w:pPr>
        <w:ind w:firstLine="420"/>
        <w:rPr>
          <w:rFonts w:ascii="宋体" w:hAnsi="宋体"/>
          <w:b/>
          <w:sz w:val="44"/>
          <w:szCs w:val="44"/>
        </w:rPr>
      </w:pPr>
      <w:r>
        <w:rPr>
          <w:rFonts w:hint="eastAsia" w:ascii="宋体" w:hAnsi="宋体" w:cs="宋体"/>
        </w:rPr>
        <w:t xml:space="preserve">                               </w:t>
      </w:r>
      <w:r>
        <w:rPr>
          <w:rFonts w:hint="eastAsia" w:ascii="宋体" w:hAnsi="宋体" w:cs="宋体"/>
          <w:b/>
          <w:bCs/>
          <w:szCs w:val="21"/>
        </w:rPr>
        <w:t xml:space="preserve">       </w:t>
      </w:r>
      <w:r>
        <w:rPr>
          <w:rFonts w:hint="eastAsia" w:ascii="宋体" w:hAnsi="宋体" w:cs="宋体"/>
        </w:rPr>
        <w:t xml:space="preserve"> 日期：   年   月   日</w:t>
      </w:r>
    </w:p>
    <w:p>
      <w:pPr>
        <w:widowControl w:val="0"/>
        <w:autoSpaceDE w:val="0"/>
        <w:autoSpaceDN w:val="0"/>
        <w:adjustRightInd w:val="0"/>
        <w:snapToGrid w:val="0"/>
        <w:ind w:firstLine="0" w:firstLineChars="0"/>
        <w:jc w:val="left"/>
        <w:rPr>
          <w:rFonts w:ascii="宋体" w:hAnsi="宋体" w:cs="宋体"/>
          <w:b/>
          <w:bCs/>
          <w:szCs w:val="21"/>
        </w:rPr>
      </w:pPr>
    </w:p>
    <w:p>
      <w:pPr>
        <w:widowControl w:val="0"/>
        <w:autoSpaceDE w:val="0"/>
        <w:autoSpaceDN w:val="0"/>
        <w:adjustRightInd w:val="0"/>
        <w:snapToGrid w:val="0"/>
        <w:ind w:firstLine="0" w:firstLineChars="0"/>
        <w:jc w:val="left"/>
        <w:rPr>
          <w:rFonts w:ascii="宋体" w:hAnsi="宋体" w:cs="宋体"/>
          <w:b/>
          <w:bCs/>
          <w:szCs w:val="21"/>
        </w:rPr>
      </w:pPr>
    </w:p>
    <w:p>
      <w:pPr>
        <w:widowControl w:val="0"/>
        <w:autoSpaceDE w:val="0"/>
        <w:autoSpaceDN w:val="0"/>
        <w:adjustRightInd w:val="0"/>
        <w:snapToGrid w:val="0"/>
        <w:ind w:firstLine="0" w:firstLineChars="0"/>
        <w:jc w:val="left"/>
        <w:rPr>
          <w:rFonts w:ascii="宋体" w:hAnsi="宋体" w:cs="宋体"/>
          <w:b/>
          <w:bCs/>
          <w:szCs w:val="21"/>
        </w:rPr>
      </w:pPr>
    </w:p>
    <w:p>
      <w:pPr>
        <w:widowControl w:val="0"/>
        <w:autoSpaceDE w:val="0"/>
        <w:autoSpaceDN w:val="0"/>
        <w:adjustRightInd w:val="0"/>
        <w:snapToGrid w:val="0"/>
        <w:ind w:firstLine="0" w:firstLineChars="0"/>
        <w:jc w:val="left"/>
        <w:rPr>
          <w:rFonts w:ascii="宋体" w:hAnsi="宋体" w:cs="宋体"/>
          <w:b/>
          <w:bCs/>
          <w:szCs w:val="21"/>
        </w:rPr>
      </w:pPr>
    </w:p>
    <w:p>
      <w:pPr>
        <w:widowControl w:val="0"/>
        <w:autoSpaceDE w:val="0"/>
        <w:autoSpaceDN w:val="0"/>
        <w:adjustRightInd w:val="0"/>
        <w:snapToGrid w:val="0"/>
        <w:ind w:firstLine="0" w:firstLineChars="0"/>
        <w:jc w:val="left"/>
        <w:rPr>
          <w:rFonts w:ascii="宋体" w:hAnsi="宋体" w:cs="宋体"/>
          <w:b/>
          <w:bCs/>
          <w:szCs w:val="21"/>
        </w:rPr>
      </w:pPr>
    </w:p>
    <w:p>
      <w:pPr>
        <w:pStyle w:val="4"/>
        <w:spacing w:before="0" w:after="0"/>
        <w:ind w:firstLine="0" w:firstLineChars="0"/>
        <w:rPr>
          <w:rFonts w:ascii="宋体" w:hAnsi="宋体" w:cs="宋体"/>
          <w:b/>
          <w:bCs/>
          <w:sz w:val="21"/>
          <w:szCs w:val="21"/>
        </w:rPr>
      </w:pPr>
      <w:bookmarkStart w:id="373" w:name="_Toc390444141"/>
      <w:bookmarkStart w:id="374" w:name="_Toc280341016"/>
      <w:bookmarkStart w:id="375" w:name="_Toc278892899"/>
      <w:bookmarkStart w:id="376" w:name="_Hlk532142439"/>
      <w:r>
        <w:rPr>
          <w:rFonts w:hint="eastAsia" w:ascii="宋体" w:hAnsi="宋体" w:cs="宋体"/>
          <w:b/>
          <w:bCs/>
          <w:sz w:val="21"/>
          <w:szCs w:val="21"/>
        </w:rPr>
        <w:t>A4、法定代表人资格证明书</w:t>
      </w:r>
      <w:bookmarkEnd w:id="373"/>
      <w:bookmarkEnd w:id="374"/>
      <w:bookmarkEnd w:id="375"/>
    </w:p>
    <w:p>
      <w:pPr>
        <w:widowControl w:val="0"/>
        <w:autoSpaceDE w:val="0"/>
        <w:autoSpaceDN w:val="0"/>
        <w:adjustRightInd w:val="0"/>
        <w:snapToGrid w:val="0"/>
        <w:ind w:firstLine="0" w:firstLineChars="0"/>
        <w:jc w:val="left"/>
        <w:rPr>
          <w:rFonts w:ascii="宋体" w:hAnsi="宋体"/>
          <w:sz w:val="24"/>
        </w:rPr>
      </w:pPr>
    </w:p>
    <w:bookmarkEnd w:id="376"/>
    <w:p>
      <w:pPr>
        <w:widowControl w:val="0"/>
        <w:autoSpaceDE w:val="0"/>
        <w:autoSpaceDN w:val="0"/>
        <w:adjustRightInd w:val="0"/>
        <w:snapToGrid w:val="0"/>
        <w:ind w:firstLine="0" w:firstLineChars="0"/>
        <w:jc w:val="center"/>
        <w:rPr>
          <w:rFonts w:ascii="宋体" w:hAnsi="宋体"/>
          <w:b/>
          <w:sz w:val="32"/>
          <w:szCs w:val="32"/>
        </w:rPr>
      </w:pPr>
      <w:bookmarkStart w:id="377" w:name="_Hlk532142471"/>
      <w:r>
        <w:rPr>
          <w:rFonts w:hint="eastAsia" w:ascii="宋体" w:hAnsi="宋体"/>
          <w:b/>
          <w:sz w:val="32"/>
          <w:szCs w:val="32"/>
        </w:rPr>
        <w:t>法定代表人资格证明书</w:t>
      </w:r>
    </w:p>
    <w:p>
      <w:pPr>
        <w:widowControl w:val="0"/>
        <w:autoSpaceDE w:val="0"/>
        <w:autoSpaceDN w:val="0"/>
        <w:adjustRightInd w:val="0"/>
        <w:snapToGrid w:val="0"/>
        <w:ind w:firstLine="0" w:firstLineChars="0"/>
        <w:jc w:val="left"/>
        <w:rPr>
          <w:rFonts w:ascii="宋体" w:hAnsi="宋体"/>
          <w:sz w:val="24"/>
        </w:rPr>
      </w:pP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（投标人名称）  </w:t>
      </w:r>
      <w:r>
        <w:rPr>
          <w:rFonts w:hint="eastAsia" w:ascii="宋体" w:hAnsi="宋体"/>
          <w:szCs w:val="21"/>
        </w:rPr>
        <w:t>的法定代表人。</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pPr>
        <w:widowControl w:val="0"/>
        <w:autoSpaceDE w:val="0"/>
        <w:autoSpaceDN w:val="0"/>
        <w:adjustRightInd w:val="0"/>
        <w:snapToGrid w:val="0"/>
        <w:ind w:firstLine="0" w:firstLineChars="0"/>
        <w:jc w:val="left"/>
        <w:rPr>
          <w:rFonts w:ascii="宋体" w:hAnsi="宋体"/>
          <w:bCs/>
          <w:szCs w:val="21"/>
        </w:rPr>
      </w:pP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r>
        <w:rPr>
          <w:rFonts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val="0"/>
        <w:autoSpaceDE w:val="0"/>
        <w:autoSpaceDN w:val="0"/>
        <w:adjustRightInd w:val="0"/>
        <w:snapToGrid w:val="0"/>
        <w:ind w:firstLine="0" w:firstLineChars="0"/>
        <w:jc w:val="left"/>
        <w:rPr>
          <w:rFonts w:ascii="宋体" w:hAnsi="宋体"/>
          <w:szCs w:val="21"/>
        </w:rPr>
      </w:pP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pPr>
        <w:widowControl w:val="0"/>
        <w:autoSpaceDE w:val="0"/>
        <w:autoSpaceDN w:val="0"/>
        <w:adjustRightInd w:val="0"/>
        <w:snapToGrid w:val="0"/>
        <w:ind w:firstLine="0" w:firstLineChars="0"/>
        <w:jc w:val="left"/>
        <w:rPr>
          <w:rFonts w:ascii="宋体" w:hAnsi="宋体"/>
          <w:szCs w:val="21"/>
        </w:rPr>
      </w:pPr>
      <w:r>
        <w:rPr>
          <w:rFonts w:ascii="宋体" w:hAnsi="宋体"/>
          <w:szCs w:val="21"/>
        </w:rPr>
        <w:t>1</w:t>
      </w:r>
      <w:r>
        <w:rPr>
          <w:rFonts w:hint="eastAsia" w:ascii="宋体" w:hAnsi="宋体"/>
          <w:szCs w:val="21"/>
        </w:rPr>
        <w:t>、如为法定代表人参加本次投标活动时，则不需要填写“法定代表人授权委托书”。</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2、后附法定代表人身份证扫描件。</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3、格式仅供参考</w:t>
      </w:r>
    </w:p>
    <w:p>
      <w:pPr>
        <w:widowControl w:val="0"/>
        <w:autoSpaceDE w:val="0"/>
        <w:autoSpaceDN w:val="0"/>
        <w:adjustRightInd w:val="0"/>
        <w:snapToGrid w:val="0"/>
        <w:ind w:firstLine="0" w:firstLineChars="0"/>
        <w:jc w:val="left"/>
        <w:rPr>
          <w:rFonts w:ascii="宋体" w:hAnsi="宋体"/>
          <w:b/>
          <w:szCs w:val="21"/>
        </w:rPr>
      </w:pPr>
    </w:p>
    <w:p>
      <w:pPr>
        <w:pStyle w:val="4"/>
        <w:spacing w:before="0" w:after="0"/>
        <w:ind w:firstLine="0" w:firstLineChars="0"/>
        <w:rPr>
          <w:rFonts w:ascii="宋体" w:hAnsi="宋体" w:cs="宋体"/>
          <w:b/>
          <w:bCs/>
          <w:sz w:val="21"/>
          <w:szCs w:val="21"/>
        </w:rPr>
      </w:pPr>
      <w:r>
        <w:rPr>
          <w:rFonts w:hint="eastAsia" w:ascii="宋体" w:hAnsi="宋体" w:cs="宋体"/>
          <w:b/>
          <w:bCs/>
          <w:sz w:val="21"/>
          <w:szCs w:val="21"/>
        </w:rPr>
        <w:t>A5、法定代表人授权委托书</w:t>
      </w:r>
    </w:p>
    <w:p>
      <w:pPr>
        <w:widowControl w:val="0"/>
        <w:autoSpaceDE w:val="0"/>
        <w:autoSpaceDN w:val="0"/>
        <w:adjustRightInd w:val="0"/>
        <w:snapToGrid w:val="0"/>
        <w:ind w:firstLine="0" w:firstLineChars="0"/>
        <w:jc w:val="left"/>
        <w:rPr>
          <w:rFonts w:ascii="宋体" w:hAnsi="宋体"/>
          <w:b/>
          <w:sz w:val="28"/>
          <w:szCs w:val="28"/>
        </w:rPr>
      </w:pPr>
    </w:p>
    <w:bookmarkEnd w:id="377"/>
    <w:p>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法定代表人授权委托书</w:t>
      </w:r>
    </w:p>
    <w:p>
      <w:pPr>
        <w:widowControl w:val="0"/>
        <w:autoSpaceDE w:val="0"/>
        <w:autoSpaceDN w:val="0"/>
        <w:adjustRightInd w:val="0"/>
        <w:snapToGrid w:val="0"/>
        <w:ind w:firstLine="0" w:firstLineChars="0"/>
        <w:jc w:val="left"/>
        <w:rPr>
          <w:rFonts w:ascii="宋体" w:hAnsi="宋体"/>
          <w:sz w:val="24"/>
        </w:rPr>
      </w:pPr>
    </w:p>
    <w:p>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深圳市龙华环境有限公司  </w:t>
      </w:r>
    </w:p>
    <w:p>
      <w:pPr>
        <w:widowControl w:val="0"/>
        <w:autoSpaceDE w:val="0"/>
        <w:autoSpaceDN w:val="0"/>
        <w:adjustRightInd w:val="0"/>
        <w:snapToGrid w:val="0"/>
        <w:ind w:firstLine="0" w:firstLineChars="0"/>
        <w:jc w:val="left"/>
        <w:rPr>
          <w:rFonts w:ascii="宋体" w:hAnsi="宋体"/>
          <w:szCs w:val="21"/>
        </w:rPr>
      </w:pP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（投标人全称）</w:t>
      </w:r>
      <w:r>
        <w:rPr>
          <w:rFonts w:hint="eastAsia" w:ascii="宋体" w:hAnsi="宋体"/>
          <w:szCs w:val="21"/>
        </w:rPr>
        <w:t>的</w:t>
      </w:r>
      <w:r>
        <w:rPr>
          <w:rFonts w:hint="eastAsia" w:ascii="宋体" w:hAnsi="宋体"/>
          <w:szCs w:val="21"/>
          <w:u w:val="single"/>
        </w:rPr>
        <w:t xml:space="preserve"> （职务）（姓名）</w:t>
      </w:r>
      <w:r>
        <w:rPr>
          <w:rFonts w:hint="eastAsia" w:ascii="宋体" w:hAnsi="宋体"/>
          <w:szCs w:val="21"/>
        </w:rPr>
        <w:t>以其法定代表人的身份，合法地代表本单位，授权</w:t>
      </w:r>
      <w:r>
        <w:rPr>
          <w:rFonts w:hint="eastAsia" w:ascii="宋体" w:hAnsi="宋体"/>
          <w:szCs w:val="21"/>
          <w:u w:val="single"/>
        </w:rPr>
        <w:t xml:space="preserve"> （投标人全称） </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为我单位授权代理人，该授权代理人有权在的投标活动中，以我单位的名义签署投标函和投标文件、与招标人协商、谈判、签订合同协议以及全权处理与此有关的一切事项，其法律后果由我单位承担。</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pPr>
        <w:widowControl w:val="0"/>
        <w:autoSpaceDE w:val="0"/>
        <w:autoSpaceDN w:val="0"/>
        <w:adjustRightInd w:val="0"/>
        <w:snapToGrid w:val="0"/>
        <w:ind w:firstLine="0" w:firstLineChars="0"/>
        <w:jc w:val="left"/>
        <w:rPr>
          <w:rFonts w:ascii="宋体" w:hAnsi="宋体"/>
          <w:szCs w:val="21"/>
        </w:rPr>
      </w:pP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val="0"/>
        <w:autoSpaceDE w:val="0"/>
        <w:autoSpaceDN w:val="0"/>
        <w:adjustRightInd w:val="0"/>
        <w:snapToGrid w:val="0"/>
        <w:ind w:firstLine="0" w:firstLineChars="0"/>
        <w:jc w:val="left"/>
        <w:rPr>
          <w:rFonts w:ascii="宋体" w:hAnsi="宋体"/>
          <w:szCs w:val="21"/>
        </w:rPr>
      </w:pP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1、如为法定代表人参加本次投标活动时，则不需要填写“法定代表人授权委托书”；</w:t>
      </w:r>
    </w:p>
    <w:p>
      <w:pPr>
        <w:widowControl w:val="0"/>
        <w:autoSpaceDE w:val="0"/>
        <w:autoSpaceDN w:val="0"/>
        <w:adjustRightInd w:val="0"/>
        <w:snapToGrid w:val="0"/>
        <w:ind w:firstLine="0" w:firstLineChars="0"/>
        <w:jc w:val="left"/>
        <w:rPr>
          <w:rFonts w:ascii="宋体" w:hAnsi="宋体"/>
          <w:b/>
          <w:szCs w:val="21"/>
        </w:rPr>
      </w:pPr>
      <w:r>
        <w:rPr>
          <w:rFonts w:hint="eastAsia" w:ascii="宋体" w:hAnsi="宋体"/>
          <w:szCs w:val="21"/>
        </w:rPr>
        <w:t>2、后附授权代理人身份证扫描件</w:t>
      </w:r>
      <w:r>
        <w:rPr>
          <w:rFonts w:hint="eastAsia" w:ascii="宋体" w:hAnsi="宋体"/>
          <w:spacing w:val="-8"/>
          <w:szCs w:val="21"/>
        </w:rPr>
        <w:t>；</w:t>
      </w:r>
    </w:p>
    <w:p>
      <w:pPr>
        <w:widowControl w:val="0"/>
        <w:autoSpaceDE w:val="0"/>
        <w:autoSpaceDN w:val="0"/>
        <w:adjustRightInd w:val="0"/>
        <w:snapToGrid w:val="0"/>
        <w:ind w:firstLine="0" w:firstLineChars="0"/>
        <w:jc w:val="left"/>
        <w:rPr>
          <w:rFonts w:ascii="宋体" w:hAnsi="宋体"/>
          <w:szCs w:val="21"/>
        </w:rPr>
      </w:pPr>
      <w:r>
        <w:rPr>
          <w:rFonts w:ascii="宋体" w:hAnsi="宋体"/>
          <w:spacing w:val="-8"/>
          <w:szCs w:val="21"/>
        </w:rPr>
        <w:t>3</w:t>
      </w:r>
      <w:r>
        <w:rPr>
          <w:rFonts w:hint="eastAsia" w:ascii="宋体" w:hAnsi="宋体"/>
          <w:spacing w:val="-8"/>
          <w:szCs w:val="21"/>
        </w:rPr>
        <w:t>、</w:t>
      </w:r>
      <w:r>
        <w:rPr>
          <w:rFonts w:hint="eastAsia" w:ascii="宋体" w:hAnsi="宋体"/>
          <w:szCs w:val="21"/>
        </w:rPr>
        <w:t>格式仅供</w:t>
      </w:r>
      <w:r>
        <w:rPr>
          <w:rFonts w:ascii="宋体" w:hAnsi="宋体"/>
          <w:szCs w:val="21"/>
        </w:rPr>
        <w:t>参考。</w:t>
      </w:r>
    </w:p>
    <w:p>
      <w:pPr>
        <w:widowControl w:val="0"/>
        <w:autoSpaceDE w:val="0"/>
        <w:autoSpaceDN w:val="0"/>
        <w:adjustRightInd w:val="0"/>
        <w:snapToGrid w:val="0"/>
        <w:ind w:firstLine="0" w:firstLineChars="0"/>
        <w:rPr>
          <w:rFonts w:ascii="宋体" w:hAnsi="宋体"/>
          <w:b/>
          <w:bCs/>
          <w:sz w:val="32"/>
          <w:szCs w:val="32"/>
        </w:rPr>
      </w:pPr>
    </w:p>
    <w:p>
      <w:pPr>
        <w:pStyle w:val="4"/>
        <w:spacing w:before="0" w:after="0"/>
        <w:ind w:firstLine="0" w:firstLineChars="0"/>
        <w:rPr>
          <w:rFonts w:ascii="宋体" w:hAnsi="宋体" w:cs="宋体"/>
          <w:b/>
          <w:sz w:val="21"/>
          <w:szCs w:val="21"/>
        </w:rPr>
      </w:pPr>
      <w:r>
        <w:rPr>
          <w:rFonts w:ascii="宋体" w:hAnsi="宋体"/>
          <w:b/>
          <w:bCs/>
          <w:sz w:val="28"/>
          <w:szCs w:val="28"/>
        </w:rPr>
        <w:br w:type="page"/>
      </w:r>
      <w:r>
        <w:rPr>
          <w:rFonts w:hint="eastAsia" w:ascii="宋体" w:hAnsi="宋体"/>
          <w:b/>
          <w:sz w:val="21"/>
          <w:szCs w:val="21"/>
        </w:rPr>
        <w:t>A6、</w:t>
      </w:r>
      <w:r>
        <w:rPr>
          <w:rFonts w:hint="eastAsia" w:ascii="宋体" w:hAnsi="宋体" w:cs="宋体"/>
          <w:b/>
          <w:sz w:val="21"/>
          <w:szCs w:val="21"/>
        </w:rPr>
        <w:t>投标人情况介绍</w:t>
      </w:r>
    </w:p>
    <w:p>
      <w:pPr>
        <w:ind w:firstLine="420"/>
      </w:pPr>
    </w:p>
    <w:tbl>
      <w:tblPr>
        <w:tblStyle w:val="49"/>
        <w:tblW w:w="91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477"/>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748" w:type="dxa"/>
            <w:vAlign w:val="center"/>
          </w:tcPr>
          <w:p>
            <w:pPr>
              <w:ind w:left="1" w:leftChars="-95" w:hanging="200" w:hangingChars="95"/>
              <w:jc w:val="center"/>
              <w:rPr>
                <w:b/>
                <w:szCs w:val="21"/>
              </w:rPr>
            </w:pPr>
            <w:r>
              <w:rPr>
                <w:rFonts w:hint="eastAsia"/>
                <w:b/>
                <w:szCs w:val="21"/>
              </w:rPr>
              <w:t>序号</w:t>
            </w:r>
          </w:p>
        </w:tc>
        <w:tc>
          <w:tcPr>
            <w:tcW w:w="2477" w:type="dxa"/>
          </w:tcPr>
          <w:p>
            <w:pPr>
              <w:ind w:firstLine="422"/>
              <w:jc w:val="center"/>
              <w:rPr>
                <w:b/>
                <w:szCs w:val="21"/>
              </w:rPr>
            </w:pPr>
            <w:r>
              <w:rPr>
                <w:rFonts w:hint="eastAsia"/>
                <w:b/>
                <w:szCs w:val="21"/>
              </w:rPr>
              <w:t>项  目</w:t>
            </w:r>
          </w:p>
        </w:tc>
        <w:tc>
          <w:tcPr>
            <w:tcW w:w="4514" w:type="dxa"/>
            <w:vAlign w:val="center"/>
          </w:tcPr>
          <w:p>
            <w:pPr>
              <w:ind w:firstLine="422"/>
              <w:jc w:val="center"/>
              <w:rPr>
                <w:b/>
                <w:szCs w:val="21"/>
              </w:rPr>
            </w:pPr>
            <w:r>
              <w:rPr>
                <w:rFonts w:hint="eastAsia"/>
                <w:b/>
                <w:szCs w:val="21"/>
              </w:rPr>
              <w:t>内容及说明</w:t>
            </w:r>
          </w:p>
        </w:tc>
        <w:tc>
          <w:tcPr>
            <w:tcW w:w="1411" w:type="dxa"/>
            <w:vAlign w:val="center"/>
          </w:tcPr>
          <w:p>
            <w:pPr>
              <w:ind w:firstLine="422"/>
              <w:jc w:val="center"/>
              <w:rPr>
                <w:b/>
                <w:szCs w:val="21"/>
              </w:rPr>
            </w:pPr>
            <w:r>
              <w:rPr>
                <w:rFonts w:hint="eastAsia"/>
                <w:b/>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748" w:type="dxa"/>
            <w:vAlign w:val="center"/>
          </w:tcPr>
          <w:p>
            <w:pPr>
              <w:ind w:firstLine="422"/>
              <w:jc w:val="center"/>
              <w:rPr>
                <w:b/>
                <w:szCs w:val="21"/>
              </w:rPr>
            </w:pPr>
            <w:r>
              <w:rPr>
                <w:rFonts w:hint="eastAsia"/>
                <w:b/>
                <w:szCs w:val="21"/>
              </w:rPr>
              <w:t>一</w:t>
            </w:r>
          </w:p>
        </w:tc>
        <w:tc>
          <w:tcPr>
            <w:tcW w:w="6991" w:type="dxa"/>
            <w:gridSpan w:val="2"/>
          </w:tcPr>
          <w:p>
            <w:pPr>
              <w:ind w:firstLine="422"/>
              <w:rPr>
                <w:b/>
                <w:szCs w:val="21"/>
              </w:rPr>
            </w:pPr>
            <w:r>
              <w:rPr>
                <w:rFonts w:hint="eastAsia"/>
                <w:b/>
                <w:szCs w:val="21"/>
              </w:rPr>
              <w:t>营业执照</w:t>
            </w: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0"/>
              <w:jc w:val="center"/>
              <w:rPr>
                <w:szCs w:val="21"/>
              </w:rPr>
            </w:pPr>
            <w:r>
              <w:rPr>
                <w:rFonts w:hint="eastAsia"/>
                <w:szCs w:val="21"/>
              </w:rPr>
              <w:t>1</w:t>
            </w:r>
          </w:p>
        </w:tc>
        <w:tc>
          <w:tcPr>
            <w:tcW w:w="2477" w:type="dxa"/>
            <w:vAlign w:val="center"/>
          </w:tcPr>
          <w:p>
            <w:pPr>
              <w:ind w:firstLine="0" w:firstLineChars="0"/>
              <w:jc w:val="center"/>
              <w:rPr>
                <w:szCs w:val="21"/>
              </w:rPr>
            </w:pPr>
            <w:r>
              <w:rPr>
                <w:rFonts w:hint="eastAsia"/>
                <w:szCs w:val="21"/>
              </w:rPr>
              <w:t>注册年度及注册编号</w:t>
            </w:r>
          </w:p>
        </w:tc>
        <w:tc>
          <w:tcPr>
            <w:tcW w:w="4514" w:type="dxa"/>
            <w:vAlign w:val="center"/>
          </w:tcPr>
          <w:p>
            <w:pPr>
              <w:ind w:firstLine="420"/>
              <w:rPr>
                <w:szCs w:val="21"/>
              </w:rPr>
            </w:pP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0"/>
              <w:jc w:val="center"/>
              <w:rPr>
                <w:szCs w:val="21"/>
              </w:rPr>
            </w:pPr>
            <w:r>
              <w:rPr>
                <w:rFonts w:hint="eastAsia"/>
                <w:szCs w:val="21"/>
              </w:rPr>
              <w:t>2</w:t>
            </w:r>
          </w:p>
        </w:tc>
        <w:tc>
          <w:tcPr>
            <w:tcW w:w="2477" w:type="dxa"/>
            <w:vAlign w:val="center"/>
          </w:tcPr>
          <w:p>
            <w:pPr>
              <w:ind w:firstLine="420"/>
              <w:jc w:val="center"/>
              <w:rPr>
                <w:szCs w:val="21"/>
              </w:rPr>
            </w:pPr>
            <w:r>
              <w:rPr>
                <w:rFonts w:hint="eastAsia"/>
                <w:szCs w:val="21"/>
              </w:rPr>
              <w:t>注册资金（万元）</w:t>
            </w:r>
          </w:p>
        </w:tc>
        <w:tc>
          <w:tcPr>
            <w:tcW w:w="4514" w:type="dxa"/>
            <w:vAlign w:val="center"/>
          </w:tcPr>
          <w:p>
            <w:pPr>
              <w:ind w:firstLine="420"/>
              <w:rPr>
                <w:szCs w:val="21"/>
              </w:rPr>
            </w:pP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0"/>
              <w:jc w:val="center"/>
              <w:rPr>
                <w:szCs w:val="21"/>
              </w:rPr>
            </w:pPr>
            <w:r>
              <w:rPr>
                <w:rFonts w:hint="eastAsia"/>
                <w:szCs w:val="21"/>
              </w:rPr>
              <w:t>3</w:t>
            </w:r>
          </w:p>
        </w:tc>
        <w:tc>
          <w:tcPr>
            <w:tcW w:w="2477" w:type="dxa"/>
            <w:vAlign w:val="center"/>
          </w:tcPr>
          <w:p>
            <w:pPr>
              <w:ind w:firstLine="420"/>
              <w:jc w:val="center"/>
              <w:rPr>
                <w:szCs w:val="21"/>
              </w:rPr>
            </w:pPr>
            <w:r>
              <w:rPr>
                <w:rFonts w:hint="eastAsia"/>
                <w:szCs w:val="21"/>
              </w:rPr>
              <w:t>经营场所</w:t>
            </w:r>
          </w:p>
        </w:tc>
        <w:tc>
          <w:tcPr>
            <w:tcW w:w="4514" w:type="dxa"/>
            <w:vAlign w:val="center"/>
          </w:tcPr>
          <w:p>
            <w:pPr>
              <w:ind w:firstLine="420"/>
              <w:rPr>
                <w:szCs w:val="21"/>
              </w:rPr>
            </w:pP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0"/>
              <w:jc w:val="center"/>
              <w:rPr>
                <w:szCs w:val="21"/>
              </w:rPr>
            </w:pPr>
            <w:r>
              <w:rPr>
                <w:rFonts w:hint="eastAsia"/>
                <w:szCs w:val="21"/>
              </w:rPr>
              <w:t>4</w:t>
            </w:r>
          </w:p>
        </w:tc>
        <w:tc>
          <w:tcPr>
            <w:tcW w:w="2477" w:type="dxa"/>
            <w:vAlign w:val="center"/>
          </w:tcPr>
          <w:p>
            <w:pPr>
              <w:ind w:firstLine="420"/>
              <w:jc w:val="center"/>
              <w:rPr>
                <w:szCs w:val="21"/>
              </w:rPr>
            </w:pPr>
            <w:r>
              <w:rPr>
                <w:rFonts w:hint="eastAsia"/>
                <w:szCs w:val="21"/>
              </w:rPr>
              <w:t>有效期</w:t>
            </w:r>
          </w:p>
        </w:tc>
        <w:tc>
          <w:tcPr>
            <w:tcW w:w="4514" w:type="dxa"/>
            <w:vAlign w:val="center"/>
          </w:tcPr>
          <w:p>
            <w:pPr>
              <w:ind w:firstLine="420"/>
              <w:rPr>
                <w:szCs w:val="21"/>
              </w:rPr>
            </w:pP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2"/>
              <w:jc w:val="center"/>
              <w:rPr>
                <w:b/>
                <w:szCs w:val="21"/>
              </w:rPr>
            </w:pPr>
            <w:r>
              <w:rPr>
                <w:rFonts w:hint="eastAsia"/>
                <w:b/>
                <w:szCs w:val="21"/>
              </w:rPr>
              <w:t>二</w:t>
            </w:r>
          </w:p>
        </w:tc>
        <w:tc>
          <w:tcPr>
            <w:tcW w:w="6991" w:type="dxa"/>
            <w:gridSpan w:val="2"/>
            <w:vAlign w:val="center"/>
          </w:tcPr>
          <w:p>
            <w:pPr>
              <w:ind w:firstLine="422"/>
              <w:rPr>
                <w:b/>
                <w:szCs w:val="21"/>
              </w:rPr>
            </w:pPr>
            <w:r>
              <w:rPr>
                <w:rFonts w:hint="eastAsia"/>
                <w:b/>
                <w:szCs w:val="21"/>
              </w:rPr>
              <w:t>税务登记证</w:t>
            </w: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0"/>
              <w:jc w:val="center"/>
              <w:rPr>
                <w:szCs w:val="21"/>
              </w:rPr>
            </w:pPr>
            <w:r>
              <w:rPr>
                <w:rFonts w:hint="eastAsia"/>
                <w:szCs w:val="21"/>
              </w:rPr>
              <w:t>1</w:t>
            </w:r>
          </w:p>
        </w:tc>
        <w:tc>
          <w:tcPr>
            <w:tcW w:w="2477" w:type="dxa"/>
            <w:vAlign w:val="center"/>
          </w:tcPr>
          <w:p>
            <w:pPr>
              <w:ind w:firstLine="420"/>
              <w:jc w:val="center"/>
              <w:rPr>
                <w:szCs w:val="21"/>
              </w:rPr>
            </w:pPr>
            <w:r>
              <w:rPr>
                <w:rFonts w:hint="eastAsia"/>
                <w:szCs w:val="21"/>
              </w:rPr>
              <w:t>税务登记证编号</w:t>
            </w:r>
          </w:p>
        </w:tc>
        <w:tc>
          <w:tcPr>
            <w:tcW w:w="4514" w:type="dxa"/>
            <w:vAlign w:val="center"/>
          </w:tcPr>
          <w:p>
            <w:pPr>
              <w:ind w:firstLine="420"/>
              <w:rPr>
                <w:szCs w:val="21"/>
              </w:rPr>
            </w:pP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2"/>
              <w:jc w:val="center"/>
              <w:rPr>
                <w:b/>
                <w:szCs w:val="21"/>
              </w:rPr>
            </w:pPr>
            <w:r>
              <w:rPr>
                <w:rFonts w:hint="eastAsia"/>
                <w:b/>
                <w:szCs w:val="21"/>
              </w:rPr>
              <w:t>三</w:t>
            </w:r>
          </w:p>
        </w:tc>
        <w:tc>
          <w:tcPr>
            <w:tcW w:w="6991" w:type="dxa"/>
            <w:gridSpan w:val="2"/>
            <w:vAlign w:val="center"/>
          </w:tcPr>
          <w:p>
            <w:pPr>
              <w:ind w:firstLine="422"/>
              <w:rPr>
                <w:b/>
                <w:szCs w:val="21"/>
              </w:rPr>
            </w:pPr>
            <w:r>
              <w:rPr>
                <w:rFonts w:hint="eastAsia"/>
                <w:b/>
                <w:szCs w:val="21"/>
              </w:rPr>
              <w:t>其他</w:t>
            </w:r>
            <w:r>
              <w:rPr>
                <w:rFonts w:hint="eastAsia"/>
                <w:szCs w:val="21"/>
              </w:rPr>
              <w:t>（投标人认为需补充的其他说明）</w:t>
            </w:r>
          </w:p>
        </w:tc>
        <w:tc>
          <w:tcPr>
            <w:tcW w:w="1411" w:type="dxa"/>
            <w:vAlign w:val="center"/>
          </w:tcPr>
          <w:p>
            <w:pPr>
              <w:ind w:firstLine="420"/>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8" w:type="dxa"/>
            <w:vAlign w:val="center"/>
          </w:tcPr>
          <w:p>
            <w:pPr>
              <w:ind w:firstLine="420"/>
              <w:jc w:val="center"/>
              <w:rPr>
                <w:szCs w:val="21"/>
              </w:rPr>
            </w:pPr>
            <w:r>
              <w:rPr>
                <w:rFonts w:hint="eastAsia"/>
                <w:szCs w:val="21"/>
              </w:rPr>
              <w:t>1</w:t>
            </w:r>
          </w:p>
        </w:tc>
        <w:tc>
          <w:tcPr>
            <w:tcW w:w="2477" w:type="dxa"/>
            <w:vAlign w:val="center"/>
          </w:tcPr>
          <w:p>
            <w:pPr>
              <w:ind w:firstLine="420"/>
              <w:jc w:val="center"/>
              <w:rPr>
                <w:szCs w:val="21"/>
              </w:rPr>
            </w:pPr>
          </w:p>
        </w:tc>
        <w:tc>
          <w:tcPr>
            <w:tcW w:w="4514" w:type="dxa"/>
            <w:vAlign w:val="center"/>
          </w:tcPr>
          <w:p>
            <w:pPr>
              <w:ind w:firstLine="420"/>
              <w:jc w:val="center"/>
              <w:rPr>
                <w:szCs w:val="21"/>
              </w:rPr>
            </w:pPr>
          </w:p>
        </w:tc>
        <w:tc>
          <w:tcPr>
            <w:tcW w:w="1411" w:type="dxa"/>
            <w:vAlign w:val="center"/>
          </w:tcPr>
          <w:p>
            <w:pPr>
              <w:ind w:firstLine="420"/>
              <w:jc w:val="center"/>
              <w:rPr>
                <w:szCs w:val="21"/>
              </w:rPr>
            </w:pPr>
          </w:p>
        </w:tc>
      </w:tr>
    </w:tbl>
    <w:p>
      <w:pPr>
        <w:ind w:firstLine="420"/>
        <w:rPr>
          <w:szCs w:val="21"/>
        </w:rPr>
      </w:pPr>
      <w:r>
        <w:rPr>
          <w:rFonts w:hint="eastAsia"/>
          <w:szCs w:val="21"/>
        </w:rPr>
        <w:t>注：1、在按要求填写好此表格后，各投标单位可以用其它的方式，就自身整体情况作出详细的介绍。</w:t>
      </w:r>
    </w:p>
    <w:p>
      <w:pPr>
        <w:ind w:firstLine="0" w:firstLineChars="0"/>
        <w:jc w:val="left"/>
        <w:rPr>
          <w:rFonts w:ascii="SimSun,Bold" w:hAnsi="SimSun,Bold" w:eastAsia="SimSun,Bold"/>
          <w:b/>
        </w:rPr>
      </w:pPr>
      <w:bookmarkStart w:id="378" w:name="_Hlk532142542"/>
      <w:bookmarkStart w:id="379" w:name="_Toc49247167"/>
    </w:p>
    <w:p>
      <w:pPr>
        <w:pStyle w:val="4"/>
        <w:spacing w:before="0" w:after="0"/>
        <w:ind w:firstLine="0" w:firstLineChars="0"/>
        <w:rPr>
          <w:rFonts w:ascii="宋体" w:hAnsi="宋体" w:cs="宋体"/>
          <w:b/>
          <w:bCs/>
          <w:sz w:val="21"/>
          <w:szCs w:val="21"/>
        </w:rPr>
      </w:pPr>
      <w:r>
        <w:rPr>
          <w:rFonts w:hint="eastAsia" w:ascii="宋体" w:hAnsi="宋体" w:cs="宋体"/>
          <w:b/>
          <w:bCs/>
          <w:sz w:val="21"/>
          <w:szCs w:val="21"/>
        </w:rPr>
        <w:t>A7、其他</w:t>
      </w:r>
    </w:p>
    <w:p>
      <w:pPr>
        <w:ind w:firstLine="420"/>
        <w:rPr>
          <w:rFonts w:ascii="宋体" w:hAnsi="宋体"/>
          <w:b/>
          <w:sz w:val="44"/>
          <w:szCs w:val="44"/>
        </w:rPr>
      </w:pPr>
      <w:r>
        <w:rPr>
          <w:rFonts w:hint="eastAsia"/>
        </w:rPr>
        <w:t>投标人认为应补充提供的其他文件资料或说明。</w:t>
      </w:r>
    </w:p>
    <w:p>
      <w:pPr>
        <w:ind w:firstLine="883"/>
        <w:rPr>
          <w:rFonts w:ascii="宋体" w:hAnsi="宋体"/>
          <w:b/>
          <w:sz w:val="44"/>
          <w:szCs w:val="44"/>
        </w:rPr>
      </w:pPr>
      <w:r>
        <w:rPr>
          <w:rFonts w:hint="eastAsia" w:ascii="宋体" w:hAnsi="宋体"/>
          <w:b/>
          <w:sz w:val="44"/>
          <w:szCs w:val="44"/>
        </w:rPr>
        <w:br w:type="page"/>
      </w:r>
    </w:p>
    <w:p>
      <w:pPr>
        <w:widowControl w:val="0"/>
        <w:autoSpaceDE w:val="0"/>
        <w:autoSpaceDN w:val="0"/>
        <w:adjustRightInd w:val="0"/>
        <w:snapToGrid w:val="0"/>
        <w:ind w:firstLine="0" w:firstLineChars="0"/>
        <w:jc w:val="center"/>
        <w:outlineLvl w:val="1"/>
        <w:rPr>
          <w:rFonts w:ascii="宋体" w:hAnsi="宋体"/>
          <w:b/>
          <w:sz w:val="44"/>
          <w:szCs w:val="44"/>
        </w:rPr>
      </w:pPr>
      <w:r>
        <w:rPr>
          <w:rFonts w:hint="eastAsia" w:ascii="宋体" w:hAnsi="宋体"/>
          <w:b/>
          <w:sz w:val="44"/>
          <w:szCs w:val="44"/>
        </w:rPr>
        <w:t>二</w:t>
      </w:r>
      <w:r>
        <w:rPr>
          <w:rFonts w:ascii="宋体" w:hAnsi="宋体"/>
          <w:b/>
          <w:sz w:val="44"/>
          <w:szCs w:val="44"/>
        </w:rPr>
        <w:t>、</w:t>
      </w:r>
      <w:r>
        <w:rPr>
          <w:rFonts w:hint="eastAsia" w:ascii="宋体" w:hAnsi="宋体"/>
          <w:b/>
          <w:sz w:val="44"/>
          <w:szCs w:val="44"/>
        </w:rPr>
        <w:t>商务标部分</w:t>
      </w:r>
      <w:bookmarkEnd w:id="378"/>
      <w:bookmarkEnd w:id="379"/>
    </w:p>
    <w:p>
      <w:pPr>
        <w:pStyle w:val="4"/>
        <w:spacing w:before="0" w:after="0"/>
        <w:ind w:firstLine="0" w:firstLineChars="0"/>
        <w:rPr>
          <w:rFonts w:ascii="宋体" w:hAnsi="宋体" w:cs="宋体"/>
          <w:b/>
          <w:bCs/>
          <w:sz w:val="21"/>
          <w:szCs w:val="21"/>
        </w:rPr>
      </w:pPr>
      <w:bookmarkStart w:id="380" w:name="_Toc280341017"/>
      <w:bookmarkStart w:id="381" w:name="_Toc390444140"/>
      <w:r>
        <w:rPr>
          <w:rFonts w:hint="eastAsia" w:ascii="宋体" w:hAnsi="宋体" w:cs="宋体"/>
          <w:b/>
          <w:bCs/>
          <w:sz w:val="21"/>
          <w:szCs w:val="21"/>
        </w:rPr>
        <w:t>B1、投标函</w:t>
      </w:r>
      <w:bookmarkEnd w:id="380"/>
      <w:bookmarkEnd w:id="381"/>
    </w:p>
    <w:p>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投标函</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深圳市龙华环境有限公司 </w:t>
      </w:r>
    </w:p>
    <w:p>
      <w:pPr>
        <w:widowControl w:val="0"/>
        <w:autoSpaceDE w:val="0"/>
        <w:autoSpaceDN w:val="0"/>
        <w:adjustRightInd w:val="0"/>
        <w:snapToGrid w:val="0"/>
        <w:ind w:firstLine="0" w:firstLineChars="0"/>
        <w:rPr>
          <w:rFonts w:ascii="宋体" w:hAnsi="宋体"/>
        </w:rPr>
      </w:pPr>
      <w:r>
        <w:rPr>
          <w:rFonts w:hint="eastAsia" w:ascii="宋体" w:hAnsi="宋体"/>
        </w:rPr>
        <w:t>1、</w:t>
      </w:r>
      <w:r>
        <w:rPr>
          <w:rFonts w:ascii="宋体" w:hAnsi="宋体"/>
          <w:szCs w:val="21"/>
        </w:rPr>
        <w:t>在研究了</w:t>
      </w:r>
      <w:r>
        <w:rPr>
          <w:rFonts w:hint="eastAsia" w:ascii="宋体" w:hAnsi="宋体"/>
          <w:szCs w:val="21"/>
        </w:rPr>
        <w:t>你方</w:t>
      </w:r>
      <w:r>
        <w:rPr>
          <w:rFonts w:ascii="宋体" w:hAnsi="宋体"/>
          <w:szCs w:val="21"/>
        </w:rPr>
        <w:t>提供的招标文件</w:t>
      </w:r>
      <w:r>
        <w:rPr>
          <w:rFonts w:hint="eastAsia" w:ascii="宋体" w:hAnsi="宋体"/>
          <w:szCs w:val="21"/>
        </w:rPr>
        <w:t>及澄清或修改文件</w:t>
      </w:r>
      <w:r>
        <w:rPr>
          <w:rFonts w:ascii="宋体" w:hAnsi="宋体"/>
          <w:szCs w:val="21"/>
        </w:rPr>
        <w:t>后，</w:t>
      </w:r>
      <w:r>
        <w:rPr>
          <w:rFonts w:hint="eastAsia" w:ascii="宋体" w:hAnsi="宋体"/>
          <w:szCs w:val="21"/>
        </w:rPr>
        <w:t>我方愿意按投标报价一览表投标总价</w:t>
      </w:r>
      <w:r>
        <w:rPr>
          <w:rFonts w:hint="eastAsia" w:ascii="宋体" w:hAnsi="宋体"/>
        </w:rPr>
        <w:t>投标、服务期和服务要求提供服务，并履行招标文件及合同协议书中的责任和义务。</w:t>
      </w:r>
    </w:p>
    <w:p>
      <w:pPr>
        <w:widowControl w:val="0"/>
        <w:autoSpaceDE w:val="0"/>
        <w:autoSpaceDN w:val="0"/>
        <w:adjustRightInd w:val="0"/>
        <w:snapToGrid w:val="0"/>
        <w:ind w:firstLine="0" w:firstLineChars="0"/>
        <w:jc w:val="left"/>
        <w:rPr>
          <w:rFonts w:ascii="宋体" w:hAnsi="宋体"/>
        </w:rPr>
      </w:pPr>
      <w:r>
        <w:rPr>
          <w:rFonts w:hint="eastAsia" w:ascii="宋体" w:hAnsi="宋体"/>
          <w:szCs w:val="21"/>
        </w:rPr>
        <w:t>2、我方已详细审查全部招标文件，包括澄清或修改文件（如有）以及有关附件。我方完全理解并同意放弃对这方面有不明及误解的权利。</w:t>
      </w:r>
    </w:p>
    <w:p>
      <w:pPr>
        <w:widowControl w:val="0"/>
        <w:autoSpaceDE w:val="0"/>
        <w:autoSpaceDN w:val="0"/>
        <w:adjustRightInd w:val="0"/>
        <w:snapToGrid w:val="0"/>
        <w:ind w:firstLine="0" w:firstLineChars="0"/>
        <w:jc w:val="left"/>
        <w:rPr>
          <w:rFonts w:ascii="宋体" w:hAnsi="宋体"/>
          <w:bCs/>
        </w:rPr>
      </w:pPr>
      <w:r>
        <w:rPr>
          <w:rFonts w:hint="eastAsia" w:ascii="宋体" w:hAnsi="宋体"/>
        </w:rPr>
        <w:t>3、</w:t>
      </w:r>
      <w:r>
        <w:rPr>
          <w:rFonts w:hint="eastAsia" w:ascii="宋体" w:hAnsi="宋体"/>
          <w:bCs/>
        </w:rPr>
        <w:t>本投标有效期为投标截止日起</w:t>
      </w:r>
      <w:r>
        <w:rPr>
          <w:rFonts w:hint="eastAsia" w:ascii="宋体" w:hAnsi="宋体"/>
          <w:bCs/>
          <w:u w:val="single"/>
        </w:rPr>
        <w:t xml:space="preserve"> 120</w:t>
      </w:r>
      <w:r>
        <w:rPr>
          <w:rFonts w:ascii="宋体" w:hAnsi="宋体"/>
          <w:bCs/>
          <w:u w:val="single"/>
        </w:rPr>
        <w:t xml:space="preserve"> </w:t>
      </w:r>
      <w:r>
        <w:rPr>
          <w:rFonts w:hint="eastAsia" w:ascii="宋体" w:hAnsi="宋体"/>
          <w:bCs/>
        </w:rPr>
        <w:t>日历日，我方保证在</w:t>
      </w:r>
      <w:r>
        <w:rPr>
          <w:rFonts w:ascii="宋体" w:hAnsi="宋体"/>
        </w:rPr>
        <w:t>投标有效期内严格遵守本投标函的各项承诺。在此期限届满之前，本投标函将对我方具有约束力，并随时接受中标</w:t>
      </w:r>
      <w:r>
        <w:rPr>
          <w:rFonts w:hint="eastAsia" w:ascii="宋体" w:hAnsi="宋体"/>
          <w:bCs/>
        </w:rPr>
        <w:t>。</w:t>
      </w:r>
    </w:p>
    <w:p>
      <w:pPr>
        <w:widowControl w:val="0"/>
        <w:autoSpaceDE w:val="0"/>
        <w:autoSpaceDN w:val="0"/>
        <w:adjustRightInd w:val="0"/>
        <w:snapToGrid w:val="0"/>
        <w:ind w:firstLine="0" w:firstLineChars="0"/>
        <w:jc w:val="left"/>
        <w:rPr>
          <w:rFonts w:ascii="宋体" w:hAnsi="宋体"/>
          <w:bCs/>
        </w:rPr>
      </w:pPr>
      <w:r>
        <w:rPr>
          <w:rFonts w:hint="eastAsia" w:ascii="宋体" w:hAnsi="宋体"/>
          <w:bCs/>
        </w:rPr>
        <w:t>4、我方同意按照你方的要求提供与本投标有关的一切数据或资料，完全理解你方不一定要接受最低价的投标或收到的任何投标。</w:t>
      </w:r>
      <w:r>
        <w:rPr>
          <w:rFonts w:ascii="宋体" w:hAnsi="宋体"/>
        </w:rPr>
        <w:t>同时也理解，</w:t>
      </w:r>
      <w:r>
        <w:rPr>
          <w:rFonts w:hint="eastAsia" w:ascii="宋体" w:hAnsi="宋体"/>
        </w:rPr>
        <w:t>你</w:t>
      </w:r>
      <w:r>
        <w:rPr>
          <w:rFonts w:ascii="宋体" w:hAnsi="宋体"/>
        </w:rPr>
        <w:t>方不负担我方的任何投标费用。</w:t>
      </w:r>
    </w:p>
    <w:p>
      <w:pPr>
        <w:widowControl w:val="0"/>
        <w:autoSpaceDE w:val="0"/>
        <w:autoSpaceDN w:val="0"/>
        <w:adjustRightInd w:val="0"/>
        <w:snapToGrid w:val="0"/>
        <w:ind w:firstLine="0" w:firstLineChars="0"/>
        <w:jc w:val="left"/>
        <w:rPr>
          <w:rFonts w:ascii="宋体" w:hAnsi="宋体"/>
          <w:bCs/>
        </w:rPr>
      </w:pPr>
      <w:r>
        <w:rPr>
          <w:rFonts w:hint="eastAsia" w:ascii="宋体" w:hAnsi="宋体"/>
          <w:bCs/>
        </w:rPr>
        <w:t>5、如果我方中标，我方保证按照招标文件规定的期限要求履行提供服务及有关责任和义务。</w:t>
      </w:r>
    </w:p>
    <w:p>
      <w:pPr>
        <w:widowControl w:val="0"/>
        <w:autoSpaceDE w:val="0"/>
        <w:autoSpaceDN w:val="0"/>
        <w:adjustRightInd w:val="0"/>
        <w:snapToGrid w:val="0"/>
        <w:ind w:firstLine="0" w:firstLineChars="0"/>
        <w:jc w:val="left"/>
        <w:rPr>
          <w:rFonts w:ascii="宋体" w:hAnsi="宋体"/>
          <w:bCs/>
        </w:rPr>
      </w:pPr>
      <w:r>
        <w:rPr>
          <w:rFonts w:hint="eastAsia" w:ascii="宋体" w:hAnsi="宋体"/>
          <w:bCs/>
        </w:rPr>
        <w:t>6、</w:t>
      </w:r>
      <w:r>
        <w:rPr>
          <w:rFonts w:ascii="宋体" w:hAnsi="宋体"/>
        </w:rPr>
        <w:t>在合同协议书正式签署生效之前，本投标函连同</w:t>
      </w:r>
      <w:r>
        <w:rPr>
          <w:rFonts w:hint="eastAsia" w:ascii="宋体" w:hAnsi="宋体"/>
        </w:rPr>
        <w:t>你方发出</w:t>
      </w:r>
      <w:r>
        <w:rPr>
          <w:rFonts w:ascii="宋体" w:hAnsi="宋体"/>
        </w:rPr>
        <w:t>的中标通知书</w:t>
      </w:r>
      <w:r>
        <w:rPr>
          <w:rFonts w:hint="eastAsia" w:ascii="宋体" w:hAnsi="宋体"/>
        </w:rPr>
        <w:t>，</w:t>
      </w:r>
      <w:r>
        <w:rPr>
          <w:rFonts w:ascii="宋体" w:hAnsi="宋体"/>
        </w:rPr>
        <w:t>将构成</w:t>
      </w:r>
      <w:r>
        <w:rPr>
          <w:rFonts w:hint="eastAsia" w:ascii="宋体" w:hAnsi="宋体"/>
        </w:rPr>
        <w:t>你我</w:t>
      </w:r>
      <w:r>
        <w:rPr>
          <w:rFonts w:ascii="宋体" w:hAnsi="宋体"/>
        </w:rPr>
        <w:t>双方共同遵守的文件，对双方具有约束力。</w:t>
      </w:r>
    </w:p>
    <w:p>
      <w:pPr>
        <w:widowControl w:val="0"/>
        <w:autoSpaceDE w:val="0"/>
        <w:autoSpaceDN w:val="0"/>
        <w:adjustRightInd w:val="0"/>
        <w:snapToGrid w:val="0"/>
        <w:ind w:firstLine="0" w:firstLineChars="0"/>
        <w:jc w:val="left"/>
        <w:rPr>
          <w:rFonts w:ascii="宋体" w:hAnsi="宋体"/>
          <w:bCs/>
          <w:u w:val="single"/>
        </w:rPr>
      </w:pPr>
      <w:r>
        <w:rPr>
          <w:rFonts w:hint="eastAsia" w:ascii="宋体" w:hAnsi="宋体"/>
          <w:bCs/>
        </w:rPr>
        <w:t>7、与本投标有关的一切正式往来通讯请发往：</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投标人：</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法定代表人或其授权代理人：</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投标人地址：</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cs="宋体"/>
          <w:sz w:val="24"/>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w:t>
      </w:r>
      <w:r>
        <w:rPr>
          <w:rFonts w:hint="eastAsia" w:ascii="宋体" w:hAnsi="宋体" w:cs="宋体"/>
          <w:sz w:val="24"/>
        </w:rPr>
        <w:t xml:space="preserve">         </w:t>
      </w:r>
      <w:bookmarkEnd w:id="369"/>
      <w:bookmarkEnd w:id="370"/>
      <w:bookmarkStart w:id="382" w:name="_Toc280341019"/>
      <w:bookmarkStart w:id="383" w:name="_Toc201719125"/>
      <w:bookmarkStart w:id="384" w:name="_Toc390444144"/>
      <w:bookmarkStart w:id="385" w:name="_Toc201743123"/>
      <w:bookmarkStart w:id="386" w:name="_Toc201742868"/>
      <w:bookmarkStart w:id="387" w:name="_Toc201997953"/>
      <w:bookmarkStart w:id="388" w:name="_Toc201401665"/>
      <w:bookmarkStart w:id="389" w:name="_Hlk532143053"/>
      <w:bookmarkStart w:id="390" w:name="_Toc201401663"/>
      <w:bookmarkStart w:id="391" w:name="_Toc390444143"/>
      <w:bookmarkStart w:id="392" w:name="_Toc201743121"/>
      <w:bookmarkStart w:id="393" w:name="_Toc370197705"/>
      <w:bookmarkStart w:id="394" w:name="_Toc201997951"/>
      <w:bookmarkStart w:id="395" w:name="_Toc280341018"/>
      <w:bookmarkStart w:id="396" w:name="_Toc201742866"/>
      <w:bookmarkStart w:id="397" w:name="_Toc199215951"/>
      <w:bookmarkStart w:id="398" w:name="_Toc201719123"/>
    </w:p>
    <w:p>
      <w:pPr>
        <w:widowControl w:val="0"/>
        <w:autoSpaceDE w:val="0"/>
        <w:autoSpaceDN w:val="0"/>
        <w:adjustRightInd w:val="0"/>
        <w:snapToGrid w:val="0"/>
        <w:ind w:firstLine="0" w:firstLineChars="0"/>
        <w:jc w:val="left"/>
        <w:rPr>
          <w:rFonts w:ascii="宋体" w:hAnsi="宋体"/>
          <w:b/>
          <w:szCs w:val="21"/>
        </w:rPr>
      </w:pPr>
    </w:p>
    <w:p>
      <w:pPr>
        <w:widowControl w:val="0"/>
        <w:autoSpaceDE w:val="0"/>
        <w:autoSpaceDN w:val="0"/>
        <w:adjustRightInd w:val="0"/>
        <w:snapToGrid w:val="0"/>
        <w:ind w:firstLine="0" w:firstLineChars="0"/>
        <w:jc w:val="left"/>
        <w:rPr>
          <w:rFonts w:ascii="宋体" w:hAnsi="宋体"/>
          <w:b/>
          <w:szCs w:val="21"/>
        </w:rPr>
      </w:pPr>
    </w:p>
    <w:p>
      <w:pPr>
        <w:widowControl w:val="0"/>
        <w:autoSpaceDE w:val="0"/>
        <w:autoSpaceDN w:val="0"/>
        <w:adjustRightInd w:val="0"/>
        <w:snapToGrid w:val="0"/>
        <w:ind w:firstLine="0" w:firstLineChars="0"/>
        <w:jc w:val="left"/>
        <w:rPr>
          <w:rFonts w:ascii="宋体" w:hAnsi="宋体" w:cs="宋体"/>
          <w:b/>
          <w:bCs/>
          <w:szCs w:val="21"/>
        </w:rPr>
      </w:pPr>
      <w:r>
        <w:rPr>
          <w:rFonts w:hint="eastAsia" w:ascii="宋体" w:hAnsi="宋体" w:cs="宋体"/>
          <w:b/>
          <w:bCs/>
          <w:szCs w:val="21"/>
        </w:rPr>
        <w:t>B2、</w:t>
      </w:r>
      <w:bookmarkEnd w:id="382"/>
      <w:bookmarkEnd w:id="383"/>
      <w:bookmarkEnd w:id="384"/>
      <w:bookmarkEnd w:id="385"/>
      <w:bookmarkEnd w:id="386"/>
      <w:bookmarkEnd w:id="387"/>
      <w:bookmarkEnd w:id="388"/>
      <w:bookmarkStart w:id="399" w:name="_Toc410220103"/>
      <w:r>
        <w:rPr>
          <w:rFonts w:hint="eastAsia" w:ascii="宋体" w:hAnsi="宋体" w:cs="宋体"/>
          <w:b/>
          <w:bCs/>
          <w:szCs w:val="21"/>
        </w:rPr>
        <w:t>承诺书</w:t>
      </w:r>
      <w:bookmarkEnd w:id="399"/>
    </w:p>
    <w:p>
      <w:pPr>
        <w:widowControl w:val="0"/>
        <w:autoSpaceDE w:val="0"/>
        <w:autoSpaceDN w:val="0"/>
        <w:adjustRightInd w:val="0"/>
        <w:snapToGrid w:val="0"/>
        <w:ind w:firstLine="0" w:firstLineChars="0"/>
        <w:jc w:val="left"/>
        <w:rPr>
          <w:rFonts w:ascii="宋体" w:hAnsi="宋体"/>
          <w:b/>
          <w:bCs/>
          <w:sz w:val="28"/>
          <w:szCs w:val="28"/>
        </w:rPr>
      </w:pPr>
    </w:p>
    <w:bookmarkEnd w:id="389"/>
    <w:p>
      <w:pPr>
        <w:widowControl w:val="0"/>
        <w:autoSpaceDE w:val="0"/>
        <w:autoSpaceDN w:val="0"/>
        <w:adjustRightInd w:val="0"/>
        <w:snapToGrid w:val="0"/>
        <w:ind w:firstLine="0" w:firstLineChars="0"/>
        <w:jc w:val="center"/>
        <w:rPr>
          <w:rFonts w:ascii="宋体" w:hAnsi="宋体"/>
          <w:b/>
          <w:bCs/>
          <w:sz w:val="32"/>
          <w:szCs w:val="32"/>
        </w:rPr>
      </w:pPr>
      <w:bookmarkStart w:id="400" w:name="_Toc410220106"/>
      <w:r>
        <w:rPr>
          <w:rFonts w:hint="eastAsia" w:ascii="宋体" w:hAnsi="宋体"/>
          <w:b/>
          <w:bCs/>
          <w:sz w:val="32"/>
          <w:szCs w:val="32"/>
        </w:rPr>
        <w:t>承诺书</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深圳市龙华环境有限公司    </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我司郑重承诺：</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r>
        <w:rPr>
          <w:rFonts w:hint="eastAsia" w:ascii="宋体" w:hAnsi="宋体"/>
          <w:szCs w:val="21"/>
          <w:u w:val="single"/>
        </w:rPr>
        <w:t>（投标人名称）</w:t>
      </w:r>
      <w:r>
        <w:rPr>
          <w:rFonts w:hint="eastAsia" w:ascii="宋体" w:hAnsi="宋体"/>
          <w:szCs w:val="21"/>
        </w:rPr>
        <w:t>在（</w:t>
      </w:r>
      <w:r>
        <w:rPr>
          <w:rFonts w:hint="eastAsia" w:ascii="宋体" w:hAnsi="宋体"/>
          <w:szCs w:val="21"/>
          <w:u w:val="single"/>
        </w:rPr>
        <w:t xml:space="preserve"> 2020 </w:t>
      </w:r>
      <w:r>
        <w:rPr>
          <w:rFonts w:hint="eastAsia" w:ascii="宋体" w:hAnsi="宋体"/>
          <w:szCs w:val="21"/>
        </w:rPr>
        <w:t>年</w:t>
      </w:r>
      <w:r>
        <w:rPr>
          <w:rFonts w:hint="eastAsia" w:ascii="宋体" w:hAnsi="宋体"/>
          <w:szCs w:val="21"/>
          <w:u w:val="single"/>
        </w:rPr>
        <w:t xml:space="preserve">  1  </w:t>
      </w:r>
      <w:r>
        <w:rPr>
          <w:rFonts w:hint="eastAsia" w:ascii="宋体" w:hAnsi="宋体"/>
          <w:szCs w:val="21"/>
        </w:rPr>
        <w:t>月</w:t>
      </w:r>
      <w:r>
        <w:rPr>
          <w:rFonts w:hint="eastAsia" w:ascii="宋体" w:hAnsi="宋体"/>
          <w:szCs w:val="21"/>
          <w:u w:val="single"/>
        </w:rPr>
        <w:t xml:space="preserve">  1  </w:t>
      </w:r>
      <w:r>
        <w:rPr>
          <w:rFonts w:hint="eastAsia" w:ascii="宋体" w:hAnsi="宋体"/>
          <w:szCs w:val="21"/>
        </w:rPr>
        <w:t>日至投标截止时间）没有处于被责令停业、或投标资格被取消，或财产被接管、冻结、破产状态；没有骗取中标或严重违约引起的合同终止、纠纷、争议、仲裁和诉讼记录，没有重大质量问题。</w:t>
      </w:r>
    </w:p>
    <w:p>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hint="eastAsia" w:ascii="宋体" w:hAnsi="宋体"/>
          <w:szCs w:val="21"/>
          <w:u w:val="single"/>
        </w:rPr>
        <w:t>（投标人名称）</w:t>
      </w:r>
      <w:r>
        <w:rPr>
          <w:rFonts w:hint="eastAsia" w:ascii="宋体" w:hAnsi="宋体"/>
          <w:szCs w:val="21"/>
        </w:rPr>
        <w:t>自</w:t>
      </w:r>
      <w:r>
        <w:rPr>
          <w:rFonts w:hint="eastAsia" w:ascii="宋体" w:hAnsi="宋体"/>
          <w:szCs w:val="21"/>
          <w:u w:val="single"/>
        </w:rPr>
        <w:t xml:space="preserve"> 2020 </w:t>
      </w:r>
      <w:r>
        <w:rPr>
          <w:rFonts w:hint="eastAsia" w:ascii="宋体" w:hAnsi="宋体"/>
          <w:szCs w:val="21"/>
        </w:rPr>
        <w:t>年</w:t>
      </w:r>
      <w:r>
        <w:rPr>
          <w:rFonts w:hint="eastAsia" w:ascii="宋体" w:hAnsi="宋体"/>
          <w:szCs w:val="21"/>
          <w:u w:val="single"/>
        </w:rPr>
        <w:t xml:space="preserve">  1  </w:t>
      </w:r>
      <w:r>
        <w:rPr>
          <w:rFonts w:hint="eastAsia" w:ascii="宋体" w:hAnsi="宋体"/>
          <w:szCs w:val="21"/>
        </w:rPr>
        <w:t>月</w:t>
      </w:r>
      <w:r>
        <w:rPr>
          <w:rFonts w:hint="eastAsia" w:ascii="宋体" w:hAnsi="宋体"/>
          <w:szCs w:val="21"/>
          <w:u w:val="single"/>
        </w:rPr>
        <w:t xml:space="preserve">  1  </w:t>
      </w:r>
      <w:r>
        <w:rPr>
          <w:rFonts w:hint="eastAsia" w:ascii="宋体" w:hAnsi="宋体"/>
          <w:szCs w:val="21"/>
        </w:rPr>
        <w:t>日日至投标截止时间，提供的服务在中国大陆地区项目中无重大安全事故。</w:t>
      </w:r>
    </w:p>
    <w:p>
      <w:pPr>
        <w:widowControl w:val="0"/>
        <w:autoSpaceDE w:val="0"/>
        <w:autoSpaceDN w:val="0"/>
        <w:adjustRightInd w:val="0"/>
        <w:snapToGrid w:val="0"/>
        <w:ind w:firstLine="0" w:firstLineChars="0"/>
        <w:jc w:val="left"/>
        <w:rPr>
          <w:rFonts w:ascii="宋体" w:hAnsi="宋体"/>
          <w:b/>
          <w:bCs/>
          <w:sz w:val="28"/>
          <w:szCs w:val="28"/>
        </w:rPr>
      </w:pPr>
      <w:r>
        <w:rPr>
          <w:rFonts w:hint="eastAsia" w:ascii="宋体" w:hAnsi="宋体"/>
          <w:szCs w:val="21"/>
        </w:rPr>
        <w:t>以上承诺如有虚假，你方有权取消我方中标资格，不予退还我方的投标保证金，我方同意给你方造成的损失予以赔偿。</w:t>
      </w: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widowControl w:val="0"/>
        <w:autoSpaceDE w:val="0"/>
        <w:autoSpaceDN w:val="0"/>
        <w:adjustRightInd w:val="0"/>
        <w:snapToGrid w:val="0"/>
        <w:ind w:firstLine="2310" w:firstLineChars="1100"/>
        <w:jc w:val="left"/>
        <w:rPr>
          <w:rFonts w:ascii="宋体" w:hAnsi="宋体"/>
        </w:rPr>
      </w:pPr>
    </w:p>
    <w:p>
      <w:pPr>
        <w:ind w:firstLine="420"/>
        <w:jc w:val="center"/>
        <w:rPr>
          <w:rFonts w:ascii="宋体" w:hAnsi="宋体"/>
          <w:szCs w:val="21"/>
        </w:rPr>
      </w:pPr>
      <w:r>
        <w:rPr>
          <w:rFonts w:hint="eastAsia" w:ascii="宋体" w:hAnsi="宋体"/>
        </w:rPr>
        <w:t>投标人：</w:t>
      </w:r>
      <w:r>
        <w:rPr>
          <w:rFonts w:ascii="宋体" w:hAnsi="宋体"/>
          <w:szCs w:val="21"/>
        </w:rPr>
        <w:br w:type="page"/>
      </w:r>
    </w:p>
    <w:p>
      <w:pPr>
        <w:ind w:firstLine="420"/>
        <w:jc w:val="left"/>
        <w:rPr>
          <w:rFonts w:ascii="宋体" w:hAnsi="宋体"/>
          <w:szCs w:val="21"/>
        </w:rPr>
      </w:pPr>
    </w:p>
    <w:bookmarkEnd w:id="400"/>
    <w:p>
      <w:pPr>
        <w:pStyle w:val="4"/>
        <w:spacing w:before="0" w:after="0"/>
        <w:ind w:firstLine="0" w:firstLineChars="0"/>
        <w:jc w:val="left"/>
        <w:rPr>
          <w:rFonts w:ascii="宋体" w:hAnsi="宋体" w:cs="宋体"/>
          <w:b/>
          <w:bCs/>
          <w:sz w:val="21"/>
          <w:szCs w:val="21"/>
        </w:rPr>
      </w:pPr>
      <w:bookmarkStart w:id="401" w:name="_Toc410220107"/>
      <w:r>
        <w:rPr>
          <w:rFonts w:ascii="宋体" w:hAnsi="宋体" w:cs="宋体"/>
          <w:b/>
          <w:bCs/>
          <w:sz w:val="21"/>
          <w:szCs w:val="21"/>
        </w:rPr>
        <w:t>B</w:t>
      </w:r>
      <w:r>
        <w:rPr>
          <w:rFonts w:hint="eastAsia" w:ascii="宋体" w:hAnsi="宋体" w:cs="宋体"/>
          <w:b/>
          <w:bCs/>
          <w:sz w:val="21"/>
          <w:szCs w:val="21"/>
        </w:rPr>
        <w:t>5、投标人同类业绩</w:t>
      </w:r>
    </w:p>
    <w:p>
      <w:pPr>
        <w:ind w:firstLine="480"/>
        <w:jc w:val="left"/>
      </w:pPr>
      <w:r>
        <w:rPr>
          <w:rFonts w:hint="eastAsia" w:ascii="宋体" w:hAnsi="宋体" w:cs="宋体"/>
          <w:sz w:val="24"/>
        </w:rPr>
        <w:t>（根据商务标评审项提供相关证明材料，格式自拟）</w:t>
      </w:r>
    </w:p>
    <w:p>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B8、诚信</w:t>
      </w:r>
    </w:p>
    <w:p>
      <w:pPr>
        <w:widowControl w:val="0"/>
        <w:autoSpaceDE w:val="0"/>
        <w:autoSpaceDN w:val="0"/>
        <w:adjustRightInd w:val="0"/>
        <w:snapToGrid w:val="0"/>
        <w:ind w:firstLine="0" w:firstLineChars="0"/>
        <w:jc w:val="left"/>
        <w:outlineLvl w:val="1"/>
        <w:rPr>
          <w:rFonts w:ascii="宋体" w:hAnsi="宋体"/>
        </w:rPr>
      </w:pPr>
      <w:r>
        <w:rPr>
          <w:rFonts w:hint="eastAsia" w:ascii="宋体" w:hAnsi="宋体"/>
          <w:b/>
          <w:bCs/>
        </w:rPr>
        <w:t>致深圳市龙华环境有限公司：</w:t>
      </w:r>
    </w:p>
    <w:p>
      <w:pPr>
        <w:pStyle w:val="46"/>
        <w:spacing w:line="264" w:lineRule="atLeast"/>
        <w:ind w:firstLine="380"/>
        <w:rPr>
          <w:b/>
          <w:color w:val="FF0000"/>
        </w:rPr>
      </w:pPr>
      <w:r>
        <w:rPr>
          <w:rFonts w:hint="eastAsia"/>
        </w:rPr>
        <w:t>在参与贵公司组织的</w:t>
      </w:r>
      <w:r>
        <w:rPr>
          <w:rFonts w:hint="eastAsia"/>
          <w:u w:val="single"/>
        </w:rPr>
        <w:t xml:space="preserve">       （项目名称）    （项目编号：      ） </w:t>
      </w:r>
      <w:r>
        <w:rPr>
          <w:rFonts w:hint="eastAsia"/>
        </w:rPr>
        <w:t>采购活动中，我单位承诺：</w:t>
      </w:r>
      <w:r>
        <w:rPr>
          <w:rFonts w:hint="eastAsia"/>
          <w:b/>
          <w:color w:val="FF0000"/>
        </w:rPr>
        <w:t>本公司不存在因违法违规行为被记入诚信档案</w:t>
      </w:r>
      <w:r>
        <w:rPr>
          <w:rFonts w:hint="eastAsia"/>
          <w:b/>
          <w:bCs/>
          <w:color w:val="FF0000"/>
          <w:szCs w:val="21"/>
        </w:rPr>
        <w:t>且在相关主管部门处理措施实施期限内</w:t>
      </w:r>
      <w:r>
        <w:rPr>
          <w:b/>
          <w:color w:val="FF0000"/>
        </w:rPr>
        <w:t>的</w:t>
      </w:r>
      <w:r>
        <w:rPr>
          <w:rFonts w:hint="eastAsia"/>
          <w:b/>
          <w:color w:val="FF0000"/>
        </w:rPr>
        <w:t>情形。</w:t>
      </w:r>
    </w:p>
    <w:p>
      <w:pPr>
        <w:pStyle w:val="46"/>
        <w:spacing w:line="264" w:lineRule="atLeast"/>
        <w:ind w:firstLine="380"/>
      </w:pPr>
      <w:r>
        <w:rPr>
          <w:rFonts w:hint="eastAsia"/>
        </w:rPr>
        <w:t xml:space="preserve">    我公司对该承诺的真实性负责，如有不实，自愿接受相关法律法规的处罚及其他一切后果（含自愿接受将此不良行为记入</w:t>
      </w:r>
      <w:r>
        <w:t>供应商诚信档案</w:t>
      </w:r>
      <w:r>
        <w:rPr>
          <w:rFonts w:hint="eastAsia"/>
        </w:rPr>
        <w:t>和自愿接受虚假响应导致禁止参加政府采购活动的处罚等）。</w:t>
      </w:r>
    </w:p>
    <w:p>
      <w:pPr>
        <w:ind w:firstLine="420"/>
        <w:rPr>
          <w:rFonts w:ascii="宋体" w:hAnsi="宋体"/>
        </w:rPr>
      </w:pPr>
      <w:r>
        <w:rPr>
          <w:rFonts w:hint="eastAsia" w:ascii="宋体" w:hAnsi="宋体"/>
        </w:rPr>
        <w:t xml:space="preserve">    特此承诺。</w:t>
      </w:r>
    </w:p>
    <w:p>
      <w:pPr>
        <w:ind w:firstLine="420"/>
      </w:pPr>
    </w:p>
    <w:p>
      <w:pPr>
        <w:ind w:firstLine="4620" w:firstLineChars="2200"/>
        <w:jc w:val="left"/>
        <w:rPr>
          <w:rFonts w:ascii="宋体" w:hAnsi="宋体"/>
        </w:rPr>
      </w:pPr>
      <w:r>
        <w:rPr>
          <w:rFonts w:hint="eastAsia" w:ascii="宋体" w:hAnsi="宋体"/>
        </w:rPr>
        <w:t xml:space="preserve">投标单位： </w:t>
      </w:r>
    </w:p>
    <w:p>
      <w:pPr>
        <w:ind w:firstLine="4620" w:firstLineChars="2200"/>
        <w:jc w:val="left"/>
      </w:pPr>
      <w:r>
        <w:rPr>
          <w:rFonts w:hint="eastAsia" w:ascii="宋体" w:hAnsi="宋体"/>
        </w:rPr>
        <w:t>日期：    年   月   日</w:t>
      </w:r>
    </w:p>
    <w:p>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B19、其他</w:t>
      </w:r>
    </w:p>
    <w:p>
      <w:pPr>
        <w:widowControl w:val="0"/>
        <w:autoSpaceDE w:val="0"/>
        <w:autoSpaceDN w:val="0"/>
        <w:adjustRightInd w:val="0"/>
        <w:snapToGrid w:val="0"/>
        <w:ind w:firstLine="0" w:firstLineChars="0"/>
        <w:jc w:val="left"/>
        <w:rPr>
          <w:rFonts w:ascii="宋体" w:hAnsi="宋体"/>
          <w:bCs/>
          <w:szCs w:val="21"/>
        </w:rPr>
      </w:pPr>
      <w:r>
        <w:rPr>
          <w:rFonts w:hint="eastAsia" w:ascii="宋体" w:hAnsi="宋体" w:cs="宋体"/>
          <w:sz w:val="24"/>
        </w:rPr>
        <w:t>（投标人认为应补充提供的其他文件资料或说明，格式自拟）</w:t>
      </w:r>
      <w:bookmarkEnd w:id="401"/>
      <w:bookmarkStart w:id="402" w:name="_Toc49247168"/>
    </w:p>
    <w:p>
      <w:pPr>
        <w:ind w:firstLine="883"/>
        <w:rPr>
          <w:rFonts w:ascii="宋体" w:hAnsi="宋体"/>
          <w:b/>
          <w:sz w:val="44"/>
          <w:szCs w:val="44"/>
        </w:rPr>
      </w:pPr>
      <w:r>
        <w:rPr>
          <w:rFonts w:hint="eastAsia" w:ascii="宋体" w:hAnsi="宋体"/>
          <w:b/>
          <w:sz w:val="44"/>
          <w:szCs w:val="44"/>
        </w:rPr>
        <w:br w:type="page"/>
      </w:r>
    </w:p>
    <w:p>
      <w:pPr>
        <w:widowControl w:val="0"/>
        <w:autoSpaceDE w:val="0"/>
        <w:autoSpaceDN w:val="0"/>
        <w:adjustRightInd w:val="0"/>
        <w:snapToGrid w:val="0"/>
        <w:ind w:firstLine="0" w:firstLineChars="0"/>
        <w:jc w:val="center"/>
        <w:outlineLvl w:val="1"/>
        <w:rPr>
          <w:rFonts w:ascii="宋体" w:hAnsi="宋体"/>
          <w:b/>
          <w:sz w:val="44"/>
          <w:szCs w:val="44"/>
        </w:rPr>
      </w:pPr>
      <w:r>
        <w:rPr>
          <w:rFonts w:hint="eastAsia" w:ascii="宋体" w:hAnsi="宋体"/>
          <w:b/>
          <w:sz w:val="44"/>
          <w:szCs w:val="44"/>
        </w:rPr>
        <w:t>三、技术标部分</w:t>
      </w:r>
      <w:bookmarkEnd w:id="402"/>
    </w:p>
    <w:bookmarkEnd w:id="390"/>
    <w:bookmarkEnd w:id="391"/>
    <w:bookmarkEnd w:id="392"/>
    <w:bookmarkEnd w:id="393"/>
    <w:bookmarkEnd w:id="394"/>
    <w:bookmarkEnd w:id="395"/>
    <w:bookmarkEnd w:id="396"/>
    <w:bookmarkEnd w:id="397"/>
    <w:bookmarkEnd w:id="398"/>
    <w:p>
      <w:pPr>
        <w:pStyle w:val="4"/>
        <w:spacing w:before="0" w:after="0"/>
        <w:ind w:firstLine="0" w:firstLineChars="0"/>
        <w:jc w:val="left"/>
        <w:rPr>
          <w:rFonts w:ascii="宋体" w:hAnsi="宋体" w:cs="宋体"/>
          <w:b/>
          <w:bCs/>
          <w:sz w:val="21"/>
          <w:szCs w:val="21"/>
        </w:rPr>
      </w:pPr>
      <w:bookmarkStart w:id="403" w:name="_Toc390444157"/>
      <w:bookmarkStart w:id="404" w:name="_Toc201743167"/>
      <w:bookmarkStart w:id="405" w:name="_Toc199215991"/>
      <w:bookmarkStart w:id="406" w:name="_Toc201401708"/>
      <w:bookmarkStart w:id="407" w:name="_Toc373139290"/>
      <w:bookmarkStart w:id="408" w:name="_Toc201719168"/>
      <w:bookmarkStart w:id="409" w:name="_Toc201742912"/>
      <w:bookmarkStart w:id="410" w:name="_Toc201997996"/>
      <w:bookmarkStart w:id="411" w:name="_Toc280341042"/>
      <w:bookmarkStart w:id="412" w:name="_Toc102392597"/>
      <w:bookmarkStart w:id="413" w:name="_Toc103258639"/>
      <w:bookmarkStart w:id="414" w:name="_Toc102316470"/>
      <w:bookmarkStart w:id="415" w:name="_Toc102319448"/>
      <w:bookmarkStart w:id="416" w:name="_Toc103734977"/>
      <w:bookmarkStart w:id="417" w:name="_Toc102315646"/>
      <w:bookmarkStart w:id="418" w:name="_Toc102391902"/>
      <w:bookmarkStart w:id="419" w:name="_Toc153591804"/>
      <w:bookmarkStart w:id="420" w:name="_Toc103257484"/>
      <w:bookmarkStart w:id="421" w:name="_Toc103258079"/>
      <w:bookmarkStart w:id="422" w:name="_Toc103704738"/>
      <w:bookmarkStart w:id="423" w:name="_Toc153524107"/>
      <w:bookmarkStart w:id="424" w:name="_Toc153177847"/>
      <w:bookmarkStart w:id="425" w:name="_Toc102318076"/>
      <w:bookmarkStart w:id="426" w:name="_Toc102316949"/>
      <w:bookmarkStart w:id="427" w:name="_Toc102385731"/>
      <w:bookmarkStart w:id="428" w:name="_Toc102316715"/>
      <w:bookmarkStart w:id="429" w:name="_Toc103256567"/>
      <w:bookmarkStart w:id="430" w:name="_Toc103257699"/>
      <w:r>
        <w:rPr>
          <w:rFonts w:hint="eastAsia" w:ascii="宋体" w:hAnsi="宋体" w:cs="宋体"/>
          <w:b/>
          <w:bCs/>
          <w:sz w:val="21"/>
          <w:szCs w:val="21"/>
        </w:rPr>
        <w:t>C1、</w:t>
      </w:r>
      <w:bookmarkEnd w:id="403"/>
      <w:bookmarkEnd w:id="404"/>
      <w:bookmarkEnd w:id="405"/>
      <w:bookmarkEnd w:id="406"/>
      <w:bookmarkEnd w:id="407"/>
      <w:bookmarkEnd w:id="408"/>
      <w:bookmarkEnd w:id="409"/>
      <w:bookmarkEnd w:id="410"/>
      <w:bookmarkEnd w:id="411"/>
      <w:bookmarkStart w:id="431" w:name="_Toc390444159"/>
      <w:bookmarkStart w:id="432" w:name="_Toc201743170"/>
      <w:bookmarkStart w:id="433" w:name="_Toc201997999"/>
      <w:bookmarkStart w:id="434" w:name="_Toc373139292"/>
      <w:bookmarkStart w:id="435" w:name="_Toc201742915"/>
      <w:bookmarkStart w:id="436" w:name="_Toc201719171"/>
      <w:r>
        <w:rPr>
          <w:rFonts w:hint="eastAsia" w:ascii="宋体" w:hAnsi="宋体" w:cs="宋体"/>
          <w:b/>
          <w:bCs/>
          <w:sz w:val="21"/>
          <w:szCs w:val="21"/>
        </w:rPr>
        <w:t>实施方案</w:t>
      </w:r>
    </w:p>
    <w:p>
      <w:pPr>
        <w:widowControl w:val="0"/>
        <w:autoSpaceDE w:val="0"/>
        <w:autoSpaceDN w:val="0"/>
        <w:adjustRightInd w:val="0"/>
        <w:snapToGrid w:val="0"/>
        <w:ind w:firstLine="0" w:firstLineChars="0"/>
        <w:jc w:val="left"/>
        <w:rPr>
          <w:rFonts w:ascii="宋体" w:hAnsi="宋体" w:cs="宋体"/>
          <w:sz w:val="24"/>
        </w:rPr>
      </w:pPr>
      <w:r>
        <w:rPr>
          <w:rFonts w:hint="eastAsia" w:ascii="宋体" w:hAnsi="宋体" w:cs="宋体"/>
          <w:sz w:val="24"/>
        </w:rPr>
        <w:t>（根据技术标评审项提供相关证明材料，格式自拟）</w:t>
      </w:r>
    </w:p>
    <w:p>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C2、违约承诺</w:t>
      </w:r>
    </w:p>
    <w:p>
      <w:pPr>
        <w:widowControl w:val="0"/>
        <w:autoSpaceDE w:val="0"/>
        <w:autoSpaceDN w:val="0"/>
        <w:adjustRightInd w:val="0"/>
        <w:snapToGrid w:val="0"/>
        <w:ind w:firstLine="0" w:firstLineChars="0"/>
        <w:jc w:val="left"/>
        <w:rPr>
          <w:rFonts w:ascii="宋体" w:hAnsi="宋体" w:cs="宋体"/>
          <w:sz w:val="24"/>
        </w:rPr>
      </w:pPr>
      <w:r>
        <w:rPr>
          <w:rFonts w:hint="eastAsia" w:ascii="宋体" w:hAnsi="宋体" w:cs="宋体"/>
          <w:sz w:val="24"/>
        </w:rPr>
        <w:t>（根据技术标评审项提供相关证明材料，格式自拟）</w:t>
      </w:r>
    </w:p>
    <w:p>
      <w:pPr>
        <w:pStyle w:val="4"/>
        <w:spacing w:before="0" w:after="0"/>
        <w:ind w:firstLine="0" w:firstLineChars="0"/>
        <w:jc w:val="left"/>
        <w:rPr>
          <w:rFonts w:ascii="宋体" w:hAnsi="宋体" w:cs="宋体"/>
          <w:b/>
          <w:bCs/>
          <w:sz w:val="21"/>
          <w:szCs w:val="21"/>
        </w:rPr>
      </w:pPr>
      <w:r>
        <w:rPr>
          <w:rFonts w:hint="eastAsia" w:ascii="宋体" w:hAnsi="宋体" w:cs="宋体"/>
          <w:b/>
          <w:bCs/>
          <w:sz w:val="21"/>
          <w:szCs w:val="21"/>
        </w:rPr>
        <w:t>C3、其他</w:t>
      </w:r>
    </w:p>
    <w:p>
      <w:pPr>
        <w:widowControl w:val="0"/>
        <w:autoSpaceDE w:val="0"/>
        <w:autoSpaceDN w:val="0"/>
        <w:adjustRightInd w:val="0"/>
        <w:snapToGrid w:val="0"/>
        <w:ind w:firstLine="0" w:firstLineChars="0"/>
        <w:jc w:val="left"/>
        <w:rPr>
          <w:rFonts w:ascii="宋体" w:hAnsi="宋体"/>
          <w:b/>
        </w:rPr>
      </w:pPr>
      <w:r>
        <w:rPr>
          <w:rFonts w:hint="eastAsia" w:ascii="宋体" w:hAnsi="宋体"/>
        </w:rPr>
        <w:t>投标人认为应补充提供的其他文件资料或说明。</w:t>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Pr>
        <w:ind w:firstLine="883"/>
        <w:jc w:val="left"/>
        <w:rPr>
          <w:rFonts w:ascii="宋体" w:hAnsi="宋体" w:cs="Courier New"/>
          <w:b/>
          <w:bCs/>
          <w:sz w:val="44"/>
          <w:szCs w:val="44"/>
        </w:rPr>
      </w:pPr>
      <w:bookmarkStart w:id="437" w:name="_Toc49247169"/>
      <w:r>
        <w:rPr>
          <w:rFonts w:hint="eastAsia" w:ascii="宋体" w:hAnsi="宋体" w:cs="Courier New"/>
          <w:b/>
          <w:bCs/>
          <w:sz w:val="44"/>
          <w:szCs w:val="44"/>
        </w:rPr>
        <w:br w:type="page"/>
      </w:r>
    </w:p>
    <w:p>
      <w:pPr>
        <w:widowControl w:val="0"/>
        <w:numPr>
          <w:ilvl w:val="0"/>
          <w:numId w:val="11"/>
        </w:numPr>
        <w:autoSpaceDE w:val="0"/>
        <w:autoSpaceDN w:val="0"/>
        <w:adjustRightInd w:val="0"/>
        <w:snapToGrid w:val="0"/>
        <w:ind w:firstLine="2209" w:firstLineChars="500"/>
        <w:outlineLvl w:val="1"/>
        <w:rPr>
          <w:rFonts w:ascii="宋体" w:hAnsi="宋体" w:cs="Courier New"/>
          <w:b/>
          <w:bCs/>
          <w:sz w:val="44"/>
          <w:szCs w:val="44"/>
        </w:rPr>
      </w:pPr>
      <w:r>
        <w:rPr>
          <w:rFonts w:hint="eastAsia" w:ascii="宋体" w:hAnsi="宋体" w:cs="Courier New"/>
          <w:b/>
          <w:bCs/>
          <w:sz w:val="44"/>
          <w:szCs w:val="44"/>
        </w:rPr>
        <w:t>价格标部分</w:t>
      </w:r>
      <w:bookmarkEnd w:id="437"/>
      <w:bookmarkStart w:id="438" w:name="_Toc278893410"/>
    </w:p>
    <w:tbl>
      <w:tblPr>
        <w:tblStyle w:val="49"/>
        <w:tblW w:w="842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7"/>
        <w:gridCol w:w="1227"/>
        <w:gridCol w:w="2200"/>
        <w:gridCol w:w="800"/>
        <w:gridCol w:w="773"/>
        <w:gridCol w:w="760"/>
        <w:gridCol w:w="747"/>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8427"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节日灯笼国旗等装饰物招标采购报价表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2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灯笼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数量 </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灯笼</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40寸</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灯管</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18WT8</w:t>
            </w:r>
            <w:r>
              <w:rPr>
                <w:rFonts w:hint="eastAsia" w:ascii="宋体" w:hAnsi="宋体" w:eastAsia="宋体" w:cs="宋体"/>
                <w:i w:val="0"/>
                <w:iCs w:val="0"/>
                <w:color w:val="000000"/>
                <w:kern w:val="0"/>
                <w:sz w:val="24"/>
                <w:szCs w:val="24"/>
                <w:u w:val="none"/>
                <w:lang w:val="en-US" w:eastAsia="zh-CN" w:bidi="ar"/>
              </w:rPr>
              <w:t>防水防爆纳米光源</w:t>
            </w:r>
            <w:r>
              <w:rPr>
                <w:rStyle w:val="417"/>
                <w:rFonts w:eastAsia="宋体"/>
                <w:lang w:val="en-US" w:eastAsia="zh-CN" w:bidi="ar"/>
              </w:rPr>
              <w:t>T8</w:t>
            </w:r>
            <w:r>
              <w:rPr>
                <w:rFonts w:hint="eastAsia" w:ascii="宋体" w:hAnsi="宋体" w:eastAsia="宋体" w:cs="宋体"/>
                <w:i w:val="0"/>
                <w:iCs w:val="0"/>
                <w:color w:val="000000"/>
                <w:kern w:val="0"/>
                <w:sz w:val="24"/>
                <w:szCs w:val="24"/>
                <w:u w:val="none"/>
                <w:lang w:val="en-US" w:eastAsia="zh-CN" w:bidi="ar"/>
              </w:rPr>
              <w:t>管长</w:t>
            </w:r>
            <w:r>
              <w:rPr>
                <w:rStyle w:val="417"/>
                <w:rFonts w:eastAsia="宋体"/>
                <w:lang w:val="en-US" w:eastAsia="zh-CN" w:bidi="ar"/>
              </w:rPr>
              <w:t>260mm</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配套钢丝绳、卡扣等耗材</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42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国旗</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旗杆</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配套钢丝绳、卡扣等耗材</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6%税</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包运输</w:t>
            </w:r>
          </w:p>
        </w:tc>
      </w:tr>
    </w:tbl>
    <w:p>
      <w:pPr>
        <w:widowControl w:val="0"/>
        <w:autoSpaceDE w:val="0"/>
        <w:autoSpaceDN w:val="0"/>
        <w:adjustRightInd w:val="0"/>
        <w:snapToGrid w:val="0"/>
        <w:ind w:firstLine="0" w:firstLineChars="0"/>
        <w:outlineLvl w:val="1"/>
        <w:rPr>
          <w:rFonts w:hint="eastAsia" w:ascii="宋体" w:hAnsi="宋体" w:cs="宋体"/>
          <w:b/>
          <w:bCs/>
          <w:szCs w:val="21"/>
        </w:rPr>
      </w:pPr>
    </w:p>
    <w:p>
      <w:pPr>
        <w:widowControl w:val="0"/>
        <w:autoSpaceDE w:val="0"/>
        <w:autoSpaceDN w:val="0"/>
        <w:adjustRightInd w:val="0"/>
        <w:snapToGrid w:val="0"/>
        <w:ind w:firstLine="0" w:firstLineChars="0"/>
        <w:jc w:val="left"/>
        <w:rPr>
          <w:rFonts w:ascii="宋体" w:hAnsi="宋体"/>
          <w:b/>
          <w:bCs/>
          <w:sz w:val="28"/>
          <w:szCs w:val="28"/>
        </w:rPr>
      </w:pPr>
      <w:r>
        <w:rPr>
          <w:rFonts w:ascii="宋体" w:hAnsi="宋体"/>
          <w:b/>
          <w:bCs/>
          <w:sz w:val="28"/>
          <w:szCs w:val="28"/>
        </w:rPr>
        <w:tab/>
      </w:r>
    </w:p>
    <w:p>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投标报价一览表</w:t>
      </w:r>
      <w:bookmarkEnd w:id="438"/>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hint="eastAsia" w:ascii="宋体" w:hAnsi="宋体" w:cs="宋体"/>
          <w:sz w:val="24"/>
          <w:u w:val="single"/>
        </w:rPr>
        <w:t>节日灯笼国旗等装饰物采购项目</w:t>
      </w:r>
      <w:r>
        <w:rPr>
          <w:rFonts w:hint="eastAsia" w:ascii="宋体" w:hAnsi="宋体"/>
          <w:sz w:val="24"/>
          <w:u w:val="single"/>
        </w:rPr>
        <w:t xml:space="preserve"> </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p>
    <w:tbl>
      <w:tblPr>
        <w:tblStyle w:val="49"/>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2"/>
        <w:gridCol w:w="3207"/>
        <w:gridCol w:w="1222"/>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592" w:type="dxa"/>
            <w:tcBorders>
              <w:right w:val="single" w:color="auto" w:sz="2" w:space="0"/>
            </w:tcBorders>
            <w:shd w:val="clear" w:color="auto" w:fill="DBE5F1"/>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项目名称</w:t>
            </w:r>
          </w:p>
        </w:tc>
        <w:tc>
          <w:tcPr>
            <w:tcW w:w="3207" w:type="dxa"/>
            <w:tcBorders>
              <w:left w:val="single" w:color="auto" w:sz="2" w:space="0"/>
            </w:tcBorders>
            <w:shd w:val="clear" w:color="auto" w:fill="DBE5F1"/>
            <w:vAlign w:val="center"/>
          </w:tcPr>
          <w:p>
            <w:pPr>
              <w:ind w:firstLine="0" w:firstLineChars="0"/>
              <w:jc w:val="center"/>
              <w:rPr>
                <w:rFonts w:ascii="宋体" w:hAnsi="宋体"/>
                <w:b/>
                <w:szCs w:val="21"/>
              </w:rPr>
            </w:pPr>
            <w:r>
              <w:rPr>
                <w:rFonts w:hint="eastAsia" w:ascii="SimSun,Bold" w:hAnsi="SimSun,Bold" w:eastAsia="SimSun,Bold"/>
                <w:b/>
              </w:rPr>
              <w:t>投标报价</w:t>
            </w:r>
          </w:p>
        </w:tc>
        <w:tc>
          <w:tcPr>
            <w:tcW w:w="1222" w:type="dxa"/>
            <w:shd w:val="clear" w:color="auto" w:fill="DBE5F1"/>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服务期</w:t>
            </w:r>
          </w:p>
        </w:tc>
        <w:tc>
          <w:tcPr>
            <w:tcW w:w="1759" w:type="dxa"/>
            <w:shd w:val="clear" w:color="auto" w:fill="DBE5F1"/>
            <w:vAlign w:val="center"/>
          </w:tcPr>
          <w:p>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jc w:val="center"/>
        </w:trPr>
        <w:tc>
          <w:tcPr>
            <w:tcW w:w="2592" w:type="dxa"/>
            <w:tcBorders>
              <w:right w:val="single" w:color="auto" w:sz="2" w:space="0"/>
            </w:tcBorders>
            <w:vAlign w:val="center"/>
          </w:tcPr>
          <w:p>
            <w:pPr>
              <w:widowControl w:val="0"/>
              <w:autoSpaceDE w:val="0"/>
              <w:autoSpaceDN w:val="0"/>
              <w:adjustRightInd w:val="0"/>
              <w:snapToGrid w:val="0"/>
              <w:ind w:firstLine="0" w:firstLineChars="0"/>
              <w:jc w:val="center"/>
              <w:rPr>
                <w:rFonts w:ascii="宋体" w:hAnsi="宋体" w:cs="宋体"/>
                <w:kern w:val="0"/>
                <w:szCs w:val="21"/>
              </w:rPr>
            </w:pPr>
            <w:r>
              <w:rPr>
                <w:rFonts w:hint="eastAsia" w:ascii="宋体" w:hAnsi="宋体" w:cs="宋体"/>
                <w:kern w:val="0"/>
                <w:sz w:val="20"/>
                <w:szCs w:val="20"/>
              </w:rPr>
              <w:t xml:space="preserve"> </w:t>
            </w:r>
          </w:p>
        </w:tc>
        <w:tc>
          <w:tcPr>
            <w:tcW w:w="3207" w:type="dxa"/>
            <w:tcBorders>
              <w:left w:val="single" w:color="auto" w:sz="2" w:space="0"/>
            </w:tcBorders>
            <w:vAlign w:val="center"/>
          </w:tcPr>
          <w:p>
            <w:pPr>
              <w:widowControl w:val="0"/>
              <w:autoSpaceDE w:val="0"/>
              <w:autoSpaceDN w:val="0"/>
              <w:adjustRightInd w:val="0"/>
              <w:snapToGrid w:val="0"/>
              <w:ind w:firstLine="0" w:firstLineChars="0"/>
              <w:jc w:val="center"/>
              <w:rPr>
                <w:rFonts w:ascii="宋体" w:hAnsi="宋体"/>
                <w:szCs w:val="21"/>
              </w:rPr>
            </w:pPr>
          </w:p>
        </w:tc>
        <w:tc>
          <w:tcPr>
            <w:tcW w:w="1222" w:type="dxa"/>
            <w:vAlign w:val="center"/>
          </w:tcPr>
          <w:p>
            <w:pPr>
              <w:widowControl w:val="0"/>
              <w:autoSpaceDE w:val="0"/>
              <w:autoSpaceDN w:val="0"/>
              <w:adjustRightInd w:val="0"/>
              <w:snapToGrid w:val="0"/>
              <w:ind w:firstLine="0" w:firstLineChars="0"/>
              <w:jc w:val="center"/>
              <w:rPr>
                <w:rFonts w:hint="eastAsia" w:ascii="宋体" w:hAnsi="宋体" w:eastAsia="宋体"/>
                <w:szCs w:val="21"/>
                <w:lang w:val="en-US" w:eastAsia="zh-CN"/>
              </w:rPr>
            </w:pPr>
            <w:r>
              <w:rPr>
                <w:rFonts w:hint="eastAsia" w:ascii="宋体" w:hAnsi="宋体"/>
                <w:szCs w:val="21"/>
              </w:rPr>
              <w:t xml:space="preserve"> </w:t>
            </w:r>
            <w:r>
              <w:rPr>
                <w:rFonts w:hint="eastAsia" w:ascii="宋体" w:hAnsi="宋体"/>
                <w:szCs w:val="21"/>
                <w:lang w:val="en-US" w:eastAsia="zh-CN"/>
              </w:rPr>
              <w:t>1</w:t>
            </w:r>
          </w:p>
        </w:tc>
        <w:tc>
          <w:tcPr>
            <w:tcW w:w="1759" w:type="dxa"/>
            <w:vAlign w:val="center"/>
          </w:tcPr>
          <w:p>
            <w:pPr>
              <w:ind w:firstLine="0" w:firstLineChars="0"/>
              <w:jc w:val="left"/>
              <w:rPr>
                <w:rFonts w:ascii="宋体" w:hAnsi="宋体"/>
                <w:szCs w:val="21"/>
              </w:rPr>
            </w:pPr>
            <w:r>
              <w:rPr>
                <w:rFonts w:hint="eastAsia" w:ascii="宋体" w:hAnsi="宋体"/>
              </w:rPr>
              <w:t xml:space="preserve"> </w:t>
            </w:r>
          </w:p>
        </w:tc>
      </w:tr>
    </w:tbl>
    <w:p>
      <w:pPr>
        <w:widowControl w:val="0"/>
        <w:autoSpaceDE w:val="0"/>
        <w:autoSpaceDN w:val="0"/>
        <w:adjustRightInd w:val="0"/>
        <w:snapToGrid w:val="0"/>
        <w:ind w:firstLine="0" w:firstLineChars="0"/>
        <w:jc w:val="left"/>
        <w:rPr>
          <w:rFonts w:ascii="宋体" w:hAnsi="宋体"/>
        </w:rPr>
      </w:pPr>
    </w:p>
    <w:p>
      <w:pPr>
        <w:widowControl w:val="0"/>
        <w:autoSpaceDE w:val="0"/>
        <w:autoSpaceDN w:val="0"/>
        <w:adjustRightInd w:val="0"/>
        <w:snapToGrid w:val="0"/>
        <w:ind w:firstLine="0" w:firstLineChars="0"/>
        <w:jc w:val="left"/>
        <w:rPr>
          <w:rFonts w:ascii="宋体" w:hAnsi="宋体"/>
          <w:szCs w:val="21"/>
          <w:u w:val="single"/>
        </w:rPr>
      </w:pPr>
      <w:bookmarkStart w:id="439" w:name="_Toc349224955"/>
      <w:bookmarkStart w:id="440" w:name="_Toc354072485"/>
      <w:bookmarkStart w:id="441" w:name="_Toc291178366"/>
      <w:bookmarkStart w:id="442" w:name="_Toc280341062"/>
      <w:bookmarkStart w:id="443" w:name="_Toc199213770"/>
      <w:bookmarkStart w:id="444" w:name="_Toc350770143"/>
      <w:bookmarkStart w:id="445" w:name="_Toc201401716"/>
      <w:bookmarkStart w:id="446" w:name="_Toc353179117"/>
      <w:bookmarkStart w:id="447" w:name="_Toc350871837"/>
      <w:bookmarkStart w:id="448" w:name="_Toc373075880"/>
      <w:bookmarkStart w:id="449" w:name="_Toc285611324"/>
      <w:bookmarkStart w:id="450" w:name="_Toc201998003"/>
      <w:bookmarkStart w:id="451" w:name="_Toc342064557"/>
      <w:bookmarkStart w:id="452" w:name="_Toc201719175"/>
      <w:bookmarkStart w:id="453" w:name="_Toc199215805"/>
      <w:bookmarkStart w:id="454" w:name="_Toc201742920"/>
      <w:bookmarkStart w:id="455" w:name="_Toc350774927"/>
      <w:bookmarkStart w:id="456" w:name="_Toc278893413"/>
      <w:bookmarkStart w:id="457" w:name="_Toc351032922"/>
      <w:bookmarkStart w:id="458" w:name="_Toc372450815"/>
      <w:bookmarkStart w:id="459" w:name="_Toc290993142"/>
      <w:bookmarkStart w:id="460" w:name="_Toc353538815"/>
      <w:bookmarkStart w:id="461" w:name="_Toc342473298"/>
      <w:bookmarkStart w:id="462" w:name="_Toc342394853"/>
      <w:bookmarkStart w:id="463" w:name="_Toc280341060"/>
      <w:bookmarkStart w:id="464" w:name="_Toc353110277"/>
      <w:bookmarkStart w:id="465" w:name="_Toc199215999"/>
      <w:bookmarkStart w:id="466" w:name="_Toc350769836"/>
      <w:bookmarkStart w:id="467" w:name="_Toc354928098"/>
      <w:bookmarkStart w:id="468" w:name="_Toc201743175"/>
      <w:bookmarkStart w:id="469" w:name="_Toc342056723"/>
      <w:r>
        <w:rPr>
          <w:rFonts w:hint="eastAsia" w:ascii="宋体" w:hAnsi="宋体"/>
          <w:szCs w:val="21"/>
        </w:rPr>
        <w:t>投标人：</w:t>
      </w:r>
      <w:r>
        <w:rPr>
          <w:rFonts w:hint="eastAsia" w:ascii="宋体" w:hAnsi="宋体"/>
          <w:szCs w:val="21"/>
          <w:u w:val="single"/>
        </w:rPr>
        <w:t xml:space="preserve">                                        </w:t>
      </w:r>
    </w:p>
    <w:p>
      <w:pPr>
        <w:widowControl w:val="0"/>
        <w:autoSpaceDE w:val="0"/>
        <w:autoSpaceDN w:val="0"/>
        <w:adjustRightInd w:val="0"/>
        <w:snapToGrid w:val="0"/>
        <w:ind w:firstLine="0" w:firstLineChars="0"/>
        <w:jc w:val="left"/>
        <w:rPr>
          <w:rFonts w:ascii="宋体" w:hAnsi="宋体"/>
          <w:b/>
          <w:szCs w:val="21"/>
        </w:rPr>
      </w:pPr>
    </w:p>
    <w:p>
      <w:pPr>
        <w:ind w:firstLine="0" w:firstLineChars="0"/>
        <w:rPr>
          <w:rFonts w:ascii="宋体" w:hAnsi="宋体"/>
        </w:rPr>
      </w:pPr>
      <w:r>
        <w:rPr>
          <w:rFonts w:hint="eastAsia" w:ascii="宋体" w:hAnsi="宋体"/>
        </w:rPr>
        <w:t>本项目投标报价的注意事项如下：</w:t>
      </w:r>
    </w:p>
    <w:p>
      <w:pPr>
        <w:ind w:firstLine="420"/>
        <w:rPr>
          <w:rFonts w:ascii="宋体" w:hAnsi="宋体" w:cs="宋体"/>
          <w:b/>
          <w:color w:val="000000"/>
          <w:szCs w:val="21"/>
        </w:rPr>
      </w:pPr>
      <w:r>
        <w:rPr>
          <w:rFonts w:hint="eastAsia" w:ascii="宋体" w:hAnsi="宋体"/>
        </w:rPr>
        <w:t>1、</w:t>
      </w:r>
      <w:r>
        <w:rPr>
          <w:rFonts w:hint="eastAsia" w:ascii="宋体" w:hAnsi="宋体" w:cs="宋体"/>
          <w:b/>
          <w:szCs w:val="21"/>
        </w:rPr>
        <w:t>本项目的预算金额为人民</w:t>
      </w:r>
      <w:r>
        <w:rPr>
          <w:rFonts w:hint="eastAsia" w:ascii="宋体" w:hAnsi="宋体" w:cs="宋体"/>
          <w:b/>
          <w:color w:val="000000"/>
          <w:szCs w:val="21"/>
        </w:rPr>
        <w:t>币</w:t>
      </w:r>
      <w:r>
        <w:rPr>
          <w:rFonts w:hint="eastAsia" w:ascii="宋体" w:hAnsi="宋体" w:cs="宋体"/>
          <w:b/>
          <w:bCs/>
          <w:u w:val="single"/>
        </w:rPr>
        <w:t xml:space="preserve">  </w:t>
      </w:r>
      <w:r>
        <w:rPr>
          <w:rFonts w:hint="eastAsia" w:ascii="宋体" w:hAnsi="宋体" w:cs="宋体"/>
          <w:b/>
          <w:bCs/>
          <w:u w:val="single"/>
          <w:lang w:val="en-US" w:eastAsia="zh-CN"/>
        </w:rPr>
        <w:t>455783.3</w:t>
      </w:r>
      <w:bookmarkStart w:id="471" w:name="_GoBack"/>
      <w:bookmarkEnd w:id="471"/>
      <w:r>
        <w:rPr>
          <w:rFonts w:hint="eastAsia" w:ascii="宋体" w:hAnsi="宋体" w:cs="宋体"/>
          <w:b/>
          <w:bCs/>
          <w:u w:val="single"/>
        </w:rPr>
        <w:t xml:space="preserve">    </w:t>
      </w:r>
      <w:r>
        <w:rPr>
          <w:rFonts w:hint="eastAsia" w:ascii="宋体" w:hAnsi="宋体" w:cs="宋体"/>
          <w:b/>
          <w:color w:val="000000"/>
          <w:szCs w:val="21"/>
        </w:rPr>
        <w:t>元；</w:t>
      </w:r>
    </w:p>
    <w:p>
      <w:pPr>
        <w:ind w:firstLine="422"/>
        <w:jc w:val="left"/>
        <w:rPr>
          <w:rFonts w:ascii="SimSun,Bold" w:hAnsi="SimSun,Bold" w:eastAsia="SimSun,Bold"/>
          <w:b/>
        </w:rPr>
      </w:pPr>
      <w:r>
        <w:rPr>
          <w:rFonts w:hint="eastAsia" w:ascii="SimSun,Bold" w:hAnsi="SimSun,Bold" w:eastAsia="SimSun,Bold"/>
          <w:b/>
        </w:rPr>
        <w:t>2、本项目投标报价应包括服务成本、法定税费和利润。由企业根据招标文件所提供的资料自行测算投标报价。</w:t>
      </w:r>
    </w:p>
    <w:p>
      <w:pPr>
        <w:widowControl w:val="0"/>
        <w:autoSpaceDE w:val="0"/>
        <w:autoSpaceDN w:val="0"/>
        <w:adjustRightInd w:val="0"/>
        <w:snapToGrid w:val="0"/>
        <w:ind w:firstLine="0" w:firstLineChars="0"/>
        <w:jc w:val="left"/>
        <w:rPr>
          <w:rFonts w:ascii="宋体" w:hAnsi="宋体"/>
          <w:b/>
          <w:szCs w:val="21"/>
        </w:rPr>
      </w:pPr>
    </w:p>
    <w:p>
      <w:pPr>
        <w:pStyle w:val="4"/>
        <w:spacing w:before="0" w:after="0"/>
        <w:ind w:firstLine="0" w:firstLineChars="0"/>
        <w:rPr>
          <w:rFonts w:ascii="SimSun,Bold" w:hAnsi="SimSun,Bold" w:eastAsia="SimSun,Bold"/>
          <w:b/>
          <w:sz w:val="21"/>
        </w:rPr>
      </w:pPr>
      <w:bookmarkStart w:id="470" w:name="_Toc390444192"/>
      <w:r>
        <w:rPr>
          <w:rFonts w:hint="eastAsia" w:ascii="宋体" w:hAnsi="宋体"/>
          <w:b/>
          <w:szCs w:val="21"/>
        </w:rPr>
        <w:t>D2、</w:t>
      </w:r>
      <w:r>
        <w:rPr>
          <w:rFonts w:hint="eastAsia" w:ascii="SimSun,Bold" w:hAnsi="SimSun,Bold" w:eastAsia="SimSun,Bold"/>
          <w:b/>
          <w:sz w:val="21"/>
        </w:rPr>
        <w:t>其他</w:t>
      </w:r>
    </w:p>
    <w:p>
      <w:pPr>
        <w:widowControl w:val="0"/>
        <w:autoSpaceDE w:val="0"/>
        <w:autoSpaceDN w:val="0"/>
        <w:adjustRightInd w:val="0"/>
        <w:snapToGrid w:val="0"/>
        <w:ind w:firstLine="0" w:firstLineChars="0"/>
        <w:jc w:val="left"/>
        <w:rPr>
          <w:rFonts w:ascii="宋体" w:hAnsi="宋体"/>
        </w:rPr>
      </w:pPr>
      <w:r>
        <w:rPr>
          <w:rFonts w:hint="eastAsia" w:ascii="宋体" w:hAnsi="宋体"/>
        </w:rPr>
        <w:t>投标人认为应补充提供的其他文件资料或说明。</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ind w:firstLine="420"/>
      </w:pPr>
    </w:p>
    <w:p>
      <w:pPr>
        <w:tabs>
          <w:tab w:val="left" w:pos="511"/>
        </w:tabs>
        <w:ind w:firstLine="420"/>
        <w:jc w:val="left"/>
      </w:pPr>
    </w:p>
    <w:sectPr>
      <w:pgSz w:w="11907" w:h="16840"/>
      <w:pgMar w:top="1440" w:right="1800" w:bottom="1440" w:left="1800"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Palatino">
    <w:altName w:val="Palatino Linotype"/>
    <w:panose1 w:val="00000000000000000000"/>
    <w:charset w:val="00"/>
    <w:family w:val="modern"/>
    <w:pitch w:val="default"/>
    <w:sig w:usb0="00000000" w:usb1="00000000" w:usb2="00000000" w:usb3="00000000" w:csb0="00000093"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全真中明體">
    <w:altName w:val="Microsoft JhengHei"/>
    <w:panose1 w:val="00000000000000000000"/>
    <w:charset w:val="88"/>
    <w:family w:val="auto"/>
    <w:pitch w:val="default"/>
    <w:sig w:usb0="00000000" w:usb1="00000000" w:usb2="00000010" w:usb3="00000000" w:csb0="001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modern"/>
    <w:pitch w:val="default"/>
    <w:sig w:usb0="00000000" w:usb1="00000000" w:usb2="00000012" w:usb3="00000000" w:csb0="0002009F"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imSun,Bold">
    <w:altName w:val="宋体"/>
    <w:panose1 w:val="00000000000000000000"/>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Palatino Linotype">
    <w:panose1 w:val="02040502050505030304"/>
    <w:charset w:val="00"/>
    <w:family w:val="auto"/>
    <w:pitch w:val="default"/>
    <w:sig w:usb0="E0000287" w:usb1="40000013" w:usb2="00000000" w:usb3="00000000" w:csb0="200001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64</w:t>
    </w:r>
    <w:r>
      <w:rPr>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84</w:t>
    </w:r>
    <w:r>
      <w:rPr>
        <w:b/>
        <w:bCs/>
        <w:sz w:val="24"/>
        <w:szCs w:val="24"/>
      </w:rPr>
      <w:fldChar w:fldCharType="end"/>
    </w:r>
  </w:p>
  <w:p>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spacing w:after="0" w:line="240" w:lineRule="auto"/>
      <w:ind w:firstLine="0" w:firstLineChars="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ind w:firstLine="360"/>
      <w:jc w:val="right"/>
    </w:pPr>
    <w:r>
      <w:rPr>
        <w:rFonts w:hint="eastAsia"/>
        <w:bCs/>
      </w:rPr>
      <w:drawing>
        <wp:inline distT="0" distB="0" distL="114300" distR="114300">
          <wp:extent cx="1548130" cy="360680"/>
          <wp:effectExtent l="0" t="0" r="13970" b="1270"/>
          <wp:docPr id="2" name="图片 2" descr="微信图片_20200818203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818203312"/>
                  <pic:cNvPicPr>
                    <a:picLocks noChangeAspect="1"/>
                  </pic:cNvPicPr>
                </pic:nvPicPr>
                <pic:blipFill>
                  <a:blip r:embed="rId1"/>
                  <a:stretch>
                    <a:fillRect/>
                  </a:stretch>
                </pic:blipFill>
                <pic:spPr>
                  <a:xfrm>
                    <a:off x="0" y="0"/>
                    <a:ext cx="1548130" cy="3606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A85A3"/>
    <w:multiLevelType w:val="singleLevel"/>
    <w:tmpl w:val="B1CA85A3"/>
    <w:lvl w:ilvl="0" w:tentative="0">
      <w:start w:val="4"/>
      <w:numFmt w:val="chineseCounting"/>
      <w:suff w:val="nothing"/>
      <w:lvlText w:val="%1、"/>
      <w:lvlJc w:val="left"/>
      <w:rPr>
        <w:rFonts w:hint="eastAsia"/>
      </w:rPr>
    </w:lvl>
  </w:abstractNum>
  <w:abstractNum w:abstractNumId="1">
    <w:nsid w:val="C4CA5778"/>
    <w:multiLevelType w:val="singleLevel"/>
    <w:tmpl w:val="C4CA5778"/>
    <w:lvl w:ilvl="0" w:tentative="0">
      <w:start w:val="3"/>
      <w:numFmt w:val="chineseCounting"/>
      <w:suff w:val="space"/>
      <w:lvlText w:val="第%1章"/>
      <w:lvlJc w:val="left"/>
      <w:rPr>
        <w:rFonts w:hint="eastAsia"/>
      </w:rPr>
    </w:lvl>
  </w:abstractNum>
  <w:abstractNum w:abstractNumId="2">
    <w:nsid w:val="0A76D104"/>
    <w:multiLevelType w:val="singleLevel"/>
    <w:tmpl w:val="0A76D104"/>
    <w:lvl w:ilvl="0" w:tentative="0">
      <w:start w:val="1"/>
      <w:numFmt w:val="decimal"/>
      <w:lvlText w:val="%1."/>
      <w:lvlJc w:val="left"/>
      <w:pPr>
        <w:tabs>
          <w:tab w:val="left" w:pos="312"/>
        </w:tabs>
      </w:pPr>
    </w:lvl>
  </w:abstractNum>
  <w:abstractNum w:abstractNumId="3">
    <w:nsid w:val="10AC4DA9"/>
    <w:multiLevelType w:val="multilevel"/>
    <w:tmpl w:val="10AC4DA9"/>
    <w:lvl w:ilvl="0" w:tentative="0">
      <w:start w:val="1"/>
      <w:numFmt w:val="decimal"/>
      <w:lvlText w:val="%1、"/>
      <w:lvlJc w:val="left"/>
      <w:pPr>
        <w:ind w:left="0" w:firstLine="0"/>
      </w:pPr>
      <w:rPr>
        <w:rFonts w:hint="default"/>
      </w:rPr>
    </w:lvl>
    <w:lvl w:ilvl="1" w:tentative="0">
      <w:start w:val="2"/>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4">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1BEF4EC0"/>
    <w:multiLevelType w:val="multilevel"/>
    <w:tmpl w:val="1BEF4EC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2B33785C"/>
    <w:multiLevelType w:val="multilevel"/>
    <w:tmpl w:val="2B33785C"/>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421304F6"/>
    <w:multiLevelType w:val="multilevel"/>
    <w:tmpl w:val="421304F6"/>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60DE72B9"/>
    <w:multiLevelType w:val="multilevel"/>
    <w:tmpl w:val="60DE72B9"/>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9">
    <w:nsid w:val="687F1834"/>
    <w:multiLevelType w:val="multilevel"/>
    <w:tmpl w:val="687F1834"/>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10">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6"/>
  </w:num>
  <w:num w:numId="2">
    <w:abstractNumId w:val="2"/>
  </w:num>
  <w:num w:numId="3">
    <w:abstractNumId w:val="8"/>
  </w:num>
  <w:num w:numId="4">
    <w:abstractNumId w:val="4"/>
  </w:num>
  <w:num w:numId="5">
    <w:abstractNumId w:val="10"/>
  </w:num>
  <w:num w:numId="6">
    <w:abstractNumId w:val="7"/>
  </w:num>
  <w:num w:numId="7">
    <w:abstractNumId w:val="3"/>
  </w:num>
  <w:num w:numId="8">
    <w:abstractNumId w:val="9"/>
  </w:num>
  <w:num w:numId="9">
    <w:abstractNumId w:val="5"/>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YzMjgxNDY4NjJjZjY3ZmE3YjBlNDQ4NTM3NTM0YzYifQ=="/>
  </w:docVars>
  <w:rsids>
    <w:rsidRoot w:val="00172A27"/>
    <w:rsid w:val="0000066C"/>
    <w:rsid w:val="00000EA6"/>
    <w:rsid w:val="00000EEA"/>
    <w:rsid w:val="000024E0"/>
    <w:rsid w:val="00002620"/>
    <w:rsid w:val="00004014"/>
    <w:rsid w:val="00004927"/>
    <w:rsid w:val="00005535"/>
    <w:rsid w:val="00006612"/>
    <w:rsid w:val="000067A8"/>
    <w:rsid w:val="00007D34"/>
    <w:rsid w:val="00007E10"/>
    <w:rsid w:val="00007F87"/>
    <w:rsid w:val="00010405"/>
    <w:rsid w:val="000104A4"/>
    <w:rsid w:val="00010849"/>
    <w:rsid w:val="0001132F"/>
    <w:rsid w:val="000115B0"/>
    <w:rsid w:val="00012F50"/>
    <w:rsid w:val="0001510A"/>
    <w:rsid w:val="00015990"/>
    <w:rsid w:val="00015AE1"/>
    <w:rsid w:val="00016654"/>
    <w:rsid w:val="000168C5"/>
    <w:rsid w:val="00017578"/>
    <w:rsid w:val="000179AF"/>
    <w:rsid w:val="0002064D"/>
    <w:rsid w:val="00021009"/>
    <w:rsid w:val="0002127B"/>
    <w:rsid w:val="00021443"/>
    <w:rsid w:val="000218DE"/>
    <w:rsid w:val="00022817"/>
    <w:rsid w:val="000241C7"/>
    <w:rsid w:val="00025FA3"/>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D5D"/>
    <w:rsid w:val="00037DA6"/>
    <w:rsid w:val="00040403"/>
    <w:rsid w:val="0004104D"/>
    <w:rsid w:val="00041762"/>
    <w:rsid w:val="000417E5"/>
    <w:rsid w:val="00042FBF"/>
    <w:rsid w:val="00044AC6"/>
    <w:rsid w:val="000456FE"/>
    <w:rsid w:val="000458A3"/>
    <w:rsid w:val="000467DB"/>
    <w:rsid w:val="00046B5A"/>
    <w:rsid w:val="0005009A"/>
    <w:rsid w:val="000514C2"/>
    <w:rsid w:val="00051A43"/>
    <w:rsid w:val="000521B6"/>
    <w:rsid w:val="00052428"/>
    <w:rsid w:val="000525C6"/>
    <w:rsid w:val="00054FB1"/>
    <w:rsid w:val="000550B3"/>
    <w:rsid w:val="00055BB0"/>
    <w:rsid w:val="00056805"/>
    <w:rsid w:val="00057B99"/>
    <w:rsid w:val="0006123F"/>
    <w:rsid w:val="00061BFB"/>
    <w:rsid w:val="0006271F"/>
    <w:rsid w:val="000629EE"/>
    <w:rsid w:val="00062C6D"/>
    <w:rsid w:val="00064382"/>
    <w:rsid w:val="0006568B"/>
    <w:rsid w:val="00066198"/>
    <w:rsid w:val="00066662"/>
    <w:rsid w:val="00066A2B"/>
    <w:rsid w:val="00066CD3"/>
    <w:rsid w:val="00066F05"/>
    <w:rsid w:val="000679A5"/>
    <w:rsid w:val="00070264"/>
    <w:rsid w:val="000714CE"/>
    <w:rsid w:val="00071D71"/>
    <w:rsid w:val="00072DF7"/>
    <w:rsid w:val="00073034"/>
    <w:rsid w:val="00073394"/>
    <w:rsid w:val="00074BD9"/>
    <w:rsid w:val="00077ED7"/>
    <w:rsid w:val="00080897"/>
    <w:rsid w:val="000808D3"/>
    <w:rsid w:val="00080A86"/>
    <w:rsid w:val="00081101"/>
    <w:rsid w:val="00082212"/>
    <w:rsid w:val="0008249F"/>
    <w:rsid w:val="00083986"/>
    <w:rsid w:val="00083D5D"/>
    <w:rsid w:val="00086180"/>
    <w:rsid w:val="0008655B"/>
    <w:rsid w:val="0008776F"/>
    <w:rsid w:val="000910F1"/>
    <w:rsid w:val="00092B9C"/>
    <w:rsid w:val="00093CD6"/>
    <w:rsid w:val="0009430E"/>
    <w:rsid w:val="00095872"/>
    <w:rsid w:val="00095E2A"/>
    <w:rsid w:val="00096C0E"/>
    <w:rsid w:val="000978C4"/>
    <w:rsid w:val="000A070D"/>
    <w:rsid w:val="000A39D5"/>
    <w:rsid w:val="000A3F78"/>
    <w:rsid w:val="000A3FD7"/>
    <w:rsid w:val="000A42DF"/>
    <w:rsid w:val="000A43B3"/>
    <w:rsid w:val="000A4A5F"/>
    <w:rsid w:val="000A4BE6"/>
    <w:rsid w:val="000A5141"/>
    <w:rsid w:val="000A525C"/>
    <w:rsid w:val="000A5C57"/>
    <w:rsid w:val="000A5CAC"/>
    <w:rsid w:val="000A61C9"/>
    <w:rsid w:val="000A6A4B"/>
    <w:rsid w:val="000A6D8F"/>
    <w:rsid w:val="000A7807"/>
    <w:rsid w:val="000B06D8"/>
    <w:rsid w:val="000B0C1C"/>
    <w:rsid w:val="000B1345"/>
    <w:rsid w:val="000B1C0F"/>
    <w:rsid w:val="000B203C"/>
    <w:rsid w:val="000B233F"/>
    <w:rsid w:val="000B27F2"/>
    <w:rsid w:val="000B2CE1"/>
    <w:rsid w:val="000B3E79"/>
    <w:rsid w:val="000B3F10"/>
    <w:rsid w:val="000B4140"/>
    <w:rsid w:val="000B47C2"/>
    <w:rsid w:val="000B4CEC"/>
    <w:rsid w:val="000B717F"/>
    <w:rsid w:val="000C042A"/>
    <w:rsid w:val="000C0A57"/>
    <w:rsid w:val="000C17DA"/>
    <w:rsid w:val="000C1A77"/>
    <w:rsid w:val="000C1C8B"/>
    <w:rsid w:val="000C23BF"/>
    <w:rsid w:val="000C2451"/>
    <w:rsid w:val="000C2533"/>
    <w:rsid w:val="000C27C3"/>
    <w:rsid w:val="000C37CC"/>
    <w:rsid w:val="000C3E0E"/>
    <w:rsid w:val="000C3EA3"/>
    <w:rsid w:val="000C4A36"/>
    <w:rsid w:val="000C4DA1"/>
    <w:rsid w:val="000C4F6C"/>
    <w:rsid w:val="000C5D07"/>
    <w:rsid w:val="000C6AE1"/>
    <w:rsid w:val="000C7830"/>
    <w:rsid w:val="000D0220"/>
    <w:rsid w:val="000D05ED"/>
    <w:rsid w:val="000D12FA"/>
    <w:rsid w:val="000D18CA"/>
    <w:rsid w:val="000D21BA"/>
    <w:rsid w:val="000D2823"/>
    <w:rsid w:val="000D2ADD"/>
    <w:rsid w:val="000D355D"/>
    <w:rsid w:val="000D37BB"/>
    <w:rsid w:val="000D38E6"/>
    <w:rsid w:val="000D473A"/>
    <w:rsid w:val="000D4C76"/>
    <w:rsid w:val="000D5169"/>
    <w:rsid w:val="000D5875"/>
    <w:rsid w:val="000D5FD1"/>
    <w:rsid w:val="000D6A89"/>
    <w:rsid w:val="000D6DFE"/>
    <w:rsid w:val="000D6FF0"/>
    <w:rsid w:val="000E0369"/>
    <w:rsid w:val="000E050E"/>
    <w:rsid w:val="000E1458"/>
    <w:rsid w:val="000E2D66"/>
    <w:rsid w:val="000E312E"/>
    <w:rsid w:val="000E3AC4"/>
    <w:rsid w:val="000E3FAC"/>
    <w:rsid w:val="000E404E"/>
    <w:rsid w:val="000E4113"/>
    <w:rsid w:val="000E6BD6"/>
    <w:rsid w:val="000E72C8"/>
    <w:rsid w:val="000F1DA5"/>
    <w:rsid w:val="000F2097"/>
    <w:rsid w:val="000F3266"/>
    <w:rsid w:val="000F356D"/>
    <w:rsid w:val="000F37C8"/>
    <w:rsid w:val="000F3DF1"/>
    <w:rsid w:val="000F40DE"/>
    <w:rsid w:val="000F41FF"/>
    <w:rsid w:val="000F6454"/>
    <w:rsid w:val="000F73CB"/>
    <w:rsid w:val="00100091"/>
    <w:rsid w:val="0010019F"/>
    <w:rsid w:val="00100FA0"/>
    <w:rsid w:val="00101788"/>
    <w:rsid w:val="00101B56"/>
    <w:rsid w:val="00101D33"/>
    <w:rsid w:val="001020DF"/>
    <w:rsid w:val="001026E1"/>
    <w:rsid w:val="00102796"/>
    <w:rsid w:val="0010577C"/>
    <w:rsid w:val="001065B2"/>
    <w:rsid w:val="00106A66"/>
    <w:rsid w:val="001073E7"/>
    <w:rsid w:val="001074D8"/>
    <w:rsid w:val="001077DC"/>
    <w:rsid w:val="00107AFF"/>
    <w:rsid w:val="00112004"/>
    <w:rsid w:val="0011204C"/>
    <w:rsid w:val="0011281C"/>
    <w:rsid w:val="00114BEC"/>
    <w:rsid w:val="001208C5"/>
    <w:rsid w:val="001212A7"/>
    <w:rsid w:val="001219F6"/>
    <w:rsid w:val="00122035"/>
    <w:rsid w:val="00122A62"/>
    <w:rsid w:val="00123106"/>
    <w:rsid w:val="001234B6"/>
    <w:rsid w:val="001245AF"/>
    <w:rsid w:val="00124E0A"/>
    <w:rsid w:val="00125CBE"/>
    <w:rsid w:val="0012698A"/>
    <w:rsid w:val="0012724A"/>
    <w:rsid w:val="001300A6"/>
    <w:rsid w:val="00130D96"/>
    <w:rsid w:val="001314CD"/>
    <w:rsid w:val="00131E9F"/>
    <w:rsid w:val="00133EBE"/>
    <w:rsid w:val="00134555"/>
    <w:rsid w:val="00135289"/>
    <w:rsid w:val="00136613"/>
    <w:rsid w:val="00136D19"/>
    <w:rsid w:val="00137AB7"/>
    <w:rsid w:val="00137B4D"/>
    <w:rsid w:val="001402F9"/>
    <w:rsid w:val="00141814"/>
    <w:rsid w:val="001430D8"/>
    <w:rsid w:val="001456F1"/>
    <w:rsid w:val="0014584F"/>
    <w:rsid w:val="00145B2A"/>
    <w:rsid w:val="00145C80"/>
    <w:rsid w:val="00145CB5"/>
    <w:rsid w:val="00145FD7"/>
    <w:rsid w:val="00147284"/>
    <w:rsid w:val="00147BC3"/>
    <w:rsid w:val="00150FD0"/>
    <w:rsid w:val="00151249"/>
    <w:rsid w:val="00152026"/>
    <w:rsid w:val="00152A6D"/>
    <w:rsid w:val="00152DD3"/>
    <w:rsid w:val="00153A91"/>
    <w:rsid w:val="00153FCE"/>
    <w:rsid w:val="00154BE0"/>
    <w:rsid w:val="001550CE"/>
    <w:rsid w:val="00155245"/>
    <w:rsid w:val="00156652"/>
    <w:rsid w:val="0015797A"/>
    <w:rsid w:val="00157A50"/>
    <w:rsid w:val="00157E3F"/>
    <w:rsid w:val="00160F59"/>
    <w:rsid w:val="001610E0"/>
    <w:rsid w:val="0016125D"/>
    <w:rsid w:val="001613E5"/>
    <w:rsid w:val="00162196"/>
    <w:rsid w:val="001624B6"/>
    <w:rsid w:val="001626FC"/>
    <w:rsid w:val="00162E32"/>
    <w:rsid w:val="001634F7"/>
    <w:rsid w:val="00164D6B"/>
    <w:rsid w:val="00165A42"/>
    <w:rsid w:val="00166609"/>
    <w:rsid w:val="00166BB3"/>
    <w:rsid w:val="0016727C"/>
    <w:rsid w:val="0016783C"/>
    <w:rsid w:val="001700AF"/>
    <w:rsid w:val="00170146"/>
    <w:rsid w:val="001706D6"/>
    <w:rsid w:val="0017158F"/>
    <w:rsid w:val="00171D42"/>
    <w:rsid w:val="001723CD"/>
    <w:rsid w:val="00172A27"/>
    <w:rsid w:val="00173112"/>
    <w:rsid w:val="001734CA"/>
    <w:rsid w:val="00173E36"/>
    <w:rsid w:val="00174572"/>
    <w:rsid w:val="00176425"/>
    <w:rsid w:val="0017648C"/>
    <w:rsid w:val="001779C9"/>
    <w:rsid w:val="00180048"/>
    <w:rsid w:val="00180071"/>
    <w:rsid w:val="001800DD"/>
    <w:rsid w:val="001802F6"/>
    <w:rsid w:val="0018030A"/>
    <w:rsid w:val="00180A18"/>
    <w:rsid w:val="001821C5"/>
    <w:rsid w:val="00182F2F"/>
    <w:rsid w:val="0018359D"/>
    <w:rsid w:val="00183D04"/>
    <w:rsid w:val="001840A0"/>
    <w:rsid w:val="00184EF8"/>
    <w:rsid w:val="00185FCD"/>
    <w:rsid w:val="00186118"/>
    <w:rsid w:val="001861D6"/>
    <w:rsid w:val="0018719B"/>
    <w:rsid w:val="0018748D"/>
    <w:rsid w:val="0018754D"/>
    <w:rsid w:val="00190564"/>
    <w:rsid w:val="00191D8A"/>
    <w:rsid w:val="00192CF4"/>
    <w:rsid w:val="00194824"/>
    <w:rsid w:val="00194BB7"/>
    <w:rsid w:val="00194D12"/>
    <w:rsid w:val="001955BC"/>
    <w:rsid w:val="00195B58"/>
    <w:rsid w:val="00196486"/>
    <w:rsid w:val="00196A9E"/>
    <w:rsid w:val="00196E98"/>
    <w:rsid w:val="001975FD"/>
    <w:rsid w:val="00197F01"/>
    <w:rsid w:val="001A0618"/>
    <w:rsid w:val="001A3F64"/>
    <w:rsid w:val="001A427A"/>
    <w:rsid w:val="001A457C"/>
    <w:rsid w:val="001A63FF"/>
    <w:rsid w:val="001A66B4"/>
    <w:rsid w:val="001A68B4"/>
    <w:rsid w:val="001A7D58"/>
    <w:rsid w:val="001B1AAE"/>
    <w:rsid w:val="001B201A"/>
    <w:rsid w:val="001B2C8C"/>
    <w:rsid w:val="001B527B"/>
    <w:rsid w:val="001B5630"/>
    <w:rsid w:val="001B5DFA"/>
    <w:rsid w:val="001B63B3"/>
    <w:rsid w:val="001B68FD"/>
    <w:rsid w:val="001B7748"/>
    <w:rsid w:val="001C0089"/>
    <w:rsid w:val="001C0442"/>
    <w:rsid w:val="001C09D6"/>
    <w:rsid w:val="001C0F3D"/>
    <w:rsid w:val="001C2AE8"/>
    <w:rsid w:val="001C3134"/>
    <w:rsid w:val="001C3C73"/>
    <w:rsid w:val="001C3F29"/>
    <w:rsid w:val="001C4787"/>
    <w:rsid w:val="001C4B7E"/>
    <w:rsid w:val="001C6382"/>
    <w:rsid w:val="001C6CD7"/>
    <w:rsid w:val="001C7975"/>
    <w:rsid w:val="001D2292"/>
    <w:rsid w:val="001D388B"/>
    <w:rsid w:val="001D3F92"/>
    <w:rsid w:val="001D450E"/>
    <w:rsid w:val="001D474B"/>
    <w:rsid w:val="001D4753"/>
    <w:rsid w:val="001D4CB6"/>
    <w:rsid w:val="001D62B9"/>
    <w:rsid w:val="001D6DE1"/>
    <w:rsid w:val="001D6EF9"/>
    <w:rsid w:val="001E0335"/>
    <w:rsid w:val="001E1FC8"/>
    <w:rsid w:val="001E227F"/>
    <w:rsid w:val="001E2B7C"/>
    <w:rsid w:val="001E34A2"/>
    <w:rsid w:val="001E5A5C"/>
    <w:rsid w:val="001E7091"/>
    <w:rsid w:val="001F0B7B"/>
    <w:rsid w:val="001F0F51"/>
    <w:rsid w:val="001F128E"/>
    <w:rsid w:val="001F4623"/>
    <w:rsid w:val="001F5AE8"/>
    <w:rsid w:val="001F6D56"/>
    <w:rsid w:val="001F7877"/>
    <w:rsid w:val="002003B4"/>
    <w:rsid w:val="00200A84"/>
    <w:rsid w:val="00200C58"/>
    <w:rsid w:val="00200D96"/>
    <w:rsid w:val="002043DC"/>
    <w:rsid w:val="002046C9"/>
    <w:rsid w:val="00204741"/>
    <w:rsid w:val="00204E1C"/>
    <w:rsid w:val="002056D0"/>
    <w:rsid w:val="002060B5"/>
    <w:rsid w:val="0020652A"/>
    <w:rsid w:val="002067E0"/>
    <w:rsid w:val="00206D4E"/>
    <w:rsid w:val="00206DCB"/>
    <w:rsid w:val="00206DDA"/>
    <w:rsid w:val="00206EA8"/>
    <w:rsid w:val="002070C3"/>
    <w:rsid w:val="00207C9A"/>
    <w:rsid w:val="0021008C"/>
    <w:rsid w:val="0021041A"/>
    <w:rsid w:val="0021049B"/>
    <w:rsid w:val="00210BE5"/>
    <w:rsid w:val="0021318B"/>
    <w:rsid w:val="00213BA8"/>
    <w:rsid w:val="00214562"/>
    <w:rsid w:val="00215B14"/>
    <w:rsid w:val="00215B7D"/>
    <w:rsid w:val="00215C16"/>
    <w:rsid w:val="002162E3"/>
    <w:rsid w:val="00216ADD"/>
    <w:rsid w:val="0021762D"/>
    <w:rsid w:val="00217894"/>
    <w:rsid w:val="00220618"/>
    <w:rsid w:val="00220B6C"/>
    <w:rsid w:val="00220B8A"/>
    <w:rsid w:val="002211B9"/>
    <w:rsid w:val="00221941"/>
    <w:rsid w:val="00221D82"/>
    <w:rsid w:val="00222ECD"/>
    <w:rsid w:val="00222F36"/>
    <w:rsid w:val="00223DF0"/>
    <w:rsid w:val="002243AF"/>
    <w:rsid w:val="00224C8F"/>
    <w:rsid w:val="00224D7E"/>
    <w:rsid w:val="0022503F"/>
    <w:rsid w:val="00226571"/>
    <w:rsid w:val="00227E63"/>
    <w:rsid w:val="002310DF"/>
    <w:rsid w:val="002311A6"/>
    <w:rsid w:val="00231DEF"/>
    <w:rsid w:val="00232304"/>
    <w:rsid w:val="002328C4"/>
    <w:rsid w:val="00232B9D"/>
    <w:rsid w:val="002330EB"/>
    <w:rsid w:val="00233DAE"/>
    <w:rsid w:val="00233E2E"/>
    <w:rsid w:val="0023433B"/>
    <w:rsid w:val="00234818"/>
    <w:rsid w:val="00234890"/>
    <w:rsid w:val="00234CBD"/>
    <w:rsid w:val="002351F6"/>
    <w:rsid w:val="002352C6"/>
    <w:rsid w:val="00235614"/>
    <w:rsid w:val="00235BCB"/>
    <w:rsid w:val="00235D1D"/>
    <w:rsid w:val="0023613A"/>
    <w:rsid w:val="00236490"/>
    <w:rsid w:val="00236E08"/>
    <w:rsid w:val="002377FB"/>
    <w:rsid w:val="0023794F"/>
    <w:rsid w:val="002417F8"/>
    <w:rsid w:val="00241E44"/>
    <w:rsid w:val="00242634"/>
    <w:rsid w:val="002430C4"/>
    <w:rsid w:val="00243424"/>
    <w:rsid w:val="00243F18"/>
    <w:rsid w:val="00244719"/>
    <w:rsid w:val="002451ED"/>
    <w:rsid w:val="00246562"/>
    <w:rsid w:val="00246967"/>
    <w:rsid w:val="00247623"/>
    <w:rsid w:val="002477A3"/>
    <w:rsid w:val="00247EFD"/>
    <w:rsid w:val="00250703"/>
    <w:rsid w:val="00250C64"/>
    <w:rsid w:val="0025131A"/>
    <w:rsid w:val="002519C5"/>
    <w:rsid w:val="00251A4F"/>
    <w:rsid w:val="00251BA1"/>
    <w:rsid w:val="00251F6D"/>
    <w:rsid w:val="00252AD0"/>
    <w:rsid w:val="00254704"/>
    <w:rsid w:val="0025508E"/>
    <w:rsid w:val="00255A59"/>
    <w:rsid w:val="0026185A"/>
    <w:rsid w:val="002619DA"/>
    <w:rsid w:val="00262D11"/>
    <w:rsid w:val="002631C6"/>
    <w:rsid w:val="00265060"/>
    <w:rsid w:val="00265CE2"/>
    <w:rsid w:val="0026650C"/>
    <w:rsid w:val="002668DE"/>
    <w:rsid w:val="00266B14"/>
    <w:rsid w:val="00266C1D"/>
    <w:rsid w:val="002677C1"/>
    <w:rsid w:val="00267A65"/>
    <w:rsid w:val="00267AA7"/>
    <w:rsid w:val="00270DBE"/>
    <w:rsid w:val="00272389"/>
    <w:rsid w:val="002724CD"/>
    <w:rsid w:val="002743FC"/>
    <w:rsid w:val="00275E8E"/>
    <w:rsid w:val="0027687B"/>
    <w:rsid w:val="00276968"/>
    <w:rsid w:val="00280571"/>
    <w:rsid w:val="0028094B"/>
    <w:rsid w:val="00281E81"/>
    <w:rsid w:val="00282CA7"/>
    <w:rsid w:val="00282E3F"/>
    <w:rsid w:val="00283641"/>
    <w:rsid w:val="00283668"/>
    <w:rsid w:val="0028536F"/>
    <w:rsid w:val="00286005"/>
    <w:rsid w:val="00286087"/>
    <w:rsid w:val="002901B3"/>
    <w:rsid w:val="00291685"/>
    <w:rsid w:val="00292E01"/>
    <w:rsid w:val="002942C8"/>
    <w:rsid w:val="00295A59"/>
    <w:rsid w:val="00295C40"/>
    <w:rsid w:val="00296208"/>
    <w:rsid w:val="0029622A"/>
    <w:rsid w:val="0029763D"/>
    <w:rsid w:val="002977E7"/>
    <w:rsid w:val="002A0081"/>
    <w:rsid w:val="002A01AA"/>
    <w:rsid w:val="002A0398"/>
    <w:rsid w:val="002A0C0D"/>
    <w:rsid w:val="002A144C"/>
    <w:rsid w:val="002A15C2"/>
    <w:rsid w:val="002A1A78"/>
    <w:rsid w:val="002A1D87"/>
    <w:rsid w:val="002A287F"/>
    <w:rsid w:val="002A2DC7"/>
    <w:rsid w:val="002A34D1"/>
    <w:rsid w:val="002A3E7C"/>
    <w:rsid w:val="002A3FB6"/>
    <w:rsid w:val="002A5F20"/>
    <w:rsid w:val="002A64BD"/>
    <w:rsid w:val="002A68A2"/>
    <w:rsid w:val="002A691B"/>
    <w:rsid w:val="002A6FE6"/>
    <w:rsid w:val="002A77AE"/>
    <w:rsid w:val="002B18F3"/>
    <w:rsid w:val="002B1EA9"/>
    <w:rsid w:val="002B23DA"/>
    <w:rsid w:val="002B2815"/>
    <w:rsid w:val="002B2FA2"/>
    <w:rsid w:val="002B302C"/>
    <w:rsid w:val="002B55E0"/>
    <w:rsid w:val="002B597E"/>
    <w:rsid w:val="002B5F71"/>
    <w:rsid w:val="002B6211"/>
    <w:rsid w:val="002B68B4"/>
    <w:rsid w:val="002B7090"/>
    <w:rsid w:val="002B7A44"/>
    <w:rsid w:val="002C030E"/>
    <w:rsid w:val="002C26C5"/>
    <w:rsid w:val="002C309C"/>
    <w:rsid w:val="002C30EC"/>
    <w:rsid w:val="002C35B7"/>
    <w:rsid w:val="002C51D1"/>
    <w:rsid w:val="002C6076"/>
    <w:rsid w:val="002C62E0"/>
    <w:rsid w:val="002C6A24"/>
    <w:rsid w:val="002C714E"/>
    <w:rsid w:val="002C758D"/>
    <w:rsid w:val="002D0EB1"/>
    <w:rsid w:val="002D1F6C"/>
    <w:rsid w:val="002D27DB"/>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215D"/>
    <w:rsid w:val="002E2C72"/>
    <w:rsid w:val="002E3F8C"/>
    <w:rsid w:val="002E4079"/>
    <w:rsid w:val="002E4893"/>
    <w:rsid w:val="002E4CC9"/>
    <w:rsid w:val="002E5529"/>
    <w:rsid w:val="002E576D"/>
    <w:rsid w:val="002E6580"/>
    <w:rsid w:val="002E77F4"/>
    <w:rsid w:val="002F012D"/>
    <w:rsid w:val="002F0F41"/>
    <w:rsid w:val="002F135F"/>
    <w:rsid w:val="002F3C52"/>
    <w:rsid w:val="002F3D4C"/>
    <w:rsid w:val="002F4CE7"/>
    <w:rsid w:val="002F5C9D"/>
    <w:rsid w:val="002F5DB0"/>
    <w:rsid w:val="002F696B"/>
    <w:rsid w:val="002F6DE5"/>
    <w:rsid w:val="002F78FC"/>
    <w:rsid w:val="0030013D"/>
    <w:rsid w:val="0030091C"/>
    <w:rsid w:val="00301552"/>
    <w:rsid w:val="00301AED"/>
    <w:rsid w:val="00303392"/>
    <w:rsid w:val="003035E8"/>
    <w:rsid w:val="0030362A"/>
    <w:rsid w:val="0030436B"/>
    <w:rsid w:val="00304568"/>
    <w:rsid w:val="00304956"/>
    <w:rsid w:val="00304C95"/>
    <w:rsid w:val="003071BA"/>
    <w:rsid w:val="00307A3B"/>
    <w:rsid w:val="0031065E"/>
    <w:rsid w:val="00310B04"/>
    <w:rsid w:val="00310FBF"/>
    <w:rsid w:val="003124CC"/>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7A75"/>
    <w:rsid w:val="00327B67"/>
    <w:rsid w:val="00330EA4"/>
    <w:rsid w:val="003316BE"/>
    <w:rsid w:val="00332C4B"/>
    <w:rsid w:val="00334B63"/>
    <w:rsid w:val="003350B7"/>
    <w:rsid w:val="003354EE"/>
    <w:rsid w:val="00337727"/>
    <w:rsid w:val="00337C3A"/>
    <w:rsid w:val="00337FCF"/>
    <w:rsid w:val="00340DBF"/>
    <w:rsid w:val="00341D13"/>
    <w:rsid w:val="00342071"/>
    <w:rsid w:val="0034298B"/>
    <w:rsid w:val="00342EAC"/>
    <w:rsid w:val="00345202"/>
    <w:rsid w:val="0034613D"/>
    <w:rsid w:val="0034625C"/>
    <w:rsid w:val="00346823"/>
    <w:rsid w:val="003471FF"/>
    <w:rsid w:val="00347474"/>
    <w:rsid w:val="003476E7"/>
    <w:rsid w:val="00347D3A"/>
    <w:rsid w:val="00347E57"/>
    <w:rsid w:val="00350234"/>
    <w:rsid w:val="003503FE"/>
    <w:rsid w:val="00350D98"/>
    <w:rsid w:val="00351411"/>
    <w:rsid w:val="00352E08"/>
    <w:rsid w:val="003540EA"/>
    <w:rsid w:val="00354183"/>
    <w:rsid w:val="003546CF"/>
    <w:rsid w:val="003549B1"/>
    <w:rsid w:val="00356966"/>
    <w:rsid w:val="00360575"/>
    <w:rsid w:val="00360F49"/>
    <w:rsid w:val="00361155"/>
    <w:rsid w:val="003617ED"/>
    <w:rsid w:val="00361A09"/>
    <w:rsid w:val="00361C67"/>
    <w:rsid w:val="003621E7"/>
    <w:rsid w:val="00363E92"/>
    <w:rsid w:val="00364FFB"/>
    <w:rsid w:val="00365668"/>
    <w:rsid w:val="00365F45"/>
    <w:rsid w:val="00365FD4"/>
    <w:rsid w:val="00366002"/>
    <w:rsid w:val="003661FE"/>
    <w:rsid w:val="003665E0"/>
    <w:rsid w:val="00367964"/>
    <w:rsid w:val="00367C85"/>
    <w:rsid w:val="00367E52"/>
    <w:rsid w:val="003702E1"/>
    <w:rsid w:val="00370B57"/>
    <w:rsid w:val="003713D6"/>
    <w:rsid w:val="0037160D"/>
    <w:rsid w:val="003717C3"/>
    <w:rsid w:val="003725FD"/>
    <w:rsid w:val="00373151"/>
    <w:rsid w:val="003743A3"/>
    <w:rsid w:val="0037505A"/>
    <w:rsid w:val="0037548D"/>
    <w:rsid w:val="00375546"/>
    <w:rsid w:val="00375E8D"/>
    <w:rsid w:val="003760BB"/>
    <w:rsid w:val="00376ABC"/>
    <w:rsid w:val="00376CE0"/>
    <w:rsid w:val="0037748D"/>
    <w:rsid w:val="00377CBB"/>
    <w:rsid w:val="00381553"/>
    <w:rsid w:val="003824CC"/>
    <w:rsid w:val="003825A2"/>
    <w:rsid w:val="00382D72"/>
    <w:rsid w:val="00382FD1"/>
    <w:rsid w:val="00383F10"/>
    <w:rsid w:val="00384D21"/>
    <w:rsid w:val="00384ECB"/>
    <w:rsid w:val="003851FE"/>
    <w:rsid w:val="00385E0E"/>
    <w:rsid w:val="00386368"/>
    <w:rsid w:val="0038714E"/>
    <w:rsid w:val="003879C4"/>
    <w:rsid w:val="0039086A"/>
    <w:rsid w:val="00390F9C"/>
    <w:rsid w:val="0039119A"/>
    <w:rsid w:val="003919E9"/>
    <w:rsid w:val="00392264"/>
    <w:rsid w:val="003945E6"/>
    <w:rsid w:val="00394B37"/>
    <w:rsid w:val="00394F4F"/>
    <w:rsid w:val="003958BD"/>
    <w:rsid w:val="00395E08"/>
    <w:rsid w:val="00397311"/>
    <w:rsid w:val="0039775F"/>
    <w:rsid w:val="00397A29"/>
    <w:rsid w:val="00397B4B"/>
    <w:rsid w:val="003A1A3D"/>
    <w:rsid w:val="003A44ED"/>
    <w:rsid w:val="003A4B14"/>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7CA0"/>
    <w:rsid w:val="003B7D5B"/>
    <w:rsid w:val="003C125E"/>
    <w:rsid w:val="003C22B4"/>
    <w:rsid w:val="003C28D2"/>
    <w:rsid w:val="003C3CAF"/>
    <w:rsid w:val="003C4CA3"/>
    <w:rsid w:val="003C5CE2"/>
    <w:rsid w:val="003C63FF"/>
    <w:rsid w:val="003C6706"/>
    <w:rsid w:val="003C7293"/>
    <w:rsid w:val="003C77FA"/>
    <w:rsid w:val="003C7872"/>
    <w:rsid w:val="003D0048"/>
    <w:rsid w:val="003D10C1"/>
    <w:rsid w:val="003D1128"/>
    <w:rsid w:val="003D16A3"/>
    <w:rsid w:val="003D1A3E"/>
    <w:rsid w:val="003D29B8"/>
    <w:rsid w:val="003D2FEB"/>
    <w:rsid w:val="003D4B8A"/>
    <w:rsid w:val="003D4D2E"/>
    <w:rsid w:val="003D53F8"/>
    <w:rsid w:val="003D62F5"/>
    <w:rsid w:val="003D65AF"/>
    <w:rsid w:val="003D7171"/>
    <w:rsid w:val="003E0088"/>
    <w:rsid w:val="003E0CBE"/>
    <w:rsid w:val="003E1360"/>
    <w:rsid w:val="003E18DB"/>
    <w:rsid w:val="003E1DD4"/>
    <w:rsid w:val="003E1FA5"/>
    <w:rsid w:val="003E3D5F"/>
    <w:rsid w:val="003E3FC0"/>
    <w:rsid w:val="003E42E9"/>
    <w:rsid w:val="003E5758"/>
    <w:rsid w:val="003E5837"/>
    <w:rsid w:val="003E642D"/>
    <w:rsid w:val="003E64E1"/>
    <w:rsid w:val="003E6735"/>
    <w:rsid w:val="003E6ACE"/>
    <w:rsid w:val="003E7137"/>
    <w:rsid w:val="003E77D5"/>
    <w:rsid w:val="003E7FD8"/>
    <w:rsid w:val="003F03D6"/>
    <w:rsid w:val="003F03E6"/>
    <w:rsid w:val="003F097A"/>
    <w:rsid w:val="003F0C3C"/>
    <w:rsid w:val="003F1790"/>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A5A"/>
    <w:rsid w:val="0040522E"/>
    <w:rsid w:val="00405C40"/>
    <w:rsid w:val="00405CB1"/>
    <w:rsid w:val="004060E2"/>
    <w:rsid w:val="00407716"/>
    <w:rsid w:val="00407DCA"/>
    <w:rsid w:val="004107A4"/>
    <w:rsid w:val="00411849"/>
    <w:rsid w:val="00412CDB"/>
    <w:rsid w:val="00412FA0"/>
    <w:rsid w:val="00413046"/>
    <w:rsid w:val="0041475B"/>
    <w:rsid w:val="004160CA"/>
    <w:rsid w:val="004177BB"/>
    <w:rsid w:val="00417F47"/>
    <w:rsid w:val="00420232"/>
    <w:rsid w:val="004205CC"/>
    <w:rsid w:val="004209D9"/>
    <w:rsid w:val="00420D40"/>
    <w:rsid w:val="0042104F"/>
    <w:rsid w:val="004215DE"/>
    <w:rsid w:val="00421E5C"/>
    <w:rsid w:val="004220A7"/>
    <w:rsid w:val="00422AB7"/>
    <w:rsid w:val="0042312D"/>
    <w:rsid w:val="00423F33"/>
    <w:rsid w:val="0042685F"/>
    <w:rsid w:val="00426E25"/>
    <w:rsid w:val="00427118"/>
    <w:rsid w:val="00427389"/>
    <w:rsid w:val="00427BF6"/>
    <w:rsid w:val="00430055"/>
    <w:rsid w:val="00431033"/>
    <w:rsid w:val="00433628"/>
    <w:rsid w:val="00433D50"/>
    <w:rsid w:val="004347DB"/>
    <w:rsid w:val="0043502C"/>
    <w:rsid w:val="00435D98"/>
    <w:rsid w:val="004405A7"/>
    <w:rsid w:val="00440A15"/>
    <w:rsid w:val="00440DD1"/>
    <w:rsid w:val="00441814"/>
    <w:rsid w:val="00444875"/>
    <w:rsid w:val="00444944"/>
    <w:rsid w:val="00444F2D"/>
    <w:rsid w:val="00444FBF"/>
    <w:rsid w:val="00444FEA"/>
    <w:rsid w:val="004455E0"/>
    <w:rsid w:val="0044566F"/>
    <w:rsid w:val="0044590A"/>
    <w:rsid w:val="00445A29"/>
    <w:rsid w:val="00445C68"/>
    <w:rsid w:val="004463FA"/>
    <w:rsid w:val="00451601"/>
    <w:rsid w:val="00451670"/>
    <w:rsid w:val="00452D7C"/>
    <w:rsid w:val="00453A01"/>
    <w:rsid w:val="0045446F"/>
    <w:rsid w:val="00454764"/>
    <w:rsid w:val="0045573F"/>
    <w:rsid w:val="004558C0"/>
    <w:rsid w:val="0045697D"/>
    <w:rsid w:val="00456DC5"/>
    <w:rsid w:val="00457BA2"/>
    <w:rsid w:val="00457D13"/>
    <w:rsid w:val="00460875"/>
    <w:rsid w:val="00460DA2"/>
    <w:rsid w:val="00461271"/>
    <w:rsid w:val="004613CB"/>
    <w:rsid w:val="00461BB3"/>
    <w:rsid w:val="00461FA0"/>
    <w:rsid w:val="004649E8"/>
    <w:rsid w:val="00464E44"/>
    <w:rsid w:val="00466777"/>
    <w:rsid w:val="00466C5E"/>
    <w:rsid w:val="004675EF"/>
    <w:rsid w:val="00467C8F"/>
    <w:rsid w:val="00470A1B"/>
    <w:rsid w:val="004717E6"/>
    <w:rsid w:val="00472A3D"/>
    <w:rsid w:val="0047326D"/>
    <w:rsid w:val="004738E6"/>
    <w:rsid w:val="00473C16"/>
    <w:rsid w:val="00474050"/>
    <w:rsid w:val="004748DF"/>
    <w:rsid w:val="004751E7"/>
    <w:rsid w:val="00475421"/>
    <w:rsid w:val="004757C0"/>
    <w:rsid w:val="00476473"/>
    <w:rsid w:val="00476625"/>
    <w:rsid w:val="00476E54"/>
    <w:rsid w:val="004771AF"/>
    <w:rsid w:val="004805FB"/>
    <w:rsid w:val="00480707"/>
    <w:rsid w:val="00481023"/>
    <w:rsid w:val="0048103F"/>
    <w:rsid w:val="00481C0C"/>
    <w:rsid w:val="00481C7F"/>
    <w:rsid w:val="00483609"/>
    <w:rsid w:val="004879B0"/>
    <w:rsid w:val="00490DF0"/>
    <w:rsid w:val="00491E86"/>
    <w:rsid w:val="0049360B"/>
    <w:rsid w:val="00493983"/>
    <w:rsid w:val="00494183"/>
    <w:rsid w:val="004942E2"/>
    <w:rsid w:val="00495024"/>
    <w:rsid w:val="0049512B"/>
    <w:rsid w:val="00495A8F"/>
    <w:rsid w:val="00495BD6"/>
    <w:rsid w:val="00495EE7"/>
    <w:rsid w:val="004A160E"/>
    <w:rsid w:val="004A2614"/>
    <w:rsid w:val="004A305B"/>
    <w:rsid w:val="004A3C36"/>
    <w:rsid w:val="004A44F9"/>
    <w:rsid w:val="004A4AF6"/>
    <w:rsid w:val="004A4E63"/>
    <w:rsid w:val="004A566C"/>
    <w:rsid w:val="004A6544"/>
    <w:rsid w:val="004A6DEF"/>
    <w:rsid w:val="004A7269"/>
    <w:rsid w:val="004A764A"/>
    <w:rsid w:val="004A7D76"/>
    <w:rsid w:val="004A7EB2"/>
    <w:rsid w:val="004B003B"/>
    <w:rsid w:val="004B0CAF"/>
    <w:rsid w:val="004B1BB4"/>
    <w:rsid w:val="004B2ECC"/>
    <w:rsid w:val="004B349C"/>
    <w:rsid w:val="004B478C"/>
    <w:rsid w:val="004B6919"/>
    <w:rsid w:val="004B7964"/>
    <w:rsid w:val="004C02C5"/>
    <w:rsid w:val="004C05A3"/>
    <w:rsid w:val="004C0661"/>
    <w:rsid w:val="004C0BF6"/>
    <w:rsid w:val="004C1786"/>
    <w:rsid w:val="004C19ED"/>
    <w:rsid w:val="004C1DA5"/>
    <w:rsid w:val="004C2D4C"/>
    <w:rsid w:val="004C3FFD"/>
    <w:rsid w:val="004C4152"/>
    <w:rsid w:val="004C427D"/>
    <w:rsid w:val="004C43D4"/>
    <w:rsid w:val="004C512B"/>
    <w:rsid w:val="004C6568"/>
    <w:rsid w:val="004C6B05"/>
    <w:rsid w:val="004C7139"/>
    <w:rsid w:val="004C7240"/>
    <w:rsid w:val="004C7F81"/>
    <w:rsid w:val="004D0303"/>
    <w:rsid w:val="004D06CF"/>
    <w:rsid w:val="004D2893"/>
    <w:rsid w:val="004D3DC2"/>
    <w:rsid w:val="004D410E"/>
    <w:rsid w:val="004D4BB7"/>
    <w:rsid w:val="004D4C0A"/>
    <w:rsid w:val="004D4E06"/>
    <w:rsid w:val="004D58E6"/>
    <w:rsid w:val="004D608D"/>
    <w:rsid w:val="004D7889"/>
    <w:rsid w:val="004E0C0B"/>
    <w:rsid w:val="004E1725"/>
    <w:rsid w:val="004E3116"/>
    <w:rsid w:val="004E31F5"/>
    <w:rsid w:val="004E3619"/>
    <w:rsid w:val="004E376B"/>
    <w:rsid w:val="004E3CDE"/>
    <w:rsid w:val="004E3E9E"/>
    <w:rsid w:val="004E477E"/>
    <w:rsid w:val="004E47CE"/>
    <w:rsid w:val="004E7BEF"/>
    <w:rsid w:val="004F03DE"/>
    <w:rsid w:val="004F109D"/>
    <w:rsid w:val="004F2E08"/>
    <w:rsid w:val="004F3582"/>
    <w:rsid w:val="004F36A1"/>
    <w:rsid w:val="004F4EB7"/>
    <w:rsid w:val="004F5037"/>
    <w:rsid w:val="004F58B6"/>
    <w:rsid w:val="004F6166"/>
    <w:rsid w:val="004F6D43"/>
    <w:rsid w:val="004F7AFB"/>
    <w:rsid w:val="004F7F83"/>
    <w:rsid w:val="00501404"/>
    <w:rsid w:val="00501517"/>
    <w:rsid w:val="005029DA"/>
    <w:rsid w:val="005043D8"/>
    <w:rsid w:val="0050689B"/>
    <w:rsid w:val="005069C5"/>
    <w:rsid w:val="005070D6"/>
    <w:rsid w:val="005072F9"/>
    <w:rsid w:val="00507859"/>
    <w:rsid w:val="00507FED"/>
    <w:rsid w:val="00510229"/>
    <w:rsid w:val="00511286"/>
    <w:rsid w:val="00511534"/>
    <w:rsid w:val="005118A7"/>
    <w:rsid w:val="0051381F"/>
    <w:rsid w:val="00513B7F"/>
    <w:rsid w:val="0051464C"/>
    <w:rsid w:val="0051674E"/>
    <w:rsid w:val="00516EC0"/>
    <w:rsid w:val="005173CD"/>
    <w:rsid w:val="005222CB"/>
    <w:rsid w:val="005229BA"/>
    <w:rsid w:val="00523CDE"/>
    <w:rsid w:val="00523F54"/>
    <w:rsid w:val="0052486F"/>
    <w:rsid w:val="005254C3"/>
    <w:rsid w:val="005261D5"/>
    <w:rsid w:val="00526CB0"/>
    <w:rsid w:val="00526D36"/>
    <w:rsid w:val="0052772E"/>
    <w:rsid w:val="00527C84"/>
    <w:rsid w:val="0053016B"/>
    <w:rsid w:val="00530C01"/>
    <w:rsid w:val="00530EE1"/>
    <w:rsid w:val="0053122C"/>
    <w:rsid w:val="00531550"/>
    <w:rsid w:val="00531DE3"/>
    <w:rsid w:val="005323F4"/>
    <w:rsid w:val="005324FB"/>
    <w:rsid w:val="0053256D"/>
    <w:rsid w:val="00532CB4"/>
    <w:rsid w:val="00533802"/>
    <w:rsid w:val="00533A2B"/>
    <w:rsid w:val="00533AD3"/>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5298B"/>
    <w:rsid w:val="00554BB2"/>
    <w:rsid w:val="0055552A"/>
    <w:rsid w:val="005559B0"/>
    <w:rsid w:val="005561E4"/>
    <w:rsid w:val="00556A2E"/>
    <w:rsid w:val="005575D9"/>
    <w:rsid w:val="005601A0"/>
    <w:rsid w:val="00561822"/>
    <w:rsid w:val="00561E64"/>
    <w:rsid w:val="00562F72"/>
    <w:rsid w:val="00563059"/>
    <w:rsid w:val="0056314F"/>
    <w:rsid w:val="005636B2"/>
    <w:rsid w:val="0056385D"/>
    <w:rsid w:val="00563A5E"/>
    <w:rsid w:val="00564F6A"/>
    <w:rsid w:val="00565347"/>
    <w:rsid w:val="00565794"/>
    <w:rsid w:val="00565D56"/>
    <w:rsid w:val="00566255"/>
    <w:rsid w:val="00566672"/>
    <w:rsid w:val="00566B3E"/>
    <w:rsid w:val="00567543"/>
    <w:rsid w:val="00567C00"/>
    <w:rsid w:val="005702CB"/>
    <w:rsid w:val="005713B5"/>
    <w:rsid w:val="00571458"/>
    <w:rsid w:val="00571548"/>
    <w:rsid w:val="00571781"/>
    <w:rsid w:val="00571BBD"/>
    <w:rsid w:val="00572AAE"/>
    <w:rsid w:val="00573D9D"/>
    <w:rsid w:val="00574420"/>
    <w:rsid w:val="00574752"/>
    <w:rsid w:val="00574838"/>
    <w:rsid w:val="005809E2"/>
    <w:rsid w:val="005820D0"/>
    <w:rsid w:val="00583B8F"/>
    <w:rsid w:val="005844A5"/>
    <w:rsid w:val="0058464C"/>
    <w:rsid w:val="00585209"/>
    <w:rsid w:val="0058539E"/>
    <w:rsid w:val="00587556"/>
    <w:rsid w:val="005875A9"/>
    <w:rsid w:val="00587734"/>
    <w:rsid w:val="00590135"/>
    <w:rsid w:val="00590AF8"/>
    <w:rsid w:val="00592D0D"/>
    <w:rsid w:val="0059355F"/>
    <w:rsid w:val="00593A0F"/>
    <w:rsid w:val="00593E7B"/>
    <w:rsid w:val="00593F62"/>
    <w:rsid w:val="005942B8"/>
    <w:rsid w:val="005946A1"/>
    <w:rsid w:val="005955E8"/>
    <w:rsid w:val="00595B5B"/>
    <w:rsid w:val="00596552"/>
    <w:rsid w:val="005973F1"/>
    <w:rsid w:val="00597BD5"/>
    <w:rsid w:val="005A18D1"/>
    <w:rsid w:val="005A195B"/>
    <w:rsid w:val="005A1D4E"/>
    <w:rsid w:val="005A28E2"/>
    <w:rsid w:val="005A2EDF"/>
    <w:rsid w:val="005A2FB6"/>
    <w:rsid w:val="005A30E8"/>
    <w:rsid w:val="005A3641"/>
    <w:rsid w:val="005A38FE"/>
    <w:rsid w:val="005A44FB"/>
    <w:rsid w:val="005A5911"/>
    <w:rsid w:val="005A7084"/>
    <w:rsid w:val="005B0070"/>
    <w:rsid w:val="005B063F"/>
    <w:rsid w:val="005B0E62"/>
    <w:rsid w:val="005B2086"/>
    <w:rsid w:val="005B3201"/>
    <w:rsid w:val="005B336E"/>
    <w:rsid w:val="005B38F6"/>
    <w:rsid w:val="005B53B5"/>
    <w:rsid w:val="005B5DBA"/>
    <w:rsid w:val="005B5DEE"/>
    <w:rsid w:val="005B635E"/>
    <w:rsid w:val="005B69C0"/>
    <w:rsid w:val="005B6FF1"/>
    <w:rsid w:val="005B7F1A"/>
    <w:rsid w:val="005B7FD0"/>
    <w:rsid w:val="005C13D6"/>
    <w:rsid w:val="005C26FA"/>
    <w:rsid w:val="005C2C78"/>
    <w:rsid w:val="005C2CA9"/>
    <w:rsid w:val="005C3221"/>
    <w:rsid w:val="005C32D3"/>
    <w:rsid w:val="005C34B4"/>
    <w:rsid w:val="005C34F5"/>
    <w:rsid w:val="005C45F2"/>
    <w:rsid w:val="005C5C1E"/>
    <w:rsid w:val="005C6A43"/>
    <w:rsid w:val="005C6BF7"/>
    <w:rsid w:val="005C7843"/>
    <w:rsid w:val="005C7D0E"/>
    <w:rsid w:val="005C7E4A"/>
    <w:rsid w:val="005D1035"/>
    <w:rsid w:val="005D124C"/>
    <w:rsid w:val="005D1E8D"/>
    <w:rsid w:val="005D20C6"/>
    <w:rsid w:val="005D281F"/>
    <w:rsid w:val="005D2AAD"/>
    <w:rsid w:val="005D54A2"/>
    <w:rsid w:val="005D54F8"/>
    <w:rsid w:val="005D5D73"/>
    <w:rsid w:val="005D630F"/>
    <w:rsid w:val="005D6B09"/>
    <w:rsid w:val="005D6B5B"/>
    <w:rsid w:val="005D6E9A"/>
    <w:rsid w:val="005D7222"/>
    <w:rsid w:val="005D762C"/>
    <w:rsid w:val="005E0CB9"/>
    <w:rsid w:val="005E26AE"/>
    <w:rsid w:val="005E29E0"/>
    <w:rsid w:val="005E4904"/>
    <w:rsid w:val="005E5B15"/>
    <w:rsid w:val="005E6370"/>
    <w:rsid w:val="005E6C42"/>
    <w:rsid w:val="005E6F36"/>
    <w:rsid w:val="005E710B"/>
    <w:rsid w:val="005E7218"/>
    <w:rsid w:val="005E7317"/>
    <w:rsid w:val="005E7738"/>
    <w:rsid w:val="005E777D"/>
    <w:rsid w:val="005F0D16"/>
    <w:rsid w:val="005F13BC"/>
    <w:rsid w:val="005F1908"/>
    <w:rsid w:val="005F1AAA"/>
    <w:rsid w:val="005F2006"/>
    <w:rsid w:val="005F523A"/>
    <w:rsid w:val="005F5AE4"/>
    <w:rsid w:val="005F64A0"/>
    <w:rsid w:val="005F661E"/>
    <w:rsid w:val="005F73D8"/>
    <w:rsid w:val="005F7C8C"/>
    <w:rsid w:val="00600326"/>
    <w:rsid w:val="00600824"/>
    <w:rsid w:val="0060155D"/>
    <w:rsid w:val="006019B3"/>
    <w:rsid w:val="00601BDC"/>
    <w:rsid w:val="006035BD"/>
    <w:rsid w:val="006059B7"/>
    <w:rsid w:val="006064DA"/>
    <w:rsid w:val="006067DD"/>
    <w:rsid w:val="00606FE8"/>
    <w:rsid w:val="006074F1"/>
    <w:rsid w:val="006075B7"/>
    <w:rsid w:val="006078E9"/>
    <w:rsid w:val="0061070A"/>
    <w:rsid w:val="00610E9D"/>
    <w:rsid w:val="006112D4"/>
    <w:rsid w:val="0061173F"/>
    <w:rsid w:val="00611C20"/>
    <w:rsid w:val="00611DA1"/>
    <w:rsid w:val="0061217D"/>
    <w:rsid w:val="00612231"/>
    <w:rsid w:val="00612374"/>
    <w:rsid w:val="00612815"/>
    <w:rsid w:val="006136B4"/>
    <w:rsid w:val="00615379"/>
    <w:rsid w:val="006166D3"/>
    <w:rsid w:val="0061695B"/>
    <w:rsid w:val="006170A7"/>
    <w:rsid w:val="00617D08"/>
    <w:rsid w:val="00620500"/>
    <w:rsid w:val="00620C37"/>
    <w:rsid w:val="006225BC"/>
    <w:rsid w:val="0062271C"/>
    <w:rsid w:val="00622AB6"/>
    <w:rsid w:val="0062404A"/>
    <w:rsid w:val="00624236"/>
    <w:rsid w:val="00624E5F"/>
    <w:rsid w:val="00624E70"/>
    <w:rsid w:val="006254D0"/>
    <w:rsid w:val="00625602"/>
    <w:rsid w:val="00625F5F"/>
    <w:rsid w:val="006274C7"/>
    <w:rsid w:val="006278B6"/>
    <w:rsid w:val="00630869"/>
    <w:rsid w:val="00630BA3"/>
    <w:rsid w:val="00630FB6"/>
    <w:rsid w:val="00632AB6"/>
    <w:rsid w:val="006340B0"/>
    <w:rsid w:val="0063501D"/>
    <w:rsid w:val="00635C7B"/>
    <w:rsid w:val="00636868"/>
    <w:rsid w:val="00637DA4"/>
    <w:rsid w:val="00640832"/>
    <w:rsid w:val="00640A6A"/>
    <w:rsid w:val="00643602"/>
    <w:rsid w:val="00643C9F"/>
    <w:rsid w:val="006445B4"/>
    <w:rsid w:val="006454C4"/>
    <w:rsid w:val="00645A96"/>
    <w:rsid w:val="00645D5E"/>
    <w:rsid w:val="006464EB"/>
    <w:rsid w:val="0064734F"/>
    <w:rsid w:val="0064788B"/>
    <w:rsid w:val="00650011"/>
    <w:rsid w:val="00650C5F"/>
    <w:rsid w:val="00651FD1"/>
    <w:rsid w:val="006521FB"/>
    <w:rsid w:val="006522BB"/>
    <w:rsid w:val="00652F23"/>
    <w:rsid w:val="0065304D"/>
    <w:rsid w:val="0065345B"/>
    <w:rsid w:val="00653557"/>
    <w:rsid w:val="00654350"/>
    <w:rsid w:val="0065480F"/>
    <w:rsid w:val="0066001B"/>
    <w:rsid w:val="006602F6"/>
    <w:rsid w:val="006605F5"/>
    <w:rsid w:val="00661041"/>
    <w:rsid w:val="0066130E"/>
    <w:rsid w:val="00661598"/>
    <w:rsid w:val="00661AFB"/>
    <w:rsid w:val="00661C84"/>
    <w:rsid w:val="00662B73"/>
    <w:rsid w:val="006630FE"/>
    <w:rsid w:val="00663A25"/>
    <w:rsid w:val="00663C0A"/>
    <w:rsid w:val="00663C7B"/>
    <w:rsid w:val="0066409E"/>
    <w:rsid w:val="0066413C"/>
    <w:rsid w:val="00664410"/>
    <w:rsid w:val="00664DB3"/>
    <w:rsid w:val="00666661"/>
    <w:rsid w:val="006709E1"/>
    <w:rsid w:val="00671AD8"/>
    <w:rsid w:val="00674271"/>
    <w:rsid w:val="0067478D"/>
    <w:rsid w:val="00674CA3"/>
    <w:rsid w:val="006751F8"/>
    <w:rsid w:val="00675AB7"/>
    <w:rsid w:val="00675E75"/>
    <w:rsid w:val="006761D0"/>
    <w:rsid w:val="00676382"/>
    <w:rsid w:val="006774B4"/>
    <w:rsid w:val="00680592"/>
    <w:rsid w:val="00680605"/>
    <w:rsid w:val="00680E84"/>
    <w:rsid w:val="0068138E"/>
    <w:rsid w:val="0068184D"/>
    <w:rsid w:val="00681CB7"/>
    <w:rsid w:val="0068260E"/>
    <w:rsid w:val="00682817"/>
    <w:rsid w:val="00682A53"/>
    <w:rsid w:val="00682ABF"/>
    <w:rsid w:val="00683099"/>
    <w:rsid w:val="00683564"/>
    <w:rsid w:val="00684552"/>
    <w:rsid w:val="00684E16"/>
    <w:rsid w:val="006865AB"/>
    <w:rsid w:val="006867F8"/>
    <w:rsid w:val="0068792D"/>
    <w:rsid w:val="00687CD4"/>
    <w:rsid w:val="00690390"/>
    <w:rsid w:val="00690942"/>
    <w:rsid w:val="0069136E"/>
    <w:rsid w:val="00691971"/>
    <w:rsid w:val="00691BC8"/>
    <w:rsid w:val="006928A2"/>
    <w:rsid w:val="00692FA9"/>
    <w:rsid w:val="00694BBA"/>
    <w:rsid w:val="00694D49"/>
    <w:rsid w:val="00695327"/>
    <w:rsid w:val="00695E9D"/>
    <w:rsid w:val="00696D3B"/>
    <w:rsid w:val="006971FF"/>
    <w:rsid w:val="00697623"/>
    <w:rsid w:val="0069765D"/>
    <w:rsid w:val="00697B9A"/>
    <w:rsid w:val="006A1A33"/>
    <w:rsid w:val="006A21DC"/>
    <w:rsid w:val="006A24AE"/>
    <w:rsid w:val="006A343B"/>
    <w:rsid w:val="006A48AF"/>
    <w:rsid w:val="006A586C"/>
    <w:rsid w:val="006A59CB"/>
    <w:rsid w:val="006A6B7A"/>
    <w:rsid w:val="006B06C1"/>
    <w:rsid w:val="006B1048"/>
    <w:rsid w:val="006B1CB0"/>
    <w:rsid w:val="006B27C1"/>
    <w:rsid w:val="006B2B86"/>
    <w:rsid w:val="006B4B0F"/>
    <w:rsid w:val="006B563A"/>
    <w:rsid w:val="006B59E5"/>
    <w:rsid w:val="006B5A45"/>
    <w:rsid w:val="006B5A80"/>
    <w:rsid w:val="006B5D23"/>
    <w:rsid w:val="006B636B"/>
    <w:rsid w:val="006B6D15"/>
    <w:rsid w:val="006B74F9"/>
    <w:rsid w:val="006B7579"/>
    <w:rsid w:val="006B772D"/>
    <w:rsid w:val="006C0093"/>
    <w:rsid w:val="006C03C5"/>
    <w:rsid w:val="006C14DD"/>
    <w:rsid w:val="006C17BF"/>
    <w:rsid w:val="006C251E"/>
    <w:rsid w:val="006C2964"/>
    <w:rsid w:val="006C2FD8"/>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3E0B"/>
    <w:rsid w:val="006D4066"/>
    <w:rsid w:val="006D410D"/>
    <w:rsid w:val="006D4C42"/>
    <w:rsid w:val="006D60F0"/>
    <w:rsid w:val="006D6FB9"/>
    <w:rsid w:val="006D7722"/>
    <w:rsid w:val="006D7D9C"/>
    <w:rsid w:val="006E136C"/>
    <w:rsid w:val="006E2549"/>
    <w:rsid w:val="006E2D69"/>
    <w:rsid w:val="006E3329"/>
    <w:rsid w:val="006E3820"/>
    <w:rsid w:val="006E3A0F"/>
    <w:rsid w:val="006E3C47"/>
    <w:rsid w:val="006E47A6"/>
    <w:rsid w:val="006E559A"/>
    <w:rsid w:val="006E63B5"/>
    <w:rsid w:val="006E79C9"/>
    <w:rsid w:val="006E7A12"/>
    <w:rsid w:val="006E7DAF"/>
    <w:rsid w:val="006F1C55"/>
    <w:rsid w:val="006F222E"/>
    <w:rsid w:val="006F2B4C"/>
    <w:rsid w:val="006F374F"/>
    <w:rsid w:val="006F3D25"/>
    <w:rsid w:val="006F47D0"/>
    <w:rsid w:val="006F4879"/>
    <w:rsid w:val="006F5529"/>
    <w:rsid w:val="006F6D62"/>
    <w:rsid w:val="0070035E"/>
    <w:rsid w:val="00700934"/>
    <w:rsid w:val="007031A4"/>
    <w:rsid w:val="00703563"/>
    <w:rsid w:val="007038F6"/>
    <w:rsid w:val="00703BEC"/>
    <w:rsid w:val="00705B79"/>
    <w:rsid w:val="00705D88"/>
    <w:rsid w:val="00707CC5"/>
    <w:rsid w:val="0071021B"/>
    <w:rsid w:val="00710D16"/>
    <w:rsid w:val="007110A9"/>
    <w:rsid w:val="007110AC"/>
    <w:rsid w:val="007130CC"/>
    <w:rsid w:val="00713E3F"/>
    <w:rsid w:val="007147DF"/>
    <w:rsid w:val="0071574E"/>
    <w:rsid w:val="007162EA"/>
    <w:rsid w:val="00716AD7"/>
    <w:rsid w:val="007174A6"/>
    <w:rsid w:val="00720261"/>
    <w:rsid w:val="0072086D"/>
    <w:rsid w:val="007212CA"/>
    <w:rsid w:val="007217ED"/>
    <w:rsid w:val="00721FE4"/>
    <w:rsid w:val="00722C55"/>
    <w:rsid w:val="00723D06"/>
    <w:rsid w:val="007242AD"/>
    <w:rsid w:val="0072501D"/>
    <w:rsid w:val="00725C1D"/>
    <w:rsid w:val="00725C62"/>
    <w:rsid w:val="00726533"/>
    <w:rsid w:val="00726B80"/>
    <w:rsid w:val="007275E0"/>
    <w:rsid w:val="007302C4"/>
    <w:rsid w:val="0073089A"/>
    <w:rsid w:val="007308FA"/>
    <w:rsid w:val="00730BF4"/>
    <w:rsid w:val="00731570"/>
    <w:rsid w:val="00733278"/>
    <w:rsid w:val="0073352C"/>
    <w:rsid w:val="00733CA4"/>
    <w:rsid w:val="0073463C"/>
    <w:rsid w:val="007349CB"/>
    <w:rsid w:val="00734DE8"/>
    <w:rsid w:val="0073679C"/>
    <w:rsid w:val="007370BF"/>
    <w:rsid w:val="00737531"/>
    <w:rsid w:val="00740BDE"/>
    <w:rsid w:val="00741503"/>
    <w:rsid w:val="00741DC8"/>
    <w:rsid w:val="0074275D"/>
    <w:rsid w:val="0074289D"/>
    <w:rsid w:val="007429CA"/>
    <w:rsid w:val="0074336A"/>
    <w:rsid w:val="00743567"/>
    <w:rsid w:val="00743D51"/>
    <w:rsid w:val="00744BAE"/>
    <w:rsid w:val="00744EC5"/>
    <w:rsid w:val="007453E5"/>
    <w:rsid w:val="00745E1A"/>
    <w:rsid w:val="00746DA9"/>
    <w:rsid w:val="00746E0D"/>
    <w:rsid w:val="007508B9"/>
    <w:rsid w:val="007511A4"/>
    <w:rsid w:val="0075139B"/>
    <w:rsid w:val="007517D3"/>
    <w:rsid w:val="00751FE1"/>
    <w:rsid w:val="007531E4"/>
    <w:rsid w:val="0075320D"/>
    <w:rsid w:val="0075345D"/>
    <w:rsid w:val="00753CBF"/>
    <w:rsid w:val="00754063"/>
    <w:rsid w:val="00754264"/>
    <w:rsid w:val="007548A2"/>
    <w:rsid w:val="00755119"/>
    <w:rsid w:val="007553D7"/>
    <w:rsid w:val="00755964"/>
    <w:rsid w:val="0075634C"/>
    <w:rsid w:val="0075689D"/>
    <w:rsid w:val="00756942"/>
    <w:rsid w:val="0076017E"/>
    <w:rsid w:val="00760405"/>
    <w:rsid w:val="0076119E"/>
    <w:rsid w:val="0076174C"/>
    <w:rsid w:val="00761D88"/>
    <w:rsid w:val="00762AA9"/>
    <w:rsid w:val="00762D5A"/>
    <w:rsid w:val="00763D0F"/>
    <w:rsid w:val="007645CC"/>
    <w:rsid w:val="00765159"/>
    <w:rsid w:val="00765DD0"/>
    <w:rsid w:val="00767759"/>
    <w:rsid w:val="007677EF"/>
    <w:rsid w:val="007679E9"/>
    <w:rsid w:val="00767A5A"/>
    <w:rsid w:val="00770B8B"/>
    <w:rsid w:val="00770BE6"/>
    <w:rsid w:val="00771CF1"/>
    <w:rsid w:val="0077240A"/>
    <w:rsid w:val="00772CAC"/>
    <w:rsid w:val="00772F59"/>
    <w:rsid w:val="0077323F"/>
    <w:rsid w:val="00773797"/>
    <w:rsid w:val="00776539"/>
    <w:rsid w:val="00777476"/>
    <w:rsid w:val="00777E03"/>
    <w:rsid w:val="00782672"/>
    <w:rsid w:val="007843B8"/>
    <w:rsid w:val="00784CED"/>
    <w:rsid w:val="00784F49"/>
    <w:rsid w:val="0078601D"/>
    <w:rsid w:val="00786EDD"/>
    <w:rsid w:val="00790F8B"/>
    <w:rsid w:val="00791F58"/>
    <w:rsid w:val="007928F6"/>
    <w:rsid w:val="00792BE0"/>
    <w:rsid w:val="00792D75"/>
    <w:rsid w:val="007934EC"/>
    <w:rsid w:val="00793582"/>
    <w:rsid w:val="0079391D"/>
    <w:rsid w:val="00794A80"/>
    <w:rsid w:val="00794BFF"/>
    <w:rsid w:val="00794CD1"/>
    <w:rsid w:val="00794D24"/>
    <w:rsid w:val="00795A8A"/>
    <w:rsid w:val="00796D1E"/>
    <w:rsid w:val="0079720E"/>
    <w:rsid w:val="007A0CBE"/>
    <w:rsid w:val="007A213B"/>
    <w:rsid w:val="007A2A86"/>
    <w:rsid w:val="007A33D6"/>
    <w:rsid w:val="007A4021"/>
    <w:rsid w:val="007A4361"/>
    <w:rsid w:val="007A47CD"/>
    <w:rsid w:val="007A4BCF"/>
    <w:rsid w:val="007A5C53"/>
    <w:rsid w:val="007A5E3A"/>
    <w:rsid w:val="007A65BB"/>
    <w:rsid w:val="007A6CC1"/>
    <w:rsid w:val="007A7B85"/>
    <w:rsid w:val="007A7C76"/>
    <w:rsid w:val="007B07A0"/>
    <w:rsid w:val="007B0CED"/>
    <w:rsid w:val="007B1959"/>
    <w:rsid w:val="007B1BF8"/>
    <w:rsid w:val="007B2684"/>
    <w:rsid w:val="007B2EAC"/>
    <w:rsid w:val="007B338D"/>
    <w:rsid w:val="007B396D"/>
    <w:rsid w:val="007B3CB3"/>
    <w:rsid w:val="007B3D53"/>
    <w:rsid w:val="007B4878"/>
    <w:rsid w:val="007B4FAD"/>
    <w:rsid w:val="007B55AE"/>
    <w:rsid w:val="007B5AEB"/>
    <w:rsid w:val="007B751D"/>
    <w:rsid w:val="007B754E"/>
    <w:rsid w:val="007B7C5F"/>
    <w:rsid w:val="007C0E63"/>
    <w:rsid w:val="007C1BE0"/>
    <w:rsid w:val="007C22DC"/>
    <w:rsid w:val="007C39B4"/>
    <w:rsid w:val="007C42E3"/>
    <w:rsid w:val="007C5658"/>
    <w:rsid w:val="007C6EE3"/>
    <w:rsid w:val="007C70F8"/>
    <w:rsid w:val="007C77FE"/>
    <w:rsid w:val="007D2278"/>
    <w:rsid w:val="007D2B28"/>
    <w:rsid w:val="007D476F"/>
    <w:rsid w:val="007D53D4"/>
    <w:rsid w:val="007D71D6"/>
    <w:rsid w:val="007D7E48"/>
    <w:rsid w:val="007E0E94"/>
    <w:rsid w:val="007E0F8C"/>
    <w:rsid w:val="007E1CFB"/>
    <w:rsid w:val="007E26E9"/>
    <w:rsid w:val="007E2FAA"/>
    <w:rsid w:val="007E362A"/>
    <w:rsid w:val="007E528C"/>
    <w:rsid w:val="007E5332"/>
    <w:rsid w:val="007E6393"/>
    <w:rsid w:val="007E6E2C"/>
    <w:rsid w:val="007F038A"/>
    <w:rsid w:val="007F1024"/>
    <w:rsid w:val="007F152E"/>
    <w:rsid w:val="007F2FC7"/>
    <w:rsid w:val="007F3E41"/>
    <w:rsid w:val="007F4824"/>
    <w:rsid w:val="007F54F9"/>
    <w:rsid w:val="007F5987"/>
    <w:rsid w:val="007F677E"/>
    <w:rsid w:val="007F6F6E"/>
    <w:rsid w:val="007F7997"/>
    <w:rsid w:val="008006A5"/>
    <w:rsid w:val="00800824"/>
    <w:rsid w:val="00801054"/>
    <w:rsid w:val="0080150D"/>
    <w:rsid w:val="008015BF"/>
    <w:rsid w:val="008020C3"/>
    <w:rsid w:val="00802D54"/>
    <w:rsid w:val="00802DF4"/>
    <w:rsid w:val="00803683"/>
    <w:rsid w:val="00803C24"/>
    <w:rsid w:val="00804CF8"/>
    <w:rsid w:val="008052CB"/>
    <w:rsid w:val="00805CE5"/>
    <w:rsid w:val="008070AF"/>
    <w:rsid w:val="00810BC3"/>
    <w:rsid w:val="008111ED"/>
    <w:rsid w:val="008117B4"/>
    <w:rsid w:val="00811C1A"/>
    <w:rsid w:val="00812104"/>
    <w:rsid w:val="0081242F"/>
    <w:rsid w:val="0081289B"/>
    <w:rsid w:val="008136BA"/>
    <w:rsid w:val="00813CED"/>
    <w:rsid w:val="0081551D"/>
    <w:rsid w:val="0081562C"/>
    <w:rsid w:val="00815B61"/>
    <w:rsid w:val="0081677D"/>
    <w:rsid w:val="00816C92"/>
    <w:rsid w:val="00817884"/>
    <w:rsid w:val="00817E69"/>
    <w:rsid w:val="00820DFB"/>
    <w:rsid w:val="0082113D"/>
    <w:rsid w:val="008217A7"/>
    <w:rsid w:val="00821862"/>
    <w:rsid w:val="0082222E"/>
    <w:rsid w:val="00822692"/>
    <w:rsid w:val="00824F27"/>
    <w:rsid w:val="00826B16"/>
    <w:rsid w:val="008272E7"/>
    <w:rsid w:val="00827AB2"/>
    <w:rsid w:val="008302E8"/>
    <w:rsid w:val="00830698"/>
    <w:rsid w:val="0083167E"/>
    <w:rsid w:val="00832121"/>
    <w:rsid w:val="0083212F"/>
    <w:rsid w:val="00832BCA"/>
    <w:rsid w:val="00832CCD"/>
    <w:rsid w:val="0083311E"/>
    <w:rsid w:val="00833CEC"/>
    <w:rsid w:val="008355A3"/>
    <w:rsid w:val="008358E6"/>
    <w:rsid w:val="00836087"/>
    <w:rsid w:val="008360C7"/>
    <w:rsid w:val="00836675"/>
    <w:rsid w:val="00836FE9"/>
    <w:rsid w:val="00837BBB"/>
    <w:rsid w:val="00843EEA"/>
    <w:rsid w:val="00843F2B"/>
    <w:rsid w:val="00844453"/>
    <w:rsid w:val="00844A6E"/>
    <w:rsid w:val="00844A79"/>
    <w:rsid w:val="00847AF8"/>
    <w:rsid w:val="00850182"/>
    <w:rsid w:val="00851A89"/>
    <w:rsid w:val="00852330"/>
    <w:rsid w:val="00852693"/>
    <w:rsid w:val="0085360B"/>
    <w:rsid w:val="00854976"/>
    <w:rsid w:val="008551B5"/>
    <w:rsid w:val="00855419"/>
    <w:rsid w:val="00856490"/>
    <w:rsid w:val="00857215"/>
    <w:rsid w:val="00861855"/>
    <w:rsid w:val="00862468"/>
    <w:rsid w:val="008628FF"/>
    <w:rsid w:val="00862C4C"/>
    <w:rsid w:val="00862C94"/>
    <w:rsid w:val="00862EA2"/>
    <w:rsid w:val="00862F7C"/>
    <w:rsid w:val="0086331C"/>
    <w:rsid w:val="00863F5B"/>
    <w:rsid w:val="00864DFE"/>
    <w:rsid w:val="00865CBC"/>
    <w:rsid w:val="0086637F"/>
    <w:rsid w:val="0086661C"/>
    <w:rsid w:val="00867C01"/>
    <w:rsid w:val="00870A5B"/>
    <w:rsid w:val="00870DC7"/>
    <w:rsid w:val="00871476"/>
    <w:rsid w:val="0087164C"/>
    <w:rsid w:val="00871B04"/>
    <w:rsid w:val="00874350"/>
    <w:rsid w:val="00874791"/>
    <w:rsid w:val="00874A3F"/>
    <w:rsid w:val="00874AE2"/>
    <w:rsid w:val="008758B2"/>
    <w:rsid w:val="00875B77"/>
    <w:rsid w:val="00875D89"/>
    <w:rsid w:val="00876640"/>
    <w:rsid w:val="00877913"/>
    <w:rsid w:val="00877B9E"/>
    <w:rsid w:val="00880732"/>
    <w:rsid w:val="008808F9"/>
    <w:rsid w:val="00883DD6"/>
    <w:rsid w:val="00885EF2"/>
    <w:rsid w:val="008863AD"/>
    <w:rsid w:val="0088691B"/>
    <w:rsid w:val="00886E79"/>
    <w:rsid w:val="008873F9"/>
    <w:rsid w:val="00887692"/>
    <w:rsid w:val="00887C23"/>
    <w:rsid w:val="00887DB2"/>
    <w:rsid w:val="00891368"/>
    <w:rsid w:val="00891376"/>
    <w:rsid w:val="00892D7B"/>
    <w:rsid w:val="00893126"/>
    <w:rsid w:val="00893165"/>
    <w:rsid w:val="00893FDF"/>
    <w:rsid w:val="008942DE"/>
    <w:rsid w:val="00895338"/>
    <w:rsid w:val="00895C04"/>
    <w:rsid w:val="00896018"/>
    <w:rsid w:val="0089671E"/>
    <w:rsid w:val="00897DF6"/>
    <w:rsid w:val="008A02C4"/>
    <w:rsid w:val="008A0389"/>
    <w:rsid w:val="008A07EF"/>
    <w:rsid w:val="008A0828"/>
    <w:rsid w:val="008A1AF4"/>
    <w:rsid w:val="008A1D80"/>
    <w:rsid w:val="008A1F53"/>
    <w:rsid w:val="008A3A35"/>
    <w:rsid w:val="008A3B90"/>
    <w:rsid w:val="008A3E06"/>
    <w:rsid w:val="008A405D"/>
    <w:rsid w:val="008A430C"/>
    <w:rsid w:val="008A515C"/>
    <w:rsid w:val="008A52AF"/>
    <w:rsid w:val="008A5B28"/>
    <w:rsid w:val="008A626E"/>
    <w:rsid w:val="008A63A0"/>
    <w:rsid w:val="008A6BA1"/>
    <w:rsid w:val="008A735E"/>
    <w:rsid w:val="008A77C4"/>
    <w:rsid w:val="008B0163"/>
    <w:rsid w:val="008B0686"/>
    <w:rsid w:val="008B0E0F"/>
    <w:rsid w:val="008B14D9"/>
    <w:rsid w:val="008B1BEC"/>
    <w:rsid w:val="008B228E"/>
    <w:rsid w:val="008B3B6F"/>
    <w:rsid w:val="008B4C66"/>
    <w:rsid w:val="008B500A"/>
    <w:rsid w:val="008B51E6"/>
    <w:rsid w:val="008B5632"/>
    <w:rsid w:val="008B698E"/>
    <w:rsid w:val="008B7F30"/>
    <w:rsid w:val="008C0951"/>
    <w:rsid w:val="008C12CD"/>
    <w:rsid w:val="008C1917"/>
    <w:rsid w:val="008C1AC3"/>
    <w:rsid w:val="008C1BFF"/>
    <w:rsid w:val="008C248B"/>
    <w:rsid w:val="008C3BF7"/>
    <w:rsid w:val="008C5299"/>
    <w:rsid w:val="008C5763"/>
    <w:rsid w:val="008C58C3"/>
    <w:rsid w:val="008C5B4E"/>
    <w:rsid w:val="008C5BD3"/>
    <w:rsid w:val="008C62AC"/>
    <w:rsid w:val="008C69DA"/>
    <w:rsid w:val="008C6BA2"/>
    <w:rsid w:val="008C7CAE"/>
    <w:rsid w:val="008D05E2"/>
    <w:rsid w:val="008D0EC6"/>
    <w:rsid w:val="008D13C7"/>
    <w:rsid w:val="008D1884"/>
    <w:rsid w:val="008D21E0"/>
    <w:rsid w:val="008D2BE3"/>
    <w:rsid w:val="008D2C0E"/>
    <w:rsid w:val="008D4064"/>
    <w:rsid w:val="008D409C"/>
    <w:rsid w:val="008D44D8"/>
    <w:rsid w:val="008D4C95"/>
    <w:rsid w:val="008D53EE"/>
    <w:rsid w:val="008D60B6"/>
    <w:rsid w:val="008D6631"/>
    <w:rsid w:val="008D7035"/>
    <w:rsid w:val="008D774B"/>
    <w:rsid w:val="008D7E89"/>
    <w:rsid w:val="008E2307"/>
    <w:rsid w:val="008E237B"/>
    <w:rsid w:val="008E2996"/>
    <w:rsid w:val="008E29B7"/>
    <w:rsid w:val="008E3528"/>
    <w:rsid w:val="008E3E16"/>
    <w:rsid w:val="008E4327"/>
    <w:rsid w:val="008E499A"/>
    <w:rsid w:val="008E4E74"/>
    <w:rsid w:val="008E5818"/>
    <w:rsid w:val="008E64FC"/>
    <w:rsid w:val="008E70A4"/>
    <w:rsid w:val="008E70F2"/>
    <w:rsid w:val="008E765B"/>
    <w:rsid w:val="008E7D03"/>
    <w:rsid w:val="008F0196"/>
    <w:rsid w:val="008F144F"/>
    <w:rsid w:val="008F1BDE"/>
    <w:rsid w:val="008F21B5"/>
    <w:rsid w:val="008F26B8"/>
    <w:rsid w:val="008F2F99"/>
    <w:rsid w:val="008F41E3"/>
    <w:rsid w:val="008F634C"/>
    <w:rsid w:val="008F63C1"/>
    <w:rsid w:val="008F6835"/>
    <w:rsid w:val="008F6D3D"/>
    <w:rsid w:val="008F6F5C"/>
    <w:rsid w:val="008F7305"/>
    <w:rsid w:val="008F79AC"/>
    <w:rsid w:val="008F7B73"/>
    <w:rsid w:val="008F7C46"/>
    <w:rsid w:val="0090048F"/>
    <w:rsid w:val="00900C75"/>
    <w:rsid w:val="00900D54"/>
    <w:rsid w:val="0090192D"/>
    <w:rsid w:val="00901985"/>
    <w:rsid w:val="0090347E"/>
    <w:rsid w:val="00903773"/>
    <w:rsid w:val="0090546C"/>
    <w:rsid w:val="00905E1B"/>
    <w:rsid w:val="0090794B"/>
    <w:rsid w:val="00907D8C"/>
    <w:rsid w:val="0091021B"/>
    <w:rsid w:val="009102AC"/>
    <w:rsid w:val="00912E4E"/>
    <w:rsid w:val="00913CFC"/>
    <w:rsid w:val="00914899"/>
    <w:rsid w:val="00914D7A"/>
    <w:rsid w:val="009163F6"/>
    <w:rsid w:val="009167C8"/>
    <w:rsid w:val="00917CDC"/>
    <w:rsid w:val="00920092"/>
    <w:rsid w:val="0092037B"/>
    <w:rsid w:val="00921E0A"/>
    <w:rsid w:val="0092288B"/>
    <w:rsid w:val="00923541"/>
    <w:rsid w:val="00923BB8"/>
    <w:rsid w:val="00923C78"/>
    <w:rsid w:val="00923D6A"/>
    <w:rsid w:val="00926584"/>
    <w:rsid w:val="00926B4C"/>
    <w:rsid w:val="00926D6E"/>
    <w:rsid w:val="00927471"/>
    <w:rsid w:val="009278CA"/>
    <w:rsid w:val="00927C81"/>
    <w:rsid w:val="00927DA7"/>
    <w:rsid w:val="00927E08"/>
    <w:rsid w:val="00927E3C"/>
    <w:rsid w:val="009304CE"/>
    <w:rsid w:val="00930E81"/>
    <w:rsid w:val="00931259"/>
    <w:rsid w:val="00932775"/>
    <w:rsid w:val="00932AB0"/>
    <w:rsid w:val="00932D35"/>
    <w:rsid w:val="00933C49"/>
    <w:rsid w:val="009342F8"/>
    <w:rsid w:val="00934BB4"/>
    <w:rsid w:val="00934CE9"/>
    <w:rsid w:val="00934CF7"/>
    <w:rsid w:val="00934E0A"/>
    <w:rsid w:val="00935554"/>
    <w:rsid w:val="00935F1B"/>
    <w:rsid w:val="0093604D"/>
    <w:rsid w:val="009360BF"/>
    <w:rsid w:val="00936183"/>
    <w:rsid w:val="00937CAA"/>
    <w:rsid w:val="00937E5F"/>
    <w:rsid w:val="00940086"/>
    <w:rsid w:val="00940C5B"/>
    <w:rsid w:val="00940D33"/>
    <w:rsid w:val="009417C1"/>
    <w:rsid w:val="00941BD7"/>
    <w:rsid w:val="00943F60"/>
    <w:rsid w:val="0094551A"/>
    <w:rsid w:val="00946178"/>
    <w:rsid w:val="00946E58"/>
    <w:rsid w:val="00947B1B"/>
    <w:rsid w:val="00950EAD"/>
    <w:rsid w:val="00953180"/>
    <w:rsid w:val="009532AD"/>
    <w:rsid w:val="0095337B"/>
    <w:rsid w:val="00954093"/>
    <w:rsid w:val="009547F7"/>
    <w:rsid w:val="0095496F"/>
    <w:rsid w:val="00955D9A"/>
    <w:rsid w:val="0095658E"/>
    <w:rsid w:val="00957529"/>
    <w:rsid w:val="00957EED"/>
    <w:rsid w:val="00960799"/>
    <w:rsid w:val="00960B4A"/>
    <w:rsid w:val="00961E0F"/>
    <w:rsid w:val="00962477"/>
    <w:rsid w:val="0096259B"/>
    <w:rsid w:val="00963390"/>
    <w:rsid w:val="0096422A"/>
    <w:rsid w:val="00964B96"/>
    <w:rsid w:val="00964E4F"/>
    <w:rsid w:val="009660BF"/>
    <w:rsid w:val="00966250"/>
    <w:rsid w:val="009667AE"/>
    <w:rsid w:val="00966A71"/>
    <w:rsid w:val="009670B3"/>
    <w:rsid w:val="0097067D"/>
    <w:rsid w:val="0097074C"/>
    <w:rsid w:val="00970AD2"/>
    <w:rsid w:val="00970D85"/>
    <w:rsid w:val="00970E05"/>
    <w:rsid w:val="00971B03"/>
    <w:rsid w:val="00971CF7"/>
    <w:rsid w:val="009722D2"/>
    <w:rsid w:val="00972721"/>
    <w:rsid w:val="00972914"/>
    <w:rsid w:val="0097292C"/>
    <w:rsid w:val="00973259"/>
    <w:rsid w:val="00974307"/>
    <w:rsid w:val="009749F5"/>
    <w:rsid w:val="00974D57"/>
    <w:rsid w:val="00974E9D"/>
    <w:rsid w:val="009754B1"/>
    <w:rsid w:val="009763AE"/>
    <w:rsid w:val="00976C05"/>
    <w:rsid w:val="009779AC"/>
    <w:rsid w:val="00977A84"/>
    <w:rsid w:val="0098019A"/>
    <w:rsid w:val="0098055B"/>
    <w:rsid w:val="009817AA"/>
    <w:rsid w:val="00983F49"/>
    <w:rsid w:val="0098438A"/>
    <w:rsid w:val="009852B8"/>
    <w:rsid w:val="009862C6"/>
    <w:rsid w:val="00986BB5"/>
    <w:rsid w:val="009914A7"/>
    <w:rsid w:val="00992AEE"/>
    <w:rsid w:val="00992CDC"/>
    <w:rsid w:val="00993442"/>
    <w:rsid w:val="00993C1A"/>
    <w:rsid w:val="00993F3C"/>
    <w:rsid w:val="00994945"/>
    <w:rsid w:val="00994B7E"/>
    <w:rsid w:val="00996253"/>
    <w:rsid w:val="009966A3"/>
    <w:rsid w:val="00997995"/>
    <w:rsid w:val="00997D4C"/>
    <w:rsid w:val="009A1A60"/>
    <w:rsid w:val="009A20E6"/>
    <w:rsid w:val="009A26B5"/>
    <w:rsid w:val="009A3519"/>
    <w:rsid w:val="009A3DE9"/>
    <w:rsid w:val="009A41D2"/>
    <w:rsid w:val="009A4DDF"/>
    <w:rsid w:val="009A5437"/>
    <w:rsid w:val="009A5625"/>
    <w:rsid w:val="009A73FF"/>
    <w:rsid w:val="009A7CE8"/>
    <w:rsid w:val="009A7E76"/>
    <w:rsid w:val="009B093B"/>
    <w:rsid w:val="009B0A5E"/>
    <w:rsid w:val="009B10C1"/>
    <w:rsid w:val="009B1AAD"/>
    <w:rsid w:val="009B2295"/>
    <w:rsid w:val="009B25B6"/>
    <w:rsid w:val="009B2DF5"/>
    <w:rsid w:val="009B4B16"/>
    <w:rsid w:val="009B518E"/>
    <w:rsid w:val="009B53D7"/>
    <w:rsid w:val="009B5FB5"/>
    <w:rsid w:val="009B6BA8"/>
    <w:rsid w:val="009B707D"/>
    <w:rsid w:val="009C03D8"/>
    <w:rsid w:val="009C0488"/>
    <w:rsid w:val="009C23D4"/>
    <w:rsid w:val="009C2B2B"/>
    <w:rsid w:val="009C4125"/>
    <w:rsid w:val="009C4425"/>
    <w:rsid w:val="009C4AE9"/>
    <w:rsid w:val="009C62C7"/>
    <w:rsid w:val="009C651B"/>
    <w:rsid w:val="009C69EE"/>
    <w:rsid w:val="009C7B68"/>
    <w:rsid w:val="009D0290"/>
    <w:rsid w:val="009D07E1"/>
    <w:rsid w:val="009D0935"/>
    <w:rsid w:val="009D173C"/>
    <w:rsid w:val="009D2D4D"/>
    <w:rsid w:val="009D3371"/>
    <w:rsid w:val="009D3CE7"/>
    <w:rsid w:val="009D4783"/>
    <w:rsid w:val="009D4ADB"/>
    <w:rsid w:val="009D4DED"/>
    <w:rsid w:val="009D539F"/>
    <w:rsid w:val="009D5679"/>
    <w:rsid w:val="009D57C6"/>
    <w:rsid w:val="009D6322"/>
    <w:rsid w:val="009D6AAD"/>
    <w:rsid w:val="009D71FB"/>
    <w:rsid w:val="009D74C4"/>
    <w:rsid w:val="009D7A8C"/>
    <w:rsid w:val="009E03CA"/>
    <w:rsid w:val="009E0497"/>
    <w:rsid w:val="009E0FE2"/>
    <w:rsid w:val="009E19B8"/>
    <w:rsid w:val="009E1E02"/>
    <w:rsid w:val="009E2507"/>
    <w:rsid w:val="009E2739"/>
    <w:rsid w:val="009E27EC"/>
    <w:rsid w:val="009E30DF"/>
    <w:rsid w:val="009E6058"/>
    <w:rsid w:val="009E68A9"/>
    <w:rsid w:val="009E7725"/>
    <w:rsid w:val="009E7BE4"/>
    <w:rsid w:val="009E7EC2"/>
    <w:rsid w:val="009F10FF"/>
    <w:rsid w:val="009F2720"/>
    <w:rsid w:val="009F2C63"/>
    <w:rsid w:val="009F438F"/>
    <w:rsid w:val="009F549E"/>
    <w:rsid w:val="009F5CC8"/>
    <w:rsid w:val="009F62F9"/>
    <w:rsid w:val="009F6674"/>
    <w:rsid w:val="009F68F3"/>
    <w:rsid w:val="009F6D3B"/>
    <w:rsid w:val="009F7E54"/>
    <w:rsid w:val="00A0027B"/>
    <w:rsid w:val="00A00C69"/>
    <w:rsid w:val="00A0239F"/>
    <w:rsid w:val="00A027AD"/>
    <w:rsid w:val="00A027C9"/>
    <w:rsid w:val="00A02F44"/>
    <w:rsid w:val="00A03850"/>
    <w:rsid w:val="00A05109"/>
    <w:rsid w:val="00A0541B"/>
    <w:rsid w:val="00A05CB1"/>
    <w:rsid w:val="00A062CC"/>
    <w:rsid w:val="00A06D76"/>
    <w:rsid w:val="00A06E90"/>
    <w:rsid w:val="00A1089F"/>
    <w:rsid w:val="00A108A7"/>
    <w:rsid w:val="00A10BB5"/>
    <w:rsid w:val="00A11A55"/>
    <w:rsid w:val="00A1228C"/>
    <w:rsid w:val="00A12622"/>
    <w:rsid w:val="00A129F7"/>
    <w:rsid w:val="00A1330F"/>
    <w:rsid w:val="00A135AE"/>
    <w:rsid w:val="00A13928"/>
    <w:rsid w:val="00A13ABF"/>
    <w:rsid w:val="00A15818"/>
    <w:rsid w:val="00A15983"/>
    <w:rsid w:val="00A15CAB"/>
    <w:rsid w:val="00A16AE4"/>
    <w:rsid w:val="00A16E3E"/>
    <w:rsid w:val="00A17267"/>
    <w:rsid w:val="00A202E7"/>
    <w:rsid w:val="00A20E33"/>
    <w:rsid w:val="00A20FD4"/>
    <w:rsid w:val="00A21FED"/>
    <w:rsid w:val="00A25604"/>
    <w:rsid w:val="00A3067C"/>
    <w:rsid w:val="00A308CA"/>
    <w:rsid w:val="00A3090B"/>
    <w:rsid w:val="00A309E7"/>
    <w:rsid w:val="00A30A0A"/>
    <w:rsid w:val="00A316F0"/>
    <w:rsid w:val="00A321E6"/>
    <w:rsid w:val="00A3267E"/>
    <w:rsid w:val="00A33A11"/>
    <w:rsid w:val="00A349B2"/>
    <w:rsid w:val="00A353CF"/>
    <w:rsid w:val="00A3706A"/>
    <w:rsid w:val="00A37368"/>
    <w:rsid w:val="00A37646"/>
    <w:rsid w:val="00A400AC"/>
    <w:rsid w:val="00A4129D"/>
    <w:rsid w:val="00A41D25"/>
    <w:rsid w:val="00A4242C"/>
    <w:rsid w:val="00A42540"/>
    <w:rsid w:val="00A42891"/>
    <w:rsid w:val="00A42947"/>
    <w:rsid w:val="00A42F0E"/>
    <w:rsid w:val="00A436C1"/>
    <w:rsid w:val="00A43967"/>
    <w:rsid w:val="00A43E05"/>
    <w:rsid w:val="00A44590"/>
    <w:rsid w:val="00A44A7C"/>
    <w:rsid w:val="00A44CEA"/>
    <w:rsid w:val="00A45A97"/>
    <w:rsid w:val="00A45BFC"/>
    <w:rsid w:val="00A463CC"/>
    <w:rsid w:val="00A47579"/>
    <w:rsid w:val="00A47D28"/>
    <w:rsid w:val="00A50781"/>
    <w:rsid w:val="00A52978"/>
    <w:rsid w:val="00A530DD"/>
    <w:rsid w:val="00A53971"/>
    <w:rsid w:val="00A53FE9"/>
    <w:rsid w:val="00A5418C"/>
    <w:rsid w:val="00A5475B"/>
    <w:rsid w:val="00A551B5"/>
    <w:rsid w:val="00A553F8"/>
    <w:rsid w:val="00A56914"/>
    <w:rsid w:val="00A570F2"/>
    <w:rsid w:val="00A6082D"/>
    <w:rsid w:val="00A611E6"/>
    <w:rsid w:val="00A6298F"/>
    <w:rsid w:val="00A63230"/>
    <w:rsid w:val="00A63B4A"/>
    <w:rsid w:val="00A63F75"/>
    <w:rsid w:val="00A651C6"/>
    <w:rsid w:val="00A65A6A"/>
    <w:rsid w:val="00A671A6"/>
    <w:rsid w:val="00A67680"/>
    <w:rsid w:val="00A70355"/>
    <w:rsid w:val="00A70798"/>
    <w:rsid w:val="00A712FE"/>
    <w:rsid w:val="00A71E55"/>
    <w:rsid w:val="00A72D5D"/>
    <w:rsid w:val="00A734A4"/>
    <w:rsid w:val="00A73505"/>
    <w:rsid w:val="00A73762"/>
    <w:rsid w:val="00A73AE1"/>
    <w:rsid w:val="00A73C82"/>
    <w:rsid w:val="00A74603"/>
    <w:rsid w:val="00A7471A"/>
    <w:rsid w:val="00A76B47"/>
    <w:rsid w:val="00A77093"/>
    <w:rsid w:val="00A80529"/>
    <w:rsid w:val="00A8078C"/>
    <w:rsid w:val="00A807AB"/>
    <w:rsid w:val="00A808A0"/>
    <w:rsid w:val="00A82444"/>
    <w:rsid w:val="00A8324C"/>
    <w:rsid w:val="00A83A25"/>
    <w:rsid w:val="00A83ADE"/>
    <w:rsid w:val="00A83CBB"/>
    <w:rsid w:val="00A84462"/>
    <w:rsid w:val="00A849C7"/>
    <w:rsid w:val="00A84D7C"/>
    <w:rsid w:val="00A8646D"/>
    <w:rsid w:val="00A8699F"/>
    <w:rsid w:val="00A87074"/>
    <w:rsid w:val="00A870A6"/>
    <w:rsid w:val="00A875AC"/>
    <w:rsid w:val="00A87772"/>
    <w:rsid w:val="00A87F35"/>
    <w:rsid w:val="00A87F8E"/>
    <w:rsid w:val="00A90A5C"/>
    <w:rsid w:val="00A90A75"/>
    <w:rsid w:val="00A917F8"/>
    <w:rsid w:val="00A91A75"/>
    <w:rsid w:val="00A92DFE"/>
    <w:rsid w:val="00A9398D"/>
    <w:rsid w:val="00A9417F"/>
    <w:rsid w:val="00A94A05"/>
    <w:rsid w:val="00A94FC3"/>
    <w:rsid w:val="00A951DF"/>
    <w:rsid w:val="00A957A2"/>
    <w:rsid w:val="00A95F1A"/>
    <w:rsid w:val="00A96629"/>
    <w:rsid w:val="00A97189"/>
    <w:rsid w:val="00A97B7F"/>
    <w:rsid w:val="00AA0496"/>
    <w:rsid w:val="00AA1112"/>
    <w:rsid w:val="00AA1897"/>
    <w:rsid w:val="00AA1CE0"/>
    <w:rsid w:val="00AA2C10"/>
    <w:rsid w:val="00AA3022"/>
    <w:rsid w:val="00AA3D7D"/>
    <w:rsid w:val="00AA53F1"/>
    <w:rsid w:val="00AA6F17"/>
    <w:rsid w:val="00AB089E"/>
    <w:rsid w:val="00AB13EF"/>
    <w:rsid w:val="00AB313B"/>
    <w:rsid w:val="00AB32F3"/>
    <w:rsid w:val="00AB4089"/>
    <w:rsid w:val="00AB5795"/>
    <w:rsid w:val="00AB6D57"/>
    <w:rsid w:val="00AB76A4"/>
    <w:rsid w:val="00AC1265"/>
    <w:rsid w:val="00AC153B"/>
    <w:rsid w:val="00AC16EF"/>
    <w:rsid w:val="00AC2309"/>
    <w:rsid w:val="00AC2F5F"/>
    <w:rsid w:val="00AC470E"/>
    <w:rsid w:val="00AC4AF6"/>
    <w:rsid w:val="00AC5826"/>
    <w:rsid w:val="00AC6B8C"/>
    <w:rsid w:val="00AC7A56"/>
    <w:rsid w:val="00AD0468"/>
    <w:rsid w:val="00AD151D"/>
    <w:rsid w:val="00AD20F4"/>
    <w:rsid w:val="00AD2BB1"/>
    <w:rsid w:val="00AD4852"/>
    <w:rsid w:val="00AD4A0A"/>
    <w:rsid w:val="00AD4FBF"/>
    <w:rsid w:val="00AD5C8E"/>
    <w:rsid w:val="00AD5F68"/>
    <w:rsid w:val="00AD6821"/>
    <w:rsid w:val="00AD6A9B"/>
    <w:rsid w:val="00AE17DF"/>
    <w:rsid w:val="00AE1A55"/>
    <w:rsid w:val="00AE1FD5"/>
    <w:rsid w:val="00AE257D"/>
    <w:rsid w:val="00AE31E8"/>
    <w:rsid w:val="00AE4A83"/>
    <w:rsid w:val="00AE4A9E"/>
    <w:rsid w:val="00AE5333"/>
    <w:rsid w:val="00AE656D"/>
    <w:rsid w:val="00AE7871"/>
    <w:rsid w:val="00AE7A85"/>
    <w:rsid w:val="00AE7EC5"/>
    <w:rsid w:val="00AF07C1"/>
    <w:rsid w:val="00AF1B38"/>
    <w:rsid w:val="00AF25DB"/>
    <w:rsid w:val="00AF40C7"/>
    <w:rsid w:val="00AF466C"/>
    <w:rsid w:val="00AF4B93"/>
    <w:rsid w:val="00AF4F9E"/>
    <w:rsid w:val="00AF54DB"/>
    <w:rsid w:val="00AF57A8"/>
    <w:rsid w:val="00AF5DE5"/>
    <w:rsid w:val="00AF6A92"/>
    <w:rsid w:val="00AF79CD"/>
    <w:rsid w:val="00B004C9"/>
    <w:rsid w:val="00B00CDB"/>
    <w:rsid w:val="00B01418"/>
    <w:rsid w:val="00B03453"/>
    <w:rsid w:val="00B037CF"/>
    <w:rsid w:val="00B041F3"/>
    <w:rsid w:val="00B04F7D"/>
    <w:rsid w:val="00B053C3"/>
    <w:rsid w:val="00B054DA"/>
    <w:rsid w:val="00B0606C"/>
    <w:rsid w:val="00B0653C"/>
    <w:rsid w:val="00B07777"/>
    <w:rsid w:val="00B077C9"/>
    <w:rsid w:val="00B07B5F"/>
    <w:rsid w:val="00B10484"/>
    <w:rsid w:val="00B11862"/>
    <w:rsid w:val="00B11ACD"/>
    <w:rsid w:val="00B12470"/>
    <w:rsid w:val="00B12568"/>
    <w:rsid w:val="00B133BE"/>
    <w:rsid w:val="00B1447D"/>
    <w:rsid w:val="00B14571"/>
    <w:rsid w:val="00B14D82"/>
    <w:rsid w:val="00B1555C"/>
    <w:rsid w:val="00B15732"/>
    <w:rsid w:val="00B15742"/>
    <w:rsid w:val="00B17BEB"/>
    <w:rsid w:val="00B17E8D"/>
    <w:rsid w:val="00B20211"/>
    <w:rsid w:val="00B20460"/>
    <w:rsid w:val="00B20725"/>
    <w:rsid w:val="00B20959"/>
    <w:rsid w:val="00B21B68"/>
    <w:rsid w:val="00B21D53"/>
    <w:rsid w:val="00B22422"/>
    <w:rsid w:val="00B22675"/>
    <w:rsid w:val="00B22E99"/>
    <w:rsid w:val="00B23380"/>
    <w:rsid w:val="00B237C6"/>
    <w:rsid w:val="00B24B43"/>
    <w:rsid w:val="00B25109"/>
    <w:rsid w:val="00B259DF"/>
    <w:rsid w:val="00B25D3B"/>
    <w:rsid w:val="00B26FCC"/>
    <w:rsid w:val="00B27F92"/>
    <w:rsid w:val="00B30101"/>
    <w:rsid w:val="00B30162"/>
    <w:rsid w:val="00B3135A"/>
    <w:rsid w:val="00B31FDF"/>
    <w:rsid w:val="00B34450"/>
    <w:rsid w:val="00B349DD"/>
    <w:rsid w:val="00B353B9"/>
    <w:rsid w:val="00B353F1"/>
    <w:rsid w:val="00B35A5F"/>
    <w:rsid w:val="00B35A8C"/>
    <w:rsid w:val="00B35D7C"/>
    <w:rsid w:val="00B36476"/>
    <w:rsid w:val="00B37A06"/>
    <w:rsid w:val="00B402C8"/>
    <w:rsid w:val="00B40C0D"/>
    <w:rsid w:val="00B40C20"/>
    <w:rsid w:val="00B4238E"/>
    <w:rsid w:val="00B429CC"/>
    <w:rsid w:val="00B441AC"/>
    <w:rsid w:val="00B44770"/>
    <w:rsid w:val="00B460DC"/>
    <w:rsid w:val="00B46980"/>
    <w:rsid w:val="00B46F9D"/>
    <w:rsid w:val="00B47465"/>
    <w:rsid w:val="00B50239"/>
    <w:rsid w:val="00B5068F"/>
    <w:rsid w:val="00B510EE"/>
    <w:rsid w:val="00B51329"/>
    <w:rsid w:val="00B53FBE"/>
    <w:rsid w:val="00B54E89"/>
    <w:rsid w:val="00B55312"/>
    <w:rsid w:val="00B5592B"/>
    <w:rsid w:val="00B56166"/>
    <w:rsid w:val="00B562E0"/>
    <w:rsid w:val="00B56DF2"/>
    <w:rsid w:val="00B572BA"/>
    <w:rsid w:val="00B5746E"/>
    <w:rsid w:val="00B57FC0"/>
    <w:rsid w:val="00B60003"/>
    <w:rsid w:val="00B6220F"/>
    <w:rsid w:val="00B6258F"/>
    <w:rsid w:val="00B628F3"/>
    <w:rsid w:val="00B62CEA"/>
    <w:rsid w:val="00B63009"/>
    <w:rsid w:val="00B63A9B"/>
    <w:rsid w:val="00B650E0"/>
    <w:rsid w:val="00B65556"/>
    <w:rsid w:val="00B66B55"/>
    <w:rsid w:val="00B67675"/>
    <w:rsid w:val="00B67F9F"/>
    <w:rsid w:val="00B70CB9"/>
    <w:rsid w:val="00B711BB"/>
    <w:rsid w:val="00B724F1"/>
    <w:rsid w:val="00B73DBA"/>
    <w:rsid w:val="00B762F9"/>
    <w:rsid w:val="00B776A1"/>
    <w:rsid w:val="00B801ED"/>
    <w:rsid w:val="00B8023B"/>
    <w:rsid w:val="00B8062B"/>
    <w:rsid w:val="00B80C19"/>
    <w:rsid w:val="00B832C9"/>
    <w:rsid w:val="00B83720"/>
    <w:rsid w:val="00B83A53"/>
    <w:rsid w:val="00B83B53"/>
    <w:rsid w:val="00B83F38"/>
    <w:rsid w:val="00B84729"/>
    <w:rsid w:val="00B8563B"/>
    <w:rsid w:val="00B85972"/>
    <w:rsid w:val="00B86295"/>
    <w:rsid w:val="00B865A8"/>
    <w:rsid w:val="00B875AE"/>
    <w:rsid w:val="00B9013A"/>
    <w:rsid w:val="00B90304"/>
    <w:rsid w:val="00B9030A"/>
    <w:rsid w:val="00B90AC0"/>
    <w:rsid w:val="00B90DE3"/>
    <w:rsid w:val="00B914B4"/>
    <w:rsid w:val="00B92D26"/>
    <w:rsid w:val="00B92E71"/>
    <w:rsid w:val="00B933B6"/>
    <w:rsid w:val="00B94383"/>
    <w:rsid w:val="00B94B50"/>
    <w:rsid w:val="00B94DF8"/>
    <w:rsid w:val="00B95F62"/>
    <w:rsid w:val="00B97277"/>
    <w:rsid w:val="00BA01F5"/>
    <w:rsid w:val="00BA18D2"/>
    <w:rsid w:val="00BA1CF5"/>
    <w:rsid w:val="00BA325C"/>
    <w:rsid w:val="00BA3C86"/>
    <w:rsid w:val="00BA4258"/>
    <w:rsid w:val="00BA4B72"/>
    <w:rsid w:val="00BA4CAC"/>
    <w:rsid w:val="00BA544D"/>
    <w:rsid w:val="00BA5DAB"/>
    <w:rsid w:val="00BA5E95"/>
    <w:rsid w:val="00BA670B"/>
    <w:rsid w:val="00BA6F32"/>
    <w:rsid w:val="00BB0398"/>
    <w:rsid w:val="00BB048D"/>
    <w:rsid w:val="00BB1C72"/>
    <w:rsid w:val="00BB2290"/>
    <w:rsid w:val="00BB2499"/>
    <w:rsid w:val="00BB34FA"/>
    <w:rsid w:val="00BB35A1"/>
    <w:rsid w:val="00BB3A26"/>
    <w:rsid w:val="00BB4E77"/>
    <w:rsid w:val="00BB50FB"/>
    <w:rsid w:val="00BB707A"/>
    <w:rsid w:val="00BB7AA0"/>
    <w:rsid w:val="00BB7BB9"/>
    <w:rsid w:val="00BC0588"/>
    <w:rsid w:val="00BC1027"/>
    <w:rsid w:val="00BC2560"/>
    <w:rsid w:val="00BC2588"/>
    <w:rsid w:val="00BC266B"/>
    <w:rsid w:val="00BC3A6F"/>
    <w:rsid w:val="00BC3F2B"/>
    <w:rsid w:val="00BC41CC"/>
    <w:rsid w:val="00BC4342"/>
    <w:rsid w:val="00BC510F"/>
    <w:rsid w:val="00BC6530"/>
    <w:rsid w:val="00BC6DC5"/>
    <w:rsid w:val="00BC70E6"/>
    <w:rsid w:val="00BC7779"/>
    <w:rsid w:val="00BC796A"/>
    <w:rsid w:val="00BD1EC0"/>
    <w:rsid w:val="00BD3723"/>
    <w:rsid w:val="00BD3BE2"/>
    <w:rsid w:val="00BD44A3"/>
    <w:rsid w:val="00BD5550"/>
    <w:rsid w:val="00BD55C6"/>
    <w:rsid w:val="00BD55FC"/>
    <w:rsid w:val="00BD607A"/>
    <w:rsid w:val="00BD684A"/>
    <w:rsid w:val="00BD7DFF"/>
    <w:rsid w:val="00BE1DEF"/>
    <w:rsid w:val="00BE1FC9"/>
    <w:rsid w:val="00BE2399"/>
    <w:rsid w:val="00BE3214"/>
    <w:rsid w:val="00BE3364"/>
    <w:rsid w:val="00BE3BF2"/>
    <w:rsid w:val="00BE3C2E"/>
    <w:rsid w:val="00BE3F39"/>
    <w:rsid w:val="00BE4373"/>
    <w:rsid w:val="00BE4848"/>
    <w:rsid w:val="00BE579F"/>
    <w:rsid w:val="00BE5A7B"/>
    <w:rsid w:val="00BE5E2F"/>
    <w:rsid w:val="00BE6906"/>
    <w:rsid w:val="00BE753A"/>
    <w:rsid w:val="00BF0328"/>
    <w:rsid w:val="00BF06DD"/>
    <w:rsid w:val="00BF079A"/>
    <w:rsid w:val="00BF0BBB"/>
    <w:rsid w:val="00BF13FF"/>
    <w:rsid w:val="00BF16A3"/>
    <w:rsid w:val="00BF2C1F"/>
    <w:rsid w:val="00BF3D6A"/>
    <w:rsid w:val="00BF5A8B"/>
    <w:rsid w:val="00BF5CFE"/>
    <w:rsid w:val="00BF639A"/>
    <w:rsid w:val="00BF6F05"/>
    <w:rsid w:val="00BF7369"/>
    <w:rsid w:val="00C00C81"/>
    <w:rsid w:val="00C00D88"/>
    <w:rsid w:val="00C00F7B"/>
    <w:rsid w:val="00C0112C"/>
    <w:rsid w:val="00C02540"/>
    <w:rsid w:val="00C03145"/>
    <w:rsid w:val="00C0365C"/>
    <w:rsid w:val="00C036E7"/>
    <w:rsid w:val="00C03AD0"/>
    <w:rsid w:val="00C03C46"/>
    <w:rsid w:val="00C04083"/>
    <w:rsid w:val="00C040FB"/>
    <w:rsid w:val="00C048BC"/>
    <w:rsid w:val="00C049BA"/>
    <w:rsid w:val="00C05E75"/>
    <w:rsid w:val="00C0600B"/>
    <w:rsid w:val="00C06EE2"/>
    <w:rsid w:val="00C074FF"/>
    <w:rsid w:val="00C0754B"/>
    <w:rsid w:val="00C07C93"/>
    <w:rsid w:val="00C1078D"/>
    <w:rsid w:val="00C10D59"/>
    <w:rsid w:val="00C10DF0"/>
    <w:rsid w:val="00C11A88"/>
    <w:rsid w:val="00C129D4"/>
    <w:rsid w:val="00C12BBD"/>
    <w:rsid w:val="00C149A5"/>
    <w:rsid w:val="00C15F8B"/>
    <w:rsid w:val="00C16EF3"/>
    <w:rsid w:val="00C17BD0"/>
    <w:rsid w:val="00C17E26"/>
    <w:rsid w:val="00C201ED"/>
    <w:rsid w:val="00C2209E"/>
    <w:rsid w:val="00C2530E"/>
    <w:rsid w:val="00C25831"/>
    <w:rsid w:val="00C25A1B"/>
    <w:rsid w:val="00C26CBB"/>
    <w:rsid w:val="00C26CE3"/>
    <w:rsid w:val="00C26EFF"/>
    <w:rsid w:val="00C30287"/>
    <w:rsid w:val="00C30D8D"/>
    <w:rsid w:val="00C31119"/>
    <w:rsid w:val="00C3229C"/>
    <w:rsid w:val="00C33D04"/>
    <w:rsid w:val="00C33ECE"/>
    <w:rsid w:val="00C34D57"/>
    <w:rsid w:val="00C35298"/>
    <w:rsid w:val="00C35A45"/>
    <w:rsid w:val="00C36858"/>
    <w:rsid w:val="00C368DA"/>
    <w:rsid w:val="00C36BCF"/>
    <w:rsid w:val="00C412DD"/>
    <w:rsid w:val="00C41A4C"/>
    <w:rsid w:val="00C41AD6"/>
    <w:rsid w:val="00C41C9E"/>
    <w:rsid w:val="00C42190"/>
    <w:rsid w:val="00C42B45"/>
    <w:rsid w:val="00C441CE"/>
    <w:rsid w:val="00C44C3D"/>
    <w:rsid w:val="00C45961"/>
    <w:rsid w:val="00C45DC6"/>
    <w:rsid w:val="00C46775"/>
    <w:rsid w:val="00C4690E"/>
    <w:rsid w:val="00C469AC"/>
    <w:rsid w:val="00C469CB"/>
    <w:rsid w:val="00C46B37"/>
    <w:rsid w:val="00C46E9C"/>
    <w:rsid w:val="00C47357"/>
    <w:rsid w:val="00C5111B"/>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044E"/>
    <w:rsid w:val="00C713B3"/>
    <w:rsid w:val="00C73522"/>
    <w:rsid w:val="00C74A02"/>
    <w:rsid w:val="00C752A2"/>
    <w:rsid w:val="00C758E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39D2"/>
    <w:rsid w:val="00C84268"/>
    <w:rsid w:val="00C84809"/>
    <w:rsid w:val="00C856C9"/>
    <w:rsid w:val="00C85E47"/>
    <w:rsid w:val="00C862E9"/>
    <w:rsid w:val="00C864D7"/>
    <w:rsid w:val="00C86548"/>
    <w:rsid w:val="00C86DA0"/>
    <w:rsid w:val="00C87296"/>
    <w:rsid w:val="00C8780D"/>
    <w:rsid w:val="00C87A97"/>
    <w:rsid w:val="00C90A5C"/>
    <w:rsid w:val="00C90ABF"/>
    <w:rsid w:val="00C90C57"/>
    <w:rsid w:val="00C90C62"/>
    <w:rsid w:val="00C91415"/>
    <w:rsid w:val="00C9143C"/>
    <w:rsid w:val="00C91684"/>
    <w:rsid w:val="00C91B2B"/>
    <w:rsid w:val="00C91E4F"/>
    <w:rsid w:val="00C92408"/>
    <w:rsid w:val="00C92D54"/>
    <w:rsid w:val="00C931A2"/>
    <w:rsid w:val="00C94112"/>
    <w:rsid w:val="00C941B1"/>
    <w:rsid w:val="00C94B27"/>
    <w:rsid w:val="00C95431"/>
    <w:rsid w:val="00C958B9"/>
    <w:rsid w:val="00C95AE6"/>
    <w:rsid w:val="00C9662B"/>
    <w:rsid w:val="00C97A23"/>
    <w:rsid w:val="00CA1267"/>
    <w:rsid w:val="00CA1643"/>
    <w:rsid w:val="00CA1C96"/>
    <w:rsid w:val="00CA1F6B"/>
    <w:rsid w:val="00CA2541"/>
    <w:rsid w:val="00CA46FE"/>
    <w:rsid w:val="00CA5F19"/>
    <w:rsid w:val="00CA6671"/>
    <w:rsid w:val="00CA6742"/>
    <w:rsid w:val="00CA6AA2"/>
    <w:rsid w:val="00CA7C6D"/>
    <w:rsid w:val="00CB0D9C"/>
    <w:rsid w:val="00CB0E0C"/>
    <w:rsid w:val="00CB10F2"/>
    <w:rsid w:val="00CB17C8"/>
    <w:rsid w:val="00CB184A"/>
    <w:rsid w:val="00CB1945"/>
    <w:rsid w:val="00CB19D3"/>
    <w:rsid w:val="00CB2693"/>
    <w:rsid w:val="00CB36F6"/>
    <w:rsid w:val="00CB5363"/>
    <w:rsid w:val="00CB59ED"/>
    <w:rsid w:val="00CB5B80"/>
    <w:rsid w:val="00CB5C2B"/>
    <w:rsid w:val="00CB5D6F"/>
    <w:rsid w:val="00CB5F6F"/>
    <w:rsid w:val="00CB7A66"/>
    <w:rsid w:val="00CC0787"/>
    <w:rsid w:val="00CC09EE"/>
    <w:rsid w:val="00CC0D89"/>
    <w:rsid w:val="00CC1863"/>
    <w:rsid w:val="00CC196B"/>
    <w:rsid w:val="00CC2FFD"/>
    <w:rsid w:val="00CC3FC8"/>
    <w:rsid w:val="00CC4305"/>
    <w:rsid w:val="00CC45A4"/>
    <w:rsid w:val="00CC477B"/>
    <w:rsid w:val="00CC4F9E"/>
    <w:rsid w:val="00CC512C"/>
    <w:rsid w:val="00CC5B0A"/>
    <w:rsid w:val="00CC649E"/>
    <w:rsid w:val="00CC6F26"/>
    <w:rsid w:val="00CC6F9A"/>
    <w:rsid w:val="00CC72C7"/>
    <w:rsid w:val="00CD0632"/>
    <w:rsid w:val="00CD0EEA"/>
    <w:rsid w:val="00CD13E9"/>
    <w:rsid w:val="00CD1911"/>
    <w:rsid w:val="00CD1D48"/>
    <w:rsid w:val="00CD21A3"/>
    <w:rsid w:val="00CD225F"/>
    <w:rsid w:val="00CD40A3"/>
    <w:rsid w:val="00CD55D4"/>
    <w:rsid w:val="00CD5EB5"/>
    <w:rsid w:val="00CE0D32"/>
    <w:rsid w:val="00CE22C1"/>
    <w:rsid w:val="00CE374D"/>
    <w:rsid w:val="00CE3A00"/>
    <w:rsid w:val="00CE3B54"/>
    <w:rsid w:val="00CE4249"/>
    <w:rsid w:val="00CE44C4"/>
    <w:rsid w:val="00CE467E"/>
    <w:rsid w:val="00CE4C09"/>
    <w:rsid w:val="00CE7BCC"/>
    <w:rsid w:val="00CE7D22"/>
    <w:rsid w:val="00CF0A47"/>
    <w:rsid w:val="00CF0A5C"/>
    <w:rsid w:val="00CF0D83"/>
    <w:rsid w:val="00CF15A0"/>
    <w:rsid w:val="00CF2674"/>
    <w:rsid w:val="00CF26C8"/>
    <w:rsid w:val="00CF299D"/>
    <w:rsid w:val="00CF2BEB"/>
    <w:rsid w:val="00CF31BA"/>
    <w:rsid w:val="00CF4994"/>
    <w:rsid w:val="00CF4A0A"/>
    <w:rsid w:val="00CF4C5C"/>
    <w:rsid w:val="00CF4E21"/>
    <w:rsid w:val="00CF57D6"/>
    <w:rsid w:val="00CF5DD7"/>
    <w:rsid w:val="00CF62B4"/>
    <w:rsid w:val="00CF760F"/>
    <w:rsid w:val="00CF7949"/>
    <w:rsid w:val="00D00161"/>
    <w:rsid w:val="00D00F27"/>
    <w:rsid w:val="00D00FDB"/>
    <w:rsid w:val="00D015AC"/>
    <w:rsid w:val="00D017C1"/>
    <w:rsid w:val="00D029A8"/>
    <w:rsid w:val="00D02F01"/>
    <w:rsid w:val="00D036E8"/>
    <w:rsid w:val="00D03F1A"/>
    <w:rsid w:val="00D043DE"/>
    <w:rsid w:val="00D049D8"/>
    <w:rsid w:val="00D05556"/>
    <w:rsid w:val="00D05714"/>
    <w:rsid w:val="00D05FB8"/>
    <w:rsid w:val="00D07200"/>
    <w:rsid w:val="00D07C78"/>
    <w:rsid w:val="00D1058B"/>
    <w:rsid w:val="00D10598"/>
    <w:rsid w:val="00D11157"/>
    <w:rsid w:val="00D113DE"/>
    <w:rsid w:val="00D11A6D"/>
    <w:rsid w:val="00D1238B"/>
    <w:rsid w:val="00D134AD"/>
    <w:rsid w:val="00D1418E"/>
    <w:rsid w:val="00D156A8"/>
    <w:rsid w:val="00D177EC"/>
    <w:rsid w:val="00D20CC6"/>
    <w:rsid w:val="00D20DF6"/>
    <w:rsid w:val="00D21B12"/>
    <w:rsid w:val="00D22A50"/>
    <w:rsid w:val="00D2359D"/>
    <w:rsid w:val="00D236BE"/>
    <w:rsid w:val="00D23F5C"/>
    <w:rsid w:val="00D249D9"/>
    <w:rsid w:val="00D24F2F"/>
    <w:rsid w:val="00D25148"/>
    <w:rsid w:val="00D2637D"/>
    <w:rsid w:val="00D26808"/>
    <w:rsid w:val="00D277A8"/>
    <w:rsid w:val="00D31576"/>
    <w:rsid w:val="00D31836"/>
    <w:rsid w:val="00D32C65"/>
    <w:rsid w:val="00D32D64"/>
    <w:rsid w:val="00D34562"/>
    <w:rsid w:val="00D3638E"/>
    <w:rsid w:val="00D36456"/>
    <w:rsid w:val="00D36795"/>
    <w:rsid w:val="00D36F7B"/>
    <w:rsid w:val="00D37FF8"/>
    <w:rsid w:val="00D40DAD"/>
    <w:rsid w:val="00D4146E"/>
    <w:rsid w:val="00D43798"/>
    <w:rsid w:val="00D43E28"/>
    <w:rsid w:val="00D4450D"/>
    <w:rsid w:val="00D4459B"/>
    <w:rsid w:val="00D44A70"/>
    <w:rsid w:val="00D455CC"/>
    <w:rsid w:val="00D46243"/>
    <w:rsid w:val="00D47ED1"/>
    <w:rsid w:val="00D47FF1"/>
    <w:rsid w:val="00D50D89"/>
    <w:rsid w:val="00D510F2"/>
    <w:rsid w:val="00D51F5D"/>
    <w:rsid w:val="00D527EF"/>
    <w:rsid w:val="00D52D4C"/>
    <w:rsid w:val="00D55724"/>
    <w:rsid w:val="00D55A69"/>
    <w:rsid w:val="00D55CEB"/>
    <w:rsid w:val="00D55E2F"/>
    <w:rsid w:val="00D55EB7"/>
    <w:rsid w:val="00D56C43"/>
    <w:rsid w:val="00D56F76"/>
    <w:rsid w:val="00D5798B"/>
    <w:rsid w:val="00D60339"/>
    <w:rsid w:val="00D61705"/>
    <w:rsid w:val="00D61BAA"/>
    <w:rsid w:val="00D62B00"/>
    <w:rsid w:val="00D631DE"/>
    <w:rsid w:val="00D6323D"/>
    <w:rsid w:val="00D632B9"/>
    <w:rsid w:val="00D6348E"/>
    <w:rsid w:val="00D64618"/>
    <w:rsid w:val="00D6513A"/>
    <w:rsid w:val="00D6514C"/>
    <w:rsid w:val="00D656C5"/>
    <w:rsid w:val="00D6599F"/>
    <w:rsid w:val="00D66F92"/>
    <w:rsid w:val="00D70C7A"/>
    <w:rsid w:val="00D71116"/>
    <w:rsid w:val="00D7194B"/>
    <w:rsid w:val="00D7248F"/>
    <w:rsid w:val="00D72546"/>
    <w:rsid w:val="00D73E63"/>
    <w:rsid w:val="00D73F07"/>
    <w:rsid w:val="00D73F4C"/>
    <w:rsid w:val="00D74186"/>
    <w:rsid w:val="00D7517B"/>
    <w:rsid w:val="00D7554C"/>
    <w:rsid w:val="00D75814"/>
    <w:rsid w:val="00D75F04"/>
    <w:rsid w:val="00D763D0"/>
    <w:rsid w:val="00D76636"/>
    <w:rsid w:val="00D76CD9"/>
    <w:rsid w:val="00D76D6E"/>
    <w:rsid w:val="00D76EDB"/>
    <w:rsid w:val="00D77856"/>
    <w:rsid w:val="00D80438"/>
    <w:rsid w:val="00D804B2"/>
    <w:rsid w:val="00D80C2A"/>
    <w:rsid w:val="00D80DA9"/>
    <w:rsid w:val="00D83865"/>
    <w:rsid w:val="00D838BE"/>
    <w:rsid w:val="00D8408D"/>
    <w:rsid w:val="00D84191"/>
    <w:rsid w:val="00D85235"/>
    <w:rsid w:val="00D861C6"/>
    <w:rsid w:val="00D86ACC"/>
    <w:rsid w:val="00D873C2"/>
    <w:rsid w:val="00D87C02"/>
    <w:rsid w:val="00D90818"/>
    <w:rsid w:val="00D91088"/>
    <w:rsid w:val="00D92BEB"/>
    <w:rsid w:val="00D938DD"/>
    <w:rsid w:val="00D941FC"/>
    <w:rsid w:val="00D94E0F"/>
    <w:rsid w:val="00D952F9"/>
    <w:rsid w:val="00D95E73"/>
    <w:rsid w:val="00D95EF1"/>
    <w:rsid w:val="00D96F90"/>
    <w:rsid w:val="00D972C6"/>
    <w:rsid w:val="00D974D3"/>
    <w:rsid w:val="00D978B9"/>
    <w:rsid w:val="00DA130A"/>
    <w:rsid w:val="00DA2067"/>
    <w:rsid w:val="00DA2DDB"/>
    <w:rsid w:val="00DA34C9"/>
    <w:rsid w:val="00DA5104"/>
    <w:rsid w:val="00DA5133"/>
    <w:rsid w:val="00DA5754"/>
    <w:rsid w:val="00DA653F"/>
    <w:rsid w:val="00DA6736"/>
    <w:rsid w:val="00DA67D4"/>
    <w:rsid w:val="00DA6CE3"/>
    <w:rsid w:val="00DB0180"/>
    <w:rsid w:val="00DB08A9"/>
    <w:rsid w:val="00DB0B06"/>
    <w:rsid w:val="00DB166B"/>
    <w:rsid w:val="00DB181E"/>
    <w:rsid w:val="00DB1AFC"/>
    <w:rsid w:val="00DB2B18"/>
    <w:rsid w:val="00DB4896"/>
    <w:rsid w:val="00DB49DE"/>
    <w:rsid w:val="00DB4E71"/>
    <w:rsid w:val="00DB55B8"/>
    <w:rsid w:val="00DB599C"/>
    <w:rsid w:val="00DB5FEC"/>
    <w:rsid w:val="00DB661E"/>
    <w:rsid w:val="00DC01A1"/>
    <w:rsid w:val="00DC0DD5"/>
    <w:rsid w:val="00DC1852"/>
    <w:rsid w:val="00DC19B1"/>
    <w:rsid w:val="00DC1AC6"/>
    <w:rsid w:val="00DC38A4"/>
    <w:rsid w:val="00DC3ED6"/>
    <w:rsid w:val="00DC487F"/>
    <w:rsid w:val="00DC5B32"/>
    <w:rsid w:val="00DC7071"/>
    <w:rsid w:val="00DC7690"/>
    <w:rsid w:val="00DC7AB5"/>
    <w:rsid w:val="00DD1799"/>
    <w:rsid w:val="00DD1B35"/>
    <w:rsid w:val="00DD3250"/>
    <w:rsid w:val="00DD32CF"/>
    <w:rsid w:val="00DD3F91"/>
    <w:rsid w:val="00DD4883"/>
    <w:rsid w:val="00DD4F2D"/>
    <w:rsid w:val="00DD5561"/>
    <w:rsid w:val="00DD59ED"/>
    <w:rsid w:val="00DD5DEF"/>
    <w:rsid w:val="00DD62F6"/>
    <w:rsid w:val="00DD6858"/>
    <w:rsid w:val="00DE00B2"/>
    <w:rsid w:val="00DE024A"/>
    <w:rsid w:val="00DE0D7A"/>
    <w:rsid w:val="00DE1648"/>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40B0"/>
    <w:rsid w:val="00DF41B4"/>
    <w:rsid w:val="00DF42CB"/>
    <w:rsid w:val="00DF66ED"/>
    <w:rsid w:val="00DF67F3"/>
    <w:rsid w:val="00DF693F"/>
    <w:rsid w:val="00DF6A50"/>
    <w:rsid w:val="00E007D7"/>
    <w:rsid w:val="00E01D43"/>
    <w:rsid w:val="00E0249B"/>
    <w:rsid w:val="00E02C40"/>
    <w:rsid w:val="00E02DC1"/>
    <w:rsid w:val="00E02F54"/>
    <w:rsid w:val="00E03701"/>
    <w:rsid w:val="00E040CB"/>
    <w:rsid w:val="00E04176"/>
    <w:rsid w:val="00E048B5"/>
    <w:rsid w:val="00E0557A"/>
    <w:rsid w:val="00E05E2C"/>
    <w:rsid w:val="00E066FB"/>
    <w:rsid w:val="00E07896"/>
    <w:rsid w:val="00E07A18"/>
    <w:rsid w:val="00E10D2B"/>
    <w:rsid w:val="00E114BD"/>
    <w:rsid w:val="00E124BF"/>
    <w:rsid w:val="00E1353F"/>
    <w:rsid w:val="00E13BD8"/>
    <w:rsid w:val="00E13E21"/>
    <w:rsid w:val="00E142DB"/>
    <w:rsid w:val="00E14921"/>
    <w:rsid w:val="00E14D38"/>
    <w:rsid w:val="00E15185"/>
    <w:rsid w:val="00E15977"/>
    <w:rsid w:val="00E1624E"/>
    <w:rsid w:val="00E17D11"/>
    <w:rsid w:val="00E20645"/>
    <w:rsid w:val="00E20655"/>
    <w:rsid w:val="00E2083C"/>
    <w:rsid w:val="00E215B3"/>
    <w:rsid w:val="00E21700"/>
    <w:rsid w:val="00E21792"/>
    <w:rsid w:val="00E21C7D"/>
    <w:rsid w:val="00E21FA7"/>
    <w:rsid w:val="00E22A90"/>
    <w:rsid w:val="00E22C5B"/>
    <w:rsid w:val="00E22D6B"/>
    <w:rsid w:val="00E23681"/>
    <w:rsid w:val="00E23731"/>
    <w:rsid w:val="00E245D8"/>
    <w:rsid w:val="00E24681"/>
    <w:rsid w:val="00E248F9"/>
    <w:rsid w:val="00E25F6A"/>
    <w:rsid w:val="00E2656B"/>
    <w:rsid w:val="00E269B4"/>
    <w:rsid w:val="00E27167"/>
    <w:rsid w:val="00E27170"/>
    <w:rsid w:val="00E3151C"/>
    <w:rsid w:val="00E31FE6"/>
    <w:rsid w:val="00E323A0"/>
    <w:rsid w:val="00E323C2"/>
    <w:rsid w:val="00E3244A"/>
    <w:rsid w:val="00E3291E"/>
    <w:rsid w:val="00E32CD2"/>
    <w:rsid w:val="00E32E7F"/>
    <w:rsid w:val="00E35C82"/>
    <w:rsid w:val="00E366CB"/>
    <w:rsid w:val="00E372CF"/>
    <w:rsid w:val="00E37AA4"/>
    <w:rsid w:val="00E403C5"/>
    <w:rsid w:val="00E40B27"/>
    <w:rsid w:val="00E412A6"/>
    <w:rsid w:val="00E41E26"/>
    <w:rsid w:val="00E41F58"/>
    <w:rsid w:val="00E41FF3"/>
    <w:rsid w:val="00E42507"/>
    <w:rsid w:val="00E42620"/>
    <w:rsid w:val="00E4313E"/>
    <w:rsid w:val="00E43195"/>
    <w:rsid w:val="00E431B6"/>
    <w:rsid w:val="00E43341"/>
    <w:rsid w:val="00E43967"/>
    <w:rsid w:val="00E43A51"/>
    <w:rsid w:val="00E445B5"/>
    <w:rsid w:val="00E4629A"/>
    <w:rsid w:val="00E473A6"/>
    <w:rsid w:val="00E47C93"/>
    <w:rsid w:val="00E50E0E"/>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3888"/>
    <w:rsid w:val="00E65C37"/>
    <w:rsid w:val="00E65D65"/>
    <w:rsid w:val="00E65F9F"/>
    <w:rsid w:val="00E670A3"/>
    <w:rsid w:val="00E6774E"/>
    <w:rsid w:val="00E67DB4"/>
    <w:rsid w:val="00E71782"/>
    <w:rsid w:val="00E728F4"/>
    <w:rsid w:val="00E7306F"/>
    <w:rsid w:val="00E73611"/>
    <w:rsid w:val="00E7477E"/>
    <w:rsid w:val="00E748D0"/>
    <w:rsid w:val="00E74A6F"/>
    <w:rsid w:val="00E753D9"/>
    <w:rsid w:val="00E75773"/>
    <w:rsid w:val="00E76349"/>
    <w:rsid w:val="00E76A99"/>
    <w:rsid w:val="00E77DB1"/>
    <w:rsid w:val="00E77E01"/>
    <w:rsid w:val="00E80D57"/>
    <w:rsid w:val="00E81500"/>
    <w:rsid w:val="00E81744"/>
    <w:rsid w:val="00E828DE"/>
    <w:rsid w:val="00E82C8E"/>
    <w:rsid w:val="00E83B8E"/>
    <w:rsid w:val="00E855E8"/>
    <w:rsid w:val="00E855F4"/>
    <w:rsid w:val="00E86948"/>
    <w:rsid w:val="00E90369"/>
    <w:rsid w:val="00E91005"/>
    <w:rsid w:val="00E92240"/>
    <w:rsid w:val="00E92450"/>
    <w:rsid w:val="00E94558"/>
    <w:rsid w:val="00E94A3E"/>
    <w:rsid w:val="00E9590D"/>
    <w:rsid w:val="00E96BA0"/>
    <w:rsid w:val="00E973B5"/>
    <w:rsid w:val="00E97856"/>
    <w:rsid w:val="00E97CD7"/>
    <w:rsid w:val="00E97FD4"/>
    <w:rsid w:val="00EA08E3"/>
    <w:rsid w:val="00EA1D55"/>
    <w:rsid w:val="00EA3698"/>
    <w:rsid w:val="00EA3907"/>
    <w:rsid w:val="00EA39FA"/>
    <w:rsid w:val="00EA455D"/>
    <w:rsid w:val="00EA68C3"/>
    <w:rsid w:val="00EA7741"/>
    <w:rsid w:val="00EA7F8C"/>
    <w:rsid w:val="00EB0028"/>
    <w:rsid w:val="00EB06A3"/>
    <w:rsid w:val="00EB0B2A"/>
    <w:rsid w:val="00EB336F"/>
    <w:rsid w:val="00EB37F8"/>
    <w:rsid w:val="00EB40AA"/>
    <w:rsid w:val="00EB439E"/>
    <w:rsid w:val="00EB4614"/>
    <w:rsid w:val="00EB4D8D"/>
    <w:rsid w:val="00EB568A"/>
    <w:rsid w:val="00EB60C1"/>
    <w:rsid w:val="00EB6346"/>
    <w:rsid w:val="00EB6960"/>
    <w:rsid w:val="00EB7084"/>
    <w:rsid w:val="00EB7310"/>
    <w:rsid w:val="00EC10B3"/>
    <w:rsid w:val="00EC21BA"/>
    <w:rsid w:val="00EC2958"/>
    <w:rsid w:val="00EC2EF8"/>
    <w:rsid w:val="00EC38A3"/>
    <w:rsid w:val="00EC3906"/>
    <w:rsid w:val="00EC39D2"/>
    <w:rsid w:val="00EC4820"/>
    <w:rsid w:val="00EC4E88"/>
    <w:rsid w:val="00EC571C"/>
    <w:rsid w:val="00EC5EF2"/>
    <w:rsid w:val="00EC6256"/>
    <w:rsid w:val="00EC6295"/>
    <w:rsid w:val="00EC7262"/>
    <w:rsid w:val="00EC738D"/>
    <w:rsid w:val="00EC7D45"/>
    <w:rsid w:val="00ED029B"/>
    <w:rsid w:val="00ED0382"/>
    <w:rsid w:val="00ED076A"/>
    <w:rsid w:val="00ED1B0A"/>
    <w:rsid w:val="00ED235A"/>
    <w:rsid w:val="00ED32E2"/>
    <w:rsid w:val="00ED3CB8"/>
    <w:rsid w:val="00ED3E9F"/>
    <w:rsid w:val="00ED4787"/>
    <w:rsid w:val="00ED47F2"/>
    <w:rsid w:val="00ED5607"/>
    <w:rsid w:val="00ED68B8"/>
    <w:rsid w:val="00ED6E6F"/>
    <w:rsid w:val="00ED7821"/>
    <w:rsid w:val="00ED7D95"/>
    <w:rsid w:val="00EE0536"/>
    <w:rsid w:val="00EE08BC"/>
    <w:rsid w:val="00EE3654"/>
    <w:rsid w:val="00EE3BBA"/>
    <w:rsid w:val="00EE4482"/>
    <w:rsid w:val="00EE451B"/>
    <w:rsid w:val="00EE5173"/>
    <w:rsid w:val="00EE52A2"/>
    <w:rsid w:val="00EE5B2D"/>
    <w:rsid w:val="00EE5B2F"/>
    <w:rsid w:val="00EE5EB0"/>
    <w:rsid w:val="00EE60A3"/>
    <w:rsid w:val="00EE60A7"/>
    <w:rsid w:val="00EE60EB"/>
    <w:rsid w:val="00EE6C76"/>
    <w:rsid w:val="00EE776F"/>
    <w:rsid w:val="00EF0B73"/>
    <w:rsid w:val="00EF1DBD"/>
    <w:rsid w:val="00EF1F4C"/>
    <w:rsid w:val="00EF2ED3"/>
    <w:rsid w:val="00EF38CF"/>
    <w:rsid w:val="00EF3EC5"/>
    <w:rsid w:val="00EF5E85"/>
    <w:rsid w:val="00EF5FB0"/>
    <w:rsid w:val="00EF61DF"/>
    <w:rsid w:val="00EF6A3B"/>
    <w:rsid w:val="00EF743D"/>
    <w:rsid w:val="00EF7B75"/>
    <w:rsid w:val="00F02796"/>
    <w:rsid w:val="00F02A0B"/>
    <w:rsid w:val="00F02C32"/>
    <w:rsid w:val="00F02ECF"/>
    <w:rsid w:val="00F04D21"/>
    <w:rsid w:val="00F0574B"/>
    <w:rsid w:val="00F058E3"/>
    <w:rsid w:val="00F05E15"/>
    <w:rsid w:val="00F0664B"/>
    <w:rsid w:val="00F069F6"/>
    <w:rsid w:val="00F070D5"/>
    <w:rsid w:val="00F070E1"/>
    <w:rsid w:val="00F07991"/>
    <w:rsid w:val="00F07F05"/>
    <w:rsid w:val="00F1043D"/>
    <w:rsid w:val="00F1050D"/>
    <w:rsid w:val="00F10D57"/>
    <w:rsid w:val="00F12882"/>
    <w:rsid w:val="00F1302E"/>
    <w:rsid w:val="00F1383A"/>
    <w:rsid w:val="00F14950"/>
    <w:rsid w:val="00F16866"/>
    <w:rsid w:val="00F170A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12C5"/>
    <w:rsid w:val="00F327D4"/>
    <w:rsid w:val="00F343B2"/>
    <w:rsid w:val="00F37811"/>
    <w:rsid w:val="00F412AC"/>
    <w:rsid w:val="00F416C9"/>
    <w:rsid w:val="00F41E8F"/>
    <w:rsid w:val="00F46B16"/>
    <w:rsid w:val="00F477CD"/>
    <w:rsid w:val="00F47CB4"/>
    <w:rsid w:val="00F47E8C"/>
    <w:rsid w:val="00F5015A"/>
    <w:rsid w:val="00F5071E"/>
    <w:rsid w:val="00F508DF"/>
    <w:rsid w:val="00F515A7"/>
    <w:rsid w:val="00F52C87"/>
    <w:rsid w:val="00F52D7F"/>
    <w:rsid w:val="00F52F8B"/>
    <w:rsid w:val="00F53749"/>
    <w:rsid w:val="00F5399A"/>
    <w:rsid w:val="00F550CE"/>
    <w:rsid w:val="00F5565E"/>
    <w:rsid w:val="00F55761"/>
    <w:rsid w:val="00F565D6"/>
    <w:rsid w:val="00F56FF9"/>
    <w:rsid w:val="00F600BE"/>
    <w:rsid w:val="00F6135D"/>
    <w:rsid w:val="00F6199E"/>
    <w:rsid w:val="00F6234B"/>
    <w:rsid w:val="00F62547"/>
    <w:rsid w:val="00F6313C"/>
    <w:rsid w:val="00F63198"/>
    <w:rsid w:val="00F634E6"/>
    <w:rsid w:val="00F63501"/>
    <w:rsid w:val="00F63724"/>
    <w:rsid w:val="00F63927"/>
    <w:rsid w:val="00F64294"/>
    <w:rsid w:val="00F647BF"/>
    <w:rsid w:val="00F655B3"/>
    <w:rsid w:val="00F65732"/>
    <w:rsid w:val="00F66CA7"/>
    <w:rsid w:val="00F676E0"/>
    <w:rsid w:val="00F67809"/>
    <w:rsid w:val="00F70C03"/>
    <w:rsid w:val="00F71900"/>
    <w:rsid w:val="00F71C29"/>
    <w:rsid w:val="00F71F1A"/>
    <w:rsid w:val="00F723FB"/>
    <w:rsid w:val="00F7381C"/>
    <w:rsid w:val="00F746F9"/>
    <w:rsid w:val="00F76315"/>
    <w:rsid w:val="00F76BA4"/>
    <w:rsid w:val="00F801E3"/>
    <w:rsid w:val="00F81084"/>
    <w:rsid w:val="00F8264C"/>
    <w:rsid w:val="00F83175"/>
    <w:rsid w:val="00F8327B"/>
    <w:rsid w:val="00F832C3"/>
    <w:rsid w:val="00F83AF4"/>
    <w:rsid w:val="00F83EF3"/>
    <w:rsid w:val="00F84676"/>
    <w:rsid w:val="00F846FE"/>
    <w:rsid w:val="00F84E60"/>
    <w:rsid w:val="00F84FCA"/>
    <w:rsid w:val="00F85130"/>
    <w:rsid w:val="00F8563A"/>
    <w:rsid w:val="00F857E4"/>
    <w:rsid w:val="00F86847"/>
    <w:rsid w:val="00F878B4"/>
    <w:rsid w:val="00F87B0C"/>
    <w:rsid w:val="00F87EB1"/>
    <w:rsid w:val="00F90015"/>
    <w:rsid w:val="00F91853"/>
    <w:rsid w:val="00F91909"/>
    <w:rsid w:val="00F92340"/>
    <w:rsid w:val="00F93E5C"/>
    <w:rsid w:val="00F950C2"/>
    <w:rsid w:val="00F95531"/>
    <w:rsid w:val="00F96093"/>
    <w:rsid w:val="00F961B0"/>
    <w:rsid w:val="00F963BA"/>
    <w:rsid w:val="00F96625"/>
    <w:rsid w:val="00F966CC"/>
    <w:rsid w:val="00F97DB9"/>
    <w:rsid w:val="00FA055D"/>
    <w:rsid w:val="00FA11F9"/>
    <w:rsid w:val="00FA15A0"/>
    <w:rsid w:val="00FA15E6"/>
    <w:rsid w:val="00FA2664"/>
    <w:rsid w:val="00FA2D47"/>
    <w:rsid w:val="00FA3CFD"/>
    <w:rsid w:val="00FA48A7"/>
    <w:rsid w:val="00FA4AB3"/>
    <w:rsid w:val="00FA4F1F"/>
    <w:rsid w:val="00FA7883"/>
    <w:rsid w:val="00FA7FE8"/>
    <w:rsid w:val="00FB08E3"/>
    <w:rsid w:val="00FB0B9C"/>
    <w:rsid w:val="00FB175B"/>
    <w:rsid w:val="00FB1853"/>
    <w:rsid w:val="00FB1FB3"/>
    <w:rsid w:val="00FB304F"/>
    <w:rsid w:val="00FB40A0"/>
    <w:rsid w:val="00FB4143"/>
    <w:rsid w:val="00FB5BE8"/>
    <w:rsid w:val="00FB771A"/>
    <w:rsid w:val="00FB7934"/>
    <w:rsid w:val="00FC0317"/>
    <w:rsid w:val="00FC1484"/>
    <w:rsid w:val="00FC15EE"/>
    <w:rsid w:val="00FC18DA"/>
    <w:rsid w:val="00FC24C9"/>
    <w:rsid w:val="00FC2A07"/>
    <w:rsid w:val="00FC2A15"/>
    <w:rsid w:val="00FC300E"/>
    <w:rsid w:val="00FC362E"/>
    <w:rsid w:val="00FC4256"/>
    <w:rsid w:val="00FC5DDA"/>
    <w:rsid w:val="00FC7725"/>
    <w:rsid w:val="00FD059D"/>
    <w:rsid w:val="00FD06FE"/>
    <w:rsid w:val="00FD0CAC"/>
    <w:rsid w:val="00FD111A"/>
    <w:rsid w:val="00FD2987"/>
    <w:rsid w:val="00FD3BB9"/>
    <w:rsid w:val="00FD4D38"/>
    <w:rsid w:val="00FD4E5E"/>
    <w:rsid w:val="00FD5367"/>
    <w:rsid w:val="00FD6712"/>
    <w:rsid w:val="00FD6E82"/>
    <w:rsid w:val="00FD76E2"/>
    <w:rsid w:val="00FD7B37"/>
    <w:rsid w:val="00FD7BF5"/>
    <w:rsid w:val="00FE0357"/>
    <w:rsid w:val="00FE2CBB"/>
    <w:rsid w:val="00FE3D5E"/>
    <w:rsid w:val="00FE5015"/>
    <w:rsid w:val="00FE6333"/>
    <w:rsid w:val="00FE7075"/>
    <w:rsid w:val="00FE7888"/>
    <w:rsid w:val="00FF0613"/>
    <w:rsid w:val="00FF1FD1"/>
    <w:rsid w:val="00FF2449"/>
    <w:rsid w:val="00FF30AD"/>
    <w:rsid w:val="00FF3945"/>
    <w:rsid w:val="00FF474A"/>
    <w:rsid w:val="00FF4E84"/>
    <w:rsid w:val="00FF5525"/>
    <w:rsid w:val="00FF5686"/>
    <w:rsid w:val="00FF68ED"/>
    <w:rsid w:val="00FF7951"/>
    <w:rsid w:val="01356FF7"/>
    <w:rsid w:val="01445E56"/>
    <w:rsid w:val="01C04584"/>
    <w:rsid w:val="028D70F3"/>
    <w:rsid w:val="02FE753E"/>
    <w:rsid w:val="032A3071"/>
    <w:rsid w:val="03722DEF"/>
    <w:rsid w:val="039E75ED"/>
    <w:rsid w:val="03BF6FFE"/>
    <w:rsid w:val="03D2714E"/>
    <w:rsid w:val="041F1663"/>
    <w:rsid w:val="0488418C"/>
    <w:rsid w:val="04D0472C"/>
    <w:rsid w:val="04F26C4C"/>
    <w:rsid w:val="05173D32"/>
    <w:rsid w:val="05331661"/>
    <w:rsid w:val="054E1CAB"/>
    <w:rsid w:val="05FE7A46"/>
    <w:rsid w:val="06677015"/>
    <w:rsid w:val="06A71808"/>
    <w:rsid w:val="06E33CC5"/>
    <w:rsid w:val="07BD4596"/>
    <w:rsid w:val="083D0560"/>
    <w:rsid w:val="08847D7A"/>
    <w:rsid w:val="09C45CB0"/>
    <w:rsid w:val="0AA868BA"/>
    <w:rsid w:val="0AB07C37"/>
    <w:rsid w:val="0AD310EE"/>
    <w:rsid w:val="0B345D5E"/>
    <w:rsid w:val="0B3A3A7B"/>
    <w:rsid w:val="0BF54077"/>
    <w:rsid w:val="0C2D5014"/>
    <w:rsid w:val="0C3A1285"/>
    <w:rsid w:val="0C5C409F"/>
    <w:rsid w:val="0CF21234"/>
    <w:rsid w:val="0CFB02B0"/>
    <w:rsid w:val="0D36357C"/>
    <w:rsid w:val="0D3B5E2E"/>
    <w:rsid w:val="0D50184D"/>
    <w:rsid w:val="0D662477"/>
    <w:rsid w:val="0E066764"/>
    <w:rsid w:val="0E3A7736"/>
    <w:rsid w:val="0E3F17ED"/>
    <w:rsid w:val="0E8545A1"/>
    <w:rsid w:val="0EB81736"/>
    <w:rsid w:val="0EEB42E3"/>
    <w:rsid w:val="0EFA5C62"/>
    <w:rsid w:val="0EFE7FA9"/>
    <w:rsid w:val="0F646F0A"/>
    <w:rsid w:val="0FDC2CFC"/>
    <w:rsid w:val="10567801"/>
    <w:rsid w:val="10D80EA2"/>
    <w:rsid w:val="11AF0294"/>
    <w:rsid w:val="13B264FC"/>
    <w:rsid w:val="14042F31"/>
    <w:rsid w:val="15260DCB"/>
    <w:rsid w:val="15392FDE"/>
    <w:rsid w:val="15F776F0"/>
    <w:rsid w:val="165C4031"/>
    <w:rsid w:val="16C178EC"/>
    <w:rsid w:val="17171F2D"/>
    <w:rsid w:val="17205C8A"/>
    <w:rsid w:val="17517DEE"/>
    <w:rsid w:val="17621691"/>
    <w:rsid w:val="18036A7A"/>
    <w:rsid w:val="183C35BB"/>
    <w:rsid w:val="1859395D"/>
    <w:rsid w:val="18E64D5A"/>
    <w:rsid w:val="1933506E"/>
    <w:rsid w:val="195255FA"/>
    <w:rsid w:val="19BF617D"/>
    <w:rsid w:val="1A1E7181"/>
    <w:rsid w:val="1A340C5A"/>
    <w:rsid w:val="1AA06C83"/>
    <w:rsid w:val="1AA2410C"/>
    <w:rsid w:val="1AAE0B85"/>
    <w:rsid w:val="1B12752D"/>
    <w:rsid w:val="1BA337AA"/>
    <w:rsid w:val="1BDA570D"/>
    <w:rsid w:val="1BF170D8"/>
    <w:rsid w:val="1C470B95"/>
    <w:rsid w:val="1C6162E5"/>
    <w:rsid w:val="1C9A5AF7"/>
    <w:rsid w:val="1D2E3180"/>
    <w:rsid w:val="1DA543D0"/>
    <w:rsid w:val="1DAD4C2F"/>
    <w:rsid w:val="1EA72574"/>
    <w:rsid w:val="1F2A63C2"/>
    <w:rsid w:val="1F2B08B4"/>
    <w:rsid w:val="1F5218DB"/>
    <w:rsid w:val="1FF1109E"/>
    <w:rsid w:val="20101E10"/>
    <w:rsid w:val="2028211A"/>
    <w:rsid w:val="20C81035"/>
    <w:rsid w:val="20E40978"/>
    <w:rsid w:val="21045270"/>
    <w:rsid w:val="212F3079"/>
    <w:rsid w:val="222977F7"/>
    <w:rsid w:val="22385DEC"/>
    <w:rsid w:val="229A695C"/>
    <w:rsid w:val="23216D36"/>
    <w:rsid w:val="23BF4C21"/>
    <w:rsid w:val="24495003"/>
    <w:rsid w:val="246C1778"/>
    <w:rsid w:val="24EE40CE"/>
    <w:rsid w:val="252D219A"/>
    <w:rsid w:val="2534761B"/>
    <w:rsid w:val="255E1E10"/>
    <w:rsid w:val="256E7A96"/>
    <w:rsid w:val="25DE07B1"/>
    <w:rsid w:val="263439BB"/>
    <w:rsid w:val="269D4ADB"/>
    <w:rsid w:val="26A650F1"/>
    <w:rsid w:val="26D253E7"/>
    <w:rsid w:val="271E00BE"/>
    <w:rsid w:val="28143DFC"/>
    <w:rsid w:val="28240F30"/>
    <w:rsid w:val="283F090E"/>
    <w:rsid w:val="29282CEC"/>
    <w:rsid w:val="29657D77"/>
    <w:rsid w:val="29694D48"/>
    <w:rsid w:val="29795D3D"/>
    <w:rsid w:val="2A132CEE"/>
    <w:rsid w:val="2AD46E63"/>
    <w:rsid w:val="2ADC1A09"/>
    <w:rsid w:val="2AF219DA"/>
    <w:rsid w:val="2B4150DB"/>
    <w:rsid w:val="2B730889"/>
    <w:rsid w:val="2C274DE6"/>
    <w:rsid w:val="2C372751"/>
    <w:rsid w:val="2C551ABE"/>
    <w:rsid w:val="2D08191D"/>
    <w:rsid w:val="2D5543E9"/>
    <w:rsid w:val="2E681501"/>
    <w:rsid w:val="2F697D76"/>
    <w:rsid w:val="2FDB62D5"/>
    <w:rsid w:val="30CE607E"/>
    <w:rsid w:val="30EE6DB6"/>
    <w:rsid w:val="31563712"/>
    <w:rsid w:val="31B96A00"/>
    <w:rsid w:val="32A1186E"/>
    <w:rsid w:val="32ED5589"/>
    <w:rsid w:val="32F52BBC"/>
    <w:rsid w:val="331B3BE3"/>
    <w:rsid w:val="331B6BAB"/>
    <w:rsid w:val="33955033"/>
    <w:rsid w:val="33FE562B"/>
    <w:rsid w:val="34E3476F"/>
    <w:rsid w:val="35596273"/>
    <w:rsid w:val="35781F5F"/>
    <w:rsid w:val="35E36C3D"/>
    <w:rsid w:val="3638039B"/>
    <w:rsid w:val="36DC2A62"/>
    <w:rsid w:val="37301909"/>
    <w:rsid w:val="37C07AEC"/>
    <w:rsid w:val="39484327"/>
    <w:rsid w:val="394A5852"/>
    <w:rsid w:val="399758F0"/>
    <w:rsid w:val="3A2F187C"/>
    <w:rsid w:val="3A7A6C39"/>
    <w:rsid w:val="3BCD44D0"/>
    <w:rsid w:val="3BEF756B"/>
    <w:rsid w:val="3C976B3F"/>
    <w:rsid w:val="3CB654D0"/>
    <w:rsid w:val="3CD0183B"/>
    <w:rsid w:val="3EE31487"/>
    <w:rsid w:val="3F190EFC"/>
    <w:rsid w:val="3F38631D"/>
    <w:rsid w:val="40E30E94"/>
    <w:rsid w:val="41490838"/>
    <w:rsid w:val="419B3044"/>
    <w:rsid w:val="41A277C4"/>
    <w:rsid w:val="41AC7CAE"/>
    <w:rsid w:val="41B22F96"/>
    <w:rsid w:val="421843F9"/>
    <w:rsid w:val="425354D0"/>
    <w:rsid w:val="42FE0BF6"/>
    <w:rsid w:val="433C58A7"/>
    <w:rsid w:val="436D39E3"/>
    <w:rsid w:val="4381789A"/>
    <w:rsid w:val="43ED794B"/>
    <w:rsid w:val="44A740B9"/>
    <w:rsid w:val="44B3143A"/>
    <w:rsid w:val="44E638A4"/>
    <w:rsid w:val="45073BE6"/>
    <w:rsid w:val="46525394"/>
    <w:rsid w:val="46B23690"/>
    <w:rsid w:val="46C44473"/>
    <w:rsid w:val="46EF292C"/>
    <w:rsid w:val="47900EB5"/>
    <w:rsid w:val="485C656A"/>
    <w:rsid w:val="49107A31"/>
    <w:rsid w:val="49206A54"/>
    <w:rsid w:val="49712B80"/>
    <w:rsid w:val="4993732D"/>
    <w:rsid w:val="49BB6397"/>
    <w:rsid w:val="49CC695C"/>
    <w:rsid w:val="4A2D535B"/>
    <w:rsid w:val="4AA71106"/>
    <w:rsid w:val="4AAD06B2"/>
    <w:rsid w:val="4AE135EE"/>
    <w:rsid w:val="4AF34339"/>
    <w:rsid w:val="4B75732A"/>
    <w:rsid w:val="4C8E50B8"/>
    <w:rsid w:val="4D0E5017"/>
    <w:rsid w:val="4D1947F4"/>
    <w:rsid w:val="4D3E4322"/>
    <w:rsid w:val="4DC62A65"/>
    <w:rsid w:val="4EDE6AB3"/>
    <w:rsid w:val="4EE92347"/>
    <w:rsid w:val="50456EA9"/>
    <w:rsid w:val="50E17E52"/>
    <w:rsid w:val="50E22591"/>
    <w:rsid w:val="50EC2AC5"/>
    <w:rsid w:val="513E7660"/>
    <w:rsid w:val="52277DE5"/>
    <w:rsid w:val="528C584A"/>
    <w:rsid w:val="5298230B"/>
    <w:rsid w:val="52AE6B31"/>
    <w:rsid w:val="53010694"/>
    <w:rsid w:val="532838FB"/>
    <w:rsid w:val="534E4924"/>
    <w:rsid w:val="53D92B53"/>
    <w:rsid w:val="53D944ED"/>
    <w:rsid w:val="53D96B8F"/>
    <w:rsid w:val="54587F12"/>
    <w:rsid w:val="546D6BFC"/>
    <w:rsid w:val="54851574"/>
    <w:rsid w:val="549F588A"/>
    <w:rsid w:val="54F03230"/>
    <w:rsid w:val="55955192"/>
    <w:rsid w:val="559B7670"/>
    <w:rsid w:val="568B5E01"/>
    <w:rsid w:val="56C6584F"/>
    <w:rsid w:val="57C47DC4"/>
    <w:rsid w:val="57C710B1"/>
    <w:rsid w:val="589E5381"/>
    <w:rsid w:val="58A61E60"/>
    <w:rsid w:val="58E30B2C"/>
    <w:rsid w:val="592F4560"/>
    <w:rsid w:val="594D58D5"/>
    <w:rsid w:val="59E7087A"/>
    <w:rsid w:val="5A146001"/>
    <w:rsid w:val="5A9D331C"/>
    <w:rsid w:val="5AB83464"/>
    <w:rsid w:val="5B053466"/>
    <w:rsid w:val="5C323DE8"/>
    <w:rsid w:val="5DFB5E23"/>
    <w:rsid w:val="5E281F5E"/>
    <w:rsid w:val="5F3F08F5"/>
    <w:rsid w:val="5F474936"/>
    <w:rsid w:val="5F665CCB"/>
    <w:rsid w:val="5FB50A3A"/>
    <w:rsid w:val="610C29AD"/>
    <w:rsid w:val="61B10B88"/>
    <w:rsid w:val="61FE22EC"/>
    <w:rsid w:val="63FF14A3"/>
    <w:rsid w:val="641C0910"/>
    <w:rsid w:val="64AE32DD"/>
    <w:rsid w:val="6522075A"/>
    <w:rsid w:val="65FB3769"/>
    <w:rsid w:val="66A11DFF"/>
    <w:rsid w:val="67270029"/>
    <w:rsid w:val="67591830"/>
    <w:rsid w:val="678B6C7E"/>
    <w:rsid w:val="682420B5"/>
    <w:rsid w:val="68774808"/>
    <w:rsid w:val="693748A5"/>
    <w:rsid w:val="696105EE"/>
    <w:rsid w:val="69AF18BE"/>
    <w:rsid w:val="69E12160"/>
    <w:rsid w:val="6A8B7B12"/>
    <w:rsid w:val="6BF04F58"/>
    <w:rsid w:val="6C2C5DB3"/>
    <w:rsid w:val="6C515C9B"/>
    <w:rsid w:val="6CA61CF8"/>
    <w:rsid w:val="6D1703DD"/>
    <w:rsid w:val="6DB11D15"/>
    <w:rsid w:val="6DF77B5A"/>
    <w:rsid w:val="6E4B3B04"/>
    <w:rsid w:val="6E770B84"/>
    <w:rsid w:val="6ED20433"/>
    <w:rsid w:val="6F8B15DB"/>
    <w:rsid w:val="6FDF5379"/>
    <w:rsid w:val="70623414"/>
    <w:rsid w:val="706C3AAE"/>
    <w:rsid w:val="70760A7F"/>
    <w:rsid w:val="70875193"/>
    <w:rsid w:val="7119708E"/>
    <w:rsid w:val="714329F7"/>
    <w:rsid w:val="715D1CD9"/>
    <w:rsid w:val="72944AEC"/>
    <w:rsid w:val="72C74234"/>
    <w:rsid w:val="742B7F1F"/>
    <w:rsid w:val="744C59E1"/>
    <w:rsid w:val="75CE6171"/>
    <w:rsid w:val="75D8158F"/>
    <w:rsid w:val="760D78BA"/>
    <w:rsid w:val="76347C09"/>
    <w:rsid w:val="768061A9"/>
    <w:rsid w:val="76CC069B"/>
    <w:rsid w:val="76DB4A74"/>
    <w:rsid w:val="775D183D"/>
    <w:rsid w:val="777A25B9"/>
    <w:rsid w:val="77B46869"/>
    <w:rsid w:val="77DB53AD"/>
    <w:rsid w:val="78262BB3"/>
    <w:rsid w:val="78A3653D"/>
    <w:rsid w:val="78BA4CA5"/>
    <w:rsid w:val="79B41424"/>
    <w:rsid w:val="79DA230D"/>
    <w:rsid w:val="79EC1D61"/>
    <w:rsid w:val="7B717DDA"/>
    <w:rsid w:val="7BD05A63"/>
    <w:rsid w:val="7C090F5F"/>
    <w:rsid w:val="7C2B163E"/>
    <w:rsid w:val="7C31213A"/>
    <w:rsid w:val="7D3C73C4"/>
    <w:rsid w:val="7D4A0435"/>
    <w:rsid w:val="7E312898"/>
    <w:rsid w:val="7E7762E5"/>
    <w:rsid w:val="7F052E8D"/>
    <w:rsid w:val="7F4E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386"/>
    <w:qFormat/>
    <w:uiPriority w:val="0"/>
    <w:pPr>
      <w:spacing w:before="340" w:after="330" w:line="578" w:lineRule="auto"/>
      <w:outlineLvl w:val="0"/>
    </w:pPr>
    <w:rPr>
      <w:b/>
      <w:bCs/>
      <w:kern w:val="44"/>
      <w:sz w:val="44"/>
      <w:szCs w:val="44"/>
    </w:rPr>
  </w:style>
  <w:style w:type="paragraph" w:styleId="5">
    <w:name w:val="heading 2"/>
    <w:basedOn w:val="1"/>
    <w:next w:val="1"/>
    <w:link w:val="367"/>
    <w:autoRedefine/>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399"/>
    <w:autoRedefine/>
    <w:qFormat/>
    <w:uiPriority w:val="0"/>
    <w:pPr>
      <w:keepNext/>
      <w:keepLines/>
      <w:spacing w:before="120" w:after="120"/>
      <w:outlineLvl w:val="2"/>
    </w:pPr>
    <w:rPr>
      <w:sz w:val="24"/>
      <w:szCs w:val="32"/>
    </w:rPr>
  </w:style>
  <w:style w:type="paragraph" w:styleId="6">
    <w:name w:val="heading 4"/>
    <w:basedOn w:val="1"/>
    <w:next w:val="1"/>
    <w:link w:val="37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10"/>
    <w:autoRedefine/>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8">
    <w:name w:val="heading 6"/>
    <w:basedOn w:val="1"/>
    <w:next w:val="1"/>
    <w:link w:val="326"/>
    <w:autoRedefine/>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374"/>
    <w:autoRedefine/>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372"/>
    <w:autoRedefine/>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388"/>
    <w:autoRedefine/>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358"/>
    <w:autoRedefine/>
    <w:qFormat/>
    <w:uiPriority w:val="0"/>
    <w:rPr>
      <w:rFonts w:ascii="宋体" w:hAnsi="Courier New"/>
      <w:szCs w:val="21"/>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unhideWhenUsed/>
    <w:qFormat/>
    <w:uiPriority w:val="39"/>
    <w:pPr>
      <w:widowControl w:val="0"/>
      <w:spacing w:line="240" w:lineRule="auto"/>
      <w:ind w:left="2520" w:leftChars="1200" w:firstLine="0" w:firstLineChars="0"/>
    </w:pPr>
    <w:rPr>
      <w:rFonts w:ascii="等线" w:hAnsi="等线" w:eastAsia="等线"/>
      <w:szCs w:val="22"/>
    </w:rPr>
  </w:style>
  <w:style w:type="paragraph" w:styleId="14">
    <w:name w:val="Normal Indent"/>
    <w:basedOn w:val="1"/>
    <w:next w:val="15"/>
    <w:link w:val="395"/>
    <w:autoRedefine/>
    <w:qFormat/>
    <w:uiPriority w:val="0"/>
  </w:style>
  <w:style w:type="paragraph" w:styleId="15">
    <w:name w:val="Body Text"/>
    <w:basedOn w:val="1"/>
    <w:link w:val="330"/>
    <w:autoRedefine/>
    <w:qFormat/>
    <w:uiPriority w:val="1"/>
    <w:pPr>
      <w:spacing w:after="120"/>
    </w:pPr>
  </w:style>
  <w:style w:type="paragraph" w:styleId="16">
    <w:name w:val="caption"/>
    <w:basedOn w:val="1"/>
    <w:next w:val="1"/>
    <w:autoRedefine/>
    <w:qFormat/>
    <w:uiPriority w:val="0"/>
    <w:rPr>
      <w:rFonts w:ascii="Arial" w:hAnsi="Arial" w:eastAsia="黑体" w:cs="Arial"/>
      <w:sz w:val="20"/>
      <w:szCs w:val="20"/>
    </w:rPr>
  </w:style>
  <w:style w:type="paragraph" w:styleId="17">
    <w:name w:val="Document Map"/>
    <w:basedOn w:val="1"/>
    <w:link w:val="332"/>
    <w:autoRedefine/>
    <w:qFormat/>
    <w:uiPriority w:val="99"/>
    <w:rPr>
      <w:rFonts w:ascii="宋体"/>
      <w:sz w:val="18"/>
      <w:szCs w:val="18"/>
    </w:rPr>
  </w:style>
  <w:style w:type="paragraph" w:styleId="18">
    <w:name w:val="toa heading"/>
    <w:basedOn w:val="1"/>
    <w:next w:val="1"/>
    <w:autoRedefine/>
    <w:qFormat/>
    <w:uiPriority w:val="0"/>
    <w:pPr>
      <w:spacing w:before="120"/>
    </w:pPr>
    <w:rPr>
      <w:rFonts w:ascii="Arial" w:hAnsi="Arial"/>
      <w:b/>
      <w:bCs/>
    </w:rPr>
  </w:style>
  <w:style w:type="paragraph" w:styleId="19">
    <w:name w:val="annotation text"/>
    <w:basedOn w:val="1"/>
    <w:link w:val="340"/>
    <w:autoRedefine/>
    <w:qFormat/>
    <w:uiPriority w:val="0"/>
    <w:pPr>
      <w:jc w:val="left"/>
    </w:pPr>
  </w:style>
  <w:style w:type="paragraph" w:styleId="20">
    <w:name w:val="Body Text 3"/>
    <w:basedOn w:val="1"/>
    <w:link w:val="397"/>
    <w:autoRedefine/>
    <w:qFormat/>
    <w:uiPriority w:val="0"/>
    <w:rPr>
      <w:rFonts w:ascii="宋体"/>
      <w:sz w:val="24"/>
      <w:szCs w:val="20"/>
    </w:rPr>
  </w:style>
  <w:style w:type="paragraph" w:styleId="21">
    <w:name w:val="Body Text Indent"/>
    <w:basedOn w:val="1"/>
    <w:link w:val="314"/>
    <w:autoRedefine/>
    <w:qFormat/>
    <w:uiPriority w:val="99"/>
    <w:pPr>
      <w:spacing w:after="120"/>
      <w:ind w:left="420" w:leftChars="200"/>
    </w:pPr>
  </w:style>
  <w:style w:type="paragraph" w:styleId="22">
    <w:name w:val="List 2"/>
    <w:basedOn w:val="1"/>
    <w:autoRedefine/>
    <w:qFormat/>
    <w:uiPriority w:val="0"/>
    <w:pPr>
      <w:ind w:left="100" w:leftChars="200" w:hanging="200" w:hangingChars="200"/>
    </w:pPr>
  </w:style>
  <w:style w:type="paragraph" w:styleId="23">
    <w:name w:val="List Bullet 2"/>
    <w:basedOn w:val="1"/>
    <w:autoRedefine/>
    <w:qFormat/>
    <w:uiPriority w:val="0"/>
    <w:pPr>
      <w:tabs>
        <w:tab w:val="left" w:pos="780"/>
      </w:tabs>
      <w:ind w:left="840" w:hanging="420"/>
    </w:pPr>
  </w:style>
  <w:style w:type="paragraph" w:styleId="24">
    <w:name w:val="toc 5"/>
    <w:basedOn w:val="1"/>
    <w:next w:val="1"/>
    <w:autoRedefine/>
    <w:unhideWhenUsed/>
    <w:qFormat/>
    <w:uiPriority w:val="39"/>
    <w:pPr>
      <w:widowControl w:val="0"/>
      <w:spacing w:line="240" w:lineRule="auto"/>
      <w:ind w:left="1680" w:leftChars="800" w:firstLine="0" w:firstLineChars="0"/>
    </w:pPr>
    <w:rPr>
      <w:rFonts w:ascii="等线" w:hAnsi="等线" w:eastAsia="等线"/>
      <w:szCs w:val="22"/>
    </w:rPr>
  </w:style>
  <w:style w:type="paragraph" w:styleId="25">
    <w:name w:val="toc 3"/>
    <w:basedOn w:val="1"/>
    <w:next w:val="1"/>
    <w:autoRedefine/>
    <w:qFormat/>
    <w:uiPriority w:val="39"/>
    <w:pPr>
      <w:ind w:left="940"/>
      <w:jc w:val="left"/>
    </w:pPr>
    <w:rPr>
      <w:rFonts w:ascii="宋体" w:hAnsi="宋体"/>
      <w:kern w:val="0"/>
      <w:szCs w:val="21"/>
      <w:lang w:eastAsia="en-US"/>
    </w:rPr>
  </w:style>
  <w:style w:type="paragraph" w:styleId="26">
    <w:name w:val="toc 8"/>
    <w:basedOn w:val="1"/>
    <w:next w:val="1"/>
    <w:autoRedefine/>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68"/>
    <w:autoRedefine/>
    <w:qFormat/>
    <w:uiPriority w:val="99"/>
    <w:rPr>
      <w:sz w:val="24"/>
      <w:szCs w:val="20"/>
    </w:rPr>
  </w:style>
  <w:style w:type="paragraph" w:styleId="28">
    <w:name w:val="Body Text Indent 2"/>
    <w:basedOn w:val="1"/>
    <w:link w:val="339"/>
    <w:autoRedefine/>
    <w:qFormat/>
    <w:uiPriority w:val="0"/>
    <w:pPr>
      <w:ind w:firstLine="640"/>
    </w:pPr>
    <w:rPr>
      <w:rFonts w:eastAsia="仿宋_GB2312"/>
      <w:sz w:val="32"/>
    </w:rPr>
  </w:style>
  <w:style w:type="paragraph" w:styleId="29">
    <w:name w:val="endnote text"/>
    <w:basedOn w:val="1"/>
    <w:link w:val="329"/>
    <w:autoRedefine/>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19"/>
    <w:autoRedefine/>
    <w:qFormat/>
    <w:uiPriority w:val="99"/>
    <w:rPr>
      <w:sz w:val="18"/>
      <w:szCs w:val="18"/>
    </w:rPr>
  </w:style>
  <w:style w:type="paragraph" w:styleId="31">
    <w:name w:val="footer"/>
    <w:basedOn w:val="1"/>
    <w:link w:val="385"/>
    <w:autoRedefine/>
    <w:qFormat/>
    <w:uiPriority w:val="99"/>
    <w:pPr>
      <w:tabs>
        <w:tab w:val="center" w:pos="4153"/>
        <w:tab w:val="right" w:pos="8306"/>
      </w:tabs>
      <w:snapToGrid w:val="0"/>
      <w:jc w:val="left"/>
    </w:pPr>
    <w:rPr>
      <w:sz w:val="18"/>
      <w:szCs w:val="18"/>
    </w:rPr>
  </w:style>
  <w:style w:type="paragraph" w:styleId="32">
    <w:name w:val="header"/>
    <w:basedOn w:val="1"/>
    <w:link w:val="312"/>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autoRedefine/>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autoRedefine/>
    <w:qFormat/>
    <w:uiPriority w:val="0"/>
    <w:pPr>
      <w:spacing w:before="120" w:after="120"/>
      <w:jc w:val="left"/>
    </w:pPr>
    <w:rPr>
      <w:b/>
      <w:bCs/>
      <w:i/>
      <w:iCs/>
      <w:sz w:val="20"/>
      <w:szCs w:val="20"/>
    </w:rPr>
  </w:style>
  <w:style w:type="paragraph" w:styleId="36">
    <w:name w:val="index 1"/>
    <w:basedOn w:val="1"/>
    <w:next w:val="1"/>
    <w:autoRedefine/>
    <w:qFormat/>
    <w:uiPriority w:val="0"/>
    <w:pPr>
      <w:spacing w:line="220" w:lineRule="exact"/>
      <w:jc w:val="center"/>
    </w:pPr>
    <w:rPr>
      <w:rFonts w:ascii="仿宋_GB2312" w:eastAsia="仿宋_GB2312"/>
      <w:szCs w:val="21"/>
    </w:rPr>
  </w:style>
  <w:style w:type="paragraph" w:styleId="37">
    <w:name w:val="List"/>
    <w:basedOn w:val="1"/>
    <w:autoRedefine/>
    <w:qFormat/>
    <w:uiPriority w:val="0"/>
    <w:pPr>
      <w:ind w:left="200" w:hanging="200" w:hangingChars="200"/>
    </w:pPr>
  </w:style>
  <w:style w:type="paragraph" w:styleId="38">
    <w:name w:val="footnote text"/>
    <w:basedOn w:val="1"/>
    <w:link w:val="347"/>
    <w:autoRedefine/>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autoRedefine/>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324"/>
    <w:autoRedefine/>
    <w:qFormat/>
    <w:uiPriority w:val="0"/>
    <w:pPr>
      <w:spacing w:after="120"/>
      <w:ind w:left="420" w:leftChars="200"/>
    </w:pPr>
    <w:rPr>
      <w:sz w:val="16"/>
      <w:szCs w:val="16"/>
    </w:rPr>
  </w:style>
  <w:style w:type="paragraph" w:styleId="42">
    <w:name w:val="toc 2"/>
    <w:basedOn w:val="1"/>
    <w:next w:val="1"/>
    <w:autoRedefine/>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autoRedefine/>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37"/>
    <w:autoRedefine/>
    <w:qFormat/>
    <w:uiPriority w:val="0"/>
    <w:pPr>
      <w:jc w:val="left"/>
    </w:pPr>
    <w:rPr>
      <w:rFonts w:ascii="楷体_GB2312" w:hAnsi="宋体" w:eastAsia="楷体_GB2312"/>
      <w:color w:val="000000"/>
      <w:kern w:val="0"/>
      <w:szCs w:val="21"/>
    </w:rPr>
  </w:style>
  <w:style w:type="paragraph" w:styleId="45">
    <w:name w:val="List 4"/>
    <w:basedOn w:val="1"/>
    <w:autoRedefine/>
    <w:qFormat/>
    <w:uiPriority w:val="0"/>
    <w:pPr>
      <w:ind w:left="100" w:leftChars="600" w:hanging="200" w:hangingChars="200"/>
    </w:pPr>
  </w:style>
  <w:style w:type="paragraph" w:styleId="46">
    <w:name w:val="Normal (Web)"/>
    <w:basedOn w:val="1"/>
    <w:autoRedefine/>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05"/>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9"/>
    <w:next w:val="19"/>
    <w:link w:val="387"/>
    <w:autoRedefine/>
    <w:qFormat/>
    <w:uiPriority w:val="99"/>
  </w:style>
  <w:style w:type="table" w:styleId="50">
    <w:name w:val="Table Grid"/>
    <w:basedOn w:val="49"/>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autoRedefine/>
    <w:qFormat/>
    <w:uiPriority w:val="22"/>
    <w:rPr>
      <w:b/>
      <w:bCs/>
    </w:rPr>
  </w:style>
  <w:style w:type="character" w:styleId="53">
    <w:name w:val="page number"/>
    <w:basedOn w:val="51"/>
    <w:autoRedefine/>
    <w:qFormat/>
    <w:uiPriority w:val="0"/>
  </w:style>
  <w:style w:type="character" w:styleId="54">
    <w:name w:val="FollowedHyperlink"/>
    <w:basedOn w:val="51"/>
    <w:autoRedefine/>
    <w:unhideWhenUsed/>
    <w:qFormat/>
    <w:uiPriority w:val="99"/>
    <w:rPr>
      <w:rFonts w:hint="eastAsia" w:ascii="微软雅黑" w:hAnsi="微软雅黑" w:eastAsia="微软雅黑" w:cs="微软雅黑"/>
      <w:color w:val="02396F"/>
      <w:u w:val="single"/>
    </w:rPr>
  </w:style>
  <w:style w:type="character" w:styleId="55">
    <w:name w:val="Emphasis"/>
    <w:autoRedefine/>
    <w:qFormat/>
    <w:uiPriority w:val="20"/>
    <w:rPr>
      <w:color w:val="CC0000"/>
    </w:rPr>
  </w:style>
  <w:style w:type="character" w:styleId="56">
    <w:name w:val="Hyperlink"/>
    <w:basedOn w:val="51"/>
    <w:autoRedefine/>
    <w:qFormat/>
    <w:uiPriority w:val="99"/>
    <w:rPr>
      <w:rFonts w:hint="eastAsia" w:ascii="微软雅黑" w:hAnsi="微软雅黑" w:eastAsia="微软雅黑" w:cs="微软雅黑"/>
      <w:color w:val="02396F"/>
      <w:u w:val="single"/>
    </w:rPr>
  </w:style>
  <w:style w:type="character" w:styleId="57">
    <w:name w:val="annotation reference"/>
    <w:autoRedefine/>
    <w:qFormat/>
    <w:uiPriority w:val="99"/>
    <w:rPr>
      <w:sz w:val="21"/>
      <w:szCs w:val="21"/>
    </w:rPr>
  </w:style>
  <w:style w:type="paragraph" w:customStyle="1" w:styleId="58">
    <w:name w:val="标题 11"/>
    <w:basedOn w:val="1"/>
    <w:autoRedefine/>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59">
    <w:name w:val="font0"/>
    <w:basedOn w:val="1"/>
    <w:autoRedefine/>
    <w:qFormat/>
    <w:uiPriority w:val="0"/>
    <w:pPr>
      <w:spacing w:before="100" w:beforeAutospacing="1" w:after="100" w:afterAutospacing="1"/>
      <w:jc w:val="left"/>
    </w:pPr>
    <w:rPr>
      <w:rFonts w:hint="eastAsia" w:ascii="宋体" w:hAnsi="宋体"/>
      <w:kern w:val="0"/>
      <w:sz w:val="24"/>
    </w:rPr>
  </w:style>
  <w:style w:type="paragraph" w:customStyle="1" w:styleId="60">
    <w:name w:val="目录 91"/>
    <w:basedOn w:val="1"/>
    <w:next w:val="1"/>
    <w:autoRedefine/>
    <w:qFormat/>
    <w:uiPriority w:val="39"/>
    <w:pPr>
      <w:ind w:left="3360" w:leftChars="1600"/>
    </w:pPr>
    <w:rPr>
      <w:rFonts w:ascii="Calibri" w:hAnsi="Calibri"/>
      <w:szCs w:val="22"/>
    </w:rPr>
  </w:style>
  <w:style w:type="paragraph" w:customStyle="1" w:styleId="61">
    <w:name w:val="retrait1"/>
    <w:basedOn w:val="1"/>
    <w:autoRedefine/>
    <w:qFormat/>
    <w:uiPriority w:val="0"/>
    <w:pPr>
      <w:spacing w:before="20" w:after="20"/>
      <w:ind w:left="284"/>
      <w:jc w:val="left"/>
    </w:pPr>
    <w:rPr>
      <w:rFonts w:ascii="Arial" w:hAnsi="Arial"/>
      <w:kern w:val="0"/>
      <w:sz w:val="24"/>
      <w:szCs w:val="20"/>
      <w:lang w:val="en-GB"/>
    </w:rPr>
  </w:style>
  <w:style w:type="paragraph" w:customStyle="1" w:styleId="62">
    <w:name w:val="样式 宋体 小四 段前: 5 磅 段后: 5 磅"/>
    <w:basedOn w:val="1"/>
    <w:autoRedefine/>
    <w:qFormat/>
    <w:uiPriority w:val="0"/>
    <w:pPr>
      <w:spacing w:before="100" w:after="100"/>
      <w:ind w:left="2266" w:leftChars="200"/>
    </w:pPr>
    <w:rPr>
      <w:rFonts w:ascii="宋体" w:cs="宋体"/>
      <w:sz w:val="24"/>
      <w:szCs w:val="20"/>
    </w:rPr>
  </w:style>
  <w:style w:type="paragraph" w:customStyle="1" w:styleId="63">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64">
    <w:name w:val="样式3"/>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65">
    <w:name w:val="USE 3"/>
    <w:basedOn w:val="1"/>
    <w:autoRedefine/>
    <w:qFormat/>
    <w:uiPriority w:val="0"/>
    <w:pPr>
      <w:ind w:left="710" w:hanging="170"/>
      <w:jc w:val="left"/>
    </w:pPr>
    <w:rPr>
      <w:rFonts w:ascii="宋体" w:hAnsi="宋体"/>
      <w:sz w:val="24"/>
      <w:szCs w:val="20"/>
    </w:rPr>
  </w:style>
  <w:style w:type="paragraph" w:customStyle="1" w:styleId="66">
    <w:name w:val="xl49"/>
    <w:basedOn w:val="1"/>
    <w:autoRedefine/>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67">
    <w:name w:val="Style 樣式 標題 3 + (中文) MS Gothic 10.5 點 + (Latin) Times New Roman (A..."/>
    <w:basedOn w:val="1"/>
    <w:autoRedefine/>
    <w:qFormat/>
    <w:uiPriority w:val="0"/>
    <w:pPr>
      <w:keepNext/>
      <w:tabs>
        <w:tab w:val="left" w:pos="2098"/>
      </w:tabs>
      <w:ind w:left="1503" w:hanging="142"/>
      <w:outlineLvl w:val="2"/>
    </w:pPr>
    <w:rPr>
      <w:rFonts w:eastAsia="PMingLiU"/>
      <w:snapToGrid w:val="0"/>
      <w:sz w:val="24"/>
      <w:lang w:val="en-AU" w:eastAsia="zh-TW"/>
    </w:rPr>
  </w:style>
  <w:style w:type="paragraph" w:customStyle="1" w:styleId="68">
    <w:name w:val="xl34"/>
    <w:basedOn w:val="1"/>
    <w:autoRedefine/>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69">
    <w:name w:val="xl47"/>
    <w:basedOn w:val="1"/>
    <w:autoRedefine/>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70">
    <w:name w:val="表格 Char"/>
    <w:basedOn w:val="1"/>
    <w:link w:val="359"/>
    <w:autoRedefine/>
    <w:qFormat/>
    <w:uiPriority w:val="0"/>
    <w:pPr>
      <w:spacing w:before="100" w:beforeAutospacing="1" w:after="100" w:afterAutospacing="1"/>
      <w:jc w:val="center"/>
    </w:pPr>
    <w:rPr>
      <w:rFonts w:ascii="宋体" w:hAnsi="宋体"/>
      <w:szCs w:val="28"/>
    </w:rPr>
  </w:style>
  <w:style w:type="paragraph" w:customStyle="1" w:styleId="71">
    <w:name w:val="条文 4"/>
    <w:next w:val="1"/>
    <w:autoRedefine/>
    <w:qFormat/>
    <w:uiPriority w:val="0"/>
    <w:pPr>
      <w:spacing w:after="160" w:line="310" w:lineRule="exact"/>
      <w:ind w:left="2520" w:hanging="420"/>
      <w:jc w:val="both"/>
    </w:pPr>
    <w:rPr>
      <w:rFonts w:ascii="Times New Roman" w:hAnsi="Times New Roman" w:eastAsia="黑体" w:cs="Times New Roman"/>
      <w:sz w:val="21"/>
      <w:lang w:val="en-US" w:eastAsia="zh-CN" w:bidi="ar-SA"/>
    </w:rPr>
  </w:style>
  <w:style w:type="paragraph" w:customStyle="1" w:styleId="72">
    <w:name w:val="Char Char Char"/>
    <w:basedOn w:val="1"/>
    <w:autoRedefine/>
    <w:qFormat/>
    <w:uiPriority w:val="0"/>
    <w:rPr>
      <w:rFonts w:ascii="仿宋_GB2312" w:eastAsia="仿宋_GB2312"/>
      <w:b/>
      <w:sz w:val="32"/>
      <w:szCs w:val="32"/>
    </w:rPr>
  </w:style>
  <w:style w:type="paragraph" w:customStyle="1" w:styleId="73">
    <w:name w:val="cucd-TB"/>
    <w:autoRedefine/>
    <w:qFormat/>
    <w:uiPriority w:val="0"/>
    <w:pPr>
      <w:spacing w:after="160"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74">
    <w:name w:val="合同书"/>
    <w:basedOn w:val="1"/>
    <w:autoRedefine/>
    <w:qFormat/>
    <w:uiPriority w:val="0"/>
    <w:pPr>
      <w:jc w:val="center"/>
    </w:pPr>
    <w:rPr>
      <w:b/>
      <w:sz w:val="36"/>
      <w:szCs w:val="20"/>
    </w:rPr>
  </w:style>
  <w:style w:type="paragraph" w:customStyle="1" w:styleId="75">
    <w:name w:val="USE 4"/>
    <w:basedOn w:val="1"/>
    <w:autoRedefine/>
    <w:qFormat/>
    <w:uiPriority w:val="0"/>
    <w:pPr>
      <w:ind w:left="104" w:hanging="227"/>
      <w:jc w:val="left"/>
    </w:pPr>
    <w:rPr>
      <w:rFonts w:ascii="宋体" w:hAnsi="宋体"/>
      <w:sz w:val="24"/>
      <w:szCs w:val="20"/>
    </w:rPr>
  </w:style>
  <w:style w:type="paragraph" w:customStyle="1" w:styleId="76">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77">
    <w:name w:val="Char1"/>
    <w:basedOn w:val="1"/>
    <w:autoRedefine/>
    <w:qFormat/>
    <w:uiPriority w:val="0"/>
    <w:rPr>
      <w:rFonts w:ascii="仿宋_GB2312" w:eastAsia="仿宋_GB2312"/>
      <w:b/>
      <w:sz w:val="32"/>
      <w:szCs w:val="32"/>
    </w:rPr>
  </w:style>
  <w:style w:type="paragraph" w:customStyle="1" w:styleId="78">
    <w:name w:val="xl86"/>
    <w:basedOn w:val="1"/>
    <w:autoRedefine/>
    <w:qFormat/>
    <w:uiPriority w:val="0"/>
    <w:pPr>
      <w:spacing w:before="100" w:beforeAutospacing="1" w:after="100" w:afterAutospacing="1"/>
      <w:jc w:val="center"/>
    </w:pPr>
    <w:rPr>
      <w:rFonts w:ascii="宋体" w:hAnsi="宋体" w:cs="宋体"/>
      <w:kern w:val="0"/>
      <w:sz w:val="24"/>
    </w:rPr>
  </w:style>
  <w:style w:type="paragraph" w:customStyle="1" w:styleId="79">
    <w:name w:val="font12"/>
    <w:basedOn w:val="1"/>
    <w:autoRedefine/>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80">
    <w:name w:val="样式 宋体 小四 首行缩进:  0.93 厘米 段前: 11.15 磅 段后: 11.15 磅1"/>
    <w:basedOn w:val="81"/>
    <w:next w:val="81"/>
    <w:autoRedefine/>
    <w:qFormat/>
    <w:uiPriority w:val="99"/>
    <w:rPr>
      <w:rFonts w:ascii="宋体"/>
      <w:color w:val="auto"/>
    </w:rPr>
  </w:style>
  <w:style w:type="paragraph" w:customStyle="1" w:styleId="81">
    <w:name w:val="Default"/>
    <w:autoRedefine/>
    <w:qFormat/>
    <w:uiPriority w:val="0"/>
    <w:pPr>
      <w:widowControl w:val="0"/>
      <w:autoSpaceDE w:val="0"/>
      <w:autoSpaceDN w:val="0"/>
      <w:adjustRightInd w:val="0"/>
      <w:spacing w:after="160"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82">
    <w:name w:val="font7"/>
    <w:basedOn w:val="1"/>
    <w:autoRedefine/>
    <w:qFormat/>
    <w:uiPriority w:val="0"/>
    <w:pPr>
      <w:spacing w:before="100" w:beforeAutospacing="1" w:after="100" w:afterAutospacing="1"/>
      <w:jc w:val="left"/>
    </w:pPr>
    <w:rPr>
      <w:kern w:val="0"/>
      <w:sz w:val="20"/>
      <w:szCs w:val="20"/>
    </w:rPr>
  </w:style>
  <w:style w:type="paragraph" w:customStyle="1" w:styleId="83">
    <w:name w:val="xl95"/>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84">
    <w:name w:val="批注框文本 Char Char"/>
    <w:basedOn w:val="1"/>
    <w:autoRedefine/>
    <w:qFormat/>
    <w:uiPriority w:val="0"/>
    <w:rPr>
      <w:sz w:val="18"/>
      <w:szCs w:val="20"/>
    </w:rPr>
  </w:style>
  <w:style w:type="paragraph" w:customStyle="1" w:styleId="85">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86">
    <w:name w:val="样式1"/>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87">
    <w:name w:val="xl3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88">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9">
    <w:name w:val="正文首行缩进1"/>
    <w:basedOn w:val="15"/>
    <w:link w:val="321"/>
    <w:autoRedefine/>
    <w:qFormat/>
    <w:uiPriority w:val="0"/>
    <w:pPr>
      <w:ind w:firstLine="100" w:firstLineChars="100"/>
    </w:pPr>
  </w:style>
  <w:style w:type="paragraph" w:customStyle="1" w:styleId="90">
    <w:name w:val="Char Char Char Char Char Char Char Char Char Char Char Char Char1"/>
    <w:basedOn w:val="1"/>
    <w:autoRedefine/>
    <w:qFormat/>
    <w:uiPriority w:val="0"/>
    <w:rPr>
      <w:rFonts w:ascii="仿宋_GB2312" w:eastAsia="仿宋_GB2312"/>
      <w:b/>
      <w:sz w:val="32"/>
      <w:szCs w:val="32"/>
    </w:rPr>
  </w:style>
  <w:style w:type="paragraph" w:customStyle="1" w:styleId="91">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2">
    <w:name w:val="目录 11"/>
    <w:basedOn w:val="1"/>
    <w:next w:val="1"/>
    <w:autoRedefine/>
    <w:qFormat/>
    <w:uiPriority w:val="39"/>
    <w:pPr>
      <w:tabs>
        <w:tab w:val="right" w:leader="dot" w:pos="8296"/>
      </w:tabs>
      <w:ind w:left="850" w:leftChars="1" w:hanging="848" w:hangingChars="404"/>
      <w:jc w:val="center"/>
    </w:pPr>
  </w:style>
  <w:style w:type="paragraph" w:customStyle="1" w:styleId="93">
    <w:name w:val="xl53"/>
    <w:basedOn w:val="1"/>
    <w:autoRedefine/>
    <w:qFormat/>
    <w:uiPriority w:val="0"/>
    <w:pPr>
      <w:spacing w:before="100" w:beforeAutospacing="1" w:after="100" w:afterAutospacing="1"/>
      <w:jc w:val="left"/>
    </w:pPr>
    <w:rPr>
      <w:rFonts w:hint="eastAsia" w:ascii="黑体" w:hAnsi="宋体" w:eastAsia="黑体"/>
      <w:kern w:val="0"/>
      <w:sz w:val="24"/>
    </w:rPr>
  </w:style>
  <w:style w:type="paragraph" w:customStyle="1" w:styleId="94">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5">
    <w:name w:val="Char Char Char1"/>
    <w:basedOn w:val="1"/>
    <w:link w:val="296"/>
    <w:qFormat/>
    <w:uiPriority w:val="0"/>
    <w:rPr>
      <w:rFonts w:ascii="仿宋_GB2312" w:eastAsia="仿宋_GB2312"/>
      <w:b/>
      <w:sz w:val="32"/>
      <w:szCs w:val="32"/>
    </w:rPr>
  </w:style>
  <w:style w:type="paragraph" w:customStyle="1" w:styleId="96">
    <w:name w:val="xl79"/>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7">
    <w:name w:val="Char Char Char Char"/>
    <w:basedOn w:val="1"/>
    <w:autoRedefine/>
    <w:qFormat/>
    <w:uiPriority w:val="0"/>
    <w:pPr>
      <w:tabs>
        <w:tab w:val="left" w:pos="360"/>
      </w:tabs>
    </w:pPr>
    <w:rPr>
      <w:sz w:val="24"/>
    </w:rPr>
  </w:style>
  <w:style w:type="paragraph" w:customStyle="1" w:styleId="98">
    <w:name w:val="我的目录"/>
    <w:basedOn w:val="92"/>
    <w:qFormat/>
    <w:uiPriority w:val="0"/>
    <w:pPr>
      <w:tabs>
        <w:tab w:val="right" w:leader="dot" w:pos="8820"/>
        <w:tab w:val="clear" w:pos="8296"/>
      </w:tabs>
      <w:spacing w:before="120" w:after="120" w:line="240" w:lineRule="auto"/>
      <w:ind w:left="0" w:leftChars="0" w:firstLine="0" w:firstLineChars="0"/>
      <w:jc w:val="left"/>
    </w:pPr>
    <w:rPr>
      <w:b/>
      <w:caps/>
      <w:sz w:val="20"/>
      <w:szCs w:val="20"/>
    </w:rPr>
  </w:style>
  <w:style w:type="paragraph" w:customStyle="1" w:styleId="99">
    <w:name w:val="xl39"/>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0">
    <w:name w:val="font5"/>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101">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102">
    <w:name w:val="样式 纯文本 + 居中 行距: 最小值 9 磅"/>
    <w:basedOn w:val="2"/>
    <w:qFormat/>
    <w:uiPriority w:val="0"/>
    <w:pPr>
      <w:spacing w:line="180" w:lineRule="atLeast"/>
      <w:jc w:val="left"/>
    </w:pPr>
    <w:rPr>
      <w:rFonts w:cs="宋体"/>
      <w:sz w:val="24"/>
      <w:szCs w:val="20"/>
    </w:rPr>
  </w:style>
  <w:style w:type="paragraph" w:customStyle="1" w:styleId="103">
    <w:name w:val="Char"/>
    <w:basedOn w:val="1"/>
    <w:qFormat/>
    <w:uiPriority w:val="0"/>
    <w:pPr>
      <w:tabs>
        <w:tab w:val="left" w:pos="360"/>
      </w:tabs>
    </w:pPr>
    <w:rPr>
      <w:sz w:val="24"/>
    </w:rPr>
  </w:style>
  <w:style w:type="paragraph" w:customStyle="1" w:styleId="104">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05">
    <w:name w:val="Char Char Char Char Char Char Char Char Char Char Char Char Char"/>
    <w:basedOn w:val="1"/>
    <w:autoRedefine/>
    <w:qFormat/>
    <w:uiPriority w:val="0"/>
    <w:rPr>
      <w:rFonts w:ascii="仿宋_GB2312" w:eastAsia="仿宋_GB2312"/>
      <w:b/>
      <w:sz w:val="32"/>
      <w:szCs w:val="32"/>
    </w:rPr>
  </w:style>
  <w:style w:type="paragraph" w:customStyle="1" w:styleId="106">
    <w:name w:val="目录 41"/>
    <w:basedOn w:val="1"/>
    <w:next w:val="1"/>
    <w:qFormat/>
    <w:uiPriority w:val="39"/>
    <w:pPr>
      <w:ind w:left="1260" w:leftChars="600"/>
    </w:pPr>
    <w:rPr>
      <w:rFonts w:ascii="Calibri" w:hAnsi="Calibri"/>
      <w:szCs w:val="22"/>
    </w:rPr>
  </w:style>
  <w:style w:type="paragraph" w:customStyle="1" w:styleId="107">
    <w:name w:val="wuff32"/>
    <w:basedOn w:val="2"/>
    <w:autoRedefine/>
    <w:qFormat/>
    <w:uiPriority w:val="0"/>
    <w:pPr>
      <w:jc w:val="center"/>
    </w:pPr>
    <w:rPr>
      <w:rFonts w:ascii="黑体" w:eastAsia="黑体"/>
      <w:sz w:val="24"/>
      <w:szCs w:val="20"/>
    </w:rPr>
  </w:style>
  <w:style w:type="paragraph" w:customStyle="1" w:styleId="108">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9">
    <w:name w:val="PlainText"/>
    <w:basedOn w:val="1"/>
    <w:autoRedefine/>
    <w:qFormat/>
    <w:uiPriority w:val="0"/>
    <w:pPr>
      <w:textAlignment w:val="baseline"/>
    </w:pPr>
    <w:rPr>
      <w:rFonts w:ascii="宋体" w:hAnsi="Calibri"/>
      <w:szCs w:val="21"/>
    </w:rPr>
  </w:style>
  <w:style w:type="paragraph" w:customStyle="1" w:styleId="110">
    <w:name w:val="样式 宋体 小四 黑色 左 行距: 1.5 倍行距1"/>
    <w:basedOn w:val="1"/>
    <w:qFormat/>
    <w:uiPriority w:val="0"/>
    <w:pPr>
      <w:jc w:val="left"/>
    </w:pPr>
    <w:rPr>
      <w:rFonts w:ascii="宋体" w:hAnsi="宋体" w:cs="宋体"/>
      <w:color w:val="000000"/>
      <w:sz w:val="24"/>
      <w:szCs w:val="20"/>
    </w:rPr>
  </w:style>
  <w:style w:type="paragraph" w:customStyle="1" w:styleId="111">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12">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3">
    <w:name w:val="_Style 112"/>
    <w:semiHidden/>
    <w:qFormat/>
    <w:uiPriority w:val="99"/>
    <w:pPr>
      <w:spacing w:after="160" w:line="259" w:lineRule="auto"/>
    </w:pPr>
    <w:rPr>
      <w:rFonts w:ascii="Times New Roman" w:hAnsi="Times New Roman" w:eastAsia="宋体" w:cs="Times New Roman"/>
      <w:kern w:val="2"/>
      <w:sz w:val="21"/>
      <w:szCs w:val="24"/>
      <w:lang w:val="en-US" w:eastAsia="zh-CN" w:bidi="ar-SA"/>
    </w:rPr>
  </w:style>
  <w:style w:type="paragraph" w:customStyle="1" w:styleId="114">
    <w:name w:val="样式 标题 2 + (西文) Times New Roman (中文) 仿宋_GB2312 居中 段前: 6 磅 段后:..."/>
    <w:basedOn w:val="5"/>
    <w:qFormat/>
    <w:uiPriority w:val="0"/>
    <w:pPr>
      <w:spacing w:before="120" w:after="120"/>
      <w:jc w:val="left"/>
    </w:pPr>
    <w:rPr>
      <w:rFonts w:ascii="Times New Roman" w:hAnsi="Times New Roman" w:eastAsia="仿宋_GB2312" w:cs="宋体"/>
      <w:szCs w:val="20"/>
    </w:rPr>
  </w:style>
  <w:style w:type="paragraph" w:customStyle="1" w:styleId="115">
    <w:name w:val="目录 21"/>
    <w:basedOn w:val="1"/>
    <w:next w:val="1"/>
    <w:qFormat/>
    <w:uiPriority w:val="39"/>
    <w:pPr>
      <w:tabs>
        <w:tab w:val="right" w:leader="dot" w:pos="8295"/>
      </w:tabs>
      <w:ind w:left="205" w:leftChars="205"/>
    </w:pPr>
  </w:style>
  <w:style w:type="paragraph" w:customStyle="1" w:styleId="116">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17">
    <w:name w:val="xl10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18">
    <w:name w:val="样式 标题 3 + 黑色"/>
    <w:basedOn w:val="4"/>
    <w:link w:val="342"/>
    <w:autoRedefine/>
    <w:qFormat/>
    <w:uiPriority w:val="0"/>
    <w:pPr>
      <w:keepNext w:val="0"/>
      <w:keepLines w:val="0"/>
      <w:tabs>
        <w:tab w:val="left" w:pos="1200"/>
        <w:tab w:val="left" w:pos="1260"/>
      </w:tabs>
      <w:spacing w:before="0" w:after="0"/>
      <w:ind w:left="1200" w:hanging="1200" w:hangingChars="500"/>
    </w:pPr>
    <w:rPr>
      <w:b/>
      <w:bCs/>
      <w:color w:val="FF0000"/>
      <w:szCs w:val="20"/>
    </w:rPr>
  </w:style>
  <w:style w:type="paragraph" w:customStyle="1" w:styleId="11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0">
    <w:name w:val="xl3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21">
    <w:name w:val="Char2 Char Char Char"/>
    <w:basedOn w:val="1"/>
    <w:qFormat/>
    <w:uiPriority w:val="0"/>
    <w:pPr>
      <w:spacing w:line="240" w:lineRule="exact"/>
      <w:jc w:val="left"/>
    </w:pPr>
    <w:rPr>
      <w:rFonts w:ascii="Verdana" w:hAnsi="Verdana" w:eastAsia="仿宋_GB2312"/>
      <w:kern w:val="0"/>
      <w:sz w:val="24"/>
      <w:szCs w:val="20"/>
      <w:lang w:eastAsia="en-US"/>
    </w:rPr>
  </w:style>
  <w:style w:type="paragraph" w:customStyle="1" w:styleId="122">
    <w:name w:val="Tétière"/>
    <w:basedOn w:val="1"/>
    <w:autoRedefine/>
    <w:qFormat/>
    <w:uiPriority w:val="0"/>
    <w:pPr>
      <w:spacing w:before="60" w:after="60"/>
      <w:jc w:val="center"/>
    </w:pPr>
    <w:rPr>
      <w:rFonts w:ascii="Arial" w:hAnsi="Arial"/>
      <w:b/>
      <w:kern w:val="0"/>
      <w:sz w:val="16"/>
      <w:szCs w:val="20"/>
      <w:lang w:val="en-GB"/>
    </w:rPr>
  </w:style>
  <w:style w:type="paragraph" w:customStyle="1" w:styleId="123">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24">
    <w:name w:val="Char Char Char Char Char Char Char Char Char Char Char Char Char Char Char Char Char Char Char Char Char Char Char Char2 Char"/>
    <w:basedOn w:val="1"/>
    <w:autoRedefine/>
    <w:qFormat/>
    <w:uiPriority w:val="0"/>
    <w:pPr>
      <w:spacing w:line="240" w:lineRule="exact"/>
      <w:jc w:val="center"/>
    </w:pPr>
    <w:rPr>
      <w:rFonts w:ascii="黑体" w:hAnsi="Verdana" w:eastAsia="黑体"/>
      <w:kern w:val="0"/>
      <w:sz w:val="32"/>
      <w:szCs w:val="32"/>
      <w:lang w:eastAsia="en-US"/>
    </w:rPr>
  </w:style>
  <w:style w:type="paragraph" w:customStyle="1" w:styleId="125">
    <w:name w:val="font10"/>
    <w:basedOn w:val="1"/>
    <w:autoRedefine/>
    <w:qFormat/>
    <w:uiPriority w:val="0"/>
    <w:pPr>
      <w:spacing w:before="100" w:beforeAutospacing="1" w:after="100" w:afterAutospacing="1"/>
      <w:jc w:val="left"/>
    </w:pPr>
    <w:rPr>
      <w:rFonts w:eastAsia="Arial Unicode MS"/>
      <w:color w:val="FF0000"/>
      <w:kern w:val="0"/>
      <w:sz w:val="20"/>
      <w:szCs w:val="20"/>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目录 31"/>
    <w:basedOn w:val="1"/>
    <w:next w:val="1"/>
    <w:autoRedefine/>
    <w:qFormat/>
    <w:uiPriority w:val="39"/>
    <w:pPr>
      <w:ind w:left="840" w:leftChars="400"/>
    </w:pPr>
  </w:style>
  <w:style w:type="paragraph" w:customStyle="1" w:styleId="128">
    <w:name w:val="孙（1）"/>
    <w:autoRedefine/>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129">
    <w:name w:val="标题2"/>
    <w:basedOn w:val="3"/>
    <w:qFormat/>
    <w:uiPriority w:val="0"/>
    <w:pPr>
      <w:spacing w:before="0" w:after="0" w:line="312" w:lineRule="auto"/>
      <w:jc w:val="center"/>
    </w:pPr>
    <w:rPr>
      <w:rFonts w:ascii="宋体"/>
      <w:bCs w:val="0"/>
      <w:sz w:val="30"/>
      <w:szCs w:val="20"/>
    </w:rPr>
  </w:style>
  <w:style w:type="paragraph" w:customStyle="1" w:styleId="130">
    <w:name w:val="条文 3"/>
    <w:next w:val="1"/>
    <w:autoRedefine/>
    <w:qFormat/>
    <w:uiPriority w:val="0"/>
    <w:pPr>
      <w:spacing w:after="160" w:line="310" w:lineRule="exact"/>
      <w:ind w:left="1680" w:hanging="420"/>
      <w:jc w:val="both"/>
    </w:pPr>
    <w:rPr>
      <w:rFonts w:ascii="Times New Roman" w:hAnsi="Times New Roman" w:eastAsia="黑体" w:cs="Times New Roman"/>
      <w:sz w:val="21"/>
      <w:lang w:val="en-US" w:eastAsia="zh-CN" w:bidi="ar-SA"/>
    </w:rPr>
  </w:style>
  <w:style w:type="paragraph" w:customStyle="1" w:styleId="131">
    <w:name w:val="font11"/>
    <w:basedOn w:val="1"/>
    <w:autoRedefine/>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132">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3">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34">
    <w:name w:val="Char Char Char Char Char Char Char Char Char Char Char Char"/>
    <w:basedOn w:val="1"/>
    <w:autoRedefine/>
    <w:qFormat/>
    <w:uiPriority w:val="0"/>
    <w:rPr>
      <w:rFonts w:ascii="Tahoma" w:hAnsi="Tahoma"/>
      <w:sz w:val="24"/>
      <w:szCs w:val="20"/>
    </w:rPr>
  </w:style>
  <w:style w:type="paragraph" w:customStyle="1" w:styleId="135">
    <w:name w:val="文件正文"/>
    <w:basedOn w:val="1"/>
    <w:qFormat/>
    <w:uiPriority w:val="0"/>
    <w:pPr>
      <w:ind w:firstLine="480"/>
    </w:pPr>
    <w:rPr>
      <w:rFonts w:eastAsia="仿宋_GB2312"/>
      <w:sz w:val="24"/>
      <w:szCs w:val="20"/>
    </w:rPr>
  </w:style>
  <w:style w:type="paragraph" w:customStyle="1" w:styleId="136">
    <w:name w:val="样式 (西文) 宋体 行距: 1.5 倍行距"/>
    <w:basedOn w:val="1"/>
    <w:autoRedefine/>
    <w:qFormat/>
    <w:uiPriority w:val="0"/>
    <w:rPr>
      <w:rFonts w:ascii="宋体" w:hAnsi="宋体" w:cs="宋体"/>
      <w:szCs w:val="20"/>
    </w:rPr>
  </w:style>
  <w:style w:type="paragraph" w:customStyle="1" w:styleId="137">
    <w:name w:val="xl5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38">
    <w:name w:val="重点"/>
    <w:basedOn w:val="1"/>
    <w:autoRedefine/>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139">
    <w:name w:val="样式 表格 + 加粗"/>
    <w:basedOn w:val="70"/>
    <w:autoRedefine/>
    <w:qFormat/>
    <w:uiPriority w:val="0"/>
    <w:rPr>
      <w:b/>
      <w:bCs/>
    </w:rPr>
  </w:style>
  <w:style w:type="paragraph" w:customStyle="1" w:styleId="140">
    <w:name w:val="青岛标题3"/>
    <w:basedOn w:val="4"/>
    <w:qFormat/>
    <w:uiPriority w:val="0"/>
    <w:pPr>
      <w:spacing w:line="500" w:lineRule="exact"/>
      <w:jc w:val="left"/>
      <w:outlineLvl w:val="1"/>
    </w:pPr>
  </w:style>
  <w:style w:type="paragraph" w:customStyle="1" w:styleId="141">
    <w:name w:val="xl66"/>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2">
    <w:name w:val="修订1"/>
    <w:autoRedefine/>
    <w:qFormat/>
    <w:uiPriority w:val="99"/>
    <w:pPr>
      <w:spacing w:after="160"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43">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44">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145">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46">
    <w:name w:val="Char Char Char Char Char Char Char Char Char Char Char Char1 Char"/>
    <w:basedOn w:val="17"/>
    <w:qFormat/>
    <w:uiPriority w:val="0"/>
    <w:pPr>
      <w:shd w:val="clear" w:color="auto" w:fill="000080"/>
    </w:pPr>
    <w:rPr>
      <w:rFonts w:ascii="Times New Roman"/>
      <w:sz w:val="21"/>
      <w:szCs w:val="20"/>
    </w:rPr>
  </w:style>
  <w:style w:type="paragraph" w:customStyle="1" w:styleId="147">
    <w:name w:val="目录 61"/>
    <w:basedOn w:val="1"/>
    <w:next w:val="1"/>
    <w:autoRedefine/>
    <w:qFormat/>
    <w:uiPriority w:val="39"/>
    <w:pPr>
      <w:ind w:left="2100" w:leftChars="1000"/>
    </w:pPr>
    <w:rPr>
      <w:rFonts w:ascii="Calibri" w:hAnsi="Calibri"/>
      <w:szCs w:val="22"/>
    </w:rPr>
  </w:style>
  <w:style w:type="paragraph" w:customStyle="1" w:styleId="148">
    <w:name w:val="xl96"/>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49">
    <w:name w:val="一、"/>
    <w:next w:val="89"/>
    <w:autoRedefine/>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150">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51">
    <w:name w:val="Char Char Char Char Char Char Char Char Char Char"/>
    <w:basedOn w:val="1"/>
    <w:autoRedefine/>
    <w:qFormat/>
    <w:uiPriority w:val="0"/>
    <w:rPr>
      <w:rFonts w:ascii="Tahoma" w:hAnsi="Tahoma" w:cs="仿宋_GB2312"/>
      <w:sz w:val="24"/>
      <w:szCs w:val="20"/>
    </w:rPr>
  </w:style>
  <w:style w:type="paragraph" w:customStyle="1" w:styleId="152">
    <w:name w:val="xl8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3">
    <w:name w:val="xl81"/>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154">
    <w:name w:val="xl43"/>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5">
    <w:name w:val="Char Char Char Char Char1 Char"/>
    <w:basedOn w:val="1"/>
    <w:autoRedefine/>
    <w:qFormat/>
    <w:uiPriority w:val="0"/>
    <w:pPr>
      <w:adjustRightInd w:val="0"/>
    </w:pPr>
    <w:rPr>
      <w:rFonts w:eastAsia="黑体"/>
      <w:spacing w:val="20"/>
      <w:sz w:val="32"/>
      <w:szCs w:val="32"/>
    </w:rPr>
  </w:style>
  <w:style w:type="paragraph" w:customStyle="1" w:styleId="156">
    <w:name w:val="备注"/>
    <w:basedOn w:val="1"/>
    <w:autoRedefine/>
    <w:qFormat/>
    <w:uiPriority w:val="0"/>
    <w:pPr>
      <w:tabs>
        <w:tab w:val="left" w:pos="547"/>
        <w:tab w:val="left" w:pos="990"/>
        <w:tab w:val="left" w:pos="1350"/>
      </w:tabs>
      <w:spacing w:line="400" w:lineRule="atLeast"/>
    </w:pPr>
    <w:rPr>
      <w:szCs w:val="21"/>
    </w:rPr>
  </w:style>
  <w:style w:type="paragraph" w:customStyle="1" w:styleId="157">
    <w:name w:val="正文段"/>
    <w:basedOn w:val="1"/>
    <w:autoRedefine/>
    <w:qFormat/>
    <w:uiPriority w:val="0"/>
    <w:pPr>
      <w:snapToGrid w:val="0"/>
      <w:spacing w:afterLines="50"/>
    </w:pPr>
    <w:rPr>
      <w:kern w:val="0"/>
      <w:sz w:val="24"/>
      <w:szCs w:val="20"/>
    </w:rPr>
  </w:style>
  <w:style w:type="paragraph" w:customStyle="1" w:styleId="158">
    <w:name w:val="USE 5"/>
    <w:basedOn w:val="1"/>
    <w:autoRedefine/>
    <w:qFormat/>
    <w:uiPriority w:val="0"/>
    <w:pPr>
      <w:ind w:left="217" w:hanging="340"/>
      <w:jc w:val="left"/>
    </w:pPr>
    <w:rPr>
      <w:rFonts w:ascii="宋体" w:hAnsi="宋体"/>
      <w:sz w:val="24"/>
    </w:rPr>
  </w:style>
  <w:style w:type="paragraph" w:customStyle="1" w:styleId="159">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60">
    <w:name w:val="条文 表"/>
    <w:next w:val="1"/>
    <w:qFormat/>
    <w:uiPriority w:val="0"/>
    <w:pPr>
      <w:spacing w:after="160" w:line="360" w:lineRule="auto"/>
      <w:ind w:left="3360" w:hanging="420"/>
      <w:jc w:val="center"/>
    </w:pPr>
    <w:rPr>
      <w:rFonts w:ascii="Times New Roman" w:hAnsi="Times New Roman" w:eastAsia="黑体" w:cs="Times New Roman"/>
      <w:sz w:val="21"/>
      <w:lang w:val="en-US" w:eastAsia="zh-CN" w:bidi="ar-SA"/>
    </w:rPr>
  </w:style>
  <w:style w:type="paragraph" w:customStyle="1" w:styleId="161">
    <w:name w:val="xl4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62">
    <w:name w:val="1.1"/>
    <w:basedOn w:val="5"/>
    <w:autoRedefine/>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63">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64">
    <w:name w:val="xl98"/>
    <w:basedOn w:val="1"/>
    <w:autoRedefine/>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65">
    <w:name w:val="p8"/>
    <w:basedOn w:val="1"/>
    <w:autoRedefine/>
    <w:qFormat/>
    <w:uiPriority w:val="0"/>
    <w:pPr>
      <w:spacing w:line="30" w:lineRule="atLeast"/>
      <w:jc w:val="left"/>
    </w:pPr>
    <w:rPr>
      <w:rFonts w:hint="eastAsia" w:ascii="宋体" w:hAnsi="宋体" w:cs="宋体"/>
      <w:kern w:val="0"/>
      <w:szCs w:val="21"/>
    </w:rPr>
  </w:style>
  <w:style w:type="paragraph" w:customStyle="1" w:styleId="166">
    <w:name w:val="xl40"/>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67">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68">
    <w:name w:val="附件"/>
    <w:basedOn w:val="1"/>
    <w:qFormat/>
    <w:uiPriority w:val="0"/>
    <w:pPr>
      <w:spacing w:line="480" w:lineRule="auto"/>
    </w:pPr>
    <w:rPr>
      <w:rFonts w:ascii="黑体" w:eastAsia="黑体"/>
      <w:b/>
      <w:sz w:val="36"/>
      <w:szCs w:val="20"/>
    </w:rPr>
  </w:style>
  <w:style w:type="paragraph" w:customStyle="1" w:styleId="169">
    <w:name w:val="Report Text"/>
    <w:basedOn w:val="1"/>
    <w:link w:val="366"/>
    <w:qFormat/>
    <w:uiPriority w:val="0"/>
    <w:pPr>
      <w:spacing w:before="240" w:after="120"/>
      <w:ind w:left="1080"/>
    </w:pPr>
    <w:rPr>
      <w:rFonts w:ascii="Arial" w:hAnsi="Arial"/>
      <w:kern w:val="28"/>
      <w:sz w:val="22"/>
      <w:szCs w:val="20"/>
    </w:rPr>
  </w:style>
  <w:style w:type="paragraph" w:customStyle="1" w:styleId="170">
    <w:name w:val="条文 5"/>
    <w:next w:val="1"/>
    <w:autoRedefine/>
    <w:qFormat/>
    <w:uiPriority w:val="0"/>
    <w:pPr>
      <w:spacing w:after="160" w:line="310" w:lineRule="exact"/>
      <w:ind w:left="2940" w:hanging="420"/>
      <w:jc w:val="both"/>
    </w:pPr>
    <w:rPr>
      <w:rFonts w:ascii="Times New Roman" w:hAnsi="Times New Roman" w:eastAsia="黑体" w:cs="Times New Roman"/>
      <w:sz w:val="21"/>
      <w:lang w:val="en-US" w:eastAsia="zh-CN" w:bidi="ar-SA"/>
    </w:rPr>
  </w:style>
  <w:style w:type="paragraph" w:customStyle="1" w:styleId="171">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2">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173">
    <w:name w:val="xl22"/>
    <w:basedOn w:val="1"/>
    <w:autoRedefine/>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4">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75">
    <w:name w:val="标题222"/>
    <w:basedOn w:val="1"/>
    <w:qFormat/>
    <w:uiPriority w:val="0"/>
    <w:rPr>
      <w:rFonts w:cs="宋体"/>
      <w:b/>
      <w:bCs/>
      <w:sz w:val="30"/>
      <w:szCs w:val="20"/>
    </w:rPr>
  </w:style>
  <w:style w:type="paragraph" w:customStyle="1" w:styleId="176">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177">
    <w:name w:val="批注主题 Char Char"/>
    <w:basedOn w:val="19"/>
    <w:next w:val="19"/>
    <w:qFormat/>
    <w:uiPriority w:val="0"/>
    <w:rPr>
      <w:b/>
      <w:szCs w:val="20"/>
    </w:rPr>
  </w:style>
  <w:style w:type="paragraph" w:customStyle="1" w:styleId="178">
    <w:name w:val="xl6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79">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0">
    <w:name w:val="列表框1"/>
    <w:basedOn w:val="1"/>
    <w:link w:val="345"/>
    <w:autoRedefine/>
    <w:qFormat/>
    <w:uiPriority w:val="0"/>
    <w:pPr>
      <w:tabs>
        <w:tab w:val="left" w:pos="1682"/>
      </w:tabs>
      <w:adjustRightInd w:val="0"/>
      <w:snapToGrid w:val="0"/>
      <w:ind w:left="1748" w:hanging="434"/>
    </w:pPr>
    <w:rPr>
      <w:rFonts w:ascii="宋体" w:hAnsi="宋体"/>
      <w:kern w:val="0"/>
      <w:szCs w:val="21"/>
    </w:rPr>
  </w:style>
  <w:style w:type="paragraph" w:customStyle="1" w:styleId="181">
    <w:name w:val="xl99"/>
    <w:basedOn w:val="1"/>
    <w:autoRedefine/>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2">
    <w:name w:val="cucd-4"/>
    <w:next w:val="1"/>
    <w:autoRedefine/>
    <w:qFormat/>
    <w:uiPriority w:val="0"/>
    <w:pPr>
      <w:spacing w:after="160"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83">
    <w:name w:val="font6"/>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184">
    <w:name w:val="xl57"/>
    <w:basedOn w:val="1"/>
    <w:autoRedefine/>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5">
    <w:name w:val="目录 51"/>
    <w:basedOn w:val="1"/>
    <w:next w:val="1"/>
    <w:autoRedefine/>
    <w:qFormat/>
    <w:uiPriority w:val="39"/>
    <w:pPr>
      <w:ind w:left="1680" w:leftChars="800"/>
    </w:pPr>
    <w:rPr>
      <w:rFonts w:ascii="Calibri" w:hAnsi="Calibri"/>
      <w:szCs w:val="22"/>
    </w:rPr>
  </w:style>
  <w:style w:type="paragraph" w:customStyle="1" w:styleId="186">
    <w:name w:val="纯文本1"/>
    <w:basedOn w:val="1"/>
    <w:autoRedefine/>
    <w:qFormat/>
    <w:uiPriority w:val="0"/>
    <w:rPr>
      <w:rFonts w:ascii="宋体" w:hAnsi="Courier New" w:cs="Courier New"/>
      <w:szCs w:val="21"/>
    </w:rPr>
  </w:style>
  <w:style w:type="paragraph" w:customStyle="1" w:styleId="187">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88">
    <w:name w:val="样式4"/>
    <w:basedOn w:val="32"/>
    <w:link w:val="351"/>
    <w:autoRedefine/>
    <w:qFormat/>
    <w:uiPriority w:val="0"/>
    <w:pPr>
      <w:pBdr>
        <w:bottom w:val="none" w:color="auto" w:sz="0" w:space="0"/>
      </w:pBdr>
      <w:autoSpaceDE w:val="0"/>
      <w:autoSpaceDN w:val="0"/>
      <w:adjustRightInd w:val="0"/>
      <w:snapToGrid/>
      <w:textAlignment w:val="baseline"/>
    </w:pPr>
    <w:rPr>
      <w:rFonts w:ascii="宋体"/>
    </w:rPr>
  </w:style>
  <w:style w:type="paragraph" w:customStyle="1" w:styleId="189">
    <w:name w:val="标题3"/>
    <w:basedOn w:val="3"/>
    <w:autoRedefine/>
    <w:qFormat/>
    <w:uiPriority w:val="0"/>
    <w:pPr>
      <w:spacing w:beforeLines="50" w:after="0" w:line="312" w:lineRule="auto"/>
      <w:jc w:val="center"/>
    </w:pPr>
    <w:rPr>
      <w:rFonts w:ascii="宋体"/>
      <w:bCs w:val="0"/>
      <w:sz w:val="24"/>
      <w:szCs w:val="20"/>
    </w:rPr>
  </w:style>
  <w:style w:type="paragraph" w:customStyle="1" w:styleId="190">
    <w:name w:val="xl67"/>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1">
    <w:name w:val="font8"/>
    <w:basedOn w:val="1"/>
    <w:autoRedefine/>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92">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193">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4">
    <w:name w:val="样式 样式 首行缩进:  2 字符 段前: 4.65 磅 + 首行缩进:  2 字符"/>
    <w:basedOn w:val="1"/>
    <w:autoRedefine/>
    <w:qFormat/>
    <w:uiPriority w:val="0"/>
    <w:pPr>
      <w:topLinePunct/>
      <w:spacing w:before="93"/>
      <w:ind w:firstLine="480"/>
    </w:pPr>
    <w:rPr>
      <w:rFonts w:cs="宋体"/>
      <w:sz w:val="24"/>
      <w:szCs w:val="20"/>
    </w:rPr>
  </w:style>
  <w:style w:type="paragraph" w:customStyle="1" w:styleId="195">
    <w:name w:val="表格文字图表文字"/>
    <w:basedOn w:val="1"/>
    <w:autoRedefine/>
    <w:qFormat/>
    <w:uiPriority w:val="0"/>
    <w:pPr>
      <w:snapToGrid w:val="0"/>
      <w:jc w:val="center"/>
    </w:pPr>
    <w:rPr>
      <w:rFonts w:cs="宋体"/>
      <w:szCs w:val="20"/>
    </w:rPr>
  </w:style>
  <w:style w:type="paragraph" w:customStyle="1" w:styleId="196">
    <w:name w:val="条文 1"/>
    <w:next w:val="1"/>
    <w:autoRedefine/>
    <w:qFormat/>
    <w:uiPriority w:val="0"/>
    <w:pPr>
      <w:spacing w:after="160" w:line="310" w:lineRule="exact"/>
      <w:ind w:left="840" w:hanging="420"/>
      <w:jc w:val="both"/>
    </w:pPr>
    <w:rPr>
      <w:rFonts w:ascii="Times New Roman" w:hAnsi="Times New Roman" w:eastAsia="黑体" w:cs="Times New Roman"/>
      <w:sz w:val="21"/>
      <w:lang w:val="en-US" w:eastAsia="zh-CN" w:bidi="ar-SA"/>
    </w:rPr>
  </w:style>
  <w:style w:type="paragraph" w:customStyle="1" w:styleId="197">
    <w:name w:val="Report Level 1"/>
    <w:basedOn w:val="1"/>
    <w:next w:val="169"/>
    <w:autoRedefine/>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98">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99">
    <w:name w:val="Retrait 1"/>
    <w:basedOn w:val="14"/>
    <w:autoRedefine/>
    <w:qFormat/>
    <w:uiPriority w:val="0"/>
    <w:pPr>
      <w:spacing w:after="240"/>
      <w:ind w:left="1134" w:firstLine="0" w:firstLineChars="0"/>
      <w:jc w:val="left"/>
    </w:pPr>
    <w:rPr>
      <w:rFonts w:ascii="Palatino" w:hAnsi="Palatino"/>
      <w:kern w:val="0"/>
      <w:sz w:val="24"/>
      <w:szCs w:val="20"/>
      <w:lang w:val="en-GB"/>
    </w:rPr>
  </w:style>
  <w:style w:type="paragraph" w:customStyle="1" w:styleId="200">
    <w:name w:val="字元 字元 Char Char Char Char Char Char Char"/>
    <w:basedOn w:val="1"/>
    <w:autoRedefine/>
    <w:qFormat/>
    <w:uiPriority w:val="0"/>
    <w:rPr>
      <w:rFonts w:ascii="Tahoma" w:hAnsi="Tahoma" w:cs="仿宋_GB2312"/>
      <w:sz w:val="24"/>
      <w:szCs w:val="20"/>
    </w:rPr>
  </w:style>
  <w:style w:type="paragraph" w:customStyle="1" w:styleId="201">
    <w:name w:val="标题 41"/>
    <w:basedOn w:val="1"/>
    <w:autoRedefine/>
    <w:qFormat/>
    <w:uiPriority w:val="1"/>
    <w:pPr>
      <w:ind w:left="522"/>
      <w:jc w:val="left"/>
      <w:outlineLvl w:val="4"/>
    </w:pPr>
    <w:rPr>
      <w:rFonts w:eastAsia="Times New Roman"/>
      <w:b/>
      <w:bCs/>
      <w:kern w:val="0"/>
      <w:szCs w:val="21"/>
      <w:lang w:eastAsia="en-US"/>
    </w:rPr>
  </w:style>
  <w:style w:type="paragraph" w:customStyle="1" w:styleId="202">
    <w:name w:val="小标题"/>
    <w:basedOn w:val="1"/>
    <w:autoRedefine/>
    <w:qFormat/>
    <w:uiPriority w:val="0"/>
    <w:pPr>
      <w:spacing w:line="440" w:lineRule="exact"/>
      <w:ind w:left="420" w:hanging="420"/>
    </w:pPr>
    <w:rPr>
      <w:sz w:val="24"/>
    </w:rPr>
  </w:style>
  <w:style w:type="paragraph" w:customStyle="1" w:styleId="203">
    <w:name w:val="列出段落1"/>
    <w:basedOn w:val="1"/>
    <w:autoRedefine/>
    <w:qFormat/>
    <w:uiPriority w:val="0"/>
    <w:pPr>
      <w:spacing w:beforeLines="50" w:after="156" w:line="240" w:lineRule="atLeast"/>
      <w:ind w:left="425"/>
    </w:pPr>
    <w:rPr>
      <w:rFonts w:eastAsia="仿宋_GB2312"/>
      <w:sz w:val="24"/>
    </w:rPr>
  </w:style>
  <w:style w:type="paragraph" w:customStyle="1" w:styleId="204">
    <w:name w:val="TOC 标题1"/>
    <w:basedOn w:val="3"/>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05">
    <w:name w:val="表格"/>
    <w:basedOn w:val="1"/>
    <w:autoRedefine/>
    <w:qFormat/>
    <w:uiPriority w:val="0"/>
    <w:pPr>
      <w:jc w:val="center"/>
      <w:textAlignment w:val="center"/>
    </w:pPr>
    <w:rPr>
      <w:rFonts w:ascii="华文细黑" w:hAnsi="华文细黑"/>
      <w:kern w:val="0"/>
      <w:szCs w:val="20"/>
    </w:rPr>
  </w:style>
  <w:style w:type="paragraph" w:customStyle="1" w:styleId="206">
    <w:name w:val="xl8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7">
    <w:name w:val="Report Level 3"/>
    <w:basedOn w:val="197"/>
    <w:next w:val="169"/>
    <w:autoRedefine/>
    <w:qFormat/>
    <w:uiPriority w:val="0"/>
    <w:pPr>
      <w:tabs>
        <w:tab w:val="clear" w:pos="1080"/>
      </w:tabs>
      <w:ind w:left="0" w:firstLine="0"/>
      <w:jc w:val="both"/>
      <w:outlineLvl w:val="2"/>
    </w:pPr>
    <w:rPr>
      <w:b w:val="0"/>
      <w:caps w:val="0"/>
      <w:sz w:val="22"/>
    </w:rPr>
  </w:style>
  <w:style w:type="paragraph" w:customStyle="1" w:styleId="208">
    <w:name w:val="纯文本2"/>
    <w:basedOn w:val="1"/>
    <w:autoRedefine/>
    <w:qFormat/>
    <w:uiPriority w:val="0"/>
    <w:rPr>
      <w:rFonts w:ascii="宋体" w:hAnsi="Courier New" w:cs="Courier New"/>
      <w:szCs w:val="21"/>
    </w:rPr>
  </w:style>
  <w:style w:type="paragraph" w:customStyle="1" w:styleId="209">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10">
    <w:name w:val="xl54"/>
    <w:basedOn w:val="1"/>
    <w:autoRedefine/>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1">
    <w:name w:val="CM255"/>
    <w:basedOn w:val="81"/>
    <w:next w:val="81"/>
    <w:autoRedefine/>
    <w:qFormat/>
    <w:uiPriority w:val="0"/>
    <w:pPr>
      <w:spacing w:after="1728"/>
    </w:pPr>
    <w:rPr>
      <w:rFonts w:ascii="宋体" w:cs="宋体"/>
      <w:color w:val="auto"/>
    </w:rPr>
  </w:style>
  <w:style w:type="paragraph" w:customStyle="1" w:styleId="212">
    <w:name w:val="标题 21"/>
    <w:basedOn w:val="1"/>
    <w:autoRedefine/>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213">
    <w:name w:val="USE 2"/>
    <w:basedOn w:val="1"/>
    <w:autoRedefine/>
    <w:qFormat/>
    <w:uiPriority w:val="0"/>
    <w:pPr>
      <w:ind w:left="4556" w:hanging="3836"/>
      <w:jc w:val="left"/>
    </w:pPr>
    <w:rPr>
      <w:rFonts w:ascii="宋体" w:hAnsi="宋体"/>
      <w:sz w:val="24"/>
      <w:szCs w:val="20"/>
    </w:rPr>
  </w:style>
  <w:style w:type="paragraph" w:customStyle="1" w:styleId="214">
    <w:name w:val="xl55"/>
    <w:basedOn w:val="1"/>
    <w:autoRedefine/>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5">
    <w:name w:val="xl80"/>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16">
    <w:name w:val="样式 宋体 小四 黑色 左 行距: 1.5 倍行距"/>
    <w:basedOn w:val="1"/>
    <w:autoRedefine/>
    <w:qFormat/>
    <w:uiPriority w:val="0"/>
    <w:pPr>
      <w:jc w:val="left"/>
    </w:pPr>
    <w:rPr>
      <w:rFonts w:ascii="宋体" w:hAnsi="宋体" w:cs="宋体"/>
      <w:color w:val="000000"/>
      <w:sz w:val="24"/>
      <w:szCs w:val="20"/>
    </w:rPr>
  </w:style>
  <w:style w:type="paragraph" w:customStyle="1" w:styleId="217">
    <w:name w:val="需求书用目录1"/>
    <w:basedOn w:val="1"/>
    <w:autoRedefine/>
    <w:qFormat/>
    <w:uiPriority w:val="0"/>
    <w:pPr>
      <w:spacing w:before="360" w:after="40" w:line="500" w:lineRule="exact"/>
      <w:ind w:left="538" w:leftChars="256" w:firstLine="2803" w:firstLineChars="1000"/>
    </w:pPr>
    <w:rPr>
      <w:rFonts w:ascii="宋体"/>
      <w:b/>
      <w:sz w:val="28"/>
      <w:szCs w:val="20"/>
    </w:rPr>
  </w:style>
  <w:style w:type="paragraph" w:customStyle="1" w:styleId="218">
    <w:name w:val="_Style 10"/>
    <w:basedOn w:val="1"/>
    <w:next w:val="1"/>
    <w:autoRedefine/>
    <w:qFormat/>
    <w:uiPriority w:val="0"/>
  </w:style>
  <w:style w:type="paragraph" w:customStyle="1" w:styleId="219">
    <w:name w:val="招标文件1.1.1.1"/>
    <w:basedOn w:val="1"/>
    <w:autoRedefine/>
    <w:qFormat/>
    <w:uiPriority w:val="0"/>
    <w:pPr>
      <w:spacing w:before="120" w:after="120" w:line="480" w:lineRule="exact"/>
      <w:ind w:left="284"/>
      <w:jc w:val="left"/>
      <w:outlineLvl w:val="4"/>
    </w:pPr>
    <w:rPr>
      <w:rFonts w:ascii="宋体"/>
      <w:b/>
      <w:spacing w:val="10"/>
      <w:w w:val="95"/>
      <w:sz w:val="24"/>
      <w:szCs w:val="21"/>
    </w:rPr>
  </w:style>
  <w:style w:type="paragraph" w:customStyle="1" w:styleId="220">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221">
    <w:name w:val="青岛标题4"/>
    <w:basedOn w:val="6"/>
    <w:autoRedefine/>
    <w:qFormat/>
    <w:uiPriority w:val="0"/>
    <w:pPr>
      <w:spacing w:line="500" w:lineRule="atLeast"/>
      <w:jc w:val="left"/>
      <w:outlineLvl w:val="2"/>
    </w:pPr>
    <w:rPr>
      <w:rFonts w:eastAsia="宋体"/>
      <w:sz w:val="30"/>
    </w:rPr>
  </w:style>
  <w:style w:type="paragraph" w:customStyle="1" w:styleId="222">
    <w:name w:val="cucd-0"/>
    <w:autoRedefine/>
    <w:qFormat/>
    <w:uiPriority w:val="0"/>
    <w:pPr>
      <w:spacing w:after="16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223">
    <w:name w:val="条文 0"/>
    <w:next w:val="1"/>
    <w:autoRedefine/>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224">
    <w:name w:val="标题333"/>
    <w:basedOn w:val="1"/>
    <w:autoRedefine/>
    <w:qFormat/>
    <w:uiPriority w:val="0"/>
    <w:rPr>
      <w:rFonts w:ascii="宋体" w:hAnsi="宋体" w:cs="宋体"/>
      <w:b/>
      <w:bCs/>
      <w:sz w:val="24"/>
      <w:szCs w:val="20"/>
    </w:rPr>
  </w:style>
  <w:style w:type="paragraph" w:customStyle="1" w:styleId="225">
    <w:name w:val="xl44"/>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226">
    <w:name w:val="xl90"/>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xl31"/>
    <w:basedOn w:val="1"/>
    <w:autoRedefine/>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228">
    <w:name w:val="xl48"/>
    <w:basedOn w:val="1"/>
    <w:autoRedefine/>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9">
    <w:name w:val="xl41"/>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0">
    <w:name w:val="xl50"/>
    <w:basedOn w:val="1"/>
    <w:autoRedefine/>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31">
    <w:name w:val="xl58"/>
    <w:basedOn w:val="1"/>
    <w:autoRedefine/>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32">
    <w:name w:val="xl52"/>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33">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34">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235">
    <w:name w:val="1."/>
    <w:basedOn w:val="1"/>
    <w:autoRedefine/>
    <w:qFormat/>
    <w:uiPriority w:val="0"/>
    <w:pPr>
      <w:tabs>
        <w:tab w:val="left" w:pos="425"/>
      </w:tabs>
      <w:ind w:firstLine="482"/>
    </w:pPr>
    <w:rPr>
      <w:sz w:val="28"/>
      <w:szCs w:val="20"/>
    </w:rPr>
  </w:style>
  <w:style w:type="paragraph" w:customStyle="1" w:styleId="236">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7">
    <w:name w:val="目录 81"/>
    <w:basedOn w:val="1"/>
    <w:next w:val="1"/>
    <w:autoRedefine/>
    <w:qFormat/>
    <w:uiPriority w:val="39"/>
    <w:pPr>
      <w:ind w:left="2940" w:leftChars="1400"/>
    </w:pPr>
    <w:rPr>
      <w:rFonts w:ascii="Calibri" w:hAnsi="Calibri"/>
      <w:szCs w:val="22"/>
    </w:rPr>
  </w:style>
  <w:style w:type="paragraph" w:customStyle="1" w:styleId="238">
    <w:name w:val="Char Char Char Char11"/>
    <w:basedOn w:val="1"/>
    <w:autoRedefine/>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39">
    <w:name w:val="样式 标题 3 + 仿宋_GB2312 小四 段前: 0 磅 段后: 0 磅"/>
    <w:basedOn w:val="4"/>
    <w:autoRedefine/>
    <w:qFormat/>
    <w:uiPriority w:val="0"/>
    <w:pPr>
      <w:spacing w:beforeLines="50" w:after="0" w:line="413" w:lineRule="auto"/>
      <w:jc w:val="center"/>
    </w:pPr>
    <w:rPr>
      <w:rFonts w:ascii="仿宋_GB2312" w:eastAsia="仿宋_GB2312" w:cs="宋体"/>
      <w:kern w:val="0"/>
      <w:szCs w:val="20"/>
    </w:rPr>
  </w:style>
  <w:style w:type="paragraph" w:customStyle="1" w:styleId="240">
    <w:name w:val="p0"/>
    <w:basedOn w:val="1"/>
    <w:autoRedefine/>
    <w:qFormat/>
    <w:uiPriority w:val="0"/>
    <w:rPr>
      <w:kern w:val="0"/>
      <w:szCs w:val="21"/>
    </w:rPr>
  </w:style>
  <w:style w:type="paragraph" w:customStyle="1" w:styleId="241">
    <w:name w:val="正文首行缩进 21"/>
    <w:basedOn w:val="21"/>
    <w:link w:val="371"/>
    <w:autoRedefine/>
    <w:qFormat/>
    <w:uiPriority w:val="0"/>
    <w:pPr>
      <w:adjustRightInd w:val="0"/>
      <w:spacing w:line="312" w:lineRule="atLeast"/>
      <w:textAlignment w:val="baseline"/>
    </w:pPr>
  </w:style>
  <w:style w:type="paragraph" w:customStyle="1" w:styleId="242">
    <w:name w:val="图形题注"/>
    <w:basedOn w:val="16"/>
    <w:link w:val="373"/>
    <w:autoRedefine/>
    <w:qFormat/>
    <w:uiPriority w:val="0"/>
    <w:pPr>
      <w:adjustRightInd w:val="0"/>
      <w:snapToGrid w:val="0"/>
      <w:spacing w:afterLines="50"/>
      <w:jc w:val="center"/>
    </w:pPr>
    <w:rPr>
      <w:rFonts w:eastAsia="宋体" w:cs="Times New Roman"/>
      <w:kern w:val="0"/>
      <w:sz w:val="21"/>
    </w:rPr>
  </w:style>
  <w:style w:type="paragraph" w:customStyle="1" w:styleId="243">
    <w:name w:val="青岛正文"/>
    <w:basedOn w:val="1"/>
    <w:autoRedefine/>
    <w:qFormat/>
    <w:uiPriority w:val="0"/>
    <w:rPr>
      <w:sz w:val="28"/>
    </w:rPr>
  </w:style>
  <w:style w:type="paragraph" w:customStyle="1" w:styleId="244">
    <w:name w:val="xl101"/>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5">
    <w:name w:val="无编号正文"/>
    <w:basedOn w:val="15"/>
    <w:next w:val="1"/>
    <w:link w:val="375"/>
    <w:autoRedefine/>
    <w:qFormat/>
    <w:uiPriority w:val="0"/>
    <w:pPr>
      <w:spacing w:after="0"/>
      <w:ind w:left="200" w:leftChars="200"/>
    </w:pPr>
    <w:rPr>
      <w:rFonts w:ascii="宋体" w:hAnsi="宋体"/>
      <w:kern w:val="0"/>
      <w:sz w:val="24"/>
    </w:rPr>
  </w:style>
  <w:style w:type="paragraph" w:customStyle="1" w:styleId="246">
    <w:name w:val="标题 31"/>
    <w:basedOn w:val="1"/>
    <w:autoRedefine/>
    <w:qFormat/>
    <w:uiPriority w:val="1"/>
    <w:pPr>
      <w:ind w:left="237"/>
      <w:jc w:val="left"/>
      <w:outlineLvl w:val="3"/>
    </w:pPr>
    <w:rPr>
      <w:rFonts w:ascii="宋体" w:hAnsi="宋体"/>
      <w:kern w:val="0"/>
      <w:sz w:val="28"/>
      <w:szCs w:val="28"/>
      <w:lang w:eastAsia="en-US"/>
    </w:rPr>
  </w:style>
  <w:style w:type="paragraph" w:customStyle="1" w:styleId="247">
    <w:name w:val="样式5"/>
    <w:basedOn w:val="1"/>
    <w:autoRedefine/>
    <w:qFormat/>
    <w:uiPriority w:val="0"/>
    <w:pPr>
      <w:tabs>
        <w:tab w:val="left" w:pos="547"/>
        <w:tab w:val="left" w:pos="1080"/>
      </w:tabs>
      <w:spacing w:line="480" w:lineRule="atLeast"/>
      <w:jc w:val="center"/>
    </w:pPr>
    <w:rPr>
      <w:b/>
      <w:sz w:val="24"/>
    </w:rPr>
  </w:style>
  <w:style w:type="paragraph" w:customStyle="1" w:styleId="248">
    <w:name w:val="Char Char Char Char2"/>
    <w:basedOn w:val="1"/>
    <w:autoRedefine/>
    <w:qFormat/>
    <w:uiPriority w:val="0"/>
    <w:pPr>
      <w:tabs>
        <w:tab w:val="left" w:pos="1080"/>
      </w:tabs>
      <w:ind w:left="1078" w:leftChars="343" w:right="210" w:rightChars="100" w:hanging="358" w:hangingChars="149"/>
    </w:pPr>
    <w:rPr>
      <w:sz w:val="24"/>
      <w:szCs w:val="20"/>
    </w:rPr>
  </w:style>
  <w:style w:type="paragraph" w:customStyle="1" w:styleId="249">
    <w:name w:val="Char4"/>
    <w:basedOn w:val="1"/>
    <w:autoRedefine/>
    <w:qFormat/>
    <w:uiPriority w:val="0"/>
  </w:style>
  <w:style w:type="paragraph" w:customStyle="1" w:styleId="250">
    <w:name w:val="需求书2"/>
    <w:basedOn w:val="1"/>
    <w:autoRedefine/>
    <w:qFormat/>
    <w:uiPriority w:val="0"/>
    <w:pPr>
      <w:spacing w:line="500" w:lineRule="exact"/>
      <w:ind w:left="735" w:hanging="735"/>
    </w:pPr>
    <w:rPr>
      <w:rFonts w:ascii="黑体" w:eastAsia="黑体"/>
      <w:szCs w:val="20"/>
    </w:rPr>
  </w:style>
  <w:style w:type="paragraph" w:customStyle="1" w:styleId="251">
    <w:name w:val="CM226"/>
    <w:basedOn w:val="1"/>
    <w:next w:val="1"/>
    <w:autoRedefine/>
    <w:qFormat/>
    <w:uiPriority w:val="0"/>
    <w:pPr>
      <w:autoSpaceDE w:val="0"/>
      <w:autoSpaceDN w:val="0"/>
      <w:adjustRightInd w:val="0"/>
      <w:spacing w:after="2445"/>
      <w:jc w:val="left"/>
    </w:pPr>
    <w:rPr>
      <w:rFonts w:ascii="宋体"/>
      <w:kern w:val="0"/>
      <w:sz w:val="24"/>
    </w:rPr>
  </w:style>
  <w:style w:type="paragraph" w:styleId="252">
    <w:name w:val="No Spacing"/>
    <w:autoRedefine/>
    <w:qFormat/>
    <w:uiPriority w:val="1"/>
    <w:pPr>
      <w:widowControl w:val="0"/>
      <w:spacing w:after="160" w:line="360" w:lineRule="auto"/>
      <w:ind w:firstLine="420"/>
      <w:jc w:val="both"/>
    </w:pPr>
    <w:rPr>
      <w:rFonts w:ascii="Calibri" w:hAnsi="Calibri" w:eastAsia="宋体" w:cs="Times New Roman"/>
      <w:kern w:val="2"/>
      <w:sz w:val="21"/>
      <w:szCs w:val="22"/>
      <w:lang w:val="en-US" w:eastAsia="zh-CN" w:bidi="ar-SA"/>
    </w:rPr>
  </w:style>
  <w:style w:type="paragraph" w:customStyle="1" w:styleId="253">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54">
    <w:name w:val="xl32"/>
    <w:basedOn w:val="1"/>
    <w:autoRedefine/>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255">
    <w:name w:val="列出段落2"/>
    <w:basedOn w:val="1"/>
    <w:link w:val="334"/>
    <w:autoRedefine/>
    <w:qFormat/>
    <w:uiPriority w:val="0"/>
    <w:rPr>
      <w:rFonts w:ascii="Calibri" w:hAnsi="Calibri"/>
      <w:szCs w:val="22"/>
    </w:rPr>
  </w:style>
  <w:style w:type="paragraph" w:customStyle="1" w:styleId="256">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57">
    <w:name w:val="Char Char Char Char Char Char Char"/>
    <w:basedOn w:val="1"/>
    <w:autoRedefine/>
    <w:qFormat/>
    <w:uiPriority w:val="0"/>
    <w:rPr>
      <w:rFonts w:ascii="仿宋_GB2312" w:eastAsia="仿宋_GB2312"/>
      <w:b/>
      <w:sz w:val="32"/>
      <w:szCs w:val="32"/>
    </w:rPr>
  </w:style>
  <w:style w:type="paragraph" w:customStyle="1" w:styleId="258">
    <w:name w:val="正文文本1"/>
    <w:autoRedefine/>
    <w:qFormat/>
    <w:uiPriority w:val="0"/>
    <w:pPr>
      <w:widowControl w:val="0"/>
      <w:autoSpaceDE w:val="0"/>
      <w:autoSpaceDN w:val="0"/>
      <w:adjustRightInd w:val="0"/>
      <w:spacing w:before="170" w:after="16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59">
    <w:name w:val="xl6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260">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61">
    <w:name w:val="zhengwen"/>
    <w:basedOn w:val="1"/>
    <w:autoRedefine/>
    <w:qFormat/>
    <w:uiPriority w:val="0"/>
    <w:pPr>
      <w:tabs>
        <w:tab w:val="left" w:pos="1145"/>
      </w:tabs>
      <w:adjustRightInd w:val="0"/>
      <w:snapToGrid w:val="0"/>
      <w:spacing w:line="520" w:lineRule="exact"/>
      <w:ind w:left="1145" w:hanging="720"/>
    </w:pPr>
    <w:rPr>
      <w:bCs/>
      <w:sz w:val="28"/>
    </w:rPr>
  </w:style>
  <w:style w:type="paragraph" w:customStyle="1" w:styleId="262">
    <w:name w:val="样式 标题 3 + (中文) 黑体 小四 非加粗 段前: 7.8 磅 段后: 0 磅 行距: 固定值 20 磅"/>
    <w:basedOn w:val="4"/>
    <w:autoRedefine/>
    <w:qFormat/>
    <w:uiPriority w:val="0"/>
    <w:pPr>
      <w:spacing w:before="0" w:after="0" w:line="400" w:lineRule="exact"/>
    </w:pPr>
    <w:rPr>
      <w:rFonts w:eastAsia="黑体" w:cs="宋体"/>
      <w:szCs w:val="20"/>
    </w:rPr>
  </w:style>
  <w:style w:type="paragraph" w:styleId="263">
    <w:name w:val="List Paragraph"/>
    <w:basedOn w:val="1"/>
    <w:autoRedefine/>
    <w:qFormat/>
    <w:uiPriority w:val="0"/>
    <w:pPr>
      <w:ind w:firstLine="420"/>
    </w:pPr>
  </w:style>
  <w:style w:type="paragraph" w:customStyle="1" w:styleId="264">
    <w:name w:val="列表段落1"/>
    <w:basedOn w:val="1"/>
    <w:autoRedefine/>
    <w:qFormat/>
    <w:uiPriority w:val="0"/>
  </w:style>
  <w:style w:type="paragraph" w:customStyle="1" w:styleId="265">
    <w:name w:val="P1"/>
    <w:autoRedefine/>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66">
    <w:name w:val="xl78"/>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7">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8">
    <w:name w:val="Table Paragraph"/>
    <w:basedOn w:val="1"/>
    <w:autoRedefine/>
    <w:qFormat/>
    <w:uiPriority w:val="1"/>
    <w:pPr>
      <w:jc w:val="left"/>
    </w:pPr>
    <w:rPr>
      <w:rFonts w:ascii="Calibri" w:hAnsi="Calibri"/>
      <w:kern w:val="0"/>
      <w:sz w:val="22"/>
      <w:szCs w:val="22"/>
      <w:lang w:eastAsia="en-US"/>
    </w:rPr>
  </w:style>
  <w:style w:type="paragraph" w:customStyle="1" w:styleId="269">
    <w:name w:val="图形布置"/>
    <w:basedOn w:val="242"/>
    <w:link w:val="365"/>
    <w:autoRedefine/>
    <w:qFormat/>
    <w:uiPriority w:val="0"/>
  </w:style>
  <w:style w:type="paragraph" w:customStyle="1" w:styleId="270">
    <w:name w:val="USE 1"/>
    <w:basedOn w:val="1"/>
    <w:autoRedefine/>
    <w:qFormat/>
    <w:uiPriority w:val="0"/>
    <w:pPr>
      <w:spacing w:line="200" w:lineRule="atLeast"/>
      <w:jc w:val="left"/>
    </w:pPr>
    <w:rPr>
      <w:rFonts w:ascii="宋体" w:hAnsi="宋体"/>
      <w:b/>
      <w:sz w:val="24"/>
      <w:szCs w:val="28"/>
    </w:rPr>
  </w:style>
  <w:style w:type="paragraph" w:customStyle="1" w:styleId="271">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72">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cs="宋体"/>
      <w:b w:val="0"/>
      <w:bCs w:val="0"/>
      <w:sz w:val="28"/>
      <w:szCs w:val="20"/>
    </w:rPr>
  </w:style>
  <w:style w:type="paragraph" w:customStyle="1" w:styleId="273">
    <w:name w:val="Char Char Char Char Char Char Char1"/>
    <w:basedOn w:val="1"/>
    <w:autoRedefine/>
    <w:qFormat/>
    <w:uiPriority w:val="0"/>
    <w:pPr>
      <w:spacing w:line="240" w:lineRule="exact"/>
      <w:jc w:val="left"/>
    </w:pPr>
    <w:rPr>
      <w:rFonts w:ascii="Arial" w:hAnsi="Arial" w:eastAsia="Times New Roman" w:cs="Verdana"/>
      <w:b/>
      <w:kern w:val="0"/>
      <w:sz w:val="24"/>
      <w:lang w:eastAsia="en-US"/>
    </w:rPr>
  </w:style>
  <w:style w:type="paragraph" w:customStyle="1" w:styleId="274">
    <w:name w:val="font9"/>
    <w:basedOn w:val="1"/>
    <w:autoRedefine/>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75">
    <w:name w:val="通用专用"/>
    <w:basedOn w:val="1"/>
    <w:autoRedefine/>
    <w:qFormat/>
    <w:uiPriority w:val="0"/>
    <w:pPr>
      <w:jc w:val="center"/>
    </w:pPr>
    <w:rPr>
      <w:rFonts w:ascii="宋体"/>
      <w:b/>
      <w:sz w:val="36"/>
      <w:szCs w:val="20"/>
    </w:rPr>
  </w:style>
  <w:style w:type="paragraph" w:customStyle="1" w:styleId="276">
    <w:name w:val="应答文本"/>
    <w:basedOn w:val="1"/>
    <w:link w:val="355"/>
    <w:autoRedefine/>
    <w:qFormat/>
    <w:uiPriority w:val="0"/>
    <w:pPr>
      <w:adjustRightInd w:val="0"/>
      <w:snapToGrid w:val="0"/>
      <w:spacing w:afterLines="50"/>
      <w:ind w:left="200" w:leftChars="200"/>
    </w:pPr>
    <w:rPr>
      <w:kern w:val="0"/>
      <w:szCs w:val="21"/>
    </w:rPr>
  </w:style>
  <w:style w:type="paragraph" w:customStyle="1" w:styleId="277">
    <w:name w:val="目录 71"/>
    <w:basedOn w:val="1"/>
    <w:next w:val="1"/>
    <w:autoRedefine/>
    <w:qFormat/>
    <w:uiPriority w:val="39"/>
    <w:pPr>
      <w:ind w:left="2520" w:leftChars="1200"/>
    </w:pPr>
    <w:rPr>
      <w:rFonts w:ascii="Calibri" w:hAnsi="Calibri"/>
      <w:szCs w:val="22"/>
    </w:rPr>
  </w:style>
  <w:style w:type="paragraph" w:customStyle="1" w:styleId="278">
    <w:name w:val="样式 样式 标题 3 + 仿宋_GB2312 小四 段前: 0 磅 段后: 0 磅 + 段前: 0.5 行"/>
    <w:basedOn w:val="239"/>
    <w:autoRedefine/>
    <w:qFormat/>
    <w:uiPriority w:val="0"/>
    <w:pPr>
      <w:spacing w:afterLines="50"/>
      <w:jc w:val="both"/>
    </w:pPr>
    <w:rPr>
      <w:rFonts w:ascii="宋体" w:eastAsia="宋体"/>
    </w:rPr>
  </w:style>
  <w:style w:type="paragraph" w:customStyle="1" w:styleId="279">
    <w:name w:val="xl59"/>
    <w:basedOn w:val="1"/>
    <w:autoRedefine/>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80">
    <w:name w:val="font14"/>
    <w:basedOn w:val="1"/>
    <w:autoRedefine/>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81">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82">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2"/>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二级标题"/>
    <w:basedOn w:val="1"/>
    <w:autoRedefine/>
    <w:qFormat/>
    <w:uiPriority w:val="0"/>
    <w:pPr>
      <w:tabs>
        <w:tab w:val="left" w:pos="-1341"/>
      </w:tabs>
      <w:ind w:left="2686" w:hanging="420"/>
      <w:outlineLvl w:val="1"/>
    </w:pPr>
    <w:rPr>
      <w:rFonts w:ascii="宋体" w:hAnsi="宋体"/>
      <w:sz w:val="24"/>
      <w:szCs w:val="20"/>
    </w:rPr>
  </w:style>
  <w:style w:type="paragraph" w:customStyle="1" w:styleId="285">
    <w:name w:val="_Style 67"/>
    <w:basedOn w:val="1"/>
    <w:autoRedefine/>
    <w:qFormat/>
    <w:uiPriority w:val="0"/>
    <w:pPr>
      <w:spacing w:line="240" w:lineRule="exact"/>
      <w:jc w:val="left"/>
    </w:pPr>
    <w:rPr>
      <w:rFonts w:ascii="楷体_GB2312" w:hAnsi="楷体_GB2312" w:eastAsia="仿宋_GB2312" w:cs="楷体_GB2312"/>
      <w:szCs w:val="20"/>
    </w:rPr>
  </w:style>
  <w:style w:type="paragraph" w:customStyle="1" w:styleId="286">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7">
    <w:name w:val="列表框2"/>
    <w:basedOn w:val="180"/>
    <w:link w:val="346"/>
    <w:autoRedefine/>
    <w:qFormat/>
    <w:uiPriority w:val="0"/>
    <w:pPr>
      <w:tabs>
        <w:tab w:val="left" w:pos="2084"/>
      </w:tabs>
      <w:ind w:left="2118" w:leftChars="808" w:hanging="420"/>
    </w:pPr>
    <w:rPr>
      <w:szCs w:val="24"/>
    </w:rPr>
  </w:style>
  <w:style w:type="paragraph" w:customStyle="1" w:styleId="288">
    <w:name w:val="retrait3"/>
    <w:basedOn w:val="1"/>
    <w:autoRedefine/>
    <w:qFormat/>
    <w:uiPriority w:val="0"/>
    <w:pPr>
      <w:spacing w:before="20" w:after="20"/>
      <w:ind w:left="851"/>
      <w:jc w:val="left"/>
    </w:pPr>
    <w:rPr>
      <w:rFonts w:ascii="Arial" w:hAnsi="Arial"/>
      <w:kern w:val="0"/>
      <w:sz w:val="24"/>
      <w:szCs w:val="20"/>
      <w:lang w:val="en-GB"/>
    </w:rPr>
  </w:style>
  <w:style w:type="paragraph" w:customStyle="1" w:styleId="289">
    <w:name w:val="tableau"/>
    <w:basedOn w:val="1"/>
    <w:autoRedefine/>
    <w:qFormat/>
    <w:uiPriority w:val="0"/>
    <w:pPr>
      <w:spacing w:before="20" w:after="20"/>
      <w:jc w:val="center"/>
    </w:pPr>
    <w:rPr>
      <w:rFonts w:ascii="Arial" w:hAnsi="Arial"/>
      <w:kern w:val="0"/>
      <w:sz w:val="16"/>
      <w:szCs w:val="20"/>
      <w:lang w:val="en-GB"/>
    </w:rPr>
  </w:style>
  <w:style w:type="paragraph" w:customStyle="1" w:styleId="290">
    <w:name w:val="xl60"/>
    <w:basedOn w:val="1"/>
    <w:autoRedefine/>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91">
    <w:name w:val="Report Level 2"/>
    <w:basedOn w:val="197"/>
    <w:next w:val="169"/>
    <w:autoRedefine/>
    <w:qFormat/>
    <w:uiPriority w:val="0"/>
    <w:pPr>
      <w:ind w:left="0" w:firstLine="0"/>
      <w:outlineLvl w:val="1"/>
    </w:pPr>
    <w:rPr>
      <w:caps w:val="0"/>
    </w:rPr>
  </w:style>
  <w:style w:type="paragraph" w:customStyle="1" w:styleId="292">
    <w:name w:val="Body text 1"/>
    <w:basedOn w:val="258"/>
    <w:autoRedefine/>
    <w:qFormat/>
    <w:uiPriority w:val="0"/>
    <w:pPr>
      <w:tabs>
        <w:tab w:val="left" w:pos="1134"/>
      </w:tabs>
      <w:ind w:hanging="1134"/>
    </w:pPr>
  </w:style>
  <w:style w:type="character" w:customStyle="1" w:styleId="293">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294">
    <w:name w:val="Char Char1"/>
    <w:autoRedefine/>
    <w:qFormat/>
    <w:uiPriority w:val="0"/>
    <w:rPr>
      <w:rFonts w:eastAsia="宋体"/>
      <w:szCs w:val="24"/>
      <w:lang w:bidi="ar-SA"/>
    </w:rPr>
  </w:style>
  <w:style w:type="character" w:customStyle="1" w:styleId="295">
    <w:name w:val="正文文本 Char1"/>
    <w:autoRedefine/>
    <w:semiHidden/>
    <w:qFormat/>
    <w:uiPriority w:val="99"/>
    <w:rPr>
      <w:rFonts w:ascii="Times New Roman" w:hAnsi="Times New Roman" w:eastAsia="宋体" w:cs="Times New Roman"/>
      <w:kern w:val="0"/>
      <w:szCs w:val="20"/>
    </w:rPr>
  </w:style>
  <w:style w:type="character" w:customStyle="1" w:styleId="296">
    <w:name w:val="Char Char Char Char1"/>
    <w:link w:val="95"/>
    <w:autoRedefine/>
    <w:qFormat/>
    <w:uiPriority w:val="0"/>
    <w:rPr>
      <w:rFonts w:ascii="仿宋_GB2312" w:eastAsia="仿宋_GB2312"/>
      <w:b/>
      <w:kern w:val="2"/>
      <w:sz w:val="32"/>
      <w:szCs w:val="32"/>
    </w:rPr>
  </w:style>
  <w:style w:type="character" w:customStyle="1" w:styleId="297">
    <w:name w:val="prev"/>
    <w:basedOn w:val="51"/>
    <w:autoRedefine/>
    <w:qFormat/>
    <w:uiPriority w:val="0"/>
    <w:rPr>
      <w:rFonts w:hint="eastAsia" w:ascii="微软雅黑" w:hAnsi="微软雅黑" w:eastAsia="微软雅黑" w:cs="微软雅黑"/>
      <w:sz w:val="21"/>
      <w:szCs w:val="21"/>
    </w:rPr>
  </w:style>
  <w:style w:type="character" w:customStyle="1" w:styleId="298">
    <w:name w:val="Char Char12"/>
    <w:autoRedefine/>
    <w:qFormat/>
    <w:uiPriority w:val="0"/>
    <w:rPr>
      <w:rFonts w:ascii="Arial" w:hAnsi="Arial" w:eastAsia="黑体"/>
      <w:sz w:val="21"/>
      <w:szCs w:val="21"/>
      <w:lang w:val="en-US" w:eastAsia="zh-CN" w:bidi="ar-SA"/>
    </w:rPr>
  </w:style>
  <w:style w:type="character" w:customStyle="1" w:styleId="299">
    <w:name w:val="Char Char10"/>
    <w:autoRedefine/>
    <w:qFormat/>
    <w:uiPriority w:val="0"/>
    <w:rPr>
      <w:rFonts w:eastAsia="仿宋_GB2312"/>
      <w:kern w:val="2"/>
      <w:sz w:val="32"/>
      <w:szCs w:val="24"/>
      <w:lang w:val="en-US" w:eastAsia="zh-CN" w:bidi="ar-SA"/>
    </w:rPr>
  </w:style>
  <w:style w:type="character" w:customStyle="1" w:styleId="300">
    <w:name w:val="樣式 標題 3 + (中文) MS Gothic 10.5 點 Char Char Char Char Char Char Char Char Char Char Char Char"/>
    <w:autoRedefine/>
    <w:qFormat/>
    <w:uiPriority w:val="0"/>
    <w:rPr>
      <w:rFonts w:hAnsi="PMingLiU" w:eastAsia="MS Gothic"/>
      <w:bCs/>
      <w:snapToGrid w:val="0"/>
      <w:kern w:val="2"/>
      <w:sz w:val="24"/>
      <w:szCs w:val="24"/>
      <w:lang w:val="en-AU" w:eastAsia="zh-TW" w:bidi="ar-SA"/>
    </w:rPr>
  </w:style>
  <w:style w:type="character" w:customStyle="1" w:styleId="301">
    <w:name w:val="redfilenumber"/>
    <w:basedOn w:val="51"/>
    <w:autoRedefine/>
    <w:qFormat/>
    <w:uiPriority w:val="0"/>
    <w:rPr>
      <w:color w:val="BA2636"/>
      <w:sz w:val="18"/>
      <w:szCs w:val="18"/>
    </w:rPr>
  </w:style>
  <w:style w:type="character" w:customStyle="1" w:styleId="302">
    <w:name w:val="明显参考1"/>
    <w:autoRedefine/>
    <w:qFormat/>
    <w:uiPriority w:val="32"/>
    <w:rPr>
      <w:b/>
      <w:bCs/>
      <w:smallCaps/>
      <w:color w:val="C0504D"/>
      <w:spacing w:val="5"/>
      <w:u w:val="single"/>
    </w:rPr>
  </w:style>
  <w:style w:type="character" w:customStyle="1" w:styleId="303">
    <w:name w:val="_Style 302"/>
    <w:autoRedefine/>
    <w:unhideWhenUsed/>
    <w:qFormat/>
    <w:uiPriority w:val="99"/>
    <w:rPr>
      <w:color w:val="605E5C"/>
      <w:shd w:val="clear" w:color="auto" w:fill="E1DFDD"/>
    </w:rPr>
  </w:style>
  <w:style w:type="character" w:customStyle="1" w:styleId="304">
    <w:name w:val="正文文本缩进 3 Char1"/>
    <w:autoRedefine/>
    <w:semiHidden/>
    <w:qFormat/>
    <w:uiPriority w:val="99"/>
    <w:rPr>
      <w:rFonts w:ascii="Times New Roman" w:hAnsi="Times New Roman" w:eastAsia="宋体" w:cs="Times New Roman"/>
      <w:kern w:val="0"/>
      <w:sz w:val="16"/>
      <w:szCs w:val="16"/>
    </w:rPr>
  </w:style>
  <w:style w:type="character" w:customStyle="1" w:styleId="305">
    <w:name w:val="标题 Char"/>
    <w:link w:val="47"/>
    <w:autoRedefine/>
    <w:qFormat/>
    <w:uiPriority w:val="0"/>
    <w:rPr>
      <w:rFonts w:ascii="Arial" w:hAnsi="Arial"/>
      <w:b/>
      <w:sz w:val="32"/>
    </w:rPr>
  </w:style>
  <w:style w:type="character" w:customStyle="1" w:styleId="306">
    <w:name w:val="prev1"/>
    <w:basedOn w:val="51"/>
    <w:autoRedefine/>
    <w:qFormat/>
    <w:uiPriority w:val="0"/>
    <w:rPr>
      <w:color w:val="888888"/>
    </w:rPr>
  </w:style>
  <w:style w:type="character" w:customStyle="1" w:styleId="307">
    <w:name w:val="Char Char11"/>
    <w:autoRedefine/>
    <w:qFormat/>
    <w:uiPriority w:val="0"/>
    <w:rPr>
      <w:rFonts w:eastAsia="宋体"/>
      <w:b/>
      <w:bCs/>
      <w:kern w:val="2"/>
      <w:sz w:val="21"/>
      <w:szCs w:val="24"/>
      <w:lang w:val="en-US" w:eastAsia="zh-CN" w:bidi="ar-SA"/>
    </w:rPr>
  </w:style>
  <w:style w:type="character" w:customStyle="1" w:styleId="308">
    <w:name w:val="next"/>
    <w:basedOn w:val="51"/>
    <w:autoRedefine/>
    <w:qFormat/>
    <w:uiPriority w:val="0"/>
    <w:rPr>
      <w:rFonts w:ascii="微软雅黑" w:hAnsi="微软雅黑" w:eastAsia="微软雅黑" w:cs="微软雅黑"/>
      <w:sz w:val="21"/>
      <w:szCs w:val="21"/>
    </w:rPr>
  </w:style>
  <w:style w:type="character" w:customStyle="1" w:styleId="309">
    <w:name w:val="cfdate"/>
    <w:basedOn w:val="51"/>
    <w:autoRedefine/>
    <w:qFormat/>
    <w:uiPriority w:val="0"/>
    <w:rPr>
      <w:color w:val="333333"/>
      <w:sz w:val="18"/>
      <w:szCs w:val="18"/>
    </w:rPr>
  </w:style>
  <w:style w:type="character" w:customStyle="1" w:styleId="310">
    <w:name w:val="标题 5 Char"/>
    <w:link w:val="7"/>
    <w:autoRedefine/>
    <w:qFormat/>
    <w:uiPriority w:val="0"/>
    <w:rPr>
      <w:b/>
      <w:bCs/>
      <w:sz w:val="28"/>
      <w:szCs w:val="28"/>
    </w:rPr>
  </w:style>
  <w:style w:type="character" w:customStyle="1" w:styleId="311">
    <w:name w:val="未处理的提及1"/>
    <w:autoRedefine/>
    <w:unhideWhenUsed/>
    <w:qFormat/>
    <w:uiPriority w:val="99"/>
    <w:rPr>
      <w:color w:val="605E5C"/>
      <w:shd w:val="clear" w:color="auto" w:fill="E1DFDD"/>
    </w:rPr>
  </w:style>
  <w:style w:type="character" w:customStyle="1" w:styleId="312">
    <w:name w:val="页眉 Char"/>
    <w:link w:val="32"/>
    <w:autoRedefine/>
    <w:qFormat/>
    <w:uiPriority w:val="99"/>
    <w:rPr>
      <w:kern w:val="2"/>
      <w:sz w:val="18"/>
      <w:szCs w:val="18"/>
    </w:rPr>
  </w:style>
  <w:style w:type="character" w:customStyle="1" w:styleId="313">
    <w:name w:val="标题 Char1"/>
    <w:autoRedefine/>
    <w:qFormat/>
    <w:uiPriority w:val="10"/>
    <w:rPr>
      <w:rFonts w:ascii="Cambria" w:hAnsi="Cambria" w:eastAsia="宋体" w:cs="Times New Roman"/>
      <w:b/>
      <w:bCs/>
      <w:kern w:val="0"/>
      <w:sz w:val="32"/>
      <w:szCs w:val="32"/>
    </w:rPr>
  </w:style>
  <w:style w:type="character" w:customStyle="1" w:styleId="314">
    <w:name w:val="正文文本缩进 Char"/>
    <w:link w:val="21"/>
    <w:autoRedefine/>
    <w:qFormat/>
    <w:uiPriority w:val="99"/>
    <w:rPr>
      <w:kern w:val="2"/>
      <w:sz w:val="21"/>
      <w:szCs w:val="24"/>
    </w:rPr>
  </w:style>
  <w:style w:type="character" w:customStyle="1" w:styleId="315">
    <w:name w:val="qxdate"/>
    <w:basedOn w:val="51"/>
    <w:autoRedefine/>
    <w:qFormat/>
    <w:uiPriority w:val="0"/>
    <w:rPr>
      <w:color w:val="333333"/>
      <w:sz w:val="18"/>
      <w:szCs w:val="18"/>
    </w:rPr>
  </w:style>
  <w:style w:type="character" w:customStyle="1" w:styleId="316">
    <w:name w:val="已访问的超链接1"/>
    <w:autoRedefine/>
    <w:qFormat/>
    <w:uiPriority w:val="99"/>
    <w:rPr>
      <w:color w:val="800080"/>
      <w:u w:val="single"/>
    </w:rPr>
  </w:style>
  <w:style w:type="character" w:customStyle="1" w:styleId="317">
    <w:name w:val="Char Char18"/>
    <w:autoRedefine/>
    <w:qFormat/>
    <w:uiPriority w:val="0"/>
    <w:rPr>
      <w:rFonts w:eastAsia="华文细黑"/>
      <w:bCs/>
      <w:sz w:val="36"/>
      <w:szCs w:val="32"/>
      <w:lang w:val="en-US" w:eastAsia="zh-CN" w:bidi="ar-SA"/>
    </w:rPr>
  </w:style>
  <w:style w:type="character" w:customStyle="1" w:styleId="318">
    <w:name w:val="正文文本缩进 Char2"/>
    <w:autoRedefine/>
    <w:semiHidden/>
    <w:qFormat/>
    <w:uiPriority w:val="99"/>
    <w:rPr>
      <w:rFonts w:ascii="Times New Roman" w:hAnsi="Times New Roman" w:eastAsia="宋体" w:cs="Times New Roman"/>
      <w:szCs w:val="24"/>
    </w:rPr>
  </w:style>
  <w:style w:type="character" w:customStyle="1" w:styleId="319">
    <w:name w:val="批注框文本 Char"/>
    <w:link w:val="30"/>
    <w:autoRedefine/>
    <w:qFormat/>
    <w:uiPriority w:val="99"/>
    <w:rPr>
      <w:kern w:val="2"/>
      <w:sz w:val="18"/>
      <w:szCs w:val="18"/>
    </w:rPr>
  </w:style>
  <w:style w:type="character" w:customStyle="1" w:styleId="320">
    <w:name w:val="纯文本 Char1"/>
    <w:autoRedefine/>
    <w:qFormat/>
    <w:uiPriority w:val="99"/>
    <w:rPr>
      <w:rFonts w:ascii="宋体" w:hAnsi="Courier New" w:eastAsia="宋体" w:cs="Times New Roman"/>
      <w:szCs w:val="20"/>
    </w:rPr>
  </w:style>
  <w:style w:type="character" w:customStyle="1" w:styleId="321">
    <w:name w:val="正文首行缩进 Char"/>
    <w:link w:val="89"/>
    <w:autoRedefine/>
    <w:qFormat/>
    <w:uiPriority w:val="0"/>
    <w:rPr>
      <w:kern w:val="2"/>
      <w:sz w:val="21"/>
      <w:szCs w:val="24"/>
    </w:rPr>
  </w:style>
  <w:style w:type="character" w:customStyle="1" w:styleId="322">
    <w:name w:val="正文文字 Char"/>
    <w:autoRedefine/>
    <w:qFormat/>
    <w:uiPriority w:val="0"/>
    <w:rPr>
      <w:rFonts w:ascii="宋体" w:eastAsia="宋体"/>
      <w:snapToGrid w:val="0"/>
      <w:color w:val="000000"/>
      <w:sz w:val="28"/>
      <w:lang w:val="en-US" w:eastAsia="zh-CN" w:bidi="ar-SA"/>
    </w:rPr>
  </w:style>
  <w:style w:type="character" w:customStyle="1" w:styleId="323">
    <w:name w:val="Char Char9"/>
    <w:autoRedefine/>
    <w:qFormat/>
    <w:uiPriority w:val="0"/>
    <w:rPr>
      <w:rFonts w:ascii="宋体" w:hAnsi="宋体" w:eastAsia="宋体"/>
      <w:kern w:val="2"/>
      <w:sz w:val="24"/>
      <w:lang w:val="en-US" w:eastAsia="zh-CN" w:bidi="ar-SA"/>
    </w:rPr>
  </w:style>
  <w:style w:type="character" w:customStyle="1" w:styleId="324">
    <w:name w:val="正文文本缩进 3 Char"/>
    <w:link w:val="41"/>
    <w:autoRedefine/>
    <w:qFormat/>
    <w:uiPriority w:val="0"/>
    <w:rPr>
      <w:kern w:val="2"/>
      <w:sz w:val="16"/>
      <w:szCs w:val="16"/>
    </w:rPr>
  </w:style>
  <w:style w:type="character" w:customStyle="1" w:styleId="325">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 w:type="character" w:customStyle="1" w:styleId="326">
    <w:name w:val="标题 6 Char"/>
    <w:link w:val="8"/>
    <w:autoRedefine/>
    <w:qFormat/>
    <w:uiPriority w:val="0"/>
    <w:rPr>
      <w:rFonts w:ascii="Arial" w:hAnsi="Arial" w:eastAsia="黑体"/>
      <w:b/>
      <w:bCs/>
      <w:sz w:val="24"/>
      <w:szCs w:val="24"/>
    </w:rPr>
  </w:style>
  <w:style w:type="character" w:customStyle="1" w:styleId="327">
    <w:name w:val="日期 Char1"/>
    <w:autoRedefine/>
    <w:semiHidden/>
    <w:qFormat/>
    <w:uiPriority w:val="99"/>
    <w:rPr>
      <w:rFonts w:ascii="Times New Roman" w:hAnsi="Times New Roman" w:eastAsia="宋体" w:cs="Times New Roman"/>
      <w:kern w:val="0"/>
      <w:szCs w:val="20"/>
    </w:rPr>
  </w:style>
  <w:style w:type="character" w:customStyle="1" w:styleId="328">
    <w:name w:val="Char Char6"/>
    <w:autoRedefine/>
    <w:qFormat/>
    <w:uiPriority w:val="0"/>
    <w:rPr>
      <w:rFonts w:eastAsia="宋体"/>
      <w:sz w:val="18"/>
      <w:szCs w:val="18"/>
      <w:lang w:bidi="ar-SA"/>
    </w:rPr>
  </w:style>
  <w:style w:type="character" w:customStyle="1" w:styleId="329">
    <w:name w:val="尾注文本 Char"/>
    <w:link w:val="29"/>
    <w:autoRedefine/>
    <w:qFormat/>
    <w:uiPriority w:val="0"/>
    <w:rPr>
      <w:rFonts w:ascii="Courier" w:hAnsi="Courier" w:eastAsia="PMingLiU"/>
      <w:snapToGrid w:val="0"/>
      <w:sz w:val="24"/>
      <w:lang w:val="en-AU" w:eastAsia="en-US"/>
    </w:rPr>
  </w:style>
  <w:style w:type="character" w:customStyle="1" w:styleId="330">
    <w:name w:val="正文文本 Char"/>
    <w:link w:val="15"/>
    <w:autoRedefine/>
    <w:qFormat/>
    <w:uiPriority w:val="1"/>
    <w:rPr>
      <w:kern w:val="2"/>
      <w:sz w:val="21"/>
      <w:szCs w:val="24"/>
    </w:rPr>
  </w:style>
  <w:style w:type="character" w:customStyle="1" w:styleId="331">
    <w:name w:val="Char Char7"/>
    <w:autoRedefine/>
    <w:qFormat/>
    <w:uiPriority w:val="0"/>
    <w:rPr>
      <w:rFonts w:eastAsia="宋体"/>
      <w:kern w:val="2"/>
      <w:sz w:val="18"/>
      <w:szCs w:val="18"/>
      <w:lang w:val="en-US" w:eastAsia="zh-CN" w:bidi="ar-SA"/>
    </w:rPr>
  </w:style>
  <w:style w:type="character" w:customStyle="1" w:styleId="332">
    <w:name w:val="文档结构图 Char"/>
    <w:link w:val="17"/>
    <w:autoRedefine/>
    <w:qFormat/>
    <w:uiPriority w:val="99"/>
    <w:rPr>
      <w:rFonts w:ascii="宋体"/>
      <w:kern w:val="2"/>
      <w:sz w:val="18"/>
      <w:szCs w:val="18"/>
    </w:rPr>
  </w:style>
  <w:style w:type="character" w:customStyle="1" w:styleId="333">
    <w:name w:val="Char Char8"/>
    <w:autoRedefine/>
    <w:qFormat/>
    <w:uiPriority w:val="0"/>
    <w:rPr>
      <w:rFonts w:ascii="宋体" w:hAnsi="宋体" w:eastAsia="宋体"/>
      <w:kern w:val="2"/>
      <w:sz w:val="21"/>
      <w:szCs w:val="24"/>
      <w:lang w:val="en-US" w:eastAsia="zh-CN" w:bidi="ar-SA"/>
    </w:rPr>
  </w:style>
  <w:style w:type="character" w:customStyle="1" w:styleId="334">
    <w:name w:val="列出段落 Char"/>
    <w:link w:val="255"/>
    <w:autoRedefine/>
    <w:qFormat/>
    <w:uiPriority w:val="0"/>
    <w:rPr>
      <w:rFonts w:ascii="Calibri" w:hAnsi="Calibri"/>
      <w:kern w:val="2"/>
      <w:sz w:val="21"/>
      <w:szCs w:val="22"/>
    </w:rPr>
  </w:style>
  <w:style w:type="character" w:customStyle="1" w:styleId="335">
    <w:name w:val="尾注文本 Char1"/>
    <w:autoRedefine/>
    <w:semiHidden/>
    <w:qFormat/>
    <w:uiPriority w:val="99"/>
    <w:rPr>
      <w:kern w:val="2"/>
      <w:sz w:val="21"/>
      <w:szCs w:val="24"/>
    </w:rPr>
  </w:style>
  <w:style w:type="character" w:customStyle="1" w:styleId="336">
    <w:name w:val="redfilefwwh"/>
    <w:basedOn w:val="51"/>
    <w:autoRedefine/>
    <w:qFormat/>
    <w:uiPriority w:val="0"/>
    <w:rPr>
      <w:color w:val="BA2636"/>
      <w:sz w:val="18"/>
      <w:szCs w:val="18"/>
    </w:rPr>
  </w:style>
  <w:style w:type="character" w:customStyle="1" w:styleId="337">
    <w:name w:val="正文文本 2 Char"/>
    <w:link w:val="44"/>
    <w:autoRedefine/>
    <w:qFormat/>
    <w:uiPriority w:val="0"/>
    <w:rPr>
      <w:rFonts w:ascii="楷体_GB2312" w:hAnsi="宋体" w:eastAsia="楷体_GB2312"/>
      <w:color w:val="000000"/>
      <w:sz w:val="21"/>
      <w:szCs w:val="21"/>
      <w:lang w:val="en-US" w:eastAsia="zh-CN"/>
    </w:rPr>
  </w:style>
  <w:style w:type="character" w:customStyle="1" w:styleId="338">
    <w:name w:val="正文文本缩进 2 Char1"/>
    <w:autoRedefine/>
    <w:semiHidden/>
    <w:qFormat/>
    <w:uiPriority w:val="99"/>
    <w:rPr>
      <w:rFonts w:ascii="Times New Roman" w:hAnsi="Times New Roman" w:eastAsia="宋体" w:cs="Times New Roman"/>
      <w:kern w:val="0"/>
      <w:szCs w:val="20"/>
    </w:rPr>
  </w:style>
  <w:style w:type="character" w:customStyle="1" w:styleId="339">
    <w:name w:val="正文文本缩进 2 Char"/>
    <w:link w:val="28"/>
    <w:autoRedefine/>
    <w:qFormat/>
    <w:uiPriority w:val="0"/>
    <w:rPr>
      <w:rFonts w:eastAsia="仿宋_GB2312"/>
      <w:kern w:val="2"/>
      <w:sz w:val="32"/>
      <w:szCs w:val="24"/>
    </w:rPr>
  </w:style>
  <w:style w:type="character" w:customStyle="1" w:styleId="340">
    <w:name w:val="批注文字 Char"/>
    <w:link w:val="19"/>
    <w:autoRedefine/>
    <w:qFormat/>
    <w:uiPriority w:val="0"/>
    <w:rPr>
      <w:kern w:val="2"/>
      <w:sz w:val="21"/>
      <w:szCs w:val="24"/>
    </w:rPr>
  </w:style>
  <w:style w:type="character" w:customStyle="1" w:styleId="341">
    <w:name w:val="font161"/>
    <w:autoRedefine/>
    <w:qFormat/>
    <w:uiPriority w:val="0"/>
    <w:rPr>
      <w:b/>
      <w:bCs/>
      <w:sz w:val="32"/>
      <w:szCs w:val="32"/>
    </w:rPr>
  </w:style>
  <w:style w:type="character" w:customStyle="1" w:styleId="342">
    <w:name w:val="样式 标题 3 + 黑色 Char"/>
    <w:link w:val="118"/>
    <w:autoRedefine/>
    <w:qFormat/>
    <w:uiPriority w:val="0"/>
    <w:rPr>
      <w:color w:val="FF0000"/>
      <w:kern w:val="2"/>
      <w:sz w:val="24"/>
    </w:rPr>
  </w:style>
  <w:style w:type="character" w:customStyle="1" w:styleId="343">
    <w:name w:val="文档结构图 Char1"/>
    <w:autoRedefine/>
    <w:semiHidden/>
    <w:qFormat/>
    <w:uiPriority w:val="99"/>
    <w:rPr>
      <w:rFonts w:ascii="宋体" w:hAnsi="Times New Roman" w:eastAsia="宋体" w:cs="Times New Roman"/>
      <w:kern w:val="0"/>
      <w:sz w:val="18"/>
      <w:szCs w:val="18"/>
    </w:rPr>
  </w:style>
  <w:style w:type="character" w:customStyle="1" w:styleId="344">
    <w:name w:val="批注主题 Char1"/>
    <w:autoRedefine/>
    <w:semiHidden/>
    <w:qFormat/>
    <w:uiPriority w:val="99"/>
    <w:rPr>
      <w:rFonts w:ascii="Times New Roman" w:hAnsi="Times New Roman" w:eastAsia="宋体" w:cs="Times New Roman"/>
      <w:b/>
      <w:bCs/>
      <w:kern w:val="0"/>
      <w:sz w:val="21"/>
      <w:szCs w:val="20"/>
    </w:rPr>
  </w:style>
  <w:style w:type="character" w:customStyle="1" w:styleId="345">
    <w:name w:val="列表框1 Char Char"/>
    <w:link w:val="180"/>
    <w:autoRedefine/>
    <w:qFormat/>
    <w:uiPriority w:val="0"/>
    <w:rPr>
      <w:rFonts w:ascii="宋体" w:hAnsi="宋体"/>
      <w:sz w:val="21"/>
      <w:szCs w:val="21"/>
    </w:rPr>
  </w:style>
  <w:style w:type="character" w:customStyle="1" w:styleId="346">
    <w:name w:val="列表框2 Char"/>
    <w:link w:val="287"/>
    <w:autoRedefine/>
    <w:qFormat/>
    <w:uiPriority w:val="0"/>
    <w:rPr>
      <w:rFonts w:ascii="宋体" w:hAnsi="宋体"/>
      <w:sz w:val="21"/>
      <w:szCs w:val="24"/>
    </w:rPr>
  </w:style>
  <w:style w:type="character" w:customStyle="1" w:styleId="347">
    <w:name w:val="脚注文本 Char"/>
    <w:link w:val="38"/>
    <w:autoRedefine/>
    <w:qFormat/>
    <w:uiPriority w:val="0"/>
    <w:rPr>
      <w:rFonts w:ascii="Courier" w:hAnsi="Courier" w:eastAsia="PMingLiU"/>
      <w:snapToGrid w:val="0"/>
      <w:sz w:val="24"/>
      <w:lang w:val="en-AU" w:eastAsia="en-US"/>
    </w:rPr>
  </w:style>
  <w:style w:type="character" w:customStyle="1" w:styleId="348">
    <w:name w:val="批注框文本 Char1"/>
    <w:autoRedefine/>
    <w:semiHidden/>
    <w:qFormat/>
    <w:uiPriority w:val="99"/>
    <w:rPr>
      <w:rFonts w:ascii="Times New Roman" w:hAnsi="Times New Roman" w:eastAsia="宋体" w:cs="Times New Roman"/>
      <w:kern w:val="0"/>
      <w:sz w:val="18"/>
      <w:szCs w:val="18"/>
    </w:rPr>
  </w:style>
  <w:style w:type="character" w:customStyle="1" w:styleId="349">
    <w:name w:val="页脚 Char1"/>
    <w:autoRedefine/>
    <w:semiHidden/>
    <w:qFormat/>
    <w:uiPriority w:val="99"/>
    <w:rPr>
      <w:rFonts w:ascii="Times New Roman" w:hAnsi="Times New Roman" w:eastAsia="宋体" w:cs="Times New Roman"/>
      <w:kern w:val="0"/>
      <w:sz w:val="18"/>
      <w:szCs w:val="18"/>
    </w:rPr>
  </w:style>
  <w:style w:type="character" w:customStyle="1" w:styleId="350">
    <w:name w:val="脚注文本 Char1"/>
    <w:autoRedefine/>
    <w:semiHidden/>
    <w:qFormat/>
    <w:uiPriority w:val="99"/>
    <w:rPr>
      <w:kern w:val="2"/>
      <w:sz w:val="18"/>
      <w:szCs w:val="18"/>
    </w:rPr>
  </w:style>
  <w:style w:type="character" w:customStyle="1" w:styleId="351">
    <w:name w:val="样式4 Char"/>
    <w:link w:val="188"/>
    <w:autoRedefine/>
    <w:qFormat/>
    <w:uiPriority w:val="0"/>
    <w:rPr>
      <w:rFonts w:ascii="宋体"/>
      <w:kern w:val="2"/>
      <w:sz w:val="18"/>
      <w:szCs w:val="18"/>
    </w:rPr>
  </w:style>
  <w:style w:type="character" w:customStyle="1" w:styleId="352">
    <w:name w:val="正文首行缩进 Char1"/>
    <w:autoRedefine/>
    <w:semiHidden/>
    <w:qFormat/>
    <w:uiPriority w:val="99"/>
    <w:rPr>
      <w:rFonts w:ascii="Times New Roman" w:hAnsi="Times New Roman" w:eastAsia="宋体" w:cs="Times New Roman"/>
      <w:kern w:val="0"/>
      <w:szCs w:val="20"/>
    </w:rPr>
  </w:style>
  <w:style w:type="character" w:customStyle="1" w:styleId="353">
    <w:name w:val="Char Char17"/>
    <w:autoRedefine/>
    <w:qFormat/>
    <w:uiPriority w:val="0"/>
    <w:rPr>
      <w:rFonts w:ascii="Arial" w:hAnsi="Arial" w:eastAsia="黑体"/>
      <w:b/>
      <w:bCs/>
      <w:sz w:val="28"/>
      <w:szCs w:val="28"/>
      <w:lang w:val="en-US" w:eastAsia="zh-CN" w:bidi="ar-SA"/>
    </w:rPr>
  </w:style>
  <w:style w:type="character" w:customStyle="1" w:styleId="354">
    <w:name w:val="标题 3 Char1"/>
    <w:autoRedefine/>
    <w:qFormat/>
    <w:uiPriority w:val="0"/>
    <w:rPr>
      <w:b/>
      <w:bCs/>
      <w:sz w:val="32"/>
      <w:szCs w:val="32"/>
    </w:rPr>
  </w:style>
  <w:style w:type="character" w:customStyle="1" w:styleId="355">
    <w:name w:val="应答文本 Char Char"/>
    <w:link w:val="276"/>
    <w:autoRedefine/>
    <w:qFormat/>
    <w:uiPriority w:val="0"/>
    <w:rPr>
      <w:sz w:val="21"/>
      <w:szCs w:val="21"/>
    </w:rPr>
  </w:style>
  <w:style w:type="character" w:customStyle="1" w:styleId="356">
    <w:name w:val="Char Char19"/>
    <w:autoRedefine/>
    <w:qFormat/>
    <w:uiPriority w:val="0"/>
    <w:rPr>
      <w:rFonts w:ascii="华文细黑" w:hAnsi="Arial" w:eastAsia="华文细黑"/>
      <w:b/>
      <w:bCs/>
      <w:sz w:val="44"/>
      <w:szCs w:val="32"/>
      <w:lang w:val="en-US" w:eastAsia="zh-CN" w:bidi="ar-SA"/>
    </w:rPr>
  </w:style>
  <w:style w:type="character" w:customStyle="1" w:styleId="357">
    <w:name w:val="正文文本 2 Char1"/>
    <w:autoRedefine/>
    <w:semiHidden/>
    <w:qFormat/>
    <w:uiPriority w:val="99"/>
    <w:rPr>
      <w:rFonts w:ascii="Times New Roman" w:hAnsi="Times New Roman" w:eastAsia="宋体" w:cs="Times New Roman"/>
      <w:kern w:val="0"/>
      <w:szCs w:val="20"/>
    </w:rPr>
  </w:style>
  <w:style w:type="character" w:customStyle="1" w:styleId="358">
    <w:name w:val="纯文本 Char"/>
    <w:link w:val="2"/>
    <w:autoRedefine/>
    <w:qFormat/>
    <w:uiPriority w:val="0"/>
    <w:rPr>
      <w:rFonts w:ascii="宋体" w:hAnsi="Courier New" w:cs="Courier New"/>
      <w:kern w:val="2"/>
      <w:sz w:val="21"/>
      <w:szCs w:val="21"/>
    </w:rPr>
  </w:style>
  <w:style w:type="character" w:customStyle="1" w:styleId="359">
    <w:name w:val="表格 Char Char"/>
    <w:link w:val="70"/>
    <w:autoRedefine/>
    <w:qFormat/>
    <w:uiPriority w:val="0"/>
    <w:rPr>
      <w:rFonts w:ascii="宋体" w:hAnsi="宋体"/>
      <w:kern w:val="2"/>
      <w:sz w:val="21"/>
      <w:szCs w:val="28"/>
    </w:rPr>
  </w:style>
  <w:style w:type="character" w:customStyle="1" w:styleId="360">
    <w:name w:val="批注文字 Char2"/>
    <w:autoRedefine/>
    <w:qFormat/>
    <w:uiPriority w:val="0"/>
    <w:rPr>
      <w:kern w:val="2"/>
      <w:sz w:val="21"/>
      <w:szCs w:val="24"/>
    </w:rPr>
  </w:style>
  <w:style w:type="character" w:customStyle="1" w:styleId="361">
    <w:name w:val="正文文本 3 Char1"/>
    <w:autoRedefine/>
    <w:semiHidden/>
    <w:qFormat/>
    <w:uiPriority w:val="99"/>
    <w:rPr>
      <w:rFonts w:ascii="Times New Roman" w:hAnsi="Times New Roman" w:eastAsia="宋体" w:cs="Times New Roman"/>
      <w:kern w:val="0"/>
      <w:sz w:val="16"/>
      <w:szCs w:val="16"/>
    </w:rPr>
  </w:style>
  <w:style w:type="character" w:customStyle="1" w:styleId="362">
    <w:name w:val="正文首行缩进 2 Char1"/>
    <w:autoRedefine/>
    <w:semiHidden/>
    <w:qFormat/>
    <w:uiPriority w:val="99"/>
    <w:rPr>
      <w:kern w:val="2"/>
      <w:sz w:val="21"/>
      <w:szCs w:val="24"/>
    </w:rPr>
  </w:style>
  <w:style w:type="character" w:customStyle="1" w:styleId="363">
    <w:name w:val="标题 1 Char"/>
    <w:link w:val="3"/>
    <w:autoRedefine/>
    <w:qFormat/>
    <w:uiPriority w:val="0"/>
    <w:rPr>
      <w:b/>
      <w:bCs/>
      <w:kern w:val="44"/>
      <w:sz w:val="44"/>
      <w:szCs w:val="44"/>
    </w:rPr>
  </w:style>
  <w:style w:type="character" w:customStyle="1" w:styleId="364">
    <w:name w:val="纯文本 Char2"/>
    <w:autoRedefine/>
    <w:qFormat/>
    <w:uiPriority w:val="0"/>
    <w:rPr>
      <w:rFonts w:ascii="宋体" w:hAnsi="Courier New" w:eastAsia="宋体"/>
      <w:kern w:val="2"/>
      <w:sz w:val="21"/>
      <w:lang w:val="en-US" w:eastAsia="zh-CN"/>
    </w:rPr>
  </w:style>
  <w:style w:type="character" w:customStyle="1" w:styleId="365">
    <w:name w:val="图形布置 Char"/>
    <w:link w:val="269"/>
    <w:autoRedefine/>
    <w:qFormat/>
    <w:uiPriority w:val="0"/>
    <w:rPr>
      <w:rFonts w:ascii="Arial" w:hAnsi="Arial" w:cs="Arial"/>
      <w:sz w:val="21"/>
    </w:rPr>
  </w:style>
  <w:style w:type="character" w:customStyle="1" w:styleId="366">
    <w:name w:val="Report Text Char"/>
    <w:link w:val="169"/>
    <w:autoRedefine/>
    <w:qFormat/>
    <w:uiPriority w:val="0"/>
    <w:rPr>
      <w:rFonts w:ascii="Arial" w:hAnsi="Arial"/>
      <w:kern w:val="28"/>
      <w:sz w:val="22"/>
    </w:rPr>
  </w:style>
  <w:style w:type="character" w:customStyle="1" w:styleId="367">
    <w:name w:val="标题 2 Char"/>
    <w:link w:val="5"/>
    <w:autoRedefine/>
    <w:qFormat/>
    <w:uiPriority w:val="0"/>
    <w:rPr>
      <w:rFonts w:ascii="Arial" w:hAnsi="Arial" w:eastAsia="黑体"/>
      <w:b/>
      <w:bCs/>
      <w:kern w:val="2"/>
      <w:sz w:val="32"/>
      <w:szCs w:val="32"/>
    </w:rPr>
  </w:style>
  <w:style w:type="character" w:customStyle="1" w:styleId="368">
    <w:name w:val="日期 Char"/>
    <w:link w:val="27"/>
    <w:autoRedefine/>
    <w:qFormat/>
    <w:uiPriority w:val="99"/>
    <w:rPr>
      <w:kern w:val="2"/>
      <w:sz w:val="24"/>
    </w:rPr>
  </w:style>
  <w:style w:type="character" w:customStyle="1" w:styleId="369">
    <w:name w:val="Char Char14"/>
    <w:autoRedefine/>
    <w:qFormat/>
    <w:uiPriority w:val="0"/>
    <w:rPr>
      <w:rFonts w:eastAsia="宋体"/>
      <w:b/>
      <w:bCs/>
      <w:sz w:val="24"/>
      <w:szCs w:val="24"/>
      <w:lang w:val="en-US" w:eastAsia="zh-CN" w:bidi="ar-SA"/>
    </w:rPr>
  </w:style>
  <w:style w:type="character" w:customStyle="1" w:styleId="370">
    <w:name w:val="标题 4 Char"/>
    <w:link w:val="6"/>
    <w:autoRedefine/>
    <w:qFormat/>
    <w:uiPriority w:val="0"/>
    <w:rPr>
      <w:rFonts w:ascii="Arial" w:hAnsi="Arial" w:eastAsia="黑体"/>
      <w:b/>
      <w:bCs/>
      <w:kern w:val="2"/>
      <w:sz w:val="28"/>
      <w:szCs w:val="28"/>
    </w:rPr>
  </w:style>
  <w:style w:type="character" w:customStyle="1" w:styleId="371">
    <w:name w:val="正文首行缩进 2 Char"/>
    <w:link w:val="241"/>
    <w:autoRedefine/>
    <w:qFormat/>
    <w:uiPriority w:val="0"/>
    <w:rPr>
      <w:kern w:val="2"/>
      <w:sz w:val="21"/>
      <w:szCs w:val="24"/>
    </w:rPr>
  </w:style>
  <w:style w:type="character" w:customStyle="1" w:styleId="372">
    <w:name w:val="标题 8 Char"/>
    <w:link w:val="10"/>
    <w:autoRedefine/>
    <w:qFormat/>
    <w:uiPriority w:val="0"/>
    <w:rPr>
      <w:rFonts w:ascii="Arial" w:hAnsi="Arial" w:eastAsia="黑体"/>
      <w:sz w:val="24"/>
      <w:szCs w:val="24"/>
    </w:rPr>
  </w:style>
  <w:style w:type="character" w:customStyle="1" w:styleId="373">
    <w:name w:val="图形题注 Char"/>
    <w:link w:val="242"/>
    <w:autoRedefine/>
    <w:qFormat/>
    <w:uiPriority w:val="0"/>
    <w:rPr>
      <w:rFonts w:ascii="Arial" w:hAnsi="Arial" w:cs="Arial"/>
      <w:sz w:val="21"/>
    </w:rPr>
  </w:style>
  <w:style w:type="character" w:customStyle="1" w:styleId="374">
    <w:name w:val="标题 7 Char"/>
    <w:link w:val="9"/>
    <w:autoRedefine/>
    <w:qFormat/>
    <w:uiPriority w:val="0"/>
    <w:rPr>
      <w:b/>
      <w:bCs/>
      <w:sz w:val="24"/>
      <w:szCs w:val="24"/>
    </w:rPr>
  </w:style>
  <w:style w:type="character" w:customStyle="1" w:styleId="375">
    <w:name w:val="无编号正文 Char"/>
    <w:link w:val="245"/>
    <w:autoRedefine/>
    <w:qFormat/>
    <w:uiPriority w:val="0"/>
    <w:rPr>
      <w:rFonts w:ascii="宋体" w:hAnsi="宋体"/>
      <w:sz w:val="24"/>
      <w:szCs w:val="24"/>
    </w:rPr>
  </w:style>
  <w:style w:type="character" w:customStyle="1" w:styleId="376">
    <w:name w:val="Char Char13"/>
    <w:autoRedefine/>
    <w:qFormat/>
    <w:uiPriority w:val="0"/>
    <w:rPr>
      <w:rFonts w:ascii="Arial" w:hAnsi="Arial" w:eastAsia="黑体"/>
      <w:sz w:val="24"/>
      <w:szCs w:val="24"/>
      <w:lang w:val="en-US" w:eastAsia="zh-CN" w:bidi="ar-SA"/>
    </w:rPr>
  </w:style>
  <w:style w:type="character" w:customStyle="1" w:styleId="377">
    <w:name w:val="批注文字 Char1"/>
    <w:autoRedefine/>
    <w:semiHidden/>
    <w:qFormat/>
    <w:locked/>
    <w:uiPriority w:val="0"/>
    <w:rPr>
      <w:kern w:val="2"/>
      <w:sz w:val="21"/>
      <w:szCs w:val="24"/>
    </w:rPr>
  </w:style>
  <w:style w:type="character" w:customStyle="1" w:styleId="378">
    <w:name w:val="Char Char20"/>
    <w:autoRedefine/>
    <w:qFormat/>
    <w:uiPriority w:val="0"/>
    <w:rPr>
      <w:rFonts w:ascii="华文细黑" w:eastAsia="华文细黑"/>
      <w:b/>
      <w:bCs/>
      <w:snapToGrid w:val="0"/>
      <w:sz w:val="52"/>
      <w:szCs w:val="44"/>
      <w:lang w:val="en-US" w:eastAsia="zh-CN" w:bidi="ar-SA"/>
    </w:rPr>
  </w:style>
  <w:style w:type="character" w:customStyle="1" w:styleId="379">
    <w:name w:val="text"/>
    <w:autoRedefine/>
    <w:qFormat/>
    <w:uiPriority w:val="0"/>
    <w:rPr>
      <w:rFonts w:ascii="仿宋_GB2312" w:eastAsia="仿宋_GB2312"/>
      <w:b/>
      <w:kern w:val="2"/>
      <w:sz w:val="32"/>
      <w:szCs w:val="32"/>
      <w:lang w:val="en-US" w:eastAsia="zh-CN" w:bidi="ar-SA"/>
    </w:rPr>
  </w:style>
  <w:style w:type="character" w:customStyle="1" w:styleId="380">
    <w:name w:val="样式 超链接 + 仿宋_GB2312 小四 加粗"/>
    <w:qFormat/>
    <w:uiPriority w:val="0"/>
    <w:rPr>
      <w:rFonts w:ascii="仿宋_GB2312" w:hAnsi="仿宋_GB2312" w:eastAsia="黑体"/>
      <w:b/>
      <w:bCs/>
      <w:color w:val="auto"/>
      <w:sz w:val="24"/>
      <w:u w:val="none"/>
    </w:rPr>
  </w:style>
  <w:style w:type="character" w:customStyle="1" w:styleId="381">
    <w:name w:val="正文缩进 Char1"/>
    <w:autoRedefine/>
    <w:qFormat/>
    <w:uiPriority w:val="0"/>
    <w:rPr>
      <w:kern w:val="2"/>
      <w:sz w:val="21"/>
    </w:rPr>
  </w:style>
  <w:style w:type="character" w:customStyle="1" w:styleId="382">
    <w:name w:val="gjfg"/>
    <w:basedOn w:val="51"/>
    <w:autoRedefine/>
    <w:qFormat/>
    <w:uiPriority w:val="0"/>
  </w:style>
  <w:style w:type="character" w:customStyle="1" w:styleId="383">
    <w:name w:val="样式 表内文字"/>
    <w:autoRedefine/>
    <w:qFormat/>
    <w:uiPriority w:val="0"/>
    <w:rPr>
      <w:rFonts w:eastAsia="宋体"/>
      <w:snapToGrid/>
      <w:color w:val="000000"/>
      <w:spacing w:val="0"/>
      <w:kern w:val="0"/>
      <w:position w:val="0"/>
      <w:sz w:val="20"/>
      <w:szCs w:val="20"/>
      <w:u w:val="none"/>
    </w:rPr>
  </w:style>
  <w:style w:type="character" w:customStyle="1" w:styleId="384">
    <w:name w:val="正文文本缩进 Char1"/>
    <w:semiHidden/>
    <w:qFormat/>
    <w:uiPriority w:val="99"/>
    <w:rPr>
      <w:rFonts w:ascii="Times New Roman" w:hAnsi="Times New Roman" w:eastAsia="宋体" w:cs="Times New Roman"/>
      <w:kern w:val="0"/>
      <w:szCs w:val="20"/>
    </w:rPr>
  </w:style>
  <w:style w:type="character" w:customStyle="1" w:styleId="385">
    <w:name w:val="页脚 Char"/>
    <w:link w:val="31"/>
    <w:autoRedefine/>
    <w:qFormat/>
    <w:uiPriority w:val="99"/>
    <w:rPr>
      <w:kern w:val="2"/>
      <w:sz w:val="18"/>
      <w:szCs w:val="18"/>
    </w:rPr>
  </w:style>
  <w:style w:type="character" w:customStyle="1" w:styleId="386">
    <w:name w:val="标题 1 Char1"/>
    <w:link w:val="3"/>
    <w:autoRedefine/>
    <w:qFormat/>
    <w:uiPriority w:val="0"/>
    <w:rPr>
      <w:rFonts w:ascii="Times New Roman" w:hAnsi="Times New Roman" w:eastAsia="宋体" w:cs="Times New Roman"/>
      <w:b/>
      <w:bCs/>
      <w:kern w:val="44"/>
      <w:sz w:val="44"/>
      <w:szCs w:val="44"/>
    </w:rPr>
  </w:style>
  <w:style w:type="character" w:customStyle="1" w:styleId="387">
    <w:name w:val="批注主题 Char"/>
    <w:link w:val="48"/>
    <w:autoRedefine/>
    <w:qFormat/>
    <w:uiPriority w:val="99"/>
    <w:rPr>
      <w:kern w:val="2"/>
      <w:sz w:val="21"/>
      <w:szCs w:val="24"/>
    </w:rPr>
  </w:style>
  <w:style w:type="character" w:customStyle="1" w:styleId="388">
    <w:name w:val="标题 9 Char"/>
    <w:link w:val="11"/>
    <w:autoRedefine/>
    <w:qFormat/>
    <w:uiPriority w:val="0"/>
    <w:rPr>
      <w:rFonts w:ascii="Arial" w:hAnsi="Arial" w:eastAsia="黑体"/>
      <w:sz w:val="21"/>
      <w:szCs w:val="21"/>
    </w:rPr>
  </w:style>
  <w:style w:type="character" w:customStyle="1" w:styleId="389">
    <w:name w:val="next1"/>
    <w:basedOn w:val="51"/>
    <w:autoRedefine/>
    <w:qFormat/>
    <w:uiPriority w:val="0"/>
    <w:rPr>
      <w:color w:val="888888"/>
    </w:rPr>
  </w:style>
  <w:style w:type="character" w:customStyle="1" w:styleId="390">
    <w:name w:val="页眉 Char1"/>
    <w:autoRedefine/>
    <w:semiHidden/>
    <w:qFormat/>
    <w:uiPriority w:val="99"/>
    <w:rPr>
      <w:rFonts w:ascii="Times New Roman" w:hAnsi="Times New Roman" w:eastAsia="宋体" w:cs="Times New Roman"/>
      <w:kern w:val="0"/>
      <w:sz w:val="18"/>
      <w:szCs w:val="18"/>
    </w:rPr>
  </w:style>
  <w:style w:type="character" w:customStyle="1" w:styleId="391">
    <w:name w:val="displayarti"/>
    <w:basedOn w:val="51"/>
    <w:autoRedefine/>
    <w:qFormat/>
    <w:uiPriority w:val="0"/>
    <w:rPr>
      <w:color w:val="FFFFFF"/>
      <w:shd w:val="clear" w:color="auto" w:fill="A00000"/>
    </w:rPr>
  </w:style>
  <w:style w:type="character" w:customStyle="1" w:styleId="392">
    <w:name w:val="Char Char16"/>
    <w:autoRedefine/>
    <w:qFormat/>
    <w:uiPriority w:val="0"/>
    <w:rPr>
      <w:rFonts w:eastAsia="宋体"/>
      <w:b/>
      <w:bCs/>
      <w:sz w:val="28"/>
      <w:szCs w:val="28"/>
      <w:lang w:val="en-US" w:eastAsia="zh-CN" w:bidi="ar-SA"/>
    </w:rPr>
  </w:style>
  <w:style w:type="character" w:customStyle="1" w:styleId="393">
    <w:name w:val="三级标题康"/>
    <w:autoRedefine/>
    <w:qFormat/>
    <w:uiPriority w:val="0"/>
    <w:rPr>
      <w:rFonts w:ascii="Arial" w:hAnsi="Arial" w:eastAsia="宋体" w:cs="Times New Roman"/>
      <w:b/>
      <w:bCs/>
      <w:sz w:val="21"/>
      <w:szCs w:val="32"/>
    </w:rPr>
  </w:style>
  <w:style w:type="character" w:customStyle="1" w:styleId="394">
    <w:name w:val="标题 3 字符"/>
    <w:qFormat/>
    <w:uiPriority w:val="0"/>
    <w:rPr>
      <w:rFonts w:ascii="Times New Roman" w:hAnsi="Times New Roman" w:eastAsia="宋体" w:cs="Times New Roman"/>
      <w:b/>
      <w:bCs/>
      <w:sz w:val="32"/>
      <w:szCs w:val="32"/>
    </w:rPr>
  </w:style>
  <w:style w:type="character" w:customStyle="1" w:styleId="395">
    <w:name w:val="正文缩进 Char"/>
    <w:link w:val="14"/>
    <w:autoRedefine/>
    <w:qFormat/>
    <w:uiPriority w:val="0"/>
    <w:rPr>
      <w:kern w:val="2"/>
      <w:sz w:val="21"/>
      <w:szCs w:val="24"/>
    </w:rPr>
  </w:style>
  <w:style w:type="character" w:customStyle="1" w:styleId="396">
    <w:name w:val="Char Char15"/>
    <w:autoRedefine/>
    <w:qFormat/>
    <w:uiPriority w:val="0"/>
    <w:rPr>
      <w:rFonts w:ascii="Arial" w:hAnsi="Arial" w:eastAsia="黑体"/>
      <w:b/>
      <w:bCs/>
      <w:sz w:val="24"/>
      <w:szCs w:val="24"/>
      <w:lang w:val="en-US" w:eastAsia="zh-CN" w:bidi="ar-SA"/>
    </w:rPr>
  </w:style>
  <w:style w:type="character" w:customStyle="1" w:styleId="397">
    <w:name w:val="正文文本 3 Char"/>
    <w:link w:val="20"/>
    <w:autoRedefine/>
    <w:qFormat/>
    <w:uiPriority w:val="0"/>
    <w:rPr>
      <w:rFonts w:ascii="宋体"/>
      <w:kern w:val="2"/>
      <w:sz w:val="24"/>
    </w:rPr>
  </w:style>
  <w:style w:type="character" w:customStyle="1" w:styleId="398">
    <w:name w:val="Char Char2"/>
    <w:autoRedefine/>
    <w:qFormat/>
    <w:uiPriority w:val="0"/>
    <w:rPr>
      <w:rFonts w:ascii="楷体_GB2312" w:hAnsi="宋体" w:eastAsia="楷体_GB2312"/>
      <w:color w:val="000000"/>
      <w:sz w:val="21"/>
      <w:szCs w:val="21"/>
      <w:lang w:val="en-US" w:eastAsia="zh-CN" w:bidi="ar-SA"/>
    </w:rPr>
  </w:style>
  <w:style w:type="character" w:customStyle="1" w:styleId="399">
    <w:name w:val="标题 3 Char"/>
    <w:link w:val="4"/>
    <w:autoRedefine/>
    <w:qFormat/>
    <w:uiPriority w:val="0"/>
    <w:rPr>
      <w:b/>
      <w:bCs/>
      <w:kern w:val="2"/>
      <w:sz w:val="24"/>
      <w:szCs w:val="32"/>
    </w:rPr>
  </w:style>
  <w:style w:type="table" w:customStyle="1" w:styleId="400">
    <w:name w:val="Table Normal_0"/>
    <w:autoRedefine/>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character" w:customStyle="1" w:styleId="401">
    <w:name w:val="fielderror"/>
    <w:basedOn w:val="51"/>
    <w:autoRedefine/>
    <w:qFormat/>
    <w:uiPriority w:val="0"/>
    <w:rPr>
      <w:color w:val="800000"/>
    </w:rPr>
  </w:style>
  <w:style w:type="character" w:customStyle="1" w:styleId="402">
    <w:name w:val="hilite6"/>
    <w:basedOn w:val="51"/>
    <w:autoRedefine/>
    <w:qFormat/>
    <w:uiPriority w:val="0"/>
    <w:rPr>
      <w:color w:val="000000"/>
    </w:rPr>
  </w:style>
  <w:style w:type="character" w:customStyle="1" w:styleId="403">
    <w:name w:val="active6"/>
    <w:basedOn w:val="51"/>
    <w:autoRedefine/>
    <w:qFormat/>
    <w:uiPriority w:val="0"/>
    <w:rPr>
      <w:color w:val="FFFFFF"/>
    </w:rPr>
  </w:style>
  <w:style w:type="character" w:customStyle="1" w:styleId="404">
    <w:name w:val="hilite"/>
    <w:basedOn w:val="51"/>
    <w:autoRedefine/>
    <w:qFormat/>
    <w:uiPriority w:val="0"/>
    <w:rPr>
      <w:color w:val="000000"/>
    </w:rPr>
  </w:style>
  <w:style w:type="character" w:customStyle="1" w:styleId="405">
    <w:name w:val="active"/>
    <w:basedOn w:val="51"/>
    <w:autoRedefine/>
    <w:qFormat/>
    <w:uiPriority w:val="0"/>
    <w:rPr>
      <w:color w:val="FFFFFF"/>
    </w:rPr>
  </w:style>
  <w:style w:type="paragraph" w:customStyle="1" w:styleId="406">
    <w:name w:val="Normal_2_0"/>
    <w:autoRedefine/>
    <w:qFormat/>
    <w:uiPriority w:val="0"/>
    <w:pPr>
      <w:widowControl w:val="0"/>
      <w:jc w:val="both"/>
    </w:pPr>
    <w:rPr>
      <w:rFonts w:ascii="Calibri" w:hAnsi="Calibri" w:eastAsia="等线" w:cs="Calibri"/>
      <w:kern w:val="2"/>
      <w:sz w:val="21"/>
      <w:lang w:val="en-US" w:eastAsia="zh-CN" w:bidi="ar-SA"/>
    </w:rPr>
  </w:style>
  <w:style w:type="paragraph" w:customStyle="1" w:styleId="407">
    <w:name w:val="Normal_4"/>
    <w:next w:val="408"/>
    <w:autoRedefine/>
    <w:qFormat/>
    <w:uiPriority w:val="0"/>
    <w:pPr>
      <w:widowControl w:val="0"/>
      <w:spacing w:after="160" w:line="259" w:lineRule="auto"/>
      <w:jc w:val="both"/>
    </w:pPr>
    <w:rPr>
      <w:rFonts w:ascii="Times New Roman" w:hAnsi="Times New Roman" w:eastAsia="宋体" w:cs="Times New Roman"/>
      <w:szCs w:val="24"/>
      <w:lang w:val="en-US" w:eastAsia="zh-CN" w:bidi="ar-SA"/>
    </w:rPr>
  </w:style>
  <w:style w:type="paragraph" w:customStyle="1" w:styleId="408">
    <w:name w:val="Body Text First Indent 2_4"/>
    <w:basedOn w:val="409"/>
    <w:autoRedefine/>
    <w:semiHidden/>
    <w:qFormat/>
    <w:uiPriority w:val="0"/>
    <w:pPr>
      <w:ind w:firstLine="420"/>
    </w:pPr>
  </w:style>
  <w:style w:type="paragraph" w:customStyle="1" w:styleId="409">
    <w:name w:val="Body Text Indent_4"/>
    <w:basedOn w:val="407"/>
    <w:autoRedefine/>
    <w:unhideWhenUsed/>
    <w:qFormat/>
    <w:uiPriority w:val="99"/>
    <w:pPr>
      <w:spacing w:after="120"/>
      <w:ind w:left="420" w:leftChars="200"/>
    </w:pPr>
  </w:style>
  <w:style w:type="paragraph" w:customStyle="1" w:styleId="410">
    <w:name w:val="Normal_2"/>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411">
    <w:name w:val="NormalCharacter"/>
    <w:autoRedefine/>
    <w:semiHidden/>
    <w:qFormat/>
    <w:uiPriority w:val="0"/>
    <w:rPr>
      <w:kern w:val="2"/>
      <w:sz w:val="21"/>
      <w:szCs w:val="21"/>
      <w:lang w:val="en-US" w:eastAsia="zh-CN" w:bidi="ar-SA"/>
    </w:rPr>
  </w:style>
  <w:style w:type="character" w:customStyle="1" w:styleId="412">
    <w:name w:val="font21"/>
    <w:basedOn w:val="51"/>
    <w:autoRedefine/>
    <w:qFormat/>
    <w:uiPriority w:val="0"/>
    <w:rPr>
      <w:rFonts w:hint="eastAsia" w:ascii="宋体" w:hAnsi="宋体" w:eastAsia="宋体" w:cs="宋体"/>
      <w:color w:val="000000"/>
      <w:sz w:val="24"/>
      <w:szCs w:val="24"/>
      <w:u w:val="none"/>
    </w:rPr>
  </w:style>
  <w:style w:type="character" w:customStyle="1" w:styleId="413">
    <w:name w:val="font01"/>
    <w:basedOn w:val="51"/>
    <w:autoRedefine/>
    <w:qFormat/>
    <w:uiPriority w:val="0"/>
    <w:rPr>
      <w:rFonts w:hint="eastAsia" w:ascii="宋体" w:hAnsi="宋体" w:eastAsia="宋体" w:cs="宋体"/>
      <w:color w:val="FF0000"/>
      <w:sz w:val="24"/>
      <w:szCs w:val="24"/>
      <w:u w:val="none"/>
    </w:rPr>
  </w:style>
  <w:style w:type="character" w:customStyle="1" w:styleId="414">
    <w:name w:val="font41"/>
    <w:basedOn w:val="51"/>
    <w:autoRedefine/>
    <w:qFormat/>
    <w:uiPriority w:val="0"/>
    <w:rPr>
      <w:rFonts w:hint="eastAsia" w:ascii="宋体" w:hAnsi="宋体" w:eastAsia="宋体" w:cs="宋体"/>
      <w:color w:val="000000"/>
      <w:sz w:val="18"/>
      <w:szCs w:val="18"/>
      <w:u w:val="none"/>
    </w:rPr>
  </w:style>
  <w:style w:type="character" w:customStyle="1" w:styleId="415">
    <w:name w:val="font61"/>
    <w:basedOn w:val="51"/>
    <w:autoRedefine/>
    <w:qFormat/>
    <w:uiPriority w:val="0"/>
    <w:rPr>
      <w:rFonts w:hint="eastAsia" w:ascii="宋体" w:hAnsi="宋体" w:eastAsia="宋体" w:cs="宋体"/>
      <w:b/>
      <w:color w:val="000000"/>
      <w:sz w:val="18"/>
      <w:szCs w:val="18"/>
      <w:u w:val="none"/>
    </w:rPr>
  </w:style>
  <w:style w:type="paragraph" w:customStyle="1" w:styleId="416">
    <w:name w:val="正文1"/>
    <w:autoRedefine/>
    <w:qFormat/>
    <w:uiPriority w:val="0"/>
    <w:pPr>
      <w:spacing w:line="240" w:lineRule="auto"/>
      <w:ind w:left="0" w:leftChars="0"/>
      <w:jc w:val="both"/>
    </w:pPr>
    <w:rPr>
      <w:rFonts w:ascii="Times New Roman" w:hAnsi="Times New Roman" w:eastAsia="宋体" w:cs="Times New Roman"/>
      <w:kern w:val="2"/>
      <w:sz w:val="21"/>
      <w:szCs w:val="21"/>
      <w:lang w:val="en-US" w:eastAsia="zh-CN" w:bidi="ar-SA"/>
    </w:rPr>
  </w:style>
  <w:style w:type="character" w:customStyle="1" w:styleId="417">
    <w:name w:val="font51"/>
    <w:basedOn w:val="51"/>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78709-ABB2-40E9-9D1E-2C0E06BECDC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3820</Words>
  <Characters>21777</Characters>
  <Lines>181</Lines>
  <Paragraphs>51</Paragraphs>
  <TotalTime>1</TotalTime>
  <ScaleCrop>false</ScaleCrop>
  <LinksUpToDate>false</LinksUpToDate>
  <CharactersWithSpaces>25546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2023-12-25T14:26:00Z</dcterms:created>
  <dc:creator>1</dc:creator>
  <cp:lastModifiedBy>李雷</cp:lastModifiedBy>
  <cp:lastPrinted>2023-12-19T06:59:00Z</cp:lastPrinted>
  <dcterms:modified xsi:type="dcterms:W3CDTF">2024-01-09T09:17:32Z</dcterms:modified>
  <dc:title>中华人民共和国</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AE8CAD696CCF44F4A074D13F440C331B</vt:lpwstr>
  </property>
</Properties>
</file>