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napToGrid w:val="0"/>
        <w:ind w:firstLine="0" w:firstLineChars="0"/>
        <w:rPr>
          <w:rFonts w:ascii="宋体" w:hAnsi="宋体"/>
          <w:sz w:val="48"/>
          <w:szCs w:val="48"/>
        </w:rPr>
      </w:pPr>
      <w:bookmarkStart w:id="0" w:name="_Toc152042286"/>
      <w:bookmarkStart w:id="1" w:name="_Toc144974478"/>
      <w:bookmarkStart w:id="2" w:name="_Hlk532133368"/>
    </w:p>
    <w:p>
      <w:pPr>
        <w:widowControl w:val="0"/>
        <w:autoSpaceDE w:val="0"/>
        <w:autoSpaceDN w:val="0"/>
        <w:adjustRightInd w:val="0"/>
        <w:snapToGrid w:val="0"/>
        <w:ind w:firstLine="0" w:firstLineChars="0"/>
        <w:rPr>
          <w:rFonts w:ascii="宋体" w:hAnsi="宋体"/>
          <w:sz w:val="48"/>
          <w:szCs w:val="48"/>
        </w:rPr>
      </w:pPr>
    </w:p>
    <w:p>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服务类招标文件</w:t>
      </w:r>
    </w:p>
    <w:p>
      <w:pPr>
        <w:widowControl w:val="0"/>
        <w:autoSpaceDE w:val="0"/>
        <w:autoSpaceDN w:val="0"/>
        <w:adjustRightInd w:val="0"/>
        <w:snapToGrid w:val="0"/>
        <w:ind w:firstLine="0" w:firstLineChars="0"/>
        <w:rPr>
          <w:rFonts w:ascii="宋体" w:hAnsi="宋体"/>
          <w:sz w:val="48"/>
          <w:szCs w:val="48"/>
        </w:rPr>
      </w:pPr>
    </w:p>
    <w:p>
      <w:pPr>
        <w:widowControl w:val="0"/>
        <w:autoSpaceDE w:val="0"/>
        <w:autoSpaceDN w:val="0"/>
        <w:adjustRightInd w:val="0"/>
        <w:snapToGrid w:val="0"/>
        <w:ind w:firstLine="0" w:firstLineChars="0"/>
        <w:rPr>
          <w:rFonts w:ascii="宋体" w:hAnsi="宋体"/>
          <w:sz w:val="48"/>
          <w:szCs w:val="48"/>
        </w:rPr>
      </w:pPr>
    </w:p>
    <w:tbl>
      <w:tblPr>
        <w:tblStyle w:val="49"/>
        <w:tblW w:w="8856" w:type="dxa"/>
        <w:tblInd w:w="0" w:type="dxa"/>
        <w:tblLayout w:type="fixed"/>
        <w:tblCellMar>
          <w:top w:w="0" w:type="dxa"/>
          <w:left w:w="108" w:type="dxa"/>
          <w:bottom w:w="0" w:type="dxa"/>
          <w:right w:w="108" w:type="dxa"/>
        </w:tblCellMar>
      </w:tblPr>
      <w:tblGrid>
        <w:gridCol w:w="2173"/>
        <w:gridCol w:w="6683"/>
      </w:tblGrid>
      <w:tr>
        <w:tblPrEx>
          <w:tblCellMar>
            <w:top w:w="0" w:type="dxa"/>
            <w:left w:w="108" w:type="dxa"/>
            <w:bottom w:w="0" w:type="dxa"/>
            <w:right w:w="108" w:type="dxa"/>
          </w:tblCellMar>
        </w:tblPrEx>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cs="宋体"/>
                <w:b/>
                <w:color w:val="000000" w:themeColor="text1"/>
                <w:sz w:val="32"/>
                <w:szCs w:val="32"/>
                <w:u w:val="single"/>
              </w:rPr>
              <w:t>节日灯笼国旗等装饰物悬挂服务</w:t>
            </w:r>
          </w:p>
        </w:tc>
      </w:tr>
      <w:tr>
        <w:tblPrEx>
          <w:tblCellMar>
            <w:top w:w="0" w:type="dxa"/>
            <w:left w:w="108" w:type="dxa"/>
            <w:bottom w:w="0" w:type="dxa"/>
            <w:right w:w="108" w:type="dxa"/>
          </w:tblCellMar>
        </w:tblPrEx>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招标人：</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深圳市龙华环境有限公司             </w:t>
            </w:r>
          </w:p>
        </w:tc>
      </w:tr>
      <w:tr>
        <w:tblPrEx>
          <w:tblCellMar>
            <w:top w:w="0" w:type="dxa"/>
            <w:left w:w="108" w:type="dxa"/>
            <w:bottom w:w="0" w:type="dxa"/>
            <w:right w:w="108" w:type="dxa"/>
          </w:tblCellMar>
        </w:tblPrEx>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招标代理：</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bl>
    <w:p>
      <w:pPr>
        <w:widowControl w:val="0"/>
        <w:autoSpaceDE w:val="0"/>
        <w:autoSpaceDN w:val="0"/>
        <w:adjustRightInd w:val="0"/>
        <w:snapToGrid w:val="0"/>
        <w:ind w:firstLine="0" w:firstLineChars="0"/>
        <w:rPr>
          <w:rFonts w:ascii="宋体" w:hAnsi="宋体" w:cs="Courier New"/>
          <w:b/>
          <w:bCs/>
          <w:sz w:val="32"/>
          <w:szCs w:val="32"/>
        </w:rPr>
      </w:pPr>
    </w:p>
    <w:p>
      <w:pPr>
        <w:widowControl w:val="0"/>
        <w:autoSpaceDE w:val="0"/>
        <w:autoSpaceDN w:val="0"/>
        <w:adjustRightInd w:val="0"/>
        <w:snapToGrid w:val="0"/>
        <w:ind w:firstLine="0" w:firstLineChars="0"/>
        <w:jc w:val="center"/>
        <w:outlineLvl w:val="0"/>
        <w:rPr>
          <w:rFonts w:ascii="宋体" w:hAnsi="宋体" w:cs="Courier New"/>
          <w:b/>
          <w:bCs/>
          <w:sz w:val="32"/>
          <w:szCs w:val="32"/>
        </w:rPr>
      </w:pPr>
      <w:r>
        <w:rPr>
          <w:rFonts w:ascii="宋体" w:hAnsi="宋体" w:cs="Courier New"/>
          <w:b/>
          <w:bCs/>
          <w:sz w:val="32"/>
          <w:szCs w:val="32"/>
        </w:rPr>
        <w:br w:type="page"/>
      </w:r>
      <w:bookmarkEnd w:id="0"/>
      <w:bookmarkEnd w:id="1"/>
      <w:bookmarkStart w:id="3" w:name="_Toc49247151"/>
      <w:r>
        <w:rPr>
          <w:rFonts w:hint="eastAsia" w:ascii="宋体" w:hAnsi="宋体"/>
          <w:b/>
          <w:sz w:val="44"/>
          <w:szCs w:val="44"/>
        </w:rPr>
        <w:t>目录</w:t>
      </w:r>
      <w:bookmarkEnd w:id="3"/>
    </w:p>
    <w:p>
      <w:pPr>
        <w:pStyle w:val="33"/>
        <w:tabs>
          <w:tab w:val="right" w:leader="dot" w:pos="8630"/>
        </w:tabs>
        <w:rPr>
          <w:rStyle w:val="56"/>
          <w:rFonts w:hint="default"/>
          <w:b/>
          <w:lang w:eastAsia="zh-CN"/>
        </w:rPr>
      </w:pPr>
      <w:r>
        <w:rPr>
          <w:rFonts w:cs="宋体"/>
          <w:b/>
          <w:bCs/>
        </w:rPr>
        <w:fldChar w:fldCharType="begin"/>
      </w:r>
      <w:r>
        <w:rPr>
          <w:rStyle w:val="56"/>
          <w:rFonts w:hint="default" w:cs="宋体"/>
          <w:b/>
          <w:bCs/>
        </w:rPr>
        <w:instrText xml:space="preserve"> TOC \o "1-2" \h \z \u </w:instrText>
      </w:r>
      <w:r>
        <w:rPr>
          <w:rFonts w:cs="宋体"/>
          <w:b/>
          <w:bCs/>
        </w:rPr>
        <w:fldChar w:fldCharType="separate"/>
      </w:r>
      <w:r>
        <w:fldChar w:fldCharType="begin"/>
      </w:r>
      <w:r>
        <w:instrText xml:space="preserve"> HYPERLINK \l "_Toc49247151" </w:instrText>
      </w:r>
      <w:r>
        <w:fldChar w:fldCharType="separate"/>
      </w:r>
      <w:r>
        <w:rPr>
          <w:rStyle w:val="56"/>
          <w:rFonts w:hint="default"/>
          <w:b/>
        </w:rPr>
        <w:t>目录</w:t>
      </w:r>
      <w:r>
        <w:rPr>
          <w:rStyle w:val="56"/>
          <w:rFonts w:hint="default"/>
          <w:b/>
        </w:rPr>
        <w:tab/>
      </w:r>
      <w:r>
        <w:rPr>
          <w:rStyle w:val="56"/>
          <w:rFonts w:hint="default"/>
          <w:b/>
        </w:rPr>
        <w:fldChar w:fldCharType="begin"/>
      </w:r>
      <w:r>
        <w:rPr>
          <w:rStyle w:val="56"/>
          <w:rFonts w:hint="default"/>
          <w:b/>
        </w:rPr>
        <w:instrText xml:space="preserve"> PAGEREF _Toc49247151 \h </w:instrText>
      </w:r>
      <w:r>
        <w:rPr>
          <w:rStyle w:val="56"/>
          <w:rFonts w:hint="default"/>
          <w:b/>
        </w:rPr>
        <w:fldChar w:fldCharType="separate"/>
      </w:r>
      <w:r>
        <w:rPr>
          <w:rStyle w:val="56"/>
          <w:rFonts w:hint="default"/>
          <w:b/>
        </w:rPr>
        <w:t>2</w:t>
      </w:r>
      <w:r>
        <w:rPr>
          <w:rStyle w:val="56"/>
          <w:rFonts w:hint="default"/>
          <w:b/>
        </w:rPr>
        <w:fldChar w:fldCharType="end"/>
      </w:r>
      <w:r>
        <w:rPr>
          <w:rStyle w:val="56"/>
          <w:rFonts w:hint="default"/>
          <w:b/>
        </w:rPr>
        <w:fldChar w:fldCharType="end"/>
      </w:r>
    </w:p>
    <w:p>
      <w:pPr>
        <w:pStyle w:val="33"/>
        <w:tabs>
          <w:tab w:val="right" w:leader="dot" w:pos="8630"/>
        </w:tabs>
        <w:rPr>
          <w:rFonts w:ascii="等线" w:hAnsi="等线" w:eastAsia="等线"/>
          <w:kern w:val="2"/>
          <w:szCs w:val="22"/>
          <w:lang w:eastAsia="zh-CN"/>
        </w:rPr>
      </w:pPr>
      <w:r>
        <w:fldChar w:fldCharType="begin"/>
      </w:r>
      <w:r>
        <w:instrText xml:space="preserve"> HYPERLINK \l "_Toc49247152" </w:instrText>
      </w:r>
      <w:r>
        <w:fldChar w:fldCharType="separate"/>
      </w:r>
      <w:r>
        <w:rPr>
          <w:rStyle w:val="56"/>
          <w:rFonts w:hint="default"/>
          <w:b/>
          <w:lang w:eastAsia="zh-CN"/>
        </w:rPr>
        <w:t>招标相关说明</w:t>
      </w:r>
      <w:r>
        <w:rPr>
          <w:rStyle w:val="56"/>
          <w:rFonts w:hint="default"/>
          <w:b/>
        </w:rPr>
        <w:tab/>
      </w:r>
      <w:r>
        <w:rPr>
          <w:rStyle w:val="56"/>
          <w:rFonts w:hint="default"/>
          <w:b/>
        </w:rPr>
        <w:fldChar w:fldCharType="begin"/>
      </w:r>
      <w:r>
        <w:rPr>
          <w:rStyle w:val="56"/>
          <w:rFonts w:hint="default"/>
          <w:b/>
        </w:rPr>
        <w:instrText xml:space="preserve"> PAGEREF _Toc49247152 \h </w:instrText>
      </w:r>
      <w:r>
        <w:rPr>
          <w:rStyle w:val="56"/>
          <w:rFonts w:hint="default"/>
          <w:b/>
        </w:rPr>
        <w:fldChar w:fldCharType="separate"/>
      </w:r>
      <w:r>
        <w:rPr>
          <w:rStyle w:val="56"/>
          <w:rFonts w:hint="default"/>
          <w:b/>
        </w:rPr>
        <w:t>4</w:t>
      </w:r>
      <w:r>
        <w:rPr>
          <w:rStyle w:val="56"/>
          <w:rFonts w:hint="default"/>
          <w:b/>
        </w:rPr>
        <w:fldChar w:fldCharType="end"/>
      </w:r>
      <w:r>
        <w:rPr>
          <w:rStyle w:val="56"/>
          <w:rFonts w:hint="default"/>
          <w:b/>
        </w:rPr>
        <w:fldChar w:fldCharType="end"/>
      </w:r>
    </w:p>
    <w:p>
      <w:pPr>
        <w:pStyle w:val="33"/>
        <w:tabs>
          <w:tab w:val="right" w:leader="dot" w:pos="8630"/>
        </w:tabs>
        <w:rPr>
          <w:rFonts w:ascii="等线" w:hAnsi="等线" w:eastAsia="等线"/>
          <w:kern w:val="2"/>
          <w:szCs w:val="22"/>
          <w:lang w:eastAsia="zh-CN"/>
        </w:rPr>
      </w:pPr>
      <w:r>
        <w:fldChar w:fldCharType="begin"/>
      </w:r>
      <w:r>
        <w:instrText xml:space="preserve"> HYPERLINK \l "_Toc49247153" </w:instrText>
      </w:r>
      <w:r>
        <w:fldChar w:fldCharType="separate"/>
      </w:r>
      <w:r>
        <w:rPr>
          <w:rStyle w:val="56"/>
          <w:rFonts w:hint="default"/>
          <w:b/>
          <w:bCs/>
        </w:rPr>
        <w:t>第一章 投标人须知</w:t>
      </w:r>
      <w:r>
        <w:tab/>
      </w:r>
      <w:r>
        <w:rPr>
          <w:rFonts w:hint="eastAsia"/>
          <w:lang w:eastAsia="zh-CN"/>
        </w:rPr>
        <w:t>6</w:t>
      </w:r>
      <w:r>
        <w:rPr>
          <w:rFonts w:hint="eastAsia"/>
          <w:lang w:eastAsia="zh-CN"/>
        </w:rPr>
        <w:fldChar w:fldCharType="end"/>
      </w:r>
    </w:p>
    <w:p>
      <w:pPr>
        <w:pStyle w:val="42"/>
        <w:tabs>
          <w:tab w:val="right" w:leader="dot" w:pos="8630"/>
        </w:tabs>
        <w:ind w:firstLine="420"/>
        <w:rPr>
          <w:rFonts w:ascii="等线" w:hAnsi="等线" w:eastAsia="等线"/>
          <w:kern w:val="2"/>
          <w:szCs w:val="22"/>
          <w:lang w:eastAsia="zh-CN"/>
        </w:rPr>
      </w:pPr>
      <w:r>
        <w:fldChar w:fldCharType="begin"/>
      </w:r>
      <w:r>
        <w:instrText xml:space="preserve"> HYPERLINK \l "_Toc49247154" </w:instrText>
      </w:r>
      <w:r>
        <w:fldChar w:fldCharType="separate"/>
      </w:r>
      <w:r>
        <w:rPr>
          <w:rStyle w:val="56"/>
          <w:rFonts w:hint="default"/>
          <w:b/>
        </w:rPr>
        <w:t>第一节 投标人须知前附表</w:t>
      </w:r>
      <w:r>
        <w:tab/>
      </w:r>
      <w:r>
        <w:rPr>
          <w:rFonts w:hint="eastAsia"/>
          <w:lang w:eastAsia="zh-CN"/>
        </w:rPr>
        <w:t>7</w:t>
      </w:r>
      <w:r>
        <w:rPr>
          <w:rFonts w:hint="eastAsia"/>
          <w:lang w:eastAsia="zh-CN"/>
        </w:rPr>
        <w:fldChar w:fldCharType="end"/>
      </w:r>
    </w:p>
    <w:p>
      <w:pPr>
        <w:pStyle w:val="42"/>
        <w:tabs>
          <w:tab w:val="right" w:leader="dot" w:pos="8630"/>
        </w:tabs>
        <w:ind w:firstLine="420"/>
        <w:rPr>
          <w:rFonts w:ascii="等线" w:hAnsi="等线"/>
          <w:kern w:val="2"/>
          <w:szCs w:val="22"/>
          <w:lang w:eastAsia="zh-CN"/>
        </w:rPr>
      </w:pPr>
      <w:r>
        <w:fldChar w:fldCharType="begin"/>
      </w:r>
      <w:r>
        <w:instrText xml:space="preserve"> HYPERLINK \l "_Toc49247155" </w:instrText>
      </w:r>
      <w:r>
        <w:fldChar w:fldCharType="separate"/>
      </w:r>
      <w:r>
        <w:rPr>
          <w:rStyle w:val="56"/>
          <w:rFonts w:hint="default"/>
          <w:b/>
        </w:rPr>
        <w:t>第二节 否决性条款摘要</w:t>
      </w:r>
      <w:r>
        <w:tab/>
      </w:r>
      <w:r>
        <w:rPr>
          <w:rFonts w:hint="eastAsia"/>
          <w:lang w:eastAsia="zh-CN"/>
        </w:rPr>
        <w:t>1</w:t>
      </w:r>
      <w:r>
        <w:rPr>
          <w:rFonts w:hint="eastAsia"/>
          <w:lang w:eastAsia="zh-CN"/>
        </w:rPr>
        <w:fldChar w:fldCharType="end"/>
      </w:r>
      <w:r>
        <w:rPr>
          <w:rFonts w:hint="eastAsia"/>
          <w:lang w:eastAsia="zh-CN"/>
        </w:rPr>
        <w:t>5</w:t>
      </w:r>
    </w:p>
    <w:p>
      <w:pPr>
        <w:pStyle w:val="42"/>
        <w:tabs>
          <w:tab w:val="right" w:leader="dot" w:pos="8630"/>
        </w:tabs>
        <w:ind w:firstLine="420"/>
        <w:rPr>
          <w:rFonts w:ascii="等线" w:hAnsi="等线"/>
          <w:kern w:val="2"/>
          <w:szCs w:val="22"/>
          <w:lang w:eastAsia="zh-CN"/>
        </w:rPr>
      </w:pPr>
      <w:r>
        <w:fldChar w:fldCharType="begin"/>
      </w:r>
      <w:r>
        <w:instrText xml:space="preserve"> HYPERLINK \l "_Toc49247156" </w:instrText>
      </w:r>
      <w:r>
        <w:fldChar w:fldCharType="separate"/>
      </w:r>
      <w:r>
        <w:rPr>
          <w:rStyle w:val="56"/>
          <w:rFonts w:hint="default"/>
          <w:b/>
        </w:rPr>
        <w:t>第三节 总则</w:t>
      </w:r>
      <w:r>
        <w:tab/>
      </w:r>
      <w:r>
        <w:rPr>
          <w:rFonts w:hint="eastAsia"/>
          <w:lang w:eastAsia="zh-CN"/>
        </w:rPr>
        <w:t>1</w:t>
      </w:r>
      <w:r>
        <w:rPr>
          <w:rFonts w:hint="eastAsia"/>
          <w:lang w:eastAsia="zh-CN"/>
        </w:rPr>
        <w:fldChar w:fldCharType="end"/>
      </w:r>
      <w:r>
        <w:rPr>
          <w:rFonts w:hint="eastAsia"/>
          <w:lang w:eastAsia="zh-CN"/>
        </w:rPr>
        <w:t>7</w:t>
      </w:r>
    </w:p>
    <w:p>
      <w:pPr>
        <w:pStyle w:val="33"/>
        <w:tabs>
          <w:tab w:val="right" w:leader="dot" w:pos="8630"/>
        </w:tabs>
        <w:rPr>
          <w:rFonts w:ascii="等线" w:hAnsi="等线"/>
          <w:kern w:val="2"/>
          <w:szCs w:val="22"/>
          <w:lang w:eastAsia="zh-CN"/>
        </w:rPr>
      </w:pPr>
      <w:r>
        <w:fldChar w:fldCharType="begin"/>
      </w:r>
      <w:r>
        <w:instrText xml:space="preserve"> HYPERLINK \l "_Toc49247157" </w:instrText>
      </w:r>
      <w:r>
        <w:fldChar w:fldCharType="separate"/>
      </w:r>
      <w:r>
        <w:rPr>
          <w:rStyle w:val="56"/>
          <w:rFonts w:hint="default"/>
          <w:b/>
          <w:bCs/>
        </w:rPr>
        <w:t>第二章 评定标办法（</w:t>
      </w:r>
      <w:r>
        <w:rPr>
          <w:rStyle w:val="56"/>
          <w:rFonts w:hint="default"/>
          <w:b/>
          <w:bCs/>
          <w:lang w:eastAsia="zh-CN"/>
        </w:rPr>
        <w:t>综合评估</w:t>
      </w:r>
      <w:r>
        <w:rPr>
          <w:rStyle w:val="56"/>
          <w:rFonts w:hint="default"/>
          <w:b/>
          <w:bCs/>
        </w:rPr>
        <w:t>法）</w:t>
      </w:r>
      <w:r>
        <w:tab/>
      </w:r>
      <w:r>
        <w:rPr>
          <w:rFonts w:hint="eastAsia"/>
          <w:lang w:eastAsia="zh-CN"/>
        </w:rPr>
        <w:t>2</w:t>
      </w:r>
      <w:r>
        <w:rPr>
          <w:rFonts w:hint="eastAsia"/>
          <w:lang w:eastAsia="zh-CN"/>
        </w:rPr>
        <w:fldChar w:fldCharType="end"/>
      </w:r>
      <w:r>
        <w:rPr>
          <w:rFonts w:hint="eastAsia"/>
          <w:lang w:eastAsia="zh-CN"/>
        </w:rPr>
        <w:t>6</w:t>
      </w:r>
    </w:p>
    <w:p>
      <w:pPr>
        <w:pStyle w:val="42"/>
        <w:tabs>
          <w:tab w:val="right" w:leader="dot" w:pos="8630"/>
        </w:tabs>
        <w:ind w:firstLine="420"/>
        <w:rPr>
          <w:rFonts w:ascii="等线" w:hAnsi="等线"/>
          <w:kern w:val="2"/>
          <w:szCs w:val="22"/>
          <w:lang w:eastAsia="zh-CN"/>
        </w:rPr>
      </w:pPr>
      <w:r>
        <w:fldChar w:fldCharType="begin"/>
      </w:r>
      <w:r>
        <w:instrText xml:space="preserve"> HYPERLINK \l "_Toc49247158" </w:instrText>
      </w:r>
      <w:r>
        <w:fldChar w:fldCharType="separate"/>
      </w:r>
      <w:r>
        <w:rPr>
          <w:rStyle w:val="56"/>
          <w:rFonts w:hint="default"/>
          <w:b/>
        </w:rPr>
        <w:t>一、评标须知</w:t>
      </w:r>
      <w:r>
        <w:tab/>
      </w:r>
      <w:r>
        <w:rPr>
          <w:rFonts w:hint="eastAsia"/>
          <w:lang w:eastAsia="zh-CN"/>
        </w:rPr>
        <w:t>2</w:t>
      </w:r>
      <w:r>
        <w:rPr>
          <w:rFonts w:hint="eastAsia"/>
          <w:lang w:eastAsia="zh-CN"/>
        </w:rPr>
        <w:fldChar w:fldCharType="end"/>
      </w:r>
      <w:r>
        <w:rPr>
          <w:rFonts w:hint="eastAsia"/>
          <w:lang w:eastAsia="zh-CN"/>
        </w:rPr>
        <w:t>7</w:t>
      </w:r>
    </w:p>
    <w:p>
      <w:pPr>
        <w:pStyle w:val="42"/>
        <w:tabs>
          <w:tab w:val="right" w:leader="dot" w:pos="8630"/>
        </w:tabs>
        <w:ind w:firstLine="420"/>
        <w:rPr>
          <w:rFonts w:ascii="等线" w:hAnsi="等线"/>
          <w:kern w:val="2"/>
          <w:szCs w:val="22"/>
          <w:lang w:eastAsia="zh-CN"/>
        </w:rPr>
      </w:pPr>
      <w:r>
        <w:fldChar w:fldCharType="begin"/>
      </w:r>
      <w:r>
        <w:instrText xml:space="preserve"> HYPERLINK \l "_Toc49247159" </w:instrText>
      </w:r>
      <w:r>
        <w:fldChar w:fldCharType="separate"/>
      </w:r>
      <w:r>
        <w:rPr>
          <w:rStyle w:val="56"/>
          <w:rFonts w:hint="default"/>
          <w:b/>
        </w:rPr>
        <w:t>二、评标方法</w:t>
      </w:r>
      <w:r>
        <w:tab/>
      </w:r>
      <w:r>
        <w:rPr>
          <w:rFonts w:hint="eastAsia"/>
          <w:lang w:eastAsia="zh-CN"/>
        </w:rPr>
        <w:t>3</w:t>
      </w:r>
      <w:r>
        <w:rPr>
          <w:rFonts w:hint="eastAsia"/>
          <w:lang w:eastAsia="zh-CN"/>
        </w:rPr>
        <w:fldChar w:fldCharType="end"/>
      </w:r>
      <w:r>
        <w:rPr>
          <w:rFonts w:hint="eastAsia"/>
          <w:lang w:eastAsia="zh-CN"/>
        </w:rPr>
        <w:t>0</w:t>
      </w:r>
    </w:p>
    <w:p>
      <w:pPr>
        <w:pStyle w:val="42"/>
        <w:tabs>
          <w:tab w:val="right" w:leader="dot" w:pos="8630"/>
        </w:tabs>
        <w:ind w:firstLine="420"/>
        <w:rPr>
          <w:rFonts w:ascii="等线" w:hAnsi="等线"/>
          <w:kern w:val="2"/>
          <w:szCs w:val="22"/>
          <w:lang w:eastAsia="zh-CN"/>
        </w:rPr>
      </w:pPr>
      <w:r>
        <w:fldChar w:fldCharType="begin"/>
      </w:r>
      <w:r>
        <w:instrText xml:space="preserve"> HYPERLINK \l "_Toc49247160" </w:instrText>
      </w:r>
      <w:r>
        <w:fldChar w:fldCharType="separate"/>
      </w:r>
      <w:r>
        <w:rPr>
          <w:rStyle w:val="56"/>
          <w:rFonts w:hint="default"/>
          <w:b/>
        </w:rPr>
        <w:t>三、定标方法</w:t>
      </w:r>
      <w:r>
        <w:tab/>
      </w:r>
      <w:r>
        <w:rPr>
          <w:rFonts w:hint="eastAsia"/>
          <w:lang w:eastAsia="zh-CN"/>
        </w:rPr>
        <w:t>4</w:t>
      </w:r>
      <w:r>
        <w:rPr>
          <w:rFonts w:hint="eastAsia"/>
          <w:lang w:eastAsia="zh-CN"/>
        </w:rPr>
        <w:fldChar w:fldCharType="end"/>
      </w:r>
      <w:r>
        <w:rPr>
          <w:rFonts w:hint="eastAsia"/>
          <w:lang w:val="en-US" w:eastAsia="zh-CN"/>
        </w:rPr>
        <w:t>1</w:t>
      </w:r>
    </w:p>
    <w:p>
      <w:pPr>
        <w:pStyle w:val="33"/>
        <w:tabs>
          <w:tab w:val="right" w:leader="dot" w:pos="8630"/>
        </w:tabs>
        <w:rPr>
          <w:rFonts w:hint="eastAsia"/>
          <w:lang w:val="en-US" w:eastAsia="zh-CN"/>
        </w:rPr>
      </w:pPr>
      <w:r>
        <w:fldChar w:fldCharType="begin"/>
      </w:r>
      <w:r>
        <w:instrText xml:space="preserve"> HYPERLINK \l "_Toc49247161" </w:instrText>
      </w:r>
      <w:r>
        <w:fldChar w:fldCharType="separate"/>
      </w:r>
      <w:r>
        <w:rPr>
          <w:rStyle w:val="56"/>
          <w:rFonts w:hint="default"/>
          <w:b/>
          <w:bCs/>
        </w:rPr>
        <w:t>第三章 合同条款及格式</w:t>
      </w:r>
      <w:r>
        <w:tab/>
      </w:r>
      <w:r>
        <w:fldChar w:fldCharType="end"/>
      </w:r>
      <w:r>
        <w:rPr>
          <w:rFonts w:hint="eastAsia"/>
          <w:lang w:eastAsia="zh-CN"/>
        </w:rPr>
        <w:t>4</w:t>
      </w:r>
      <w:r>
        <w:rPr>
          <w:rFonts w:hint="eastAsia"/>
          <w:lang w:val="en-US" w:eastAsia="zh-CN"/>
        </w:rPr>
        <w:t>2</w:t>
      </w:r>
    </w:p>
    <w:p>
      <w:pPr>
        <w:pStyle w:val="33"/>
        <w:tabs>
          <w:tab w:val="right" w:leader="dot" w:pos="8630"/>
        </w:tabs>
        <w:rPr>
          <w:rFonts w:hint="default" w:ascii="等线" w:hAnsi="等线"/>
          <w:kern w:val="2"/>
          <w:szCs w:val="22"/>
          <w:lang w:val="en-US" w:eastAsia="zh-CN"/>
        </w:rPr>
      </w:pPr>
      <w:r>
        <w:fldChar w:fldCharType="begin"/>
      </w:r>
      <w:r>
        <w:instrText xml:space="preserve"> HYPERLINK \l "_Toc49247165" </w:instrText>
      </w:r>
      <w:r>
        <w:fldChar w:fldCharType="separate"/>
      </w:r>
      <w:r>
        <w:rPr>
          <w:rStyle w:val="56"/>
          <w:rFonts w:hint="default"/>
          <w:b/>
          <w:bCs/>
        </w:rPr>
        <w:t>第</w:t>
      </w:r>
      <w:r>
        <w:rPr>
          <w:rStyle w:val="56"/>
          <w:rFonts w:hint="eastAsia" w:eastAsia="微软雅黑"/>
          <w:b/>
          <w:bCs/>
          <w:lang w:val="en-US" w:eastAsia="zh-CN"/>
        </w:rPr>
        <w:t>四</w:t>
      </w:r>
      <w:r>
        <w:rPr>
          <w:rStyle w:val="56"/>
          <w:rFonts w:hint="default"/>
          <w:b/>
          <w:bCs/>
        </w:rPr>
        <w:t>章 投标文件格式</w:t>
      </w:r>
      <w:r>
        <w:tab/>
      </w:r>
      <w:r>
        <w:rPr>
          <w:rFonts w:hint="eastAsia"/>
          <w:lang w:eastAsia="zh-CN"/>
        </w:rPr>
        <w:fldChar w:fldCharType="end"/>
      </w:r>
      <w:r>
        <w:rPr>
          <w:rFonts w:hint="eastAsia"/>
          <w:lang w:val="en-US" w:eastAsia="zh-CN"/>
        </w:rPr>
        <w:t>56</w:t>
      </w:r>
    </w:p>
    <w:p>
      <w:pPr>
        <w:pStyle w:val="42"/>
        <w:tabs>
          <w:tab w:val="right" w:leader="dot" w:pos="8630"/>
        </w:tabs>
        <w:ind w:firstLine="420"/>
        <w:rPr>
          <w:rFonts w:ascii="等线" w:hAnsi="等线"/>
          <w:kern w:val="2"/>
          <w:szCs w:val="22"/>
          <w:lang w:eastAsia="zh-CN"/>
        </w:rPr>
      </w:pPr>
      <w:r>
        <w:fldChar w:fldCharType="begin"/>
      </w:r>
      <w:r>
        <w:instrText xml:space="preserve"> HYPERLINK \l "_Toc49247166" </w:instrText>
      </w:r>
      <w:r>
        <w:fldChar w:fldCharType="separate"/>
      </w:r>
      <w:r>
        <w:rPr>
          <w:rStyle w:val="56"/>
          <w:rFonts w:hint="default"/>
          <w:b/>
        </w:rPr>
        <w:t>一、资格审查文件部分</w:t>
      </w:r>
      <w:r>
        <w:tab/>
      </w:r>
      <w:r>
        <w:rPr>
          <w:rFonts w:hint="eastAsia"/>
          <w:lang w:val="en-US" w:eastAsia="zh-CN"/>
        </w:rPr>
        <w:t>60</w:t>
      </w:r>
      <w:r>
        <w:rPr>
          <w:rFonts w:hint="eastAsia"/>
          <w:lang w:eastAsia="zh-CN"/>
        </w:rPr>
        <w:fldChar w:fldCharType="end"/>
      </w:r>
    </w:p>
    <w:p>
      <w:pPr>
        <w:pStyle w:val="42"/>
        <w:tabs>
          <w:tab w:val="right" w:leader="dot" w:pos="8630"/>
        </w:tabs>
        <w:ind w:firstLine="420"/>
        <w:rPr>
          <w:rFonts w:ascii="等线" w:hAnsi="等线"/>
          <w:kern w:val="2"/>
          <w:szCs w:val="22"/>
          <w:lang w:eastAsia="zh-CN"/>
        </w:rPr>
      </w:pPr>
      <w:r>
        <w:fldChar w:fldCharType="begin"/>
      </w:r>
      <w:r>
        <w:instrText xml:space="preserve"> HYPERLINK \l "_Toc49247167" </w:instrText>
      </w:r>
      <w:r>
        <w:fldChar w:fldCharType="separate"/>
      </w:r>
      <w:r>
        <w:rPr>
          <w:rStyle w:val="56"/>
          <w:rFonts w:hint="default"/>
          <w:b/>
        </w:rPr>
        <w:t>二、商务标部分</w:t>
      </w:r>
      <w:r>
        <w:tab/>
      </w:r>
      <w:r>
        <w:rPr>
          <w:rFonts w:hint="eastAsia"/>
          <w:lang w:val="en-US" w:eastAsia="zh-CN"/>
        </w:rPr>
        <w:t>6</w:t>
      </w:r>
      <w:r>
        <w:rPr>
          <w:rFonts w:hint="eastAsia"/>
          <w:lang w:eastAsia="zh-CN"/>
        </w:rPr>
        <w:fldChar w:fldCharType="end"/>
      </w:r>
      <w:r>
        <w:rPr>
          <w:rFonts w:hint="eastAsia"/>
          <w:lang w:val="en-US" w:eastAsia="zh-CN"/>
        </w:rPr>
        <w:t>5</w:t>
      </w:r>
    </w:p>
    <w:p>
      <w:pPr>
        <w:pStyle w:val="42"/>
        <w:tabs>
          <w:tab w:val="right" w:leader="dot" w:pos="8630"/>
        </w:tabs>
        <w:ind w:firstLine="420"/>
        <w:rPr>
          <w:rFonts w:ascii="等线" w:hAnsi="等线"/>
          <w:kern w:val="2"/>
          <w:szCs w:val="22"/>
          <w:lang w:eastAsia="zh-CN"/>
        </w:rPr>
      </w:pPr>
      <w:r>
        <w:fldChar w:fldCharType="begin"/>
      </w:r>
      <w:r>
        <w:instrText xml:space="preserve"> HYPERLINK \l "_Toc49247168" </w:instrText>
      </w:r>
      <w:r>
        <w:fldChar w:fldCharType="separate"/>
      </w:r>
      <w:r>
        <w:rPr>
          <w:rStyle w:val="56"/>
          <w:rFonts w:hint="default"/>
          <w:b/>
        </w:rPr>
        <w:t>三、技术标部分</w:t>
      </w:r>
      <w:r>
        <w:tab/>
      </w:r>
      <w:r>
        <w:rPr>
          <w:rFonts w:hint="eastAsia"/>
          <w:lang w:val="en-US" w:eastAsia="zh-CN"/>
        </w:rPr>
        <w:t>68</w:t>
      </w:r>
      <w:r>
        <w:rPr>
          <w:rFonts w:hint="eastAsia"/>
          <w:lang w:eastAsia="zh-CN"/>
        </w:rPr>
        <w:fldChar w:fldCharType="end"/>
      </w:r>
    </w:p>
    <w:p>
      <w:pPr>
        <w:pStyle w:val="42"/>
        <w:tabs>
          <w:tab w:val="right" w:leader="dot" w:pos="8630"/>
        </w:tabs>
        <w:ind w:firstLine="420"/>
        <w:rPr>
          <w:rFonts w:ascii="等线" w:hAnsi="等线"/>
          <w:kern w:val="2"/>
          <w:szCs w:val="22"/>
          <w:lang w:eastAsia="zh-CN"/>
        </w:rPr>
      </w:pPr>
      <w:r>
        <w:fldChar w:fldCharType="begin"/>
      </w:r>
      <w:r>
        <w:instrText xml:space="preserve"> HYPERLINK \l "_Toc49247169" </w:instrText>
      </w:r>
      <w:r>
        <w:fldChar w:fldCharType="separate"/>
      </w:r>
      <w:r>
        <w:rPr>
          <w:rStyle w:val="56"/>
          <w:rFonts w:hint="default" w:cs="Courier New"/>
          <w:b/>
          <w:bCs/>
        </w:rPr>
        <w:t>四、价格标部分</w:t>
      </w:r>
      <w:r>
        <w:tab/>
      </w:r>
      <w:r>
        <w:rPr>
          <w:rFonts w:hint="eastAsia"/>
          <w:lang w:val="en-US" w:eastAsia="zh-CN"/>
        </w:rPr>
        <w:t>69</w:t>
      </w:r>
      <w:r>
        <w:rPr>
          <w:rFonts w:hint="eastAsia"/>
          <w:lang w:eastAsia="zh-CN"/>
        </w:rPr>
        <w:fldChar w:fldCharType="end"/>
      </w:r>
    </w:p>
    <w:p>
      <w:pPr>
        <w:ind w:firstLine="420"/>
      </w:pPr>
      <w:r>
        <w:rPr>
          <w:rFonts w:ascii="宋体" w:hAnsi="宋体"/>
          <w:kern w:val="0"/>
          <w:szCs w:val="21"/>
          <w:lang w:eastAsia="en-US"/>
        </w:rPr>
        <w:fldChar w:fldCharType="end"/>
      </w:r>
      <w:r>
        <w:rPr>
          <w:rFonts w:hint="eastAsia"/>
        </w:rPr>
        <w:t xml:space="preserve"> </w:t>
      </w:r>
    </w:p>
    <w:p>
      <w:pPr>
        <w:widowControl w:val="0"/>
        <w:autoSpaceDE w:val="0"/>
        <w:autoSpaceDN w:val="0"/>
        <w:adjustRightInd w:val="0"/>
        <w:snapToGrid w:val="0"/>
        <w:ind w:firstLine="0" w:firstLineChars="0"/>
        <w:jc w:val="center"/>
        <w:outlineLvl w:val="0"/>
        <w:rPr>
          <w:rFonts w:ascii="宋体" w:hAnsi="宋体" w:cs="宋体"/>
          <w:b/>
          <w:bCs/>
          <w:sz w:val="36"/>
          <w:szCs w:val="36"/>
        </w:rPr>
      </w:pPr>
      <w:r>
        <w:rPr>
          <w:rFonts w:ascii="宋体" w:hAnsi="宋体"/>
          <w:b/>
          <w:snapToGrid w:val="0"/>
          <w:kern w:val="0"/>
          <w:sz w:val="52"/>
          <w:szCs w:val="52"/>
        </w:rPr>
        <w:br w:type="page"/>
      </w:r>
      <w:bookmarkEnd w:id="2"/>
      <w:bookmarkStart w:id="4" w:name="_Toc22520"/>
      <w:bookmarkStart w:id="5" w:name="_Toc29676"/>
      <w:bookmarkStart w:id="6" w:name="_Toc502493626"/>
      <w:bookmarkStart w:id="7" w:name="_Toc26136"/>
      <w:bookmarkStart w:id="8" w:name="_Toc48740525"/>
      <w:bookmarkStart w:id="9" w:name="_Toc49247152"/>
      <w:bookmarkStart w:id="10" w:name="_Toc499133346"/>
      <w:bookmarkStart w:id="11" w:name="_Toc18047"/>
      <w:bookmarkStart w:id="12" w:name="_Toc31740"/>
      <w:r>
        <w:rPr>
          <w:rFonts w:hint="eastAsia" w:ascii="宋体" w:hAnsi="宋体" w:cs="宋体"/>
          <w:b/>
          <w:bCs/>
          <w:sz w:val="36"/>
          <w:szCs w:val="36"/>
        </w:rPr>
        <w:t>“招标”相关说明</w:t>
      </w:r>
      <w:bookmarkEnd w:id="4"/>
      <w:bookmarkEnd w:id="5"/>
      <w:bookmarkEnd w:id="6"/>
      <w:bookmarkEnd w:id="7"/>
      <w:bookmarkEnd w:id="8"/>
      <w:bookmarkEnd w:id="9"/>
      <w:bookmarkEnd w:id="10"/>
      <w:bookmarkEnd w:id="11"/>
      <w:bookmarkEnd w:id="12"/>
    </w:p>
    <w:p>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bookmarkStart w:id="13" w:name="_Toc49188167"/>
      <w:r>
        <w:rPr>
          <w:rFonts w:hint="eastAsia" w:ascii="宋体" w:hAnsi="宋体" w:cs="宋体"/>
          <w:b/>
          <w:szCs w:val="21"/>
        </w:rPr>
        <w:t>前言</w:t>
      </w:r>
      <w:bookmarkEnd w:id="13"/>
    </w:p>
    <w:p>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投标人参与投标，获取本文件后，应仔细阅读本说明的全部内容，本说明与招标文件、招标文件附件具有同等效力。</w:t>
      </w:r>
    </w:p>
    <w:p>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投标人与招标人之间的信息交流须以书面形式进行，对招标人以其他形式作出的解释、答复并由此产生的推论、结果的责任由投标人自行承担。</w:t>
      </w:r>
    </w:p>
    <w:p>
      <w:pPr>
        <w:widowControl w:val="0"/>
        <w:tabs>
          <w:tab w:val="left" w:pos="709"/>
        </w:tabs>
        <w:wordWrap w:val="0"/>
        <w:autoSpaceDE w:val="0"/>
        <w:autoSpaceDN w:val="0"/>
        <w:adjustRightInd w:val="0"/>
        <w:snapToGrid w:val="0"/>
        <w:ind w:firstLine="0" w:firstLineChars="0"/>
        <w:jc w:val="left"/>
        <w:rPr>
          <w:rFonts w:ascii="宋体" w:hAnsi="宋体" w:cs="宋体"/>
          <w:szCs w:val="21"/>
        </w:rPr>
      </w:pPr>
    </w:p>
    <w:p>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招标文件相关</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招标文件获取</w:t>
      </w:r>
    </w:p>
    <w:p>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企业在公司网站自行发布招标信息，包括但不限于招标公告/邀请函等，投标企业自行报名并按要要求提交投标文件等。</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招标文件的澄清与修改</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投标人应仔细阅读和检查招标文件的全部内容。如发现缺页或附件不全，应及时向招标人书面提出，以便补齐或修改。</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投标文件编制</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企业根据评审项目的要求自行编制符合投标要求的标准章节，投标人在相应的章节中编写相应的具体内容。</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电子投标文件递交</w:t>
      </w:r>
    </w:p>
    <w:p>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投标人应在投标截止时间前向招标人递交投标文件。投标文件必须密封完整，开启处加盖企业公章，文件一但提交，不得更改。</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投标文件的解密与开标</w:t>
      </w:r>
      <w:bookmarkStart w:id="14" w:name="_Toc522868897"/>
      <w:bookmarkStart w:id="15" w:name="_Toc524091610"/>
      <w:bookmarkStart w:id="16" w:name="_Toc536034150"/>
      <w:bookmarkStart w:id="17" w:name="_Toc524450186"/>
      <w:bookmarkStart w:id="18" w:name="_Toc522202596"/>
      <w:bookmarkStart w:id="19" w:name="_Toc527995758"/>
      <w:bookmarkStart w:id="20" w:name="_Toc522886010"/>
      <w:bookmarkStart w:id="21" w:name="_Toc528575667"/>
      <w:bookmarkStart w:id="22" w:name="_Toc524529442"/>
    </w:p>
    <w:bookmarkEnd w:id="14"/>
    <w:bookmarkEnd w:id="15"/>
    <w:bookmarkEnd w:id="16"/>
    <w:bookmarkEnd w:id="17"/>
    <w:bookmarkEnd w:id="18"/>
    <w:bookmarkEnd w:id="19"/>
    <w:bookmarkEnd w:id="20"/>
    <w:bookmarkEnd w:id="21"/>
    <w:bookmarkEnd w:id="22"/>
    <w:p>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工作人员向评定小组展示投标文件，确定文件原始密封未经修改，评委根据要求对文件进行评审；</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费用的缴纳与票据的开具</w:t>
      </w:r>
    </w:p>
    <w:p>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bookmarkStart w:id="23" w:name="_Toc522868886"/>
      <w:bookmarkStart w:id="24" w:name="_Toc522885999"/>
      <w:bookmarkStart w:id="25" w:name="_Toc524529431"/>
      <w:bookmarkStart w:id="26" w:name="_Toc536034139"/>
      <w:bookmarkStart w:id="27" w:name="_Toc522202585"/>
      <w:bookmarkStart w:id="28" w:name="_Toc528575656"/>
      <w:bookmarkStart w:id="29" w:name="_Toc524450175"/>
      <w:bookmarkStart w:id="30" w:name="_Toc527995747"/>
      <w:bookmarkStart w:id="31" w:name="_Toc524091599"/>
      <w:r>
        <w:rPr>
          <w:rFonts w:hint="eastAsia" w:ascii="宋体" w:hAnsi="宋体" w:cs="宋体"/>
          <w:szCs w:val="21"/>
        </w:rPr>
        <w:t>本次招投标为：免费</w:t>
      </w:r>
    </w:p>
    <w:p>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投标保证金</w:t>
      </w:r>
      <w:bookmarkEnd w:id="23"/>
      <w:bookmarkEnd w:id="24"/>
      <w:bookmarkEnd w:id="25"/>
      <w:bookmarkEnd w:id="26"/>
      <w:bookmarkEnd w:id="27"/>
      <w:bookmarkEnd w:id="28"/>
      <w:bookmarkEnd w:id="29"/>
      <w:bookmarkEnd w:id="30"/>
      <w:bookmarkEnd w:id="31"/>
      <w:r>
        <w:rPr>
          <w:rFonts w:hint="eastAsia" w:ascii="宋体" w:hAnsi="宋体" w:cs="宋体"/>
          <w:szCs w:val="21"/>
        </w:rPr>
        <w:t>：不收取投标保证金。</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招标结果的发布</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招标人以书面形式发出中标通知书；</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投标人注意事项</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投标人提交的投标文件必须按照招标文件顺序和要求编制并提供，投标文件必须密封后提交招标人，文件袋以及投标文件必须加盖公章，以上出现一个错误即视为投标无效。</w:t>
      </w:r>
    </w:p>
    <w:p>
      <w:pPr>
        <w:widowControl w:val="0"/>
        <w:tabs>
          <w:tab w:val="left" w:pos="709"/>
        </w:tabs>
        <w:wordWrap w:val="0"/>
        <w:autoSpaceDE w:val="0"/>
        <w:autoSpaceDN w:val="0"/>
        <w:adjustRightInd w:val="0"/>
        <w:snapToGrid w:val="0"/>
        <w:ind w:firstLine="422"/>
        <w:jc w:val="left"/>
        <w:rPr>
          <w:rFonts w:ascii="宋体" w:hAnsi="宋体" w:cs="宋体"/>
          <w:b/>
          <w:szCs w:val="21"/>
        </w:rPr>
      </w:pPr>
    </w:p>
    <w:p>
      <w:pPr>
        <w:widowControl w:val="0"/>
        <w:numPr>
          <w:ilvl w:val="1"/>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采购人联系方式</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szCs w:val="21"/>
        </w:rPr>
      </w:pPr>
      <w:r>
        <w:rPr>
          <w:rFonts w:hint="eastAsia" w:ascii="宋体" w:hAnsi="宋体" w:cs="宋体"/>
          <w:szCs w:val="21"/>
        </w:rPr>
        <w:t>采购负责人：李工：13537521158；</w:t>
      </w:r>
    </w:p>
    <w:p>
      <w:pPr>
        <w:ind w:firstLine="420"/>
        <w:rPr>
          <w:rFonts w:ascii="宋体" w:hAnsi="宋体"/>
          <w:snapToGrid w:val="0"/>
          <w:kern w:val="0"/>
          <w:szCs w:val="21"/>
        </w:rPr>
      </w:pPr>
      <w:r>
        <w:rPr>
          <w:rFonts w:ascii="宋体" w:hAnsi="宋体"/>
          <w:snapToGrid w:val="0"/>
          <w:kern w:val="0"/>
          <w:szCs w:val="21"/>
        </w:rPr>
        <w:br w:type="page"/>
      </w:r>
      <w:bookmarkStart w:id="32" w:name="_Toc144974479"/>
      <w:bookmarkStart w:id="33" w:name="_Toc152042287"/>
      <w:bookmarkStart w:id="34" w:name="_Toc152045511"/>
      <w:bookmarkStart w:id="35" w:name="_Toc49247153"/>
    </w:p>
    <w:p>
      <w:pPr>
        <w:ind w:firstLine="420"/>
        <w:rPr>
          <w:rFonts w:ascii="宋体" w:hAnsi="宋体"/>
          <w:snapToGrid w:val="0"/>
          <w:kern w:val="0"/>
          <w:szCs w:val="21"/>
        </w:rPr>
      </w:pPr>
    </w:p>
    <w:p>
      <w:pPr>
        <w:ind w:firstLine="420"/>
        <w:rPr>
          <w:rFonts w:ascii="宋体" w:hAnsi="宋体"/>
          <w:snapToGrid w:val="0"/>
          <w:kern w:val="0"/>
          <w:szCs w:val="21"/>
        </w:rPr>
      </w:pPr>
    </w:p>
    <w:p>
      <w:pPr>
        <w:ind w:firstLine="420"/>
        <w:rPr>
          <w:rFonts w:ascii="宋体" w:hAnsi="宋体"/>
          <w:snapToGrid w:val="0"/>
          <w:kern w:val="0"/>
          <w:szCs w:val="21"/>
        </w:rPr>
      </w:pPr>
    </w:p>
    <w:p>
      <w:pPr>
        <w:ind w:firstLine="420"/>
        <w:rPr>
          <w:rFonts w:ascii="宋体" w:hAnsi="宋体"/>
          <w:snapToGrid w:val="0"/>
          <w:kern w:val="0"/>
          <w:szCs w:val="21"/>
        </w:rPr>
      </w:pPr>
    </w:p>
    <w:p>
      <w:pPr>
        <w:ind w:firstLine="420"/>
        <w:rPr>
          <w:rFonts w:ascii="宋体" w:hAnsi="宋体"/>
          <w:snapToGrid w:val="0"/>
          <w:kern w:val="0"/>
          <w:szCs w:val="21"/>
        </w:rPr>
      </w:pPr>
    </w:p>
    <w:p>
      <w:pPr>
        <w:ind w:firstLine="0" w:firstLineChars="0"/>
        <w:jc w:val="center"/>
        <w:rPr>
          <w:rFonts w:ascii="宋体" w:hAnsi="宋体"/>
          <w:snapToGrid w:val="0"/>
          <w:kern w:val="0"/>
          <w:sz w:val="52"/>
          <w:szCs w:val="52"/>
        </w:rPr>
      </w:pPr>
      <w:r>
        <w:rPr>
          <w:rFonts w:hint="eastAsia" w:ascii="宋体" w:hAnsi="宋体"/>
          <w:b/>
          <w:bCs/>
          <w:sz w:val="52"/>
          <w:szCs w:val="52"/>
        </w:rPr>
        <w:t>第一章</w:t>
      </w:r>
      <w:bookmarkEnd w:id="32"/>
      <w:bookmarkEnd w:id="33"/>
      <w:bookmarkEnd w:id="34"/>
      <w:r>
        <w:rPr>
          <w:rFonts w:hint="eastAsia" w:ascii="宋体" w:hAnsi="宋体"/>
          <w:b/>
          <w:bCs/>
          <w:sz w:val="52"/>
          <w:szCs w:val="52"/>
        </w:rPr>
        <w:t xml:space="preserve"> 投标人须知</w:t>
      </w:r>
      <w:bookmarkEnd w:id="35"/>
    </w:p>
    <w:p>
      <w:pPr>
        <w:widowControl w:val="0"/>
        <w:autoSpaceDE w:val="0"/>
        <w:autoSpaceDN w:val="0"/>
        <w:adjustRightInd w:val="0"/>
        <w:snapToGrid w:val="0"/>
        <w:ind w:firstLine="0" w:firstLineChars="0"/>
        <w:jc w:val="center"/>
        <w:outlineLvl w:val="1"/>
        <w:rPr>
          <w:rFonts w:ascii="宋体" w:hAnsi="宋体"/>
          <w:sz w:val="28"/>
        </w:rPr>
      </w:pPr>
      <w:r>
        <w:rPr>
          <w:rFonts w:ascii="宋体" w:hAnsi="宋体"/>
        </w:rPr>
        <w:br w:type="page"/>
      </w:r>
      <w:bookmarkStart w:id="36" w:name="OLE_LINK1"/>
      <w:bookmarkEnd w:id="36"/>
      <w:bookmarkStart w:id="37" w:name="OLE_LINK2"/>
      <w:bookmarkEnd w:id="37"/>
      <w:bookmarkStart w:id="38" w:name="_Toc144974496"/>
      <w:bookmarkStart w:id="39" w:name="_Toc152045528"/>
      <w:bookmarkStart w:id="40" w:name="_Toc152042304"/>
      <w:bookmarkStart w:id="41" w:name="_Toc379581309"/>
      <w:bookmarkStart w:id="42" w:name="_Toc49247154"/>
      <w:r>
        <w:rPr>
          <w:rFonts w:hint="eastAsia" w:ascii="宋体" w:hAnsi="宋体"/>
          <w:b/>
          <w:sz w:val="32"/>
          <w:szCs w:val="32"/>
        </w:rPr>
        <w:t>第一节 投标人须知前附表</w:t>
      </w:r>
      <w:bookmarkEnd w:id="38"/>
      <w:bookmarkEnd w:id="39"/>
      <w:bookmarkEnd w:id="40"/>
      <w:bookmarkEnd w:id="41"/>
      <w:bookmarkEnd w:id="42"/>
    </w:p>
    <w:p>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4、招标人在编制招标文件时，示范文本中的空格部分应根据招标项目实际需求填写，无内容或不采用者应用斜画线表示或者注明“本项目不适用”。</w:t>
      </w:r>
    </w:p>
    <w:tbl>
      <w:tblPr>
        <w:tblStyle w:val="4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19"/>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6" w:type="dxa"/>
            <w:gridSpan w:val="3"/>
            <w:tcBorders>
              <w:top w:val="single" w:color="auto" w:sz="4" w:space="0"/>
            </w:tcBorders>
            <w:shd w:val="clear" w:color="auto" w:fill="D9E2F3"/>
            <w:vAlign w:val="center"/>
          </w:tcPr>
          <w:p>
            <w:pPr>
              <w:widowControl w:val="0"/>
              <w:autoSpaceDE w:val="0"/>
              <w:autoSpaceDN w:val="0"/>
              <w:adjustRightInd w:val="0"/>
              <w:snapToGrid w:val="0"/>
              <w:ind w:firstLine="0" w:firstLineChars="0"/>
              <w:jc w:val="center"/>
              <w:rPr>
                <w:rFonts w:ascii="宋体" w:hAnsi="宋体"/>
                <w:b/>
                <w:sz w:val="32"/>
                <w:szCs w:val="32"/>
              </w:rPr>
            </w:pPr>
            <w:bookmarkStart w:id="43" w:name="_Hlk532140181"/>
            <w:r>
              <w:rPr>
                <w:rFonts w:hint="eastAsia" w:ascii="宋体" w:hAnsi="宋体"/>
                <w:b/>
                <w:sz w:val="32"/>
                <w:szCs w:val="32"/>
              </w:rPr>
              <w:t>投标人须知前附表（一）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19" w:type="dxa"/>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60" w:type="dxa"/>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招标人</w:t>
            </w:r>
          </w:p>
        </w:tc>
        <w:tc>
          <w:tcPr>
            <w:tcW w:w="5760" w:type="dxa"/>
            <w:vAlign w:val="center"/>
          </w:tcPr>
          <w:p>
            <w:pPr>
              <w:widowControl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 xml:space="preserve"> 深圳市龙华环境有限公司           </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 大浪街道华昌路华富工业园内B栋一层       </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 xml:space="preserve">  陈果     </w:t>
            </w:r>
          </w:p>
          <w:p>
            <w:pPr>
              <w:widowControl w:val="0"/>
              <w:autoSpaceDE w:val="0"/>
              <w:autoSpaceDN w:val="0"/>
              <w:adjustRightInd w:val="0"/>
              <w:snapToGrid w:val="0"/>
              <w:ind w:firstLine="0" w:firstLineChars="0"/>
              <w:rPr>
                <w:rFonts w:ascii="宋体" w:hAnsi="宋体"/>
                <w:kern w:val="0"/>
                <w:szCs w:val="21"/>
                <w:u w:val="single"/>
              </w:rPr>
            </w:pPr>
            <w:r>
              <w:rPr>
                <w:rFonts w:hint="eastAsia" w:ascii="宋体" w:hAnsi="宋体"/>
                <w:szCs w:val="21"/>
              </w:rPr>
              <w:t>联系电话：</w:t>
            </w:r>
            <w:r>
              <w:rPr>
                <w:rFonts w:hint="eastAsia" w:ascii="宋体" w:hAnsi="宋体"/>
                <w:szCs w:val="21"/>
                <w:u w:val="single"/>
              </w:rPr>
              <w:t xml:space="preserve">  13537521158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1.1.3</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招标代理</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4</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项目编号</w:t>
            </w:r>
          </w:p>
        </w:tc>
        <w:tc>
          <w:tcPr>
            <w:tcW w:w="5760" w:type="dxa"/>
            <w:vAlign w:val="center"/>
          </w:tcPr>
          <w:p>
            <w:pPr>
              <w:widowControl w:val="0"/>
              <w:autoSpaceDE w:val="0"/>
              <w:autoSpaceDN w:val="0"/>
              <w:adjustRightInd w:val="0"/>
              <w:snapToGrid w:val="0"/>
              <w:ind w:firstLine="0" w:firstLineChars="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cs="宋体"/>
                <w:color w:val="000000" w:themeColor="text1"/>
                <w:szCs w:val="21"/>
              </w:rPr>
              <w:t>节日灯笼国旗等装饰物悬挂服务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5</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公告日期</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招标方式</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公开招标</w:t>
            </w:r>
            <w:r>
              <w:rPr>
                <w:rFonts w:ascii="宋体" w:hAnsi="宋体"/>
                <w:szCs w:val="21"/>
              </w:rPr>
              <w:t xml:space="preserve">  </w:t>
            </w:r>
            <w:r>
              <w:rPr>
                <w:rFonts w:hint="eastAsia" w:ascii="宋体" w:hAnsi="宋体"/>
                <w:szCs w:val="21"/>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资格审查方式</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资格后审</w:t>
            </w:r>
            <w:r>
              <w:rPr>
                <w:rFonts w:ascii="宋体" w:hAnsi="宋体"/>
                <w:szCs w:val="21"/>
              </w:rPr>
              <w:t xml:space="preserve">  </w:t>
            </w:r>
            <w:r>
              <w:rPr>
                <w:rFonts w:hint="eastAsia" w:ascii="宋体" w:hAnsi="宋体"/>
                <w:szCs w:val="21"/>
              </w:rPr>
              <w:t>□资格预审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获取方式</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通过公司网站平台获取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pPr>
              <w:widowControl w:val="0"/>
              <w:autoSpaceDE w:val="0"/>
              <w:autoSpaceDN w:val="0"/>
              <w:adjustRightInd w:val="0"/>
              <w:snapToGrid w:val="0"/>
              <w:ind w:firstLine="0" w:firstLineChars="0"/>
              <w:jc w:val="center"/>
              <w:rPr>
                <w:rFonts w:ascii="宋体" w:hAnsi="宋体"/>
                <w:kern w:val="0"/>
                <w:szCs w:val="21"/>
              </w:rPr>
            </w:pPr>
            <w:r>
              <w:rPr>
                <w:rFonts w:ascii="宋体" w:hAnsi="宋体"/>
                <w:kern w:val="0"/>
                <w:szCs w:val="21"/>
              </w:rPr>
              <w:t>获取时间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报名资料</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MS Mincho" w:hAnsi="MS Mincho" w:eastAsia="MS Mincho" w:cs="MS Mincho"/>
                <w:kern w:val="0"/>
                <w:szCs w:val="21"/>
              </w:rPr>
              <w:t>☑</w:t>
            </w:r>
            <w:r>
              <w:rPr>
                <w:rFonts w:hint="eastAsia" w:ascii="宋体" w:hAnsi="宋体"/>
                <w:szCs w:val="21"/>
              </w:rPr>
              <w:t xml:space="preserve">是    </w:t>
            </w:r>
            <w:r>
              <w:rPr>
                <w:rFonts w:hint="eastAsia" w:ascii="宋体" w:hAnsi="宋体"/>
                <w:szCs w:val="21"/>
                <w:u w:val="single"/>
              </w:rPr>
              <w:t>通过公司网站平台获取</w:t>
            </w:r>
            <w:r>
              <w:rPr>
                <w:rFonts w:hint="eastAsia" w:ascii="宋体" w:hAnsi="宋体"/>
                <w:kern w:val="0"/>
                <w:szCs w:val="21"/>
                <w:u w:val="single"/>
              </w:rPr>
              <w:t>招标文件后，携营业执照复印件加盖公章到李工处登记，视为响应。</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2.2.1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投标人提出</w:t>
            </w:r>
          </w:p>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质疑截止时间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2.3.1</w:t>
            </w:r>
          </w:p>
        </w:tc>
        <w:tc>
          <w:tcPr>
            <w:tcW w:w="2019" w:type="dxa"/>
            <w:vAlign w:val="center"/>
          </w:tcPr>
          <w:p>
            <w:pPr>
              <w:widowControl w:val="0"/>
              <w:autoSpaceDE w:val="0"/>
              <w:autoSpaceDN w:val="0"/>
              <w:adjustRightInd w:val="0"/>
              <w:snapToGrid w:val="0"/>
              <w:ind w:firstLine="0" w:firstLineChars="0"/>
              <w:jc w:val="center"/>
              <w:rPr>
                <w:rFonts w:ascii="宋体" w:hAnsi="宋体" w:cs="宋体"/>
                <w:szCs w:val="21"/>
                <w:shd w:val="clear" w:color="auto" w:fill="FFFFFF"/>
              </w:rPr>
            </w:pPr>
            <w:r>
              <w:rPr>
                <w:rFonts w:hint="eastAsia" w:ascii="宋体" w:hAnsi="宋体" w:cs="宋体"/>
                <w:szCs w:val="21"/>
                <w:shd w:val="clear" w:color="auto" w:fill="FFFFFF"/>
              </w:rPr>
              <w:t>招标人澄清、修改、</w:t>
            </w:r>
            <w:r>
              <w:rPr>
                <w:rFonts w:ascii="宋体" w:hAnsi="宋体" w:cs="宋体"/>
                <w:szCs w:val="21"/>
                <w:shd w:val="clear" w:color="auto" w:fill="FFFFFF"/>
              </w:rPr>
              <w:t>答疑</w:t>
            </w:r>
            <w:r>
              <w:rPr>
                <w:rFonts w:hint="eastAsia" w:ascii="宋体" w:hAnsi="宋体" w:cs="宋体"/>
                <w:szCs w:val="21"/>
                <w:shd w:val="clear" w:color="auto" w:fill="FFFFFF"/>
              </w:rPr>
              <w:t>截止时间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.2.1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投标截止时间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shd w:val="clear" w:color="auto" w:fill="FFFFFF"/>
              </w:rPr>
              <w:t>开标时间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w:t>
            </w:r>
          </w:p>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递交地点</w:t>
            </w:r>
          </w:p>
        </w:tc>
        <w:tc>
          <w:tcPr>
            <w:tcW w:w="5760" w:type="dxa"/>
            <w:vAlign w:val="center"/>
          </w:tcPr>
          <w:p>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w:t>
            </w:r>
            <w:r>
              <w:rPr>
                <w:rFonts w:hint="eastAsia" w:ascii="宋体" w:hAnsi="宋体"/>
                <w:bCs/>
                <w:szCs w:val="21"/>
              </w:rPr>
              <w:t>纸质投标文件递交地点：</w:t>
            </w:r>
            <w:r>
              <w:rPr>
                <w:rFonts w:hint="eastAsia" w:ascii="宋体" w:hAnsi="宋体"/>
                <w:kern w:val="0"/>
                <w:szCs w:val="21"/>
                <w:u w:val="single"/>
              </w:rPr>
              <w:t xml:space="preserve">   </w:t>
            </w:r>
            <w:r>
              <w:rPr>
                <w:rFonts w:hint="eastAsia" w:ascii="宋体" w:hAnsi="宋体"/>
                <w:szCs w:val="21"/>
                <w:u w:val="single"/>
              </w:rPr>
              <w:t>大浪街道华昌路华富工业园内B栋一层</w:t>
            </w:r>
            <w:r>
              <w:rPr>
                <w:rFonts w:hint="eastAsia" w:ascii="宋体" w:hAnsi="宋体"/>
                <w:kern w:val="0"/>
                <w:szCs w:val="21"/>
                <w:u w:val="single"/>
              </w:rPr>
              <w:t xml:space="preserve"> 龙华环境公司项目部办公室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开标地点</w:t>
            </w:r>
          </w:p>
        </w:tc>
        <w:tc>
          <w:tcPr>
            <w:tcW w:w="5760" w:type="dxa"/>
            <w:vAlign w:val="center"/>
          </w:tcPr>
          <w:p>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☑进行现场开标，地址：</w:t>
            </w:r>
            <w:r>
              <w:rPr>
                <w:rFonts w:hint="eastAsia" w:ascii="宋体" w:hAnsi="宋体" w:cs="宋体"/>
                <w:color w:val="333333"/>
                <w:sz w:val="24"/>
                <w:u w:val="single"/>
                <w:shd w:val="clear" w:color="auto" w:fill="FFFFFF"/>
              </w:rPr>
              <w:t>深圳市龙华区观盛三路龙馨家园A栋龙华建设15层</w:t>
            </w:r>
            <w:r>
              <w:rPr>
                <w:rFonts w:hint="eastAsia" w:ascii="宋体" w:hAnsi="宋体"/>
                <w:kern w:val="0"/>
                <w:szCs w:val="21"/>
                <w:u w:val="single"/>
              </w:rPr>
              <w:t xml:space="preserve">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3.2.4</w:t>
            </w:r>
          </w:p>
        </w:tc>
        <w:tc>
          <w:tcPr>
            <w:tcW w:w="2019" w:type="dxa"/>
            <w:vMerge w:val="restart"/>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最高限价或其计算方法</w:t>
            </w:r>
          </w:p>
        </w:tc>
        <w:tc>
          <w:tcPr>
            <w:tcW w:w="5760" w:type="dxa"/>
            <w:tcBorders>
              <w:bottom w:val="single" w:color="auto" w:sz="2" w:space="0"/>
            </w:tcBorders>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设置最高限价：</w:t>
            </w:r>
          </w:p>
          <w:p>
            <w:pPr>
              <w:widowControl w:val="0"/>
              <w:autoSpaceDE w:val="0"/>
              <w:autoSpaceDN w:val="0"/>
              <w:adjustRightInd w:val="0"/>
              <w:snapToGrid w:val="0"/>
              <w:ind w:firstLine="0" w:firstLineChars="0"/>
              <w:rPr>
                <w:rFonts w:hint="eastAsia" w:ascii="宋体" w:hAnsi="宋体" w:eastAsia="宋体" w:cs="Segoe UI Symbol"/>
                <w:kern w:val="0"/>
                <w:szCs w:val="21"/>
              </w:rPr>
            </w:pPr>
            <w:r>
              <w:rPr>
                <w:rFonts w:hint="eastAsia" w:ascii="宋体" w:hAnsi="宋体" w:cs="Segoe UI Symbol"/>
                <w:kern w:val="0"/>
                <w:szCs w:val="21"/>
              </w:rPr>
              <w:t>☑最高限价（总价）：人</w:t>
            </w:r>
            <w:r>
              <w:rPr>
                <w:rFonts w:hint="eastAsia" w:ascii="宋体" w:hAnsi="宋体" w:eastAsia="宋体" w:cs="Segoe UI Symbol"/>
                <w:kern w:val="0"/>
                <w:szCs w:val="21"/>
              </w:rPr>
              <w:t>民币</w:t>
            </w:r>
            <w:r>
              <w:rPr>
                <w:rFonts w:hint="eastAsia" w:ascii="宋体" w:hAnsi="宋体" w:eastAsia="宋体" w:cs="Segoe UI Symbol"/>
                <w:kern w:val="0"/>
                <w:sz w:val="28"/>
                <w:szCs w:val="28"/>
                <w:u w:val="single"/>
              </w:rPr>
              <w:t xml:space="preserve">  </w:t>
            </w:r>
            <w:r>
              <w:rPr>
                <w:rFonts w:hint="eastAsia" w:ascii="宋体" w:hAnsi="宋体" w:cs="Segoe UI Symbol"/>
                <w:kern w:val="0"/>
                <w:sz w:val="28"/>
                <w:szCs w:val="28"/>
                <w:u w:val="single"/>
                <w:lang w:val="en-US" w:eastAsia="zh-CN"/>
              </w:rPr>
              <w:t>580628.3</w:t>
            </w:r>
            <w:r>
              <w:rPr>
                <w:rFonts w:hint="eastAsia" w:ascii="宋体" w:hAnsi="宋体" w:eastAsia="宋体" w:cs="Segoe UI Symbol"/>
                <w:kern w:val="0"/>
                <w:sz w:val="28"/>
                <w:szCs w:val="28"/>
                <w:u w:val="single"/>
              </w:rPr>
              <w:t xml:space="preserve"> </w:t>
            </w:r>
            <w:r>
              <w:rPr>
                <w:rFonts w:hint="eastAsia" w:ascii="宋体" w:hAnsi="宋体" w:eastAsia="宋体" w:cs="Segoe UI Symbol"/>
                <w:kern w:val="0"/>
                <w:szCs w:val="21"/>
              </w:rPr>
              <w:t>元；</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pPr>
              <w:widowControl w:val="0"/>
              <w:autoSpaceDE w:val="0"/>
              <w:autoSpaceDN w:val="0"/>
              <w:adjustRightInd w:val="0"/>
              <w:snapToGrid w:val="0"/>
              <w:ind w:firstLine="0" w:firstLineChars="0"/>
              <w:jc w:val="center"/>
              <w:rPr>
                <w:rFonts w:ascii="宋体" w:hAnsi="宋体"/>
                <w:kern w:val="0"/>
                <w:szCs w:val="21"/>
              </w:rPr>
            </w:pPr>
          </w:p>
        </w:tc>
        <w:tc>
          <w:tcPr>
            <w:tcW w:w="5760" w:type="dxa"/>
            <w:tcBorders>
              <w:top w:val="single" w:color="auto" w:sz="2" w:space="0"/>
            </w:tcBorders>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□不设置最高限价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3.3.1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投标有效期</w:t>
            </w:r>
          </w:p>
        </w:tc>
        <w:tc>
          <w:tcPr>
            <w:tcW w:w="5760" w:type="dxa"/>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kern w:val="0"/>
                <w:szCs w:val="21"/>
                <w:u w:val="single"/>
                <w:shd w:val="clear" w:color="auto" w:fill="FFFFFF"/>
              </w:rPr>
              <w:t xml:space="preserve">  120  </w:t>
            </w:r>
            <w:r>
              <w:rPr>
                <w:rFonts w:hint="eastAsia" w:ascii="宋体" w:hAnsi="宋体"/>
                <w:szCs w:val="21"/>
                <w:shd w:val="clear" w:color="auto" w:fill="FFFFFF"/>
              </w:rPr>
              <w:t>个日历日（自投标截止之日起算）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w:t>
            </w:r>
            <w:r>
              <w:rPr>
                <w:rFonts w:ascii="宋体" w:hAnsi="宋体"/>
                <w:szCs w:val="21"/>
              </w:rPr>
              <w:t>.1</w:t>
            </w: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评标方法</w:t>
            </w:r>
          </w:p>
        </w:tc>
        <w:tc>
          <w:tcPr>
            <w:tcW w:w="5760" w:type="dxa"/>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7.1.1</w:t>
            </w:r>
          </w:p>
        </w:tc>
        <w:tc>
          <w:tcPr>
            <w:tcW w:w="2019" w:type="dxa"/>
            <w:vAlign w:val="center"/>
          </w:tcPr>
          <w:p>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定标方式</w:t>
            </w:r>
          </w:p>
        </w:tc>
        <w:tc>
          <w:tcPr>
            <w:tcW w:w="5760" w:type="dxa"/>
            <w:vAlign w:val="center"/>
          </w:tcPr>
          <w:p>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kern w:val="0"/>
                <w:szCs w:val="21"/>
              </w:rPr>
              <w:t>☑由评标委员会直接确定中标人</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□评定分离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szCs w:val="21"/>
              </w:rPr>
              <w:t>及定标程序</w:t>
            </w:r>
          </w:p>
        </w:tc>
        <w:tc>
          <w:tcPr>
            <w:tcW w:w="5760" w:type="dxa"/>
            <w:vAlign w:val="center"/>
          </w:tcPr>
          <w:p>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rPr>
              <w:t>□票决定标</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 xml:space="preserve">☑直接票决定标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5760" w:type="dxa"/>
            <w:vAlign w:val="center"/>
          </w:tcPr>
          <w:p>
            <w:pPr>
              <w:widowControl w:val="0"/>
              <w:autoSpaceDE w:val="0"/>
              <w:autoSpaceDN w:val="0"/>
              <w:adjustRightInd w:val="0"/>
              <w:snapToGrid w:val="0"/>
              <w:ind w:firstLine="0" w:firstLineChars="0"/>
              <w:rPr>
                <w:rFonts w:ascii="宋体" w:hAnsi="宋体" w:cs="Courier New"/>
                <w:b/>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8.4.1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签订</w:t>
            </w:r>
            <w:r>
              <w:rPr>
                <w:rFonts w:ascii="宋体" w:hAnsi="宋体"/>
                <w:szCs w:val="21"/>
                <w:shd w:val="clear" w:color="auto" w:fill="FFFFFF"/>
              </w:rPr>
              <w:t>合同</w:t>
            </w:r>
            <w:r>
              <w:rPr>
                <w:rFonts w:hint="eastAsia" w:ascii="宋体" w:hAnsi="宋体"/>
                <w:szCs w:val="21"/>
                <w:shd w:val="clear" w:color="auto" w:fill="FFFFFF"/>
              </w:rPr>
              <w:t>时间</w:t>
            </w:r>
          </w:p>
        </w:tc>
        <w:tc>
          <w:tcPr>
            <w:tcW w:w="5760" w:type="dxa"/>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shd w:val="clear" w:color="auto" w:fill="FFFFFF"/>
              </w:rPr>
              <w:t>中标通知书发出之日起</w:t>
            </w:r>
            <w:r>
              <w:rPr>
                <w:rFonts w:ascii="宋体" w:hAnsi="宋体"/>
                <w:szCs w:val="21"/>
                <w:u w:val="single"/>
                <w:shd w:val="clear" w:color="auto" w:fill="FFFFFF"/>
              </w:rPr>
              <w:t xml:space="preserve">  </w:t>
            </w:r>
            <w:r>
              <w:rPr>
                <w:rFonts w:hint="eastAsia" w:ascii="宋体" w:hAnsi="宋体"/>
                <w:szCs w:val="21"/>
                <w:u w:val="single"/>
                <w:shd w:val="clear" w:color="auto" w:fill="FFFFFF"/>
              </w:rPr>
              <w:t>3</w:t>
            </w:r>
            <w:r>
              <w:rPr>
                <w:rFonts w:ascii="宋体" w:hAnsi="宋体"/>
                <w:szCs w:val="21"/>
                <w:u w:val="single"/>
                <w:shd w:val="clear" w:color="auto" w:fill="FFFFFF"/>
              </w:rPr>
              <w:t>0</w:t>
            </w:r>
            <w:r>
              <w:rPr>
                <w:rFonts w:hint="eastAsia" w:ascii="宋体" w:hAnsi="宋体"/>
                <w:szCs w:val="21"/>
                <w:u w:val="single"/>
                <w:shd w:val="clear" w:color="auto" w:fill="FFFFFF"/>
              </w:rPr>
              <w:t xml:space="preserve">  </w:t>
            </w:r>
            <w:r>
              <w:rPr>
                <w:rFonts w:hint="eastAsia" w:ascii="宋体" w:hAnsi="宋体"/>
                <w:szCs w:val="21"/>
                <w:shd w:val="clear" w:color="auto" w:fill="FFFFFF"/>
              </w:rPr>
              <w:t>天（日历日）内。</w:t>
            </w:r>
          </w:p>
        </w:tc>
      </w:tr>
    </w:tbl>
    <w:p>
      <w:pPr>
        <w:widowControl w:val="0"/>
        <w:autoSpaceDE w:val="0"/>
        <w:autoSpaceDN w:val="0"/>
        <w:adjustRightInd w:val="0"/>
        <w:snapToGrid w:val="0"/>
        <w:ind w:firstLine="420"/>
        <w:jc w:val="left"/>
        <w:rPr>
          <w:rFonts w:ascii="宋体" w:hAnsi="宋体"/>
        </w:rPr>
      </w:pPr>
    </w:p>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20"/>
        <w:gridCol w:w="2090"/>
        <w:gridCol w:w="5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pPr>
              <w:widowControl w:val="0"/>
              <w:autoSpaceDE w:val="0"/>
              <w:autoSpaceDN w:val="0"/>
              <w:adjustRightInd w:val="0"/>
              <w:snapToGrid w:val="0"/>
              <w:ind w:firstLine="0" w:firstLineChars="0"/>
              <w:jc w:val="center"/>
              <w:rPr>
                <w:rFonts w:ascii="宋体" w:hAnsi="宋体"/>
                <w:sz w:val="32"/>
                <w:szCs w:val="32"/>
                <w:shd w:val="clear" w:color="auto" w:fill="FFFFFF"/>
              </w:rPr>
            </w:pPr>
            <w:r>
              <w:rPr>
                <w:rFonts w:hint="eastAsia" w:ascii="宋体" w:hAnsi="宋体"/>
                <w:b/>
                <w:sz w:val="32"/>
                <w:szCs w:val="32"/>
              </w:rPr>
              <w:t>投标人须知前附表（二）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90"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46"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shd w:val="clear" w:color="auto" w:fill="FFFFFF"/>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资金来源和落实</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情况</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资金来源：企业自筹</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出资比例：100%</w:t>
            </w:r>
          </w:p>
          <w:p>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资金落实情况：</w:t>
            </w:r>
            <w:r>
              <w:rPr>
                <w:rFonts w:hint="eastAsia" w:ascii="Segoe UI Symbol" w:hAnsi="Segoe UI Symbol" w:cs="Segoe UI Symbol"/>
                <w:snapToGrid w:val="0"/>
                <w:kern w:val="0"/>
                <w:szCs w:val="21"/>
              </w:rPr>
              <w:t>☑</w:t>
            </w:r>
            <w:r>
              <w:rPr>
                <w:rFonts w:hint="eastAsia" w:ascii="宋体" w:hAnsi="宋体"/>
                <w:szCs w:val="21"/>
              </w:rPr>
              <w:t>已落实 □未落实 □其他：</w:t>
            </w:r>
            <w:r>
              <w:rPr>
                <w:rFonts w:hint="eastAsia"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招标范围</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概况</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1.3.2</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服务期</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1.3.3</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w:t>
            </w:r>
            <w:r>
              <w:rPr>
                <w:rFonts w:ascii="宋体" w:hAnsi="宋体"/>
                <w:szCs w:val="21"/>
              </w:rPr>
              <w:t>地点</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b/>
                <w:bCs/>
                <w:szCs w:val="21"/>
              </w:rPr>
            </w:pPr>
            <w:r>
              <w:rPr>
                <w:rFonts w:ascii="宋体" w:hAnsi="宋体"/>
                <w:b/>
                <w:bCs/>
                <w:szCs w:val="21"/>
              </w:rPr>
              <w:t>投标人</w:t>
            </w:r>
            <w:r>
              <w:rPr>
                <w:rFonts w:hint="eastAsia" w:ascii="宋体" w:hAnsi="宋体"/>
                <w:b/>
                <w:bCs/>
                <w:szCs w:val="21"/>
              </w:rPr>
              <w:t>资格</w:t>
            </w:r>
          </w:p>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要求</w:t>
            </w:r>
          </w:p>
        </w:tc>
        <w:tc>
          <w:tcPr>
            <w:tcW w:w="5746" w:type="dxa"/>
            <w:shd w:val="clear" w:color="auto" w:fill="FFFFFF"/>
            <w:vAlign w:val="center"/>
          </w:tcPr>
          <w:p>
            <w:pPr>
              <w:widowControl w:val="0"/>
              <w:numPr>
                <w:ilvl w:val="0"/>
                <w:numId w:val="2"/>
              </w:numPr>
              <w:autoSpaceDE w:val="0"/>
              <w:autoSpaceDN w:val="0"/>
              <w:adjustRightInd w:val="0"/>
              <w:snapToGrid w:val="0"/>
              <w:ind w:firstLine="420"/>
            </w:pPr>
            <w:r>
              <w:rPr>
                <w:rFonts w:hint="eastAsia"/>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2.参与本项目投标前三年内，在经营活动中没有重大违法记录（在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3.参与本项目招标活动时不存在被有关部门禁止参与采购活动且在有效期内的情况（在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4.具备《中华人民共和国政府采购法》第二十二条第一款的条件（在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5.未被列入失信被执行人、重大税收违法案件当事人名单、政府采购严重违法失信行为记录名单（在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eastAsiaTheme="minorEastAsia"/>
              </w:rPr>
            </w:pPr>
            <w:r>
              <w:rPr>
                <w:rFonts w:hint="eastAsia" w:asciiTheme="minorEastAsia" w:hAnsiTheme="minorEastAsia" w:eastAsiaTheme="minorEastAsia" w:cstheme="minorEastAsia"/>
                <w:kern w:val="0"/>
                <w:szCs w:val="21"/>
              </w:rPr>
              <w:t>6.单位负责人为同一人或者存在直接控股、管理关系的不同投标人，不得同时参加本项目投标（在</w:t>
            </w:r>
            <w:r>
              <w:rPr>
                <w:rFonts w:hint="eastAsia"/>
              </w:rPr>
              <w:t>《投标及履约承诺函》</w:t>
            </w:r>
            <w:r>
              <w:rPr>
                <w:rFonts w:hint="eastAsia" w:asciiTheme="minorEastAsia" w:hAnsiTheme="minorEastAsia" w:eastAsiaTheme="minorEastAsia" w:cstheme="minorEastAsia"/>
                <w:kern w:val="0"/>
                <w:szCs w:val="21"/>
              </w:rPr>
              <w:t>中作出声明）；</w:t>
            </w:r>
          </w:p>
          <w:p>
            <w:pPr>
              <w:ind w:firstLine="420"/>
            </w:pPr>
            <w:r>
              <w:rPr>
                <w:rFonts w:hint="eastAsia"/>
              </w:rPr>
              <w:t>7.</w:t>
            </w:r>
            <w:r>
              <w:rPr>
                <w:rFonts w:hint="eastAsia" w:ascii="宋体" w:hAnsi="宋体" w:cs="宋体"/>
                <w:szCs w:val="21"/>
              </w:rPr>
              <w:t>本项目不接受进口产品投标。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1.4.4</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是否接受</w:t>
            </w:r>
          </w:p>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联合体投标</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kern w:val="0"/>
                <w:szCs w:val="21"/>
              </w:rPr>
            </w:pPr>
            <w:r>
              <w:rPr>
                <w:rFonts w:hint="eastAsia" w:ascii="Segoe UI Symbol" w:hAnsi="Segoe UI Symbol" w:cs="Segoe UI Symbol"/>
                <w:kern w:val="0"/>
                <w:szCs w:val="21"/>
              </w:rPr>
              <w:t>☑</w:t>
            </w:r>
            <w:r>
              <w:rPr>
                <w:rFonts w:hint="eastAsia" w:ascii="宋体" w:hAnsi="宋体"/>
                <w:kern w:val="0"/>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1.9.1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Segoe UI Symbol" w:hAnsi="Segoe UI Symbol" w:cs="Segoe UI Symbol"/>
                <w:kern w:val="0"/>
                <w:szCs w:val="21"/>
                <w:shd w:val="clear" w:color="auto" w:fill="FFFFFF"/>
              </w:rPr>
              <w:t>☑</w:t>
            </w:r>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1.10.1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投标预备会</w:t>
            </w:r>
          </w:p>
        </w:tc>
        <w:tc>
          <w:tcPr>
            <w:tcW w:w="5746" w:type="dxa"/>
            <w:shd w:val="clear" w:color="auto" w:fill="FFFFFF"/>
            <w:vAlign w:val="center"/>
          </w:tcPr>
          <w:p>
            <w:pPr>
              <w:widowControl w:val="0"/>
              <w:wordWrap w:val="0"/>
              <w:autoSpaceDE w:val="0"/>
              <w:autoSpaceDN w:val="0"/>
              <w:adjustRightInd w:val="0"/>
              <w:snapToGrid w:val="0"/>
              <w:ind w:firstLine="0" w:firstLineChars="0"/>
              <w:rPr>
                <w:rFonts w:ascii="宋体" w:hAnsi="宋体" w:cs="MS Mincho"/>
                <w:kern w:val="0"/>
                <w:szCs w:val="21"/>
                <w:shd w:val="clear" w:color="auto" w:fill="FFFFFF"/>
              </w:rPr>
            </w:pPr>
            <w:r>
              <w:rPr>
                <w:rFonts w:hint="eastAsia" w:ascii="Segoe UI Symbol" w:hAnsi="Segoe UI Symbol" w:cs="Segoe UI Symbol"/>
                <w:kern w:val="0"/>
                <w:szCs w:val="21"/>
              </w:rPr>
              <w:t>☑</w:t>
            </w:r>
            <w:r>
              <w:rPr>
                <w:rFonts w:hint="eastAsia" w:ascii="宋体" w:hAnsi="宋体"/>
                <w:szCs w:val="21"/>
              </w:rPr>
              <w:t>不</w:t>
            </w:r>
            <w:r>
              <w:rPr>
                <w:rFonts w:ascii="宋体" w:hAnsi="宋体"/>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3.2.5</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投标货币</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报价方式和内容</w:t>
            </w:r>
          </w:p>
        </w:tc>
        <w:tc>
          <w:tcPr>
            <w:tcW w:w="5746" w:type="dxa"/>
            <w:shd w:val="clear" w:color="auto" w:fill="FFFFFF"/>
            <w:vAlign w:val="center"/>
          </w:tcPr>
          <w:p>
            <w:pPr>
              <w:pStyle w:val="19"/>
              <w:ind w:firstLine="0" w:firstLineChars="0"/>
              <w:rPr>
                <w:rFonts w:ascii="宋体" w:hAnsi="宋体"/>
                <w:szCs w:val="21"/>
                <w:shd w:val="clear" w:color="auto" w:fill="FFFFFF"/>
              </w:rPr>
            </w:pPr>
            <w:r>
              <w:rPr>
                <w:rFonts w:hint="eastAsia"/>
              </w:rPr>
              <w:t>详见“商务条款”中报价要求部分内容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3.4.</w:t>
            </w:r>
            <w:r>
              <w:rPr>
                <w:rFonts w:ascii="宋体" w:hAnsi="宋体"/>
                <w:szCs w:val="21"/>
              </w:rPr>
              <w:t>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投标保证金</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是否要求递交投标保证金：□要求</w:t>
            </w:r>
            <w:r>
              <w:rPr>
                <w:rFonts w:ascii="宋体" w:hAnsi="宋体" w:cs="Segoe UI Symbol"/>
                <w:kern w:val="0"/>
                <w:szCs w:val="21"/>
              </w:rPr>
              <w:t xml:space="preserve">  </w:t>
            </w:r>
            <w:r>
              <w:rPr>
                <w:rFonts w:hint="eastAsia" w:ascii="宋体" w:hAnsi="宋体" w:cs="Segoe UI Symbol"/>
                <w:kern w:val="0"/>
                <w:szCs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3.7.1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选投标</w:t>
            </w:r>
            <w:r>
              <w:rPr>
                <w:rFonts w:hint="eastAsia" w:ascii="宋体" w:hAnsi="宋体"/>
                <w:szCs w:val="21"/>
              </w:rPr>
              <w:t>方</w:t>
            </w:r>
            <w:r>
              <w:rPr>
                <w:rFonts w:ascii="宋体" w:hAnsi="宋体"/>
                <w:szCs w:val="21"/>
              </w:rPr>
              <w:t>案</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t>☑</w:t>
            </w:r>
            <w:r>
              <w:rPr>
                <w:rFonts w:hint="eastAsia" w:ascii="宋体" w:hAnsi="宋体"/>
                <w:szCs w:val="21"/>
              </w:rPr>
              <w:t>不允许</w:t>
            </w:r>
          </w:p>
          <w:p>
            <w:pPr>
              <w:widowControl w:val="0"/>
              <w:autoSpaceDE w:val="0"/>
              <w:autoSpaceDN w:val="0"/>
              <w:adjustRightInd w:val="0"/>
              <w:snapToGrid w:val="0"/>
              <w:ind w:firstLine="0" w:firstLineChars="0"/>
              <w:rPr>
                <w:rFonts w:ascii="宋体" w:hAnsi="宋体"/>
                <w:szCs w:val="21"/>
              </w:rPr>
            </w:pPr>
            <w:r>
              <w:rPr>
                <w:rFonts w:hint="eastAsia" w:ascii="宋体" w:hAnsi="宋体"/>
                <w:kern w:val="0"/>
                <w:szCs w:val="21"/>
              </w:rPr>
              <w:t>□</w:t>
            </w:r>
            <w:r>
              <w:rPr>
                <w:rFonts w:hint="eastAsia" w:ascii="宋体" w:hAnsi="宋体"/>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r>
              <w:rPr>
                <w:rFonts w:ascii="宋体" w:hAnsi="宋体"/>
                <w:szCs w:val="21"/>
              </w:rPr>
              <w:t>.1.6</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招标公告</w:t>
            </w:r>
          </w:p>
        </w:tc>
        <w:tc>
          <w:tcPr>
            <w:tcW w:w="5746" w:type="dxa"/>
            <w:vMerge w:val="restart"/>
            <w:shd w:val="clear" w:color="auto" w:fill="FFFFFF"/>
            <w:vAlign w:val="center"/>
          </w:tcPr>
          <w:p>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公示/公告媒介：</w:t>
            </w:r>
          </w:p>
          <w:p>
            <w:pPr>
              <w:widowControl w:val="0"/>
              <w:wordWrap w:val="0"/>
              <w:autoSpaceDE w:val="0"/>
              <w:autoSpaceDN w:val="0"/>
              <w:adjustRightInd w:val="0"/>
              <w:snapToGrid w:val="0"/>
              <w:ind w:firstLine="0" w:firstLineChars="0"/>
              <w:rPr>
                <w:rFonts w:ascii="Segoe UI Symbol" w:hAnsi="Segoe UI Symbol" w:cs="Segoe UI Symbol"/>
                <w:kern w:val="0"/>
                <w:szCs w:val="21"/>
              </w:rPr>
            </w:pPr>
            <w:r>
              <w:fldChar w:fldCharType="begin"/>
            </w:r>
            <w:r>
              <w:instrText xml:space="preserve"> HYPERLINK "http://www.lhconst.com/products.aspx?nid=3&amp;typeid=13" </w:instrText>
            </w:r>
            <w:r>
              <w:fldChar w:fldCharType="separate"/>
            </w:r>
            <w:r>
              <w:rPr>
                <w:rStyle w:val="56"/>
                <w:rFonts w:hint="default" w:ascii="宋体" w:hAnsi="宋体" w:eastAsia="宋体" w:cs="宋体"/>
                <w:sz w:val="24"/>
              </w:rPr>
              <w:t>深圳市龙华建设发展集团有限公司 http://www.lhconst.com</w:t>
            </w:r>
            <w:r>
              <w:rPr>
                <w:rStyle w:val="56"/>
                <w:rFonts w:hint="default" w:ascii="宋体" w:hAnsi="宋体" w:eastAsia="宋体" w:cs="宋体"/>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7.2</w:t>
            </w:r>
            <w:r>
              <w:rPr>
                <w:rFonts w:ascii="宋体" w:hAnsi="宋体"/>
                <w:szCs w:val="21"/>
              </w:rPr>
              <w:t>.1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中标候选人</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公示</w:t>
            </w:r>
          </w:p>
        </w:tc>
        <w:tc>
          <w:tcPr>
            <w:tcW w:w="5746" w:type="dxa"/>
            <w:vMerge w:val="continue"/>
            <w:shd w:val="clear" w:color="auto" w:fill="FFFFFF"/>
            <w:vAlign w:val="center"/>
          </w:tcPr>
          <w:p>
            <w:pPr>
              <w:widowControl w:val="0"/>
              <w:autoSpaceDE w:val="0"/>
              <w:autoSpaceDN w:val="0"/>
              <w:adjustRightInd w:val="0"/>
              <w:snapToGrid w:val="0"/>
              <w:ind w:firstLine="0" w:firstLineChars="0"/>
              <w:rPr>
                <w:rFonts w:ascii="宋体" w:hAnsi="宋体"/>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w:t>
            </w:r>
            <w:r>
              <w:rPr>
                <w:rFonts w:ascii="宋体" w:hAnsi="宋体"/>
                <w:szCs w:val="21"/>
              </w:rPr>
              <w:t>.2.2</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中标公告</w:t>
            </w:r>
          </w:p>
        </w:tc>
        <w:tc>
          <w:tcPr>
            <w:tcW w:w="5746" w:type="dxa"/>
            <w:vMerge w:val="continue"/>
            <w:shd w:val="clear" w:color="auto" w:fill="FFFFFF"/>
            <w:vAlign w:val="center"/>
          </w:tcPr>
          <w:p>
            <w:pPr>
              <w:widowControl w:val="0"/>
              <w:autoSpaceDE w:val="0"/>
              <w:autoSpaceDN w:val="0"/>
              <w:adjustRightInd w:val="0"/>
              <w:snapToGrid w:val="0"/>
              <w:ind w:firstLine="0" w:firstLineChars="0"/>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8.3.1</w:t>
            </w:r>
          </w:p>
        </w:tc>
        <w:tc>
          <w:tcPr>
            <w:tcW w:w="209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是否要求中标人提交履约</w:t>
            </w:r>
            <w:r>
              <w:rPr>
                <w:rFonts w:hint="eastAsia" w:ascii="宋体" w:hAnsi="宋体" w:cs="Segoe UI Symbol"/>
                <w:kern w:val="0"/>
                <w:szCs w:val="21"/>
              </w:rPr>
              <w:t>担保</w:t>
            </w:r>
            <w:r>
              <w:rPr>
                <w:rFonts w:ascii="宋体" w:hAnsi="宋体" w:cs="Segoe UI Symbol"/>
                <w:kern w:val="0"/>
                <w:szCs w:val="21"/>
              </w:rPr>
              <w:t>：</w:t>
            </w:r>
            <w:r>
              <w:rPr>
                <w:rFonts w:hint="eastAsia" w:ascii="宋体" w:hAnsi="宋体" w:cs="Segoe UI Symbol"/>
                <w:kern w:val="0"/>
                <w:szCs w:val="21"/>
              </w:rPr>
              <w:t>□要求</w:t>
            </w:r>
            <w:r>
              <w:rPr>
                <w:rFonts w:ascii="宋体" w:hAnsi="宋体" w:cs="Segoe UI Symbol"/>
                <w:kern w:val="0"/>
                <w:szCs w:val="21"/>
              </w:rPr>
              <w:t xml:space="preserve">  </w:t>
            </w:r>
            <w:r>
              <w:rPr>
                <w:rFonts w:hint="eastAsia" w:ascii="宋体" w:hAnsi="宋体" w:cs="Segoe UI Symbol"/>
                <w:kern w:val="0"/>
                <w:szCs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履约担保的形式</w:t>
            </w:r>
            <w:r>
              <w:rPr>
                <w:rFonts w:hint="eastAsia" w:ascii="宋体" w:hAnsi="宋体" w:cs="Segoe UI Symbol"/>
                <w:kern w:val="0"/>
                <w:szCs w:val="21"/>
              </w:rPr>
              <w:t>：□现金、转账</w:t>
            </w:r>
            <w:r>
              <w:rPr>
                <w:rFonts w:ascii="宋体" w:hAnsi="宋体" w:cs="Segoe UI Symbol"/>
                <w:kern w:val="0"/>
                <w:szCs w:val="21"/>
              </w:rPr>
              <w:t xml:space="preserve">  </w:t>
            </w:r>
            <w:r>
              <w:rPr>
                <w:rFonts w:hint="eastAsia" w:ascii="宋体" w:hAnsi="宋体" w:cs="Segoe UI Symbol"/>
                <w:kern w:val="0"/>
                <w:szCs w:val="21"/>
              </w:rPr>
              <w:t>□银行保函</w:t>
            </w:r>
          </w:p>
          <w:p>
            <w:pPr>
              <w:widowControl w:val="0"/>
              <w:autoSpaceDE w:val="0"/>
              <w:autoSpaceDN w:val="0"/>
              <w:adjustRightInd w:val="0"/>
              <w:snapToGrid w:val="0"/>
              <w:ind w:firstLine="0" w:firstLineChars="0"/>
              <w:rPr>
                <w:rFonts w:ascii="宋体" w:hAnsi="宋体" w:cs="Segoe UI Symbol"/>
                <w:kern w:val="0"/>
                <w:szCs w:val="21"/>
                <w:u w:val="single"/>
              </w:rPr>
            </w:pPr>
            <w:r>
              <w:rPr>
                <w:rFonts w:ascii="宋体" w:hAnsi="宋体" w:cs="Segoe UI Symbol"/>
                <w:kern w:val="0"/>
                <w:szCs w:val="21"/>
              </w:rPr>
              <w:t>履约担保的金额：</w:t>
            </w:r>
            <w:r>
              <w:rPr>
                <w:rFonts w:hint="eastAsia" w:ascii="宋体" w:hAnsi="宋体" w:cs="Segoe UI Symbol"/>
                <w:kern w:val="0"/>
                <w:szCs w:val="21"/>
                <w:u w:val="single"/>
              </w:rPr>
              <w:t xml:space="preserve">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pPr>
              <w:widowControl w:val="0"/>
              <w:autoSpaceDE w:val="0"/>
              <w:autoSpaceDN w:val="0"/>
              <w:adjustRightInd w:val="0"/>
              <w:snapToGrid w:val="0"/>
              <w:ind w:firstLine="420"/>
              <w:jc w:val="left"/>
              <w:rPr>
                <w:rFonts w:ascii="宋体" w:hAnsi="宋体"/>
                <w:kern w:val="0"/>
                <w:szCs w:val="21"/>
              </w:rPr>
            </w:pPr>
            <w:r>
              <w:rPr>
                <w:rFonts w:hint="eastAsia" w:ascii="宋体" w:hAnsi="宋体"/>
                <w:kern w:val="0"/>
                <w:szCs w:val="21"/>
              </w:rPr>
              <w:t>账户信息</w:t>
            </w:r>
          </w:p>
        </w:tc>
        <w:tc>
          <w:tcPr>
            <w:tcW w:w="5746" w:type="dxa"/>
            <w:shd w:val="clear" w:color="auto" w:fill="FFFFFF"/>
            <w:vAlign w:val="center"/>
          </w:tcPr>
          <w:p>
            <w:pPr>
              <w:pStyle w:val="15"/>
              <w:ind w:firstLine="0" w:firstLineChars="0"/>
              <w:rPr>
                <w:rFonts w:ascii="宋体" w:hAnsi="宋体" w:cs="Segoe UI Symbol"/>
                <w:kern w:val="0"/>
                <w:szCs w:val="21"/>
              </w:rPr>
            </w:pPr>
            <w:r>
              <w:rPr>
                <w:rFonts w:hint="eastAsia"/>
              </w:rPr>
              <w:t>。</w:t>
            </w:r>
          </w:p>
        </w:tc>
      </w:tr>
    </w:tbl>
    <w:p>
      <w:pPr>
        <w:widowControl w:val="0"/>
        <w:autoSpaceDE w:val="0"/>
        <w:autoSpaceDN w:val="0"/>
        <w:adjustRightInd w:val="0"/>
        <w:snapToGrid w:val="0"/>
        <w:ind w:firstLine="420"/>
        <w:jc w:val="left"/>
        <w:rPr>
          <w:rFonts w:ascii="宋体" w:hAnsi="宋体"/>
        </w:rPr>
      </w:pPr>
    </w:p>
    <w:p>
      <w:pPr>
        <w:pStyle w:val="15"/>
        <w:ind w:firstLine="420"/>
        <w:rPr>
          <w:rFonts w:ascii="宋体" w:hAnsi="宋体"/>
        </w:rPr>
      </w:pPr>
    </w:p>
    <w:p>
      <w:pPr>
        <w:pStyle w:val="15"/>
        <w:ind w:firstLine="420"/>
        <w:rPr>
          <w:rFonts w:ascii="宋体" w:hAnsi="宋体"/>
        </w:rPr>
      </w:pPr>
    </w:p>
    <w:p>
      <w:pPr>
        <w:pStyle w:val="15"/>
        <w:ind w:firstLine="420"/>
        <w:rPr>
          <w:rFonts w:ascii="宋体" w:hAnsi="宋体"/>
        </w:rPr>
      </w:pPr>
    </w:p>
    <w:bookmarkEnd w:id="43"/>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08"/>
        <w:gridCol w:w="2102"/>
        <w:gridCol w:w="5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shd w:val="clear" w:color="auto" w:fill="D9E2F3"/>
            <w:vAlign w:val="center"/>
          </w:tcPr>
          <w:p>
            <w:pPr>
              <w:widowControl w:val="0"/>
              <w:autoSpaceDE w:val="0"/>
              <w:autoSpaceDN w:val="0"/>
              <w:adjustRightInd w:val="0"/>
              <w:snapToGrid w:val="0"/>
              <w:ind w:firstLine="0" w:firstLineChars="0"/>
              <w:jc w:val="center"/>
              <w:rPr>
                <w:rFonts w:ascii="宋体" w:hAnsi="宋体"/>
                <w:sz w:val="32"/>
                <w:szCs w:val="32"/>
              </w:rPr>
            </w:pPr>
            <w:bookmarkStart w:id="44" w:name="_Hlk532140390"/>
            <w:bookmarkStart w:id="45" w:name="_Toc152045529"/>
            <w:bookmarkStart w:id="46" w:name="_Toc152042305"/>
            <w:bookmarkStart w:id="47" w:name="_Toc144974497"/>
            <w:r>
              <w:rPr>
                <w:rFonts w:hint="eastAsia" w:ascii="宋体" w:hAnsi="宋体"/>
                <w:b/>
                <w:sz w:val="32"/>
                <w:szCs w:val="32"/>
              </w:rPr>
              <w:t>投标人须知前附表（三）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3.8.3</w:t>
            </w:r>
          </w:p>
        </w:tc>
        <w:tc>
          <w:tcPr>
            <w:tcW w:w="2102"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编制</w:t>
            </w:r>
            <w:r>
              <w:rPr>
                <w:rFonts w:ascii="宋体" w:hAnsi="宋体"/>
                <w:szCs w:val="21"/>
              </w:rPr>
              <w:t>要求</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将投标文件按照招标文件的节点要求编制。因投标人原因导致错误、漏项、内容模糊的相应后果，由投标人自行承担。</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其他要求：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02"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密封</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投标文件需密封袋装并加盖企业公章。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4.2</w:t>
            </w:r>
            <w:r>
              <w:rPr>
                <w:rFonts w:ascii="宋体" w:hAnsi="宋体"/>
                <w:szCs w:val="21"/>
              </w:rPr>
              <w:t>.5</w:t>
            </w:r>
          </w:p>
        </w:tc>
        <w:tc>
          <w:tcPr>
            <w:tcW w:w="2102"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ascii="宋体" w:hAnsi="宋体"/>
                <w:szCs w:val="21"/>
              </w:rPr>
              <w:t>投标文件递交的要求</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投标人应在投标截止时间前向招标人递交符合要求的投标文件。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tcBorders>
              <w:bottom w:val="single" w:color="000000" w:sz="4" w:space="0"/>
            </w:tcBorders>
            <w:shd w:val="clear" w:color="auto" w:fill="D9E2F3"/>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或修改的其他</w:t>
            </w:r>
            <w:r>
              <w:rPr>
                <w:rFonts w:ascii="宋体" w:hAnsi="宋体"/>
                <w:b/>
                <w:szCs w:val="21"/>
              </w:rPr>
              <w:t>内容</w:t>
            </w:r>
            <w:r>
              <w:rPr>
                <w:rFonts w:hint="eastAsia" w:ascii="宋体" w:hAnsi="宋体"/>
                <w:b/>
                <w:szCs w:val="21"/>
              </w:rPr>
              <w:t>（前后不一致的以此为准）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D9E2F3"/>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D9E2F3"/>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D9E2F3"/>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restart"/>
            <w:tcBorders>
              <w:right w:val="single" w:color="auto"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2102" w:type="dxa"/>
            <w:tcBorders>
              <w:left w:val="single" w:color="auto" w:sz="4" w:space="0"/>
              <w:bottom w:val="single" w:color="000000"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5746" w:type="dxa"/>
            <w:tcBorders>
              <w:bottom w:val="single" w:color="000000" w:sz="4" w:space="0"/>
            </w:tcBorders>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不要求递交投标样品</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□递交投标样品，具体要求：</w:t>
            </w:r>
            <w:r>
              <w:rPr>
                <w:rFonts w:hint="eastAsia"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continue"/>
            <w:tcBorders>
              <w:right w:val="single" w:color="auto"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5746" w:type="dxa"/>
            <w:tcBorders>
              <w:bottom w:val="single" w:color="000000" w:sz="4" w:space="0"/>
            </w:tcBorders>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不要求进行方案演示</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2102"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5746"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2102" w:type="dxa"/>
            <w:tcBorders>
              <w:bottom w:val="single" w:color="auto"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☑资格审查文件</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☑商务标部分</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☑技术标部分</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☑价格标部分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FFFFFF"/>
            <w:vAlign w:val="center"/>
          </w:tcPr>
          <w:p>
            <w:pPr>
              <w:widowControl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b/>
          <w:sz w:val="32"/>
          <w:szCs w:val="32"/>
        </w:rPr>
      </w:pPr>
      <w:r>
        <w:rPr>
          <w:rFonts w:ascii="宋体" w:hAnsi="宋体"/>
          <w:sz w:val="28"/>
        </w:rPr>
        <w:br w:type="page"/>
      </w:r>
    </w:p>
    <w:p>
      <w:pPr>
        <w:widowControl w:val="0"/>
        <w:autoSpaceDE w:val="0"/>
        <w:autoSpaceDN w:val="0"/>
        <w:adjustRightInd w:val="0"/>
        <w:snapToGrid w:val="0"/>
        <w:ind w:firstLine="0" w:firstLineChars="0"/>
        <w:jc w:val="center"/>
        <w:outlineLvl w:val="1"/>
        <w:rPr>
          <w:rFonts w:ascii="宋体" w:hAnsi="宋体"/>
          <w:sz w:val="28"/>
        </w:rPr>
      </w:pPr>
      <w:bookmarkStart w:id="48" w:name="_Toc49247155"/>
      <w:r>
        <w:rPr>
          <w:rFonts w:hint="eastAsia" w:ascii="宋体" w:hAnsi="宋体"/>
          <w:b/>
          <w:sz w:val="32"/>
          <w:szCs w:val="32"/>
        </w:rPr>
        <w:t>第二节 否决性条款摘要</w:t>
      </w:r>
      <w:bookmarkEnd w:id="48"/>
    </w:p>
    <w:p>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提示投标人和评标小组</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pPr>
        <w:widowControl w:val="0"/>
        <w:autoSpaceDE w:val="0"/>
        <w:autoSpaceDN w:val="0"/>
        <w:adjustRightInd w:val="0"/>
        <w:snapToGrid w:val="0"/>
        <w:ind w:firstLine="0" w:firstLineChars="0"/>
        <w:jc w:val="left"/>
        <w:rPr>
          <w:rFonts w:ascii="宋体" w:hAnsi="宋体"/>
          <w:b/>
          <w:bCs/>
          <w:sz w:val="24"/>
          <w:szCs w:val="21"/>
        </w:rPr>
      </w:pPr>
    </w:p>
    <w:bookmarkEnd w:id="44"/>
    <w:p>
      <w:pPr>
        <w:pStyle w:val="263"/>
        <w:widowControl w:val="0"/>
        <w:numPr>
          <w:ilvl w:val="0"/>
          <w:numId w:val="3"/>
        </w:numPr>
        <w:autoSpaceDE w:val="0"/>
        <w:autoSpaceDN w:val="0"/>
        <w:adjustRightInd w:val="0"/>
        <w:snapToGrid w:val="0"/>
        <w:ind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pPr>
        <w:pStyle w:val="263"/>
        <w:widowControl w:val="0"/>
        <w:numPr>
          <w:ilvl w:val="1"/>
          <w:numId w:val="3"/>
        </w:numPr>
        <w:autoSpaceDE w:val="0"/>
        <w:autoSpaceDN w:val="0"/>
        <w:adjustRightInd w:val="0"/>
        <w:snapToGrid w:val="0"/>
        <w:ind w:firstLineChars="0"/>
        <w:jc w:val="left"/>
        <w:rPr>
          <w:rFonts w:ascii="宋体" w:hAnsi="宋体"/>
        </w:rPr>
      </w:pPr>
      <w:bookmarkStart w:id="49" w:name="_Toc246144208"/>
      <w:bookmarkStart w:id="50" w:name="_Toc246133765"/>
      <w:bookmarkStart w:id="51" w:name="_Toc246221337"/>
      <w:r>
        <w:rPr>
          <w:rFonts w:hint="eastAsia" w:ascii="宋体" w:hAnsi="宋体"/>
        </w:rPr>
        <w:t>在投标人须知前附表规定的投标截止时间以后逾期送达的或者未送达指定地点的投标文件；</w:t>
      </w:r>
    </w:p>
    <w:p>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投标人提交的投标文件无法读取，导致无法正常开标的；</w:t>
      </w:r>
    </w:p>
    <w:p>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投标人名称和购买（获取）文件时登记不一致的。</w:t>
      </w:r>
    </w:p>
    <w:p>
      <w:pPr>
        <w:widowControl w:val="0"/>
        <w:autoSpaceDE w:val="0"/>
        <w:autoSpaceDN w:val="0"/>
        <w:adjustRightInd w:val="0"/>
        <w:snapToGrid w:val="0"/>
        <w:ind w:firstLine="0" w:firstLineChars="0"/>
        <w:jc w:val="left"/>
        <w:rPr>
          <w:rFonts w:ascii="宋体" w:hAnsi="宋体"/>
        </w:rPr>
      </w:pPr>
    </w:p>
    <w:p>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9"/>
      <w:bookmarkEnd w:id="50"/>
      <w:bookmarkEnd w:id="51"/>
      <w:r>
        <w:rPr>
          <w:rFonts w:hint="eastAsia" w:ascii="宋体" w:hAnsi="宋体"/>
          <w:b/>
          <w:szCs w:val="21"/>
        </w:rPr>
        <w:t>（初步评审由评标委员会负责判定）</w:t>
      </w:r>
    </w:p>
    <w:p>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有下列情形之一的，经评标小组遵循少数服从多数的原则集体表决认定后，按围标、串标行为对待，除按废标处理外，招标人将提请有关主管部门或者有关行政管理部门根据情况依法做出处罚：</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不同投标人委托同一单位或者个人办理投标事宜；</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不同投标人的投标文件载明的项目管理成员为同一人；</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不同投标人的投标文件异常一致；</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不同投标人的投标文件相互混装；</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投标人以他人名义投标，串通投标，以行贿手段谋取中标或者以其他弄虚作假方式投标</w:t>
      </w:r>
      <w:r>
        <w:rPr>
          <w:rFonts w:hint="eastAsia" w:ascii="宋体" w:hAnsi="宋体"/>
        </w:rPr>
        <w:t>。</w:t>
      </w:r>
    </w:p>
    <w:p>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有下列情形之一的，经评标小组遵循少数服从多数的原则集体表决认定后，按废标处理让该投标文件退出评标程序。</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投标报价超出招标控制价或最高限价的或按第一章第三节3.2条规定的调整方法确定的调整后价格超出最高限价的；</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p>
    <w:p>
      <w:pPr>
        <w:widowControl w:val="0"/>
        <w:autoSpaceDE w:val="0"/>
        <w:autoSpaceDN w:val="0"/>
        <w:adjustRightInd w:val="0"/>
        <w:snapToGrid w:val="0"/>
        <w:ind w:firstLine="0" w:firstLineChars="0"/>
        <w:jc w:val="left"/>
        <w:rPr>
          <w:rFonts w:ascii="宋体" w:hAnsi="宋体"/>
        </w:rPr>
      </w:pPr>
    </w:p>
    <w:p>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p>
    <w:p>
      <w:pPr>
        <w:widowControl w:val="0"/>
        <w:autoSpaceDE w:val="0"/>
        <w:autoSpaceDN w:val="0"/>
        <w:adjustRightInd w:val="0"/>
        <w:snapToGrid w:val="0"/>
        <w:ind w:firstLine="0" w:firstLineChars="0"/>
        <w:jc w:val="left"/>
        <w:rPr>
          <w:rFonts w:ascii="宋体" w:hAnsi="宋体"/>
          <w:b/>
          <w:szCs w:val="21"/>
        </w:rPr>
      </w:pPr>
    </w:p>
    <w:p>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p>
    <w:p>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b/>
          <w:sz w:val="32"/>
          <w:szCs w:val="32"/>
        </w:rPr>
        <w:br w:type="page"/>
      </w:r>
      <w:bookmarkStart w:id="52" w:name="_Toc49247156"/>
      <w:r>
        <w:rPr>
          <w:rFonts w:hint="eastAsia" w:ascii="宋体" w:hAnsi="宋体"/>
          <w:b/>
          <w:sz w:val="32"/>
          <w:szCs w:val="32"/>
        </w:rPr>
        <w:t>第三节 总则</w:t>
      </w:r>
      <w:bookmarkEnd w:id="45"/>
      <w:bookmarkEnd w:id="46"/>
      <w:bookmarkEnd w:id="47"/>
      <w:bookmarkEnd w:id="52"/>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53" w:name="_Hlk532141677"/>
      <w:r>
        <w:rPr>
          <w:rFonts w:hint="eastAsia" w:ascii="宋体" w:hAnsi="宋体"/>
          <w:b/>
          <w:szCs w:val="21"/>
        </w:rPr>
        <w:t>说明</w:t>
      </w:r>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54" w:name="_Toc332121715"/>
      <w:bookmarkStart w:id="55" w:name="_Toc403513495"/>
      <w:bookmarkStart w:id="56" w:name="_Toc152042306"/>
      <w:bookmarkStart w:id="57" w:name="_Toc152045530"/>
      <w:bookmarkStart w:id="58" w:name="_Toc330213947"/>
      <w:bookmarkStart w:id="59" w:name="_Toc144974498"/>
      <w:r>
        <w:rPr>
          <w:rFonts w:hint="eastAsia" w:ascii="宋体" w:hAnsi="宋体"/>
          <w:szCs w:val="21"/>
        </w:rPr>
        <w:t>项目概况</w:t>
      </w:r>
      <w:bookmarkEnd w:id="54"/>
      <w:bookmarkEnd w:id="55"/>
      <w:bookmarkEnd w:id="56"/>
      <w:bookmarkEnd w:id="57"/>
      <w:bookmarkEnd w:id="58"/>
      <w:bookmarkEnd w:id="5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项目为企业服务项目，参照《中华人民共和国招标投标法》、《深圳经济特区政府采购条例》、《龙华区国有企业采购管理办法》及《深圳市龙华环境有限公司招标和采购管理办法》等有关法律、法规和规章的规定，本招标项目已具备招标条件，现对本项目进行招标。</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其他概况：见投标人须知前附表。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60" w:name="_Toc144974499"/>
      <w:bookmarkStart w:id="61" w:name="_Toc330213948"/>
      <w:bookmarkStart w:id="62" w:name="_Toc403513496"/>
      <w:bookmarkStart w:id="63" w:name="_Toc332121716"/>
      <w:bookmarkStart w:id="64" w:name="_Toc152042307"/>
      <w:bookmarkStart w:id="65" w:name="_Toc152045531"/>
      <w:r>
        <w:rPr>
          <w:rFonts w:hint="eastAsia" w:ascii="宋体" w:hAnsi="宋体"/>
          <w:b/>
          <w:szCs w:val="21"/>
        </w:rPr>
        <w:t>资金来源和落实情况</w:t>
      </w:r>
      <w:bookmarkEnd w:id="60"/>
      <w:bookmarkEnd w:id="61"/>
      <w:bookmarkEnd w:id="62"/>
      <w:bookmarkEnd w:id="63"/>
      <w:bookmarkEnd w:id="64"/>
      <w:bookmarkEnd w:id="6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66" w:name="_Toc403513497"/>
      <w:bookmarkStart w:id="67" w:name="_Toc144974500"/>
      <w:bookmarkStart w:id="68" w:name="_Toc152042308"/>
      <w:bookmarkStart w:id="69" w:name="_Toc332121717"/>
      <w:bookmarkStart w:id="70" w:name="_Toc152045532"/>
      <w:bookmarkStart w:id="71" w:name="_Toc330213949"/>
      <w:r>
        <w:rPr>
          <w:rFonts w:hint="eastAsia" w:ascii="宋体" w:hAnsi="宋体"/>
          <w:b/>
          <w:szCs w:val="21"/>
        </w:rPr>
        <w:t>招标范围及项目概况、服务期和服务地点</w:t>
      </w:r>
      <w:bookmarkEnd w:id="66"/>
      <w:bookmarkEnd w:id="67"/>
      <w:bookmarkEnd w:id="68"/>
      <w:bookmarkEnd w:id="69"/>
      <w:bookmarkEnd w:id="70"/>
      <w:bookmarkEnd w:id="71"/>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招标范围和</w:t>
      </w:r>
      <w:r>
        <w:rPr>
          <w:rFonts w:ascii="宋体" w:hAnsi="宋体"/>
          <w:szCs w:val="21"/>
        </w:rPr>
        <w:t>项目</w:t>
      </w:r>
      <w:r>
        <w:rPr>
          <w:rFonts w:hint="eastAsia" w:ascii="宋体" w:hAnsi="宋体"/>
          <w:szCs w:val="21"/>
        </w:rPr>
        <w:t>概况：见投标人须知前附表。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服务期：见投标人须知前附表。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服务地点：见投标人须知前附表。</w:t>
      </w:r>
      <w:bookmarkStart w:id="72" w:name="_Toc144974502"/>
      <w:bookmarkStart w:id="73" w:name="_Toc332121718"/>
      <w:bookmarkStart w:id="74" w:name="_Toc403513498"/>
      <w:bookmarkStart w:id="75" w:name="_Toc152045534"/>
      <w:bookmarkStart w:id="76" w:name="_Toc330213950"/>
      <w:bookmarkStart w:id="77" w:name="_Toc152042310"/>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72"/>
      <w:bookmarkEnd w:id="73"/>
      <w:bookmarkEnd w:id="74"/>
      <w:bookmarkEnd w:id="75"/>
      <w:bookmarkEnd w:id="76"/>
      <w:bookmarkEnd w:id="77"/>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资格条件：见投标人须知前附表。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78" w:name="_Toc332121719"/>
      <w:bookmarkStart w:id="79" w:name="_Toc152045535"/>
      <w:bookmarkStart w:id="80" w:name="_Toc330213951"/>
      <w:bookmarkStart w:id="81" w:name="_Toc152042311"/>
      <w:bookmarkStart w:id="82" w:name="_Toc403513499"/>
      <w:bookmarkStart w:id="83" w:name="_Toc144974503"/>
      <w:r>
        <w:rPr>
          <w:rFonts w:hint="eastAsia" w:ascii="宋体" w:hAnsi="宋体"/>
          <w:b/>
          <w:szCs w:val="21"/>
        </w:rPr>
        <w:t>费用承担</w:t>
      </w:r>
      <w:bookmarkEnd w:id="78"/>
      <w:bookmarkEnd w:id="79"/>
      <w:bookmarkEnd w:id="80"/>
      <w:bookmarkEnd w:id="81"/>
      <w:bookmarkEnd w:id="82"/>
      <w:bookmarkEnd w:id="8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投标人准备和参加投标活动发生的费用自理。</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84" w:name="_Toc144974504"/>
      <w:bookmarkStart w:id="85" w:name="_Toc403513500"/>
      <w:bookmarkStart w:id="86" w:name="_Toc152045536"/>
      <w:bookmarkStart w:id="87" w:name="_Toc330213952"/>
      <w:bookmarkStart w:id="88" w:name="_Toc332121720"/>
      <w:bookmarkStart w:id="89" w:name="_Toc152042312"/>
      <w:r>
        <w:rPr>
          <w:rFonts w:hint="eastAsia" w:ascii="宋体" w:hAnsi="宋体"/>
          <w:b/>
          <w:szCs w:val="21"/>
        </w:rPr>
        <w:t>保密</w:t>
      </w:r>
      <w:bookmarkEnd w:id="84"/>
      <w:bookmarkEnd w:id="85"/>
      <w:bookmarkEnd w:id="86"/>
      <w:bookmarkEnd w:id="87"/>
      <w:bookmarkEnd w:id="88"/>
      <w:bookmarkEnd w:id="8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90" w:name="_Toc144974505"/>
      <w:bookmarkStart w:id="91" w:name="_Toc330213953"/>
      <w:bookmarkStart w:id="92" w:name="_Toc152045537"/>
      <w:bookmarkStart w:id="93" w:name="_Toc332121721"/>
      <w:bookmarkStart w:id="94" w:name="_Toc403513501"/>
      <w:bookmarkStart w:id="95" w:name="_Toc152042313"/>
      <w:r>
        <w:rPr>
          <w:rFonts w:hint="eastAsia" w:ascii="宋体" w:hAnsi="宋体"/>
          <w:b/>
          <w:szCs w:val="21"/>
        </w:rPr>
        <w:t>语言</w:t>
      </w:r>
      <w:bookmarkEnd w:id="90"/>
      <w:r>
        <w:rPr>
          <w:rFonts w:hint="eastAsia" w:ascii="宋体" w:hAnsi="宋体"/>
          <w:b/>
          <w:szCs w:val="21"/>
        </w:rPr>
        <w:t>文字</w:t>
      </w:r>
      <w:bookmarkEnd w:id="91"/>
      <w:bookmarkEnd w:id="92"/>
      <w:bookmarkEnd w:id="93"/>
      <w:bookmarkEnd w:id="94"/>
      <w:bookmarkEnd w:id="9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96" w:name="_Toc403513502"/>
      <w:bookmarkStart w:id="97" w:name="_Toc144974506"/>
      <w:bookmarkStart w:id="98" w:name="_Toc330213954"/>
      <w:bookmarkStart w:id="99" w:name="_Toc152042314"/>
      <w:bookmarkStart w:id="100" w:name="_Toc332121722"/>
      <w:bookmarkStart w:id="101" w:name="_Toc152045538"/>
      <w:r>
        <w:rPr>
          <w:rFonts w:hint="eastAsia" w:ascii="宋体" w:hAnsi="宋体"/>
          <w:b/>
          <w:szCs w:val="21"/>
        </w:rPr>
        <w:t>计量单位</w:t>
      </w:r>
      <w:bookmarkEnd w:id="96"/>
      <w:bookmarkEnd w:id="97"/>
      <w:bookmarkEnd w:id="98"/>
      <w:bookmarkEnd w:id="99"/>
      <w:bookmarkEnd w:id="100"/>
      <w:bookmarkEnd w:id="101"/>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02" w:name="_Toc144974507"/>
      <w:bookmarkStart w:id="103" w:name="_Toc332121723"/>
      <w:bookmarkStart w:id="104" w:name="_Toc403513503"/>
      <w:bookmarkStart w:id="105" w:name="_Toc152042315"/>
      <w:bookmarkStart w:id="106" w:name="_Toc330213955"/>
      <w:bookmarkStart w:id="107" w:name="_Toc152045539"/>
      <w:r>
        <w:rPr>
          <w:rFonts w:hint="eastAsia" w:ascii="宋体" w:hAnsi="宋体"/>
          <w:b/>
          <w:szCs w:val="21"/>
        </w:rPr>
        <w:t>踏勘现场</w:t>
      </w:r>
      <w:bookmarkEnd w:id="102"/>
      <w:bookmarkEnd w:id="103"/>
      <w:bookmarkEnd w:id="104"/>
      <w:bookmarkEnd w:id="105"/>
      <w:bookmarkEnd w:id="106"/>
      <w:bookmarkEnd w:id="107"/>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投标人踏勘现场发生的费用自理。</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08" w:name="_Toc403513504"/>
      <w:bookmarkStart w:id="109" w:name="_Toc152045540"/>
      <w:bookmarkStart w:id="110" w:name="_Toc330213956"/>
      <w:bookmarkStart w:id="111" w:name="_Toc144974508"/>
      <w:bookmarkStart w:id="112" w:name="_Toc152042316"/>
      <w:bookmarkStart w:id="113" w:name="_Toc332121724"/>
      <w:r>
        <w:rPr>
          <w:rFonts w:hint="eastAsia" w:ascii="宋体" w:hAnsi="宋体"/>
          <w:b/>
          <w:szCs w:val="21"/>
        </w:rPr>
        <w:t>投标预备会</w:t>
      </w:r>
      <w:bookmarkEnd w:id="108"/>
      <w:bookmarkEnd w:id="109"/>
      <w:bookmarkEnd w:id="110"/>
      <w:bookmarkEnd w:id="111"/>
      <w:bookmarkEnd w:id="112"/>
      <w:bookmarkEnd w:id="11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投标人不组织召开投标预备会。</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分包</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中标人应当按照合同约定履行义务，完成中标项目。中标人不得向他人转让中标项目，也不得将中标项目肢解后分别向他人转让。</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w:t>
      </w:r>
      <w:r>
        <w:rPr>
          <w:rFonts w:hint="eastAsia" w:ascii="宋体" w:hAnsi="宋体"/>
          <w:szCs w:val="21"/>
        </w:rPr>
        <w:t>服务</w:t>
      </w:r>
      <w:r>
        <w:rPr>
          <w:rFonts w:ascii="宋体" w:hAnsi="宋体"/>
          <w:szCs w:val="21"/>
        </w:rPr>
        <w:t>指标的详细描述、技术支持资料及技术服务和质保期</w:t>
      </w:r>
      <w:r>
        <w:rPr>
          <w:rFonts w:hint="eastAsia" w:ascii="宋体" w:hAnsi="宋体"/>
          <w:szCs w:val="21"/>
        </w:rPr>
        <w:t>、</w:t>
      </w:r>
      <w:r>
        <w:rPr>
          <w:rFonts w:ascii="宋体" w:hAnsi="宋体"/>
          <w:szCs w:val="21"/>
        </w:rPr>
        <w:t>服务计划等内容以对招标文件作出响应。</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114" w:name="_Toc152045542"/>
      <w:bookmarkStart w:id="115" w:name="_Toc152042318"/>
      <w:bookmarkStart w:id="116" w:name="_Toc144974510"/>
      <w:r>
        <w:rPr>
          <w:rFonts w:hint="eastAsia" w:ascii="宋体" w:hAnsi="宋体"/>
          <w:b/>
          <w:szCs w:val="21"/>
        </w:rPr>
        <w:t>招标文件</w:t>
      </w:r>
      <w:bookmarkEnd w:id="114"/>
      <w:bookmarkEnd w:id="115"/>
      <w:bookmarkEnd w:id="116"/>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17" w:name="_Toc330213959"/>
      <w:bookmarkStart w:id="118" w:name="_Toc332121727"/>
      <w:bookmarkStart w:id="119" w:name="_Toc152045543"/>
      <w:bookmarkStart w:id="120" w:name="_Toc152042319"/>
      <w:bookmarkStart w:id="121" w:name="_Toc403513506"/>
      <w:bookmarkStart w:id="122" w:name="_Toc144974511"/>
      <w:r>
        <w:rPr>
          <w:rFonts w:hint="eastAsia" w:ascii="宋体" w:hAnsi="宋体"/>
          <w:b/>
          <w:szCs w:val="21"/>
        </w:rPr>
        <w:t>招标文件的组成</w:t>
      </w:r>
      <w:bookmarkEnd w:id="117"/>
      <w:bookmarkEnd w:id="118"/>
      <w:bookmarkEnd w:id="119"/>
      <w:bookmarkEnd w:id="120"/>
      <w:bookmarkEnd w:id="121"/>
      <w:bookmarkEnd w:id="122"/>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项目需求；</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2.1.2</w:t>
      </w:r>
      <w:r>
        <w:rPr>
          <w:rFonts w:hint="eastAsia" w:ascii="宋体" w:hAnsi="宋体"/>
          <w:szCs w:val="21"/>
        </w:rPr>
        <w:tab/>
      </w:r>
      <w:r>
        <w:rPr>
          <w:rFonts w:hint="eastAsia" w:ascii="宋体" w:hAnsi="宋体"/>
          <w:szCs w:val="21"/>
        </w:rPr>
        <w:t>招标文件获取时间及方式：见投标人须知前附表。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23" w:name="_Toc332121728"/>
      <w:bookmarkStart w:id="124" w:name="_Toc144974512"/>
      <w:bookmarkStart w:id="125" w:name="_Toc330213960"/>
      <w:bookmarkStart w:id="126" w:name="_Toc152042320"/>
      <w:bookmarkStart w:id="127" w:name="_Toc152045544"/>
      <w:bookmarkStart w:id="128" w:name="_Toc403513507"/>
      <w:r>
        <w:rPr>
          <w:rFonts w:hint="eastAsia" w:ascii="宋体" w:hAnsi="宋体"/>
          <w:b/>
          <w:szCs w:val="21"/>
        </w:rPr>
        <w:t>招标文件的澄清</w:t>
      </w:r>
      <w:bookmarkEnd w:id="123"/>
      <w:bookmarkEnd w:id="124"/>
      <w:bookmarkEnd w:id="125"/>
      <w:bookmarkEnd w:id="126"/>
      <w:bookmarkEnd w:id="127"/>
      <w:bookmarkEnd w:id="128"/>
    </w:p>
    <w:p>
      <w:pPr>
        <w:pStyle w:val="263"/>
        <w:widowControl w:val="0"/>
        <w:numPr>
          <w:ilvl w:val="2"/>
          <w:numId w:val="4"/>
        </w:numPr>
        <w:autoSpaceDE w:val="0"/>
        <w:autoSpaceDN w:val="0"/>
        <w:adjustRightInd w:val="0"/>
        <w:snapToGrid w:val="0"/>
        <w:ind w:firstLineChars="0"/>
        <w:jc w:val="left"/>
        <w:rPr>
          <w:rFonts w:ascii="宋体" w:hAnsi="宋体" w:cs="宋体"/>
          <w:kern w:val="0"/>
          <w:szCs w:val="21"/>
        </w:rPr>
      </w:pPr>
      <w:bookmarkStart w:id="129" w:name="_Toc403513508"/>
      <w:bookmarkStart w:id="130" w:name="_Toc332121729"/>
      <w:bookmarkStart w:id="131" w:name="_Toc152042321"/>
      <w:bookmarkStart w:id="132" w:name="_Toc144974513"/>
      <w:bookmarkStart w:id="133" w:name="_Toc152045545"/>
      <w:bookmarkStart w:id="134" w:name="_Toc330213961"/>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内通过书面告知的形式</w:t>
      </w:r>
      <w:r>
        <w:rPr>
          <w:rFonts w:ascii="宋体" w:hAnsi="宋体"/>
          <w:szCs w:val="21"/>
        </w:rPr>
        <w:t>要求招标人对招标文件予以澄清。</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招标文件的澄清将在投标人须知前附表规定的时间内以书面形式发给所有获取招标文件的投标人。如果澄清发出的时间和内容明显影响投标文件编制的，应当相应延长投标截止时间。</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招标文件的修改</w:t>
      </w:r>
      <w:bookmarkEnd w:id="129"/>
      <w:bookmarkEnd w:id="130"/>
      <w:bookmarkEnd w:id="131"/>
      <w:bookmarkEnd w:id="132"/>
      <w:bookmarkEnd w:id="133"/>
      <w:bookmarkEnd w:id="134"/>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135" w:name="_Toc152045546"/>
      <w:bookmarkStart w:id="136" w:name="_Toc152042322"/>
      <w:bookmarkStart w:id="137" w:name="_Toc144974514"/>
      <w:r>
        <w:rPr>
          <w:rFonts w:hint="eastAsia" w:ascii="宋体" w:hAnsi="宋体"/>
          <w:b/>
          <w:szCs w:val="21"/>
        </w:rPr>
        <w:t>投标文件</w:t>
      </w:r>
      <w:bookmarkEnd w:id="135"/>
      <w:bookmarkEnd w:id="136"/>
      <w:bookmarkEnd w:id="137"/>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38" w:name="_Toc152042323"/>
      <w:bookmarkStart w:id="139" w:name="_Toc332121731"/>
      <w:bookmarkStart w:id="140" w:name="_Toc152045547"/>
      <w:bookmarkStart w:id="141" w:name="_Toc144974515"/>
      <w:bookmarkStart w:id="142" w:name="_Toc403513510"/>
      <w:bookmarkStart w:id="143" w:name="_Toc330213963"/>
      <w:r>
        <w:rPr>
          <w:rFonts w:hint="eastAsia" w:ascii="宋体" w:hAnsi="宋体"/>
          <w:b/>
          <w:szCs w:val="21"/>
        </w:rPr>
        <w:t>投标文件的组成</w:t>
      </w:r>
      <w:bookmarkEnd w:id="138"/>
      <w:bookmarkEnd w:id="139"/>
      <w:bookmarkEnd w:id="140"/>
      <w:bookmarkEnd w:id="141"/>
      <w:bookmarkEnd w:id="142"/>
      <w:bookmarkEnd w:id="14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44" w:name="_Toc152045548"/>
      <w:bookmarkStart w:id="145" w:name="_Toc332121732"/>
      <w:bookmarkStart w:id="146" w:name="_Toc152042324"/>
      <w:bookmarkStart w:id="147" w:name="_Toc144974516"/>
      <w:bookmarkStart w:id="148" w:name="_Toc330213964"/>
      <w:bookmarkStart w:id="149" w:name="_Toc403513511"/>
      <w:r>
        <w:rPr>
          <w:rFonts w:hint="eastAsia" w:ascii="宋体" w:hAnsi="宋体"/>
          <w:b/>
          <w:szCs w:val="21"/>
        </w:rPr>
        <w:t>投标报价</w:t>
      </w:r>
      <w:bookmarkEnd w:id="144"/>
      <w:bookmarkEnd w:id="145"/>
      <w:bookmarkEnd w:id="146"/>
      <w:bookmarkEnd w:id="147"/>
      <w:bookmarkEnd w:id="148"/>
      <w:bookmarkEnd w:id="14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50" w:name="_Toc152042325"/>
      <w:bookmarkStart w:id="151" w:name="_Toc144974517"/>
      <w:bookmarkStart w:id="152" w:name="_Toc332121733"/>
      <w:bookmarkStart w:id="153" w:name="_Toc330213965"/>
      <w:bookmarkStart w:id="154" w:name="_Toc403513512"/>
      <w:bookmarkStart w:id="155" w:name="_Toc152045549"/>
      <w:r>
        <w:rPr>
          <w:rFonts w:hint="eastAsia" w:ascii="宋体" w:hAnsi="宋体"/>
          <w:b/>
          <w:szCs w:val="21"/>
        </w:rPr>
        <w:t>投标有效期</w:t>
      </w:r>
      <w:bookmarkEnd w:id="150"/>
      <w:bookmarkEnd w:id="151"/>
      <w:bookmarkEnd w:id="152"/>
      <w:bookmarkEnd w:id="153"/>
      <w:bookmarkEnd w:id="154"/>
      <w:bookmarkEnd w:id="15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除投标人须知前附表另有规定外，投标有效期为</w:t>
      </w:r>
      <w:r>
        <w:rPr>
          <w:rFonts w:hint="eastAsia" w:ascii="宋体" w:hAnsi="宋体"/>
          <w:szCs w:val="21"/>
        </w:rPr>
        <w:t>1</w:t>
      </w:r>
      <w:r>
        <w:rPr>
          <w:rFonts w:ascii="宋体" w:hAnsi="宋体"/>
          <w:szCs w:val="21"/>
        </w:rPr>
        <w:t>20</w:t>
      </w:r>
      <w:r>
        <w:rPr>
          <w:rFonts w:hint="eastAsia" w:ascii="宋体" w:hAnsi="宋体"/>
          <w:szCs w:val="21"/>
        </w:rPr>
        <w:t>个日历日</w:t>
      </w:r>
      <w:r>
        <w:rPr>
          <w:rFonts w:ascii="宋体" w:hAnsi="宋体"/>
          <w:szCs w:val="21"/>
        </w:rPr>
        <w:t>。</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56" w:name="_Toc403513513"/>
      <w:bookmarkStart w:id="157" w:name="_Toc330213966"/>
      <w:bookmarkStart w:id="158" w:name="_Toc332121734"/>
      <w:bookmarkStart w:id="159" w:name="_Toc152042326"/>
      <w:bookmarkStart w:id="160" w:name="_Toc152045550"/>
      <w:bookmarkStart w:id="161" w:name="_Toc144974518"/>
      <w:r>
        <w:rPr>
          <w:rFonts w:hint="eastAsia" w:ascii="宋体" w:hAnsi="宋体"/>
          <w:b/>
          <w:szCs w:val="21"/>
        </w:rPr>
        <w:t>投标保证金</w:t>
      </w:r>
      <w:bookmarkEnd w:id="156"/>
      <w:bookmarkEnd w:id="157"/>
      <w:bookmarkEnd w:id="158"/>
      <w:bookmarkEnd w:id="159"/>
      <w:bookmarkEnd w:id="160"/>
      <w:bookmarkEnd w:id="161"/>
    </w:p>
    <w:p>
      <w:pPr>
        <w:pStyle w:val="263"/>
        <w:widowControl w:val="0"/>
        <w:autoSpaceDE w:val="0"/>
        <w:autoSpaceDN w:val="0"/>
        <w:adjustRightInd w:val="0"/>
        <w:snapToGrid w:val="0"/>
        <w:ind w:firstLine="0" w:firstLineChars="0"/>
        <w:jc w:val="left"/>
        <w:rPr>
          <w:rFonts w:ascii="宋体" w:hAnsi="宋体"/>
          <w:szCs w:val="21"/>
        </w:rPr>
      </w:pPr>
      <w:bookmarkStart w:id="162" w:name="_Toc152042328"/>
      <w:bookmarkStart w:id="163" w:name="_Toc144974520"/>
      <w:bookmarkStart w:id="164" w:name="_Toc332121735"/>
      <w:bookmarkStart w:id="165" w:name="_Toc152045552"/>
      <w:bookmarkStart w:id="166" w:name="_Toc330213967"/>
      <w:bookmarkStart w:id="167" w:name="_Toc403513514"/>
      <w:r>
        <w:rPr>
          <w:rFonts w:hint="eastAsia" w:ascii="宋体" w:hAnsi="宋体"/>
          <w:szCs w:val="21"/>
        </w:rPr>
        <w:t>本次招标不收取投标保证金</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62"/>
      <w:bookmarkEnd w:id="163"/>
      <w:bookmarkEnd w:id="164"/>
      <w:bookmarkEnd w:id="165"/>
      <w:bookmarkEnd w:id="166"/>
      <w:bookmarkEnd w:id="167"/>
      <w:r>
        <w:rPr>
          <w:rFonts w:hint="eastAsia" w:ascii="宋体" w:hAnsi="宋体"/>
          <w:b/>
          <w:szCs w:val="21"/>
        </w:rPr>
        <w:t>（适用于资格后审的）</w:t>
      </w:r>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168" w:name="_Toc144974521"/>
      <w:bookmarkStart w:id="169" w:name="_Toc152045553"/>
      <w:bookmarkStart w:id="170" w:name="_Toc152042329"/>
      <w:bookmarkStart w:id="171" w:name="_Toc332121736"/>
      <w:bookmarkStart w:id="172" w:name="_Toc330213968"/>
      <w:bookmarkStart w:id="173" w:name="_Toc403513515"/>
      <w:r>
        <w:rPr>
          <w:rFonts w:ascii="宋体" w:hAnsi="宋体"/>
          <w:szCs w:val="21"/>
        </w:rPr>
        <w:t>除投标人须知前附表另有规定外，投标人应按下列规定提供资格审查资料，以证明其满足本章第 1.4 款规定的要求。</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投标人为企业的，应提交营业执照和组织机构代码证的复印件（按照“三证合一”或“五证合一”登记制度进行登记的，可仅提供营业执照复印件）</w:t>
      </w:r>
      <w:r>
        <w:rPr>
          <w:rFonts w:hint="eastAsia" w:ascii="宋体" w:hAnsi="宋体"/>
          <w:szCs w:val="21"/>
        </w:rPr>
        <w:t>。</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投标人为依法允许经营的事业单位的，应提交事业单位法人证书和组织机构代码证的复印件。</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174" w:name="_Toc152045554"/>
      <w:bookmarkStart w:id="175" w:name="_Toc152042330"/>
      <w:bookmarkStart w:id="176" w:name="_Toc144974522"/>
      <w:bookmarkStart w:id="177" w:name="_Toc330213969"/>
      <w:bookmarkStart w:id="178" w:name="_Toc403513516"/>
      <w:bookmarkStart w:id="179" w:name="_Toc332121737"/>
      <w:r>
        <w:rPr>
          <w:rFonts w:ascii="宋体" w:hAnsi="宋体"/>
          <w:szCs w:val="21"/>
        </w:rPr>
        <w:t>除投标人须知前附表规定允许外，投标人不得递交备选投标方案，否则其投标将被否决。</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74"/>
      <w:bookmarkEnd w:id="175"/>
      <w:bookmarkEnd w:id="176"/>
      <w:bookmarkEnd w:id="177"/>
      <w:bookmarkEnd w:id="178"/>
      <w:bookmarkEnd w:id="17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w:t>
      </w:r>
      <w:r>
        <w:rPr>
          <w:rFonts w:hint="eastAsia" w:ascii="宋体" w:hAnsi="宋体"/>
          <w:szCs w:val="21"/>
        </w:rPr>
        <w:t>服务</w:t>
      </w:r>
      <w:r>
        <w:rPr>
          <w:rFonts w:ascii="宋体" w:hAnsi="宋体"/>
          <w:szCs w:val="21"/>
        </w:rPr>
        <w:t>期、投标有效期、</w:t>
      </w:r>
      <w:r>
        <w:rPr>
          <w:rFonts w:hint="eastAsia" w:ascii="宋体" w:hAnsi="宋体"/>
          <w:szCs w:val="21"/>
        </w:rPr>
        <w:t>服务</w:t>
      </w:r>
      <w:r>
        <w:rPr>
          <w:rFonts w:ascii="宋体" w:hAnsi="宋体"/>
          <w:szCs w:val="21"/>
        </w:rPr>
        <w:t>要求、招标范围</w:t>
      </w:r>
      <w:r>
        <w:rPr>
          <w:rFonts w:hint="eastAsia" w:ascii="宋体" w:hAnsi="宋体"/>
          <w:szCs w:val="21"/>
        </w:rPr>
        <w:t>等或带“</w:t>
      </w:r>
      <w:r>
        <w:rPr>
          <w:rFonts w:ascii="Wingdings 2" w:hAnsi="Wingdings 2"/>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编制</w:t>
      </w:r>
      <w:r>
        <w:rPr>
          <w:rFonts w:ascii="宋体" w:hAnsi="宋体"/>
          <w:szCs w:val="21"/>
        </w:rPr>
        <w:t>投标文件，具体要求见投标人须知前附表。</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180" w:name="_Toc144974523"/>
      <w:bookmarkStart w:id="181" w:name="_Toc152045555"/>
      <w:bookmarkStart w:id="182" w:name="_Toc152042331"/>
      <w:r>
        <w:rPr>
          <w:rFonts w:hint="eastAsia" w:ascii="宋体" w:hAnsi="宋体"/>
          <w:b/>
          <w:szCs w:val="21"/>
        </w:rPr>
        <w:t>投标</w:t>
      </w:r>
      <w:bookmarkEnd w:id="180"/>
      <w:bookmarkEnd w:id="181"/>
      <w:bookmarkEnd w:id="182"/>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83" w:name="_Toc403513518"/>
      <w:bookmarkStart w:id="184" w:name="_Toc152042332"/>
      <w:bookmarkStart w:id="185" w:name="_Toc332121739"/>
      <w:bookmarkStart w:id="186" w:name="_Toc144974524"/>
      <w:bookmarkStart w:id="187" w:name="_Toc152045556"/>
      <w:bookmarkStart w:id="188" w:name="_Toc330213971"/>
      <w:bookmarkStart w:id="189" w:name="_Toc152045559"/>
      <w:bookmarkStart w:id="190" w:name="_Toc152042335"/>
      <w:bookmarkStart w:id="191" w:name="_Toc144974527"/>
      <w:r>
        <w:rPr>
          <w:rFonts w:hint="eastAsia" w:ascii="宋体" w:hAnsi="宋体"/>
          <w:b/>
          <w:szCs w:val="21"/>
        </w:rPr>
        <w:t>投标文件的</w:t>
      </w:r>
      <w:bookmarkEnd w:id="183"/>
      <w:bookmarkEnd w:id="184"/>
      <w:bookmarkEnd w:id="185"/>
      <w:bookmarkEnd w:id="186"/>
      <w:bookmarkEnd w:id="187"/>
      <w:bookmarkEnd w:id="188"/>
      <w:r>
        <w:rPr>
          <w:rFonts w:hint="eastAsia" w:ascii="宋体" w:hAnsi="宋体"/>
          <w:b/>
          <w:szCs w:val="21"/>
        </w:rPr>
        <w:t>加密</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密封</w:t>
      </w:r>
      <w:r>
        <w:rPr>
          <w:rFonts w:ascii="宋体" w:hAnsi="宋体"/>
          <w:szCs w:val="21"/>
        </w:rPr>
        <w:t>投标文件，具体要求见投标人须知前附表。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92" w:name="_Toc330213972"/>
      <w:bookmarkStart w:id="193" w:name="_Toc144974525"/>
      <w:bookmarkStart w:id="194" w:name="_Toc152042333"/>
      <w:bookmarkStart w:id="195" w:name="_Toc403513519"/>
      <w:bookmarkStart w:id="196" w:name="_Toc332121740"/>
      <w:bookmarkStart w:id="197" w:name="_Toc152045557"/>
      <w:r>
        <w:rPr>
          <w:rFonts w:hint="eastAsia" w:ascii="宋体" w:hAnsi="宋体"/>
          <w:b/>
          <w:szCs w:val="21"/>
        </w:rPr>
        <w:t>投标文件的递交</w:t>
      </w:r>
      <w:bookmarkEnd w:id="192"/>
      <w:bookmarkEnd w:id="193"/>
      <w:bookmarkEnd w:id="194"/>
      <w:bookmarkEnd w:id="195"/>
      <w:bookmarkEnd w:id="196"/>
      <w:bookmarkEnd w:id="197"/>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198" w:name="_Toc403513520"/>
      <w:bookmarkStart w:id="199" w:name="_Toc144974526"/>
      <w:bookmarkStart w:id="200" w:name="_Toc152042334"/>
      <w:bookmarkStart w:id="201" w:name="_Toc152045558"/>
      <w:bookmarkStart w:id="202" w:name="_Toc332121741"/>
      <w:bookmarkStart w:id="203" w:name="_Toc330213973"/>
      <w:r>
        <w:rPr>
          <w:rFonts w:ascii="宋体" w:hAnsi="宋体"/>
          <w:szCs w:val="21"/>
        </w:rPr>
        <w:t>投标人应在投标人须知前附表规定的投标截止时间前递交投标文件。</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投标截标时间后，不再接收任何投标文件上传。</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98"/>
      <w:bookmarkEnd w:id="199"/>
      <w:bookmarkEnd w:id="200"/>
      <w:bookmarkEnd w:id="201"/>
      <w:bookmarkEnd w:id="202"/>
      <w:bookmarkEnd w:id="20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投标人提交投标文件后，不允许</w:t>
      </w:r>
      <w:r>
        <w:rPr>
          <w:rFonts w:ascii="宋体" w:hAnsi="宋体"/>
          <w:szCs w:val="21"/>
        </w:rPr>
        <w:t>再修改已递交的投标文件。</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w:t>
      </w:r>
      <w:bookmarkEnd w:id="189"/>
      <w:bookmarkEnd w:id="190"/>
      <w:bookmarkEnd w:id="191"/>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04" w:name="_Toc403513522"/>
      <w:bookmarkStart w:id="205" w:name="_Toc144974528"/>
      <w:bookmarkStart w:id="206" w:name="_Toc332121743"/>
      <w:bookmarkStart w:id="207" w:name="_Toc152045560"/>
      <w:bookmarkStart w:id="208" w:name="_Toc152042336"/>
      <w:bookmarkStart w:id="209" w:name="_Toc330213975"/>
      <w:r>
        <w:rPr>
          <w:rFonts w:hint="eastAsia" w:ascii="宋体" w:hAnsi="宋体"/>
          <w:b/>
          <w:szCs w:val="21"/>
        </w:rPr>
        <w:t>开标时间和地点</w:t>
      </w:r>
      <w:bookmarkEnd w:id="204"/>
      <w:bookmarkEnd w:id="205"/>
      <w:bookmarkEnd w:id="206"/>
      <w:bookmarkEnd w:id="207"/>
      <w:bookmarkEnd w:id="208"/>
      <w:bookmarkEnd w:id="209"/>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210" w:name="_Toc144974529"/>
      <w:bookmarkStart w:id="211" w:name="_Toc152045561"/>
      <w:bookmarkStart w:id="212" w:name="_Toc330213976"/>
      <w:bookmarkStart w:id="213" w:name="_Toc332121744"/>
      <w:bookmarkStart w:id="214" w:name="_Toc152042337"/>
      <w:bookmarkStart w:id="215" w:name="_Toc403513523"/>
      <w:r>
        <w:rPr>
          <w:rFonts w:ascii="宋体" w:hAnsi="宋体"/>
          <w:szCs w:val="21"/>
        </w:rPr>
        <w:t>招标人在本章第4.2.1项规定的投标截止时间（开标时间）,</w:t>
      </w:r>
      <w:r>
        <w:rPr>
          <w:rFonts w:hint="eastAsia" w:ascii="宋体" w:hAnsi="宋体"/>
          <w:szCs w:val="21"/>
        </w:rPr>
        <w:t>企业自行组织开标</w:t>
      </w:r>
      <w:r>
        <w:rPr>
          <w:rFonts w:ascii="宋体" w:hAnsi="宋体"/>
          <w:szCs w:val="21"/>
        </w:rPr>
        <w:t>。</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开标程序</w:t>
      </w:r>
      <w:bookmarkEnd w:id="210"/>
      <w:bookmarkEnd w:id="211"/>
      <w:bookmarkEnd w:id="212"/>
      <w:bookmarkEnd w:id="213"/>
      <w:bookmarkEnd w:id="214"/>
      <w:bookmarkEnd w:id="215"/>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工作人员按投标文件递交顺序依次向评委展示密封的投标文件，然后逐一开标。</w:t>
      </w: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216" w:name="_Toc152042338"/>
      <w:bookmarkStart w:id="217" w:name="_Toc144974530"/>
      <w:bookmarkStart w:id="218" w:name="_Toc152045562"/>
      <w:r>
        <w:rPr>
          <w:rFonts w:hint="eastAsia" w:ascii="宋体" w:hAnsi="宋体"/>
          <w:b/>
          <w:szCs w:val="21"/>
        </w:rPr>
        <w:t>评标</w:t>
      </w:r>
      <w:bookmarkEnd w:id="216"/>
      <w:bookmarkEnd w:id="217"/>
      <w:bookmarkEnd w:id="218"/>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19" w:name="_Toc152045563"/>
      <w:bookmarkStart w:id="220" w:name="_Toc330213978"/>
      <w:bookmarkStart w:id="221" w:name="_Toc144974531"/>
      <w:bookmarkStart w:id="222" w:name="_Toc152042339"/>
      <w:bookmarkStart w:id="223" w:name="_Toc332121746"/>
      <w:bookmarkStart w:id="224" w:name="_Toc403513525"/>
      <w:r>
        <w:rPr>
          <w:rFonts w:hint="eastAsia" w:ascii="宋体" w:hAnsi="宋体"/>
          <w:b/>
          <w:szCs w:val="21"/>
        </w:rPr>
        <w:t>评标委员会</w:t>
      </w:r>
      <w:bookmarkEnd w:id="219"/>
      <w:bookmarkEnd w:id="220"/>
      <w:bookmarkEnd w:id="221"/>
      <w:bookmarkEnd w:id="222"/>
      <w:bookmarkEnd w:id="223"/>
      <w:bookmarkEnd w:id="224"/>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rPr>
        <w:t>评标小组由招标人自行组织</w:t>
      </w:r>
      <w:r>
        <w:rPr>
          <w:rFonts w:ascii="宋体" w:hAnsi="宋体"/>
          <w:szCs w:val="21"/>
        </w:rPr>
        <w:t>，成员人数为</w:t>
      </w:r>
      <w:r>
        <w:rPr>
          <w:rFonts w:hint="eastAsia" w:ascii="宋体" w:hAnsi="宋体"/>
          <w:szCs w:val="21"/>
        </w:rPr>
        <w:t>五</w:t>
      </w:r>
      <w:r>
        <w:rPr>
          <w:rFonts w:ascii="宋体" w:hAnsi="宋体"/>
          <w:szCs w:val="21"/>
        </w:rPr>
        <w:t>人</w:t>
      </w:r>
      <w:r>
        <w:rPr>
          <w:rFonts w:hint="eastAsia" w:ascii="宋体" w:hAnsi="宋体"/>
          <w:szCs w:val="21"/>
        </w:rPr>
        <w:t>（含）以上单数</w:t>
      </w:r>
      <w:r>
        <w:rPr>
          <w:rFonts w:ascii="宋体" w:hAnsi="宋体"/>
          <w:szCs w:val="21"/>
        </w:rPr>
        <w:t>，</w:t>
      </w:r>
      <w:r>
        <w:rPr>
          <w:rFonts w:hint="eastAsia" w:ascii="宋体" w:hAnsi="宋体"/>
          <w:szCs w:val="21"/>
        </w:rPr>
        <w:t>专业部门成员不得少于评标委员会成员总数的三分之二。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评标小组成员有下列情形之一的，应当回避：</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评标过程中，</w:t>
      </w:r>
      <w:r>
        <w:rPr>
          <w:rFonts w:hint="eastAsia" w:ascii="宋体" w:hAnsi="宋体"/>
          <w:szCs w:val="21"/>
        </w:rPr>
        <w:t>评标小组</w:t>
      </w:r>
      <w:r>
        <w:rPr>
          <w:rFonts w:ascii="宋体" w:hAnsi="宋体"/>
          <w:spacing w:val="-4"/>
          <w:szCs w:val="21"/>
        </w:rPr>
        <w:t>成员有回避事由、擅离职守或者因健康等原因不能继续评标</w:t>
      </w:r>
      <w:r>
        <w:rPr>
          <w:rFonts w:ascii="宋体" w:hAnsi="宋体"/>
          <w:spacing w:val="-1"/>
          <w:szCs w:val="21"/>
        </w:rPr>
        <w:t>的，招标人有权更换。被更换的</w:t>
      </w:r>
      <w:r>
        <w:rPr>
          <w:rFonts w:hint="eastAsia" w:ascii="宋体" w:hAnsi="宋体"/>
          <w:szCs w:val="21"/>
        </w:rPr>
        <w:t>评标小组</w:t>
      </w:r>
      <w:r>
        <w:rPr>
          <w:rFonts w:ascii="宋体" w:hAnsi="宋体"/>
          <w:spacing w:val="-1"/>
          <w:szCs w:val="21"/>
        </w:rPr>
        <w:t>成员作出的评审结论无效，由更换后的</w:t>
      </w:r>
      <w:r>
        <w:rPr>
          <w:rFonts w:hint="eastAsia" w:ascii="宋体" w:hAnsi="宋体"/>
          <w:szCs w:val="21"/>
        </w:rPr>
        <w:t>评标小组</w:t>
      </w:r>
      <w:r>
        <w:rPr>
          <w:rFonts w:ascii="宋体" w:hAnsi="宋体"/>
          <w:szCs w:val="21"/>
        </w:rPr>
        <w:t>成员重新进行评审。</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25" w:name="_Toc144974532"/>
      <w:bookmarkStart w:id="226" w:name="_Toc403513526"/>
      <w:bookmarkStart w:id="227" w:name="_Toc152045564"/>
      <w:bookmarkStart w:id="228" w:name="_Toc332121747"/>
      <w:bookmarkStart w:id="229" w:name="_Toc330213979"/>
      <w:bookmarkStart w:id="230" w:name="_Toc152042340"/>
      <w:r>
        <w:rPr>
          <w:rFonts w:hint="eastAsia" w:ascii="宋体" w:hAnsi="宋体"/>
          <w:b/>
          <w:szCs w:val="21"/>
        </w:rPr>
        <w:t>评标原则</w:t>
      </w:r>
      <w:bookmarkEnd w:id="225"/>
      <w:bookmarkEnd w:id="226"/>
      <w:bookmarkEnd w:id="227"/>
      <w:bookmarkEnd w:id="228"/>
      <w:bookmarkEnd w:id="229"/>
      <w:bookmarkEnd w:id="230"/>
      <w:r>
        <w:rPr>
          <w:rFonts w:ascii="宋体" w:hAnsi="宋体"/>
          <w:b/>
          <w:szCs w:val="21"/>
        </w:rPr>
        <w:tab/>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31" w:name="_Toc152042341"/>
      <w:bookmarkStart w:id="232" w:name="_Toc330213980"/>
      <w:bookmarkStart w:id="233" w:name="_Toc144974533"/>
      <w:bookmarkStart w:id="234" w:name="_Toc152045565"/>
      <w:bookmarkStart w:id="235" w:name="_Toc403513527"/>
      <w:bookmarkStart w:id="236" w:name="_Toc332121748"/>
      <w:r>
        <w:rPr>
          <w:rFonts w:hint="eastAsia" w:ascii="宋体" w:hAnsi="宋体"/>
          <w:b/>
          <w:szCs w:val="21"/>
        </w:rPr>
        <w:t>评标</w:t>
      </w:r>
      <w:bookmarkEnd w:id="231"/>
      <w:bookmarkEnd w:id="232"/>
      <w:bookmarkEnd w:id="233"/>
      <w:bookmarkEnd w:id="234"/>
      <w:bookmarkEnd w:id="235"/>
      <w:bookmarkEnd w:id="236"/>
    </w:p>
    <w:p>
      <w:pPr>
        <w:pStyle w:val="263"/>
        <w:widowControl w:val="0"/>
        <w:numPr>
          <w:ilvl w:val="2"/>
          <w:numId w:val="4"/>
        </w:numPr>
        <w:autoSpaceDE w:val="0"/>
        <w:autoSpaceDN w:val="0"/>
        <w:adjustRightInd w:val="0"/>
        <w:snapToGrid w:val="0"/>
        <w:ind w:firstLineChars="0"/>
        <w:jc w:val="left"/>
        <w:rPr>
          <w:rFonts w:ascii="宋体" w:hAnsi="宋体"/>
          <w:spacing w:val="-2"/>
          <w:szCs w:val="21"/>
        </w:rPr>
      </w:pPr>
      <w:bookmarkStart w:id="237" w:name="_Toc152042342"/>
      <w:bookmarkStart w:id="238" w:name="_Toc152045566"/>
      <w:bookmarkStart w:id="239" w:name="_Toc144974534"/>
      <w:r>
        <w:rPr>
          <w:rFonts w:hint="eastAsia" w:ascii="宋体" w:hAnsi="宋体"/>
          <w:szCs w:val="21"/>
        </w:rPr>
        <w:t>评标小组</w:t>
      </w:r>
      <w:r>
        <w:rPr>
          <w:rFonts w:ascii="宋体" w:hAnsi="宋体"/>
          <w:szCs w:val="21"/>
        </w:rPr>
        <w:t>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w:t>
      </w:r>
      <w:r>
        <w:rPr>
          <w:rFonts w:hint="eastAsia" w:ascii="宋体" w:hAnsi="宋体"/>
          <w:szCs w:val="21"/>
        </w:rPr>
        <w:t>定</w:t>
      </w:r>
      <w:r>
        <w:rPr>
          <w:rFonts w:ascii="宋体" w:hAnsi="宋体"/>
          <w:szCs w:val="21"/>
        </w:rPr>
        <w:t>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w:t>
      </w:r>
      <w:r>
        <w:rPr>
          <w:rFonts w:hint="eastAsia" w:ascii="宋体" w:hAnsi="宋体"/>
          <w:spacing w:val="-2"/>
          <w:szCs w:val="21"/>
        </w:rPr>
        <w:t>定</w:t>
      </w:r>
      <w:r>
        <w:rPr>
          <w:rFonts w:ascii="宋体" w:hAnsi="宋体"/>
          <w:spacing w:val="-2"/>
          <w:szCs w:val="21"/>
        </w:rPr>
        <w:t>标办法”没有规定的方法、评审因素和标准，不作为评标依据。</w:t>
      </w:r>
    </w:p>
    <w:p>
      <w:pPr>
        <w:pStyle w:val="263"/>
        <w:widowControl w:val="0"/>
        <w:numPr>
          <w:ilvl w:val="2"/>
          <w:numId w:val="4"/>
        </w:numPr>
        <w:autoSpaceDE w:val="0"/>
        <w:autoSpaceDN w:val="0"/>
        <w:adjustRightInd w:val="0"/>
        <w:snapToGrid w:val="0"/>
        <w:ind w:firstLineChars="0"/>
        <w:jc w:val="left"/>
        <w:rPr>
          <w:rFonts w:ascii="宋体" w:hAnsi="宋体"/>
          <w:spacing w:val="-2"/>
          <w:szCs w:val="21"/>
        </w:rPr>
      </w:pPr>
      <w:r>
        <w:rPr>
          <w:rFonts w:ascii="宋体" w:hAnsi="宋体"/>
          <w:szCs w:val="21"/>
        </w:rPr>
        <w:t>评标完成后，</w:t>
      </w:r>
      <w:r>
        <w:rPr>
          <w:rFonts w:hint="eastAsia" w:ascii="宋体" w:hAnsi="宋体"/>
          <w:szCs w:val="21"/>
        </w:rPr>
        <w:t>评标小组</w:t>
      </w:r>
      <w:r>
        <w:rPr>
          <w:rFonts w:ascii="宋体" w:hAnsi="宋体"/>
          <w:szCs w:val="21"/>
        </w:rPr>
        <w:t>应当向招标人</w:t>
      </w:r>
      <w:r>
        <w:rPr>
          <w:rFonts w:hint="eastAsia" w:ascii="宋体" w:hAnsi="宋体"/>
          <w:szCs w:val="21"/>
        </w:rPr>
        <w:t>以书面形式</w:t>
      </w:r>
      <w:r>
        <w:rPr>
          <w:rFonts w:ascii="宋体" w:hAnsi="宋体"/>
          <w:szCs w:val="21"/>
        </w:rPr>
        <w:t>提交评标报告。</w:t>
      </w:r>
      <w:r>
        <w:rPr>
          <w:rFonts w:hint="eastAsia" w:ascii="宋体" w:hAnsi="宋体"/>
          <w:szCs w:val="21"/>
        </w:rPr>
        <w:t>评标小组</w:t>
      </w:r>
      <w:r>
        <w:rPr>
          <w:rFonts w:ascii="宋体" w:hAnsi="宋体"/>
          <w:spacing w:val="-2"/>
          <w:szCs w:val="21"/>
        </w:rPr>
        <w:t>推荐中标候选人的人数见投标人须知前附表。</w:t>
      </w:r>
    </w:p>
    <w:bookmarkEnd w:id="237"/>
    <w:bookmarkEnd w:id="238"/>
    <w:bookmarkEnd w:id="239"/>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定标</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40" w:name="_Toc403513529"/>
      <w:bookmarkStart w:id="241" w:name="_Toc144974535"/>
      <w:bookmarkStart w:id="242" w:name="_Toc330213982"/>
      <w:bookmarkStart w:id="243" w:name="_Toc152042343"/>
      <w:bookmarkStart w:id="244" w:name="_Toc332121750"/>
      <w:bookmarkStart w:id="245" w:name="_Toc152045567"/>
      <w:r>
        <w:rPr>
          <w:rFonts w:hint="eastAsia" w:ascii="宋体" w:hAnsi="宋体"/>
          <w:b/>
          <w:szCs w:val="21"/>
        </w:rPr>
        <w:t>定标方式</w:t>
      </w:r>
      <w:bookmarkEnd w:id="240"/>
      <w:bookmarkEnd w:id="241"/>
      <w:bookmarkEnd w:id="242"/>
      <w:bookmarkEnd w:id="243"/>
      <w:bookmarkEnd w:id="244"/>
      <w:bookmarkEnd w:id="24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招标人在确定中标结果后，按照投标人须知前附表规定的媒介公示中标候选人，公示期不得少于3天。</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46" w:name="_Toc152042344"/>
      <w:bookmarkStart w:id="247" w:name="_Toc152045568"/>
      <w:bookmarkStart w:id="248" w:name="_Toc144974536"/>
      <w:r>
        <w:rPr>
          <w:rFonts w:ascii="宋体" w:hAnsi="宋体"/>
          <w:b/>
          <w:szCs w:val="21"/>
        </w:rPr>
        <w:t>评标结果异议</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投标人或者其他利害关系人对评</w:t>
      </w:r>
      <w:r>
        <w:rPr>
          <w:rFonts w:hint="eastAsia" w:ascii="宋体" w:hAnsi="宋体"/>
          <w:szCs w:val="21"/>
        </w:rPr>
        <w:t>标或定</w:t>
      </w:r>
      <w:r>
        <w:rPr>
          <w:rFonts w:ascii="宋体" w:hAnsi="宋体"/>
          <w:szCs w:val="21"/>
        </w:rPr>
        <w:t>标结果有异议的，应当在中标候选人公示期间提出。</w:t>
      </w: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49" w:name="_Toc403513530"/>
      <w:bookmarkStart w:id="250" w:name="_Toc330213983"/>
      <w:bookmarkStart w:id="251" w:name="_Toc332121751"/>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49"/>
      <w:bookmarkEnd w:id="250"/>
      <w:bookmarkEnd w:id="251"/>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小组将重新审查其中标候选人资格。</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52" w:name="_Toc330213984"/>
      <w:bookmarkStart w:id="253" w:name="_Toc332121752"/>
      <w:bookmarkStart w:id="254" w:name="_Toc403513531"/>
      <w:r>
        <w:rPr>
          <w:rFonts w:hint="eastAsia" w:ascii="宋体" w:hAnsi="宋体"/>
          <w:b/>
          <w:szCs w:val="21"/>
        </w:rPr>
        <w:t>中标通知</w:t>
      </w:r>
      <w:bookmarkEnd w:id="246"/>
      <w:bookmarkEnd w:id="247"/>
      <w:bookmarkEnd w:id="248"/>
      <w:bookmarkEnd w:id="252"/>
      <w:bookmarkEnd w:id="253"/>
      <w:bookmarkEnd w:id="254"/>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在本章第3.3款规定的投标有效期内，招标人向中标人发出中标通知书，同时将中标结果通知未中标的投标人。</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55" w:name="_Toc403513533"/>
      <w:bookmarkStart w:id="256" w:name="_Toc525476150"/>
      <w:bookmarkStart w:id="257" w:name="_Toc330213986"/>
      <w:bookmarkStart w:id="258" w:name="_Toc332121754"/>
      <w:bookmarkStart w:id="259" w:name="_Toc152042346"/>
      <w:bookmarkStart w:id="260" w:name="_Toc152045570"/>
      <w:bookmarkStart w:id="261" w:name="_Toc11464"/>
      <w:bookmarkStart w:id="262" w:name="_Toc524169011"/>
      <w:bookmarkStart w:id="263" w:name="_Toc144974538"/>
      <w:r>
        <w:rPr>
          <w:rFonts w:hint="eastAsia" w:ascii="宋体" w:hAnsi="宋体"/>
          <w:b/>
          <w:szCs w:val="21"/>
        </w:rPr>
        <w:t>签订合同</w:t>
      </w:r>
      <w:bookmarkEnd w:id="255"/>
      <w:bookmarkEnd w:id="256"/>
      <w:bookmarkEnd w:id="257"/>
      <w:bookmarkEnd w:id="258"/>
      <w:bookmarkEnd w:id="259"/>
      <w:bookmarkEnd w:id="260"/>
      <w:bookmarkEnd w:id="261"/>
      <w:bookmarkEnd w:id="262"/>
      <w:bookmarkEnd w:id="26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合同，在签订合同时向招标人提出附加条件，招标人有权取消其中标资格；给招标人造成的</w:t>
      </w:r>
      <w:r>
        <w:rPr>
          <w:rFonts w:hint="eastAsia" w:ascii="宋体" w:hAnsi="宋体"/>
          <w:szCs w:val="21"/>
        </w:rPr>
        <w:t>损失</w:t>
      </w:r>
      <w:r>
        <w:rPr>
          <w:rFonts w:ascii="宋体" w:hAnsi="宋体"/>
          <w:szCs w:val="21"/>
        </w:rPr>
        <w:t>，中标人应当予以赔偿。</w:t>
      </w: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264" w:name="_Hlk46483854"/>
      <w:r>
        <w:rPr>
          <w:rFonts w:hint="eastAsia" w:ascii="宋体" w:hAnsi="宋体"/>
          <w:b/>
          <w:szCs w:val="21"/>
        </w:rPr>
        <w:t>招标失败的情形</w:t>
      </w:r>
    </w:p>
    <w:p>
      <w:pPr>
        <w:pStyle w:val="263"/>
        <w:widowControl w:val="0"/>
        <w:autoSpaceDE w:val="0"/>
        <w:autoSpaceDN w:val="0"/>
        <w:adjustRightInd w:val="0"/>
        <w:snapToGrid w:val="0"/>
        <w:ind w:firstLine="0" w:firstLineChars="0"/>
        <w:jc w:val="left"/>
        <w:rPr>
          <w:rFonts w:ascii="宋体" w:hAnsi="宋体"/>
          <w:szCs w:val="21"/>
        </w:rPr>
      </w:pPr>
      <w:bookmarkStart w:id="265" w:name="_Toc152045574"/>
      <w:bookmarkStart w:id="266" w:name="_Toc144974542"/>
      <w:bookmarkStart w:id="267" w:name="_Toc152042350"/>
      <w:r>
        <w:rPr>
          <w:rFonts w:hint="eastAsia" w:ascii="宋体" w:hAnsi="宋体"/>
          <w:szCs w:val="21"/>
        </w:rPr>
        <w:t>发生以下情形的，招标人应当宣布本次招标失败：</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因投标人数量不足三家未能达到开标条件的；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或者评标小组否决一部分投标后其他有效投标不足三个使得投标明显缺乏竞争而否决所有投标的；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ascii="宋体" w:hAnsi="宋体"/>
          <w:szCs w:val="21"/>
        </w:rPr>
        <w:t>须知</w:t>
      </w:r>
      <w:r>
        <w:rPr>
          <w:rFonts w:hint="eastAsia" w:ascii="宋体" w:hAnsi="宋体"/>
          <w:szCs w:val="21"/>
        </w:rPr>
        <w:t>前附表规定的其他情形。</w:t>
      </w:r>
      <w:bookmarkEnd w:id="264"/>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65"/>
      <w:bookmarkEnd w:id="266"/>
      <w:bookmarkEnd w:id="267"/>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68" w:name="_Toc152045575"/>
      <w:bookmarkStart w:id="269" w:name="_Toc403513538"/>
      <w:bookmarkStart w:id="270" w:name="_Toc330213991"/>
      <w:bookmarkStart w:id="271" w:name="_Toc144974543"/>
      <w:bookmarkStart w:id="272" w:name="_Toc152042351"/>
      <w:bookmarkStart w:id="273" w:name="_Toc332121759"/>
      <w:r>
        <w:rPr>
          <w:rFonts w:hint="eastAsia" w:ascii="宋体" w:hAnsi="宋体"/>
          <w:b/>
          <w:szCs w:val="21"/>
        </w:rPr>
        <w:t>对招标人的纪律要求</w:t>
      </w:r>
      <w:bookmarkEnd w:id="268"/>
      <w:bookmarkEnd w:id="269"/>
      <w:bookmarkEnd w:id="270"/>
      <w:bookmarkEnd w:id="271"/>
      <w:bookmarkEnd w:id="272"/>
      <w:bookmarkEnd w:id="27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74" w:name="_Toc144974544"/>
      <w:bookmarkStart w:id="275" w:name="_Toc152042352"/>
      <w:bookmarkStart w:id="276" w:name="_Toc332121760"/>
      <w:bookmarkStart w:id="277" w:name="_Toc152045576"/>
      <w:bookmarkStart w:id="278" w:name="_Toc330213992"/>
      <w:bookmarkStart w:id="279" w:name="_Toc403513539"/>
      <w:r>
        <w:rPr>
          <w:rFonts w:hint="eastAsia" w:ascii="宋体" w:hAnsi="宋体"/>
          <w:b/>
          <w:szCs w:val="21"/>
        </w:rPr>
        <w:t>对投标人的纪律要求</w:t>
      </w:r>
      <w:bookmarkEnd w:id="274"/>
      <w:bookmarkEnd w:id="275"/>
      <w:bookmarkEnd w:id="276"/>
      <w:bookmarkEnd w:id="277"/>
      <w:bookmarkEnd w:id="278"/>
      <w:bookmarkEnd w:id="27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投标人不得相互串通投标或者与招标人串通投标，不得向招标人或者评评标小组成员行贿谋取中标，不得以他人名义投标或者以其他方式弄虚作假骗取中标；投标人不得以任何方式干扰、影响评标工作。</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80" w:name="_Toc152045577"/>
      <w:bookmarkStart w:id="281" w:name="_Toc332121761"/>
      <w:bookmarkStart w:id="282" w:name="_Toc403513540"/>
      <w:bookmarkStart w:id="283" w:name="_Toc152042353"/>
      <w:bookmarkStart w:id="284" w:name="_Toc144974545"/>
      <w:bookmarkStart w:id="285" w:name="_Toc330213993"/>
      <w:r>
        <w:rPr>
          <w:rFonts w:hint="eastAsia" w:ascii="宋体" w:hAnsi="宋体"/>
          <w:b/>
          <w:szCs w:val="21"/>
        </w:rPr>
        <w:t>对评标委员会成员的纪律要求</w:t>
      </w:r>
      <w:bookmarkEnd w:id="280"/>
      <w:bookmarkEnd w:id="281"/>
      <w:bookmarkEnd w:id="282"/>
      <w:bookmarkEnd w:id="283"/>
      <w:bookmarkEnd w:id="284"/>
      <w:bookmarkEnd w:id="28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不得收受他人的财物或者其他好处，不得向他人透露对投标文件的评审和比较、中标候选人的推荐情况以及与评标有关的其他情况。在评标活动中，评标小组成员不得擅离职守，影响评标程序正常进行，不得使用第二章“评定标办法”没有规定的评审因素和标准进行评标。</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86" w:name="_Toc330213994"/>
      <w:bookmarkStart w:id="287" w:name="_Toc403513541"/>
      <w:bookmarkStart w:id="288" w:name="_Toc152042354"/>
      <w:bookmarkStart w:id="289" w:name="_Toc152045578"/>
      <w:bookmarkStart w:id="290" w:name="_Toc332121762"/>
      <w:bookmarkStart w:id="291" w:name="_Toc144974546"/>
      <w:r>
        <w:rPr>
          <w:rFonts w:hint="eastAsia" w:ascii="宋体" w:hAnsi="宋体"/>
          <w:b/>
          <w:szCs w:val="21"/>
        </w:rPr>
        <w:t>对与评标活动有关的工作人员的纪律要求</w:t>
      </w:r>
      <w:bookmarkEnd w:id="286"/>
      <w:bookmarkEnd w:id="287"/>
      <w:bookmarkEnd w:id="288"/>
      <w:bookmarkEnd w:id="289"/>
      <w:bookmarkEnd w:id="290"/>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292"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91"/>
      <w:bookmarkEnd w:id="292"/>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pPr>
        <w:pStyle w:val="263"/>
        <w:widowControl w:val="0"/>
        <w:numPr>
          <w:ilvl w:val="1"/>
          <w:numId w:val="4"/>
        </w:numPr>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53"/>
    <w:p>
      <w:pPr>
        <w:widowControl w:val="0"/>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8"/>
    <w:bookmarkEnd w:id="169"/>
    <w:bookmarkEnd w:id="170"/>
    <w:bookmarkEnd w:id="171"/>
    <w:bookmarkEnd w:id="172"/>
    <w:bookmarkEnd w:id="173"/>
    <w:p>
      <w:pPr>
        <w:widowControl w:val="0"/>
        <w:autoSpaceDE w:val="0"/>
        <w:autoSpaceDN w:val="0"/>
        <w:adjustRightInd w:val="0"/>
        <w:snapToGrid w:val="0"/>
        <w:ind w:firstLine="0" w:firstLineChars="0"/>
        <w:jc w:val="left"/>
        <w:rPr>
          <w:rFonts w:ascii="宋体" w:hAnsi="宋体"/>
          <w:sz w:val="84"/>
          <w:szCs w:val="84"/>
        </w:rPr>
      </w:pPr>
      <w:bookmarkStart w:id="293" w:name="_Toc144974565"/>
      <w:bookmarkStart w:id="294" w:name="_Toc152042375"/>
      <w:bookmarkStart w:id="295" w:name="_Toc152045598"/>
      <w:bookmarkStart w:id="296" w:name="_Hlk532142035"/>
    </w:p>
    <w:p>
      <w:pPr>
        <w:widowControl w:val="0"/>
        <w:autoSpaceDE w:val="0"/>
        <w:autoSpaceDN w:val="0"/>
        <w:adjustRightInd w:val="0"/>
        <w:snapToGrid w:val="0"/>
        <w:ind w:firstLine="0" w:firstLineChars="0"/>
        <w:jc w:val="left"/>
        <w:rPr>
          <w:rFonts w:ascii="宋体" w:hAnsi="宋体"/>
          <w:sz w:val="84"/>
          <w:szCs w:val="84"/>
        </w:rPr>
      </w:pPr>
    </w:p>
    <w:p>
      <w:pPr>
        <w:widowControl w:val="0"/>
        <w:autoSpaceDE w:val="0"/>
        <w:autoSpaceDN w:val="0"/>
        <w:adjustRightInd w:val="0"/>
        <w:snapToGrid w:val="0"/>
        <w:ind w:firstLine="0" w:firstLineChars="0"/>
        <w:jc w:val="left"/>
        <w:rPr>
          <w:rFonts w:ascii="宋体" w:hAnsi="宋体"/>
          <w:sz w:val="84"/>
          <w:szCs w:val="84"/>
        </w:rPr>
      </w:pPr>
    </w:p>
    <w:p>
      <w:pPr>
        <w:widowControl w:val="0"/>
        <w:autoSpaceDE w:val="0"/>
        <w:autoSpaceDN w:val="0"/>
        <w:adjustRightInd w:val="0"/>
        <w:snapToGrid w:val="0"/>
        <w:ind w:firstLine="0" w:firstLineChars="0"/>
        <w:jc w:val="center"/>
        <w:outlineLvl w:val="0"/>
        <w:rPr>
          <w:rFonts w:ascii="宋体" w:hAnsi="宋体"/>
          <w:sz w:val="52"/>
          <w:szCs w:val="52"/>
        </w:rPr>
      </w:pPr>
      <w:bookmarkStart w:id="297" w:name="_Toc49247157"/>
      <w:r>
        <w:rPr>
          <w:rFonts w:hint="eastAsia" w:ascii="宋体" w:hAnsi="宋体"/>
          <w:b/>
          <w:bCs/>
          <w:sz w:val="48"/>
          <w:szCs w:val="48"/>
        </w:rPr>
        <w:t>第二章 评定标办法（综合评审法）</w:t>
      </w:r>
      <w:bookmarkEnd w:id="293"/>
      <w:bookmarkEnd w:id="294"/>
      <w:bookmarkEnd w:id="295"/>
      <w:bookmarkEnd w:id="297"/>
      <w:bookmarkStart w:id="298" w:name="_Toc330213998"/>
      <w:bookmarkStart w:id="299" w:name="_Toc144974567"/>
      <w:bookmarkStart w:id="300" w:name="_Toc152045600"/>
      <w:bookmarkStart w:id="301" w:name="_Toc152042377"/>
      <w:bookmarkStart w:id="302" w:name="_Toc379581361"/>
    </w:p>
    <w:p>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03" w:name="_Toc49247158"/>
      <w:r>
        <w:rPr>
          <w:rFonts w:hint="eastAsia" w:ascii="宋体" w:hAnsi="宋体"/>
          <w:b/>
          <w:sz w:val="32"/>
          <w:szCs w:val="32"/>
        </w:rPr>
        <w:t>一、评标须知</w:t>
      </w:r>
      <w:bookmarkEnd w:id="303"/>
    </w:p>
    <w:p>
      <w:pPr>
        <w:widowControl w:val="0"/>
        <w:numPr>
          <w:ilvl w:val="0"/>
          <w:numId w:val="5"/>
        </w:numPr>
        <w:autoSpaceDE w:val="0"/>
        <w:autoSpaceDN w:val="0"/>
        <w:adjustRightInd w:val="0"/>
        <w:snapToGrid w:val="0"/>
        <w:ind w:firstLineChars="0"/>
        <w:jc w:val="left"/>
        <w:rPr>
          <w:rFonts w:ascii="宋体" w:hAnsi="宋体"/>
          <w:b/>
        </w:rPr>
      </w:pPr>
      <w:bookmarkStart w:id="304" w:name="_Toc361737575"/>
      <w:bookmarkStart w:id="305" w:name="_Toc523252722"/>
      <w:bookmarkStart w:id="306" w:name="_Toc350872398"/>
      <w:bookmarkStart w:id="307" w:name="_Toc291178114"/>
      <w:bookmarkStart w:id="308" w:name="_Toc290992890"/>
      <w:bookmarkStart w:id="309" w:name="_Toc351032830"/>
      <w:r>
        <w:rPr>
          <w:rFonts w:hint="eastAsia" w:ascii="宋体" w:hAnsi="宋体"/>
          <w:b/>
        </w:rPr>
        <w:t>评标</w:t>
      </w:r>
      <w:bookmarkEnd w:id="304"/>
      <w:bookmarkEnd w:id="305"/>
      <w:bookmarkEnd w:id="306"/>
      <w:bookmarkEnd w:id="307"/>
      <w:bookmarkEnd w:id="308"/>
      <w:bookmarkEnd w:id="309"/>
      <w:r>
        <w:rPr>
          <w:rFonts w:hint="eastAsia" w:ascii="宋体" w:hAnsi="宋体"/>
          <w:b/>
        </w:rPr>
        <w:t>小组</w:t>
      </w:r>
    </w:p>
    <w:p>
      <w:pPr>
        <w:widowControl w:val="0"/>
        <w:numPr>
          <w:ilvl w:val="1"/>
          <w:numId w:val="5"/>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w:t>
      </w:r>
      <w:r>
        <w:rPr>
          <w:rFonts w:hint="eastAsia" w:ascii="宋体" w:hAnsi="宋体"/>
        </w:rPr>
        <w:t>小组</w:t>
      </w:r>
      <w:r>
        <w:rPr>
          <w:rFonts w:ascii="宋体" w:hAnsi="宋体"/>
        </w:rPr>
        <w:t>，评标</w:t>
      </w:r>
      <w:r>
        <w:rPr>
          <w:rFonts w:hint="eastAsia" w:ascii="宋体" w:hAnsi="宋体"/>
        </w:rPr>
        <w:t>小组由招标人根据需要自行组织</w:t>
      </w:r>
      <w:r>
        <w:rPr>
          <w:rFonts w:ascii="宋体" w:hAnsi="宋体"/>
        </w:rPr>
        <w:t>，成员人数为</w:t>
      </w:r>
      <w:r>
        <w:rPr>
          <w:rFonts w:hint="eastAsia" w:ascii="宋体" w:hAnsi="宋体"/>
        </w:rPr>
        <w:t>五</w:t>
      </w:r>
      <w:r>
        <w:rPr>
          <w:rFonts w:ascii="宋体" w:hAnsi="宋体"/>
        </w:rPr>
        <w:t>人</w:t>
      </w:r>
      <w:r>
        <w:rPr>
          <w:rFonts w:hint="eastAsia" w:ascii="宋体" w:hAnsi="宋体"/>
        </w:rPr>
        <w:t>（含）以上单数。</w:t>
      </w:r>
      <w:r>
        <w:rPr>
          <w:rFonts w:ascii="宋体" w:hAnsi="宋体"/>
        </w:rPr>
        <w:t>与投标人有利害关系的</w:t>
      </w:r>
      <w:r>
        <w:rPr>
          <w:rFonts w:hint="eastAsia" w:ascii="宋体" w:hAnsi="宋体"/>
        </w:rPr>
        <w:t>成员应当回避</w:t>
      </w:r>
      <w:r>
        <w:rPr>
          <w:rFonts w:ascii="宋体" w:hAnsi="宋体"/>
          <w:szCs w:val="21"/>
        </w:rPr>
        <w:t>。</w:t>
      </w:r>
    </w:p>
    <w:p>
      <w:pPr>
        <w:widowControl w:val="0"/>
        <w:numPr>
          <w:ilvl w:val="0"/>
          <w:numId w:val="5"/>
        </w:numPr>
        <w:autoSpaceDE w:val="0"/>
        <w:autoSpaceDN w:val="0"/>
        <w:adjustRightInd w:val="0"/>
        <w:snapToGrid w:val="0"/>
        <w:ind w:firstLineChars="0"/>
        <w:jc w:val="left"/>
        <w:rPr>
          <w:rFonts w:ascii="宋体" w:hAnsi="宋体"/>
          <w:b/>
        </w:rPr>
      </w:pPr>
      <w:bookmarkStart w:id="310" w:name="_Toc523252723"/>
      <w:bookmarkStart w:id="311" w:name="_Toc290992891"/>
      <w:bookmarkStart w:id="312" w:name="_Toc351032831"/>
      <w:bookmarkStart w:id="313" w:name="_Toc361737576"/>
      <w:bookmarkStart w:id="314" w:name="_Toc291178115"/>
      <w:bookmarkStart w:id="315" w:name="_Toc350872399"/>
      <w:r>
        <w:rPr>
          <w:rFonts w:hint="eastAsia" w:ascii="宋体" w:hAnsi="宋体"/>
          <w:b/>
        </w:rPr>
        <w:t>评标人员守则</w:t>
      </w:r>
      <w:bookmarkEnd w:id="310"/>
      <w:bookmarkEnd w:id="311"/>
      <w:bookmarkEnd w:id="312"/>
      <w:bookmarkEnd w:id="313"/>
      <w:bookmarkEnd w:id="314"/>
      <w:bookmarkEnd w:id="315"/>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全体参与评标人员：</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评标步骤</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pPr>
        <w:widowControl w:val="0"/>
        <w:numPr>
          <w:ilvl w:val="2"/>
          <w:numId w:val="5"/>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pPr>
        <w:widowControl w:val="0"/>
        <w:numPr>
          <w:ilvl w:val="0"/>
          <w:numId w:val="5"/>
        </w:numPr>
        <w:autoSpaceDE w:val="0"/>
        <w:autoSpaceDN w:val="0"/>
        <w:adjustRightInd w:val="0"/>
        <w:snapToGrid w:val="0"/>
        <w:ind w:firstLineChars="0"/>
        <w:jc w:val="left"/>
        <w:rPr>
          <w:rFonts w:ascii="宋体" w:hAnsi="宋体"/>
          <w:b/>
        </w:rPr>
      </w:pPr>
      <w:bookmarkStart w:id="316" w:name="_Toc523252725"/>
      <w:r>
        <w:rPr>
          <w:rFonts w:ascii="宋体" w:hAnsi="宋体"/>
          <w:b/>
        </w:rPr>
        <w:t>评标准备</w:t>
      </w:r>
      <w:bookmarkEnd w:id="316"/>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w:t>
      </w:r>
      <w:r>
        <w:rPr>
          <w:rFonts w:ascii="宋体" w:hAnsi="宋体"/>
        </w:rPr>
        <w:t>进入评标室后，首先推选</w:t>
      </w:r>
      <w:r>
        <w:rPr>
          <w:rFonts w:hint="eastAsia" w:ascii="宋体" w:hAnsi="宋体"/>
        </w:rPr>
        <w:t>一名成员担任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w:t>
      </w:r>
      <w:r>
        <w:rPr>
          <w:rFonts w:hint="eastAsia" w:ascii="宋体" w:hAnsi="宋体"/>
        </w:rPr>
        <w:t>小组</w:t>
      </w:r>
      <w:r>
        <w:rPr>
          <w:rFonts w:ascii="宋体" w:hAnsi="宋体"/>
        </w:rPr>
        <w:t>按约定的程序</w:t>
      </w:r>
      <w:r>
        <w:rPr>
          <w:rFonts w:hint="eastAsia" w:ascii="宋体" w:hAnsi="宋体"/>
        </w:rPr>
        <w:t>进行</w:t>
      </w:r>
      <w:r>
        <w:rPr>
          <w:rFonts w:ascii="宋体" w:hAnsi="宋体"/>
        </w:rPr>
        <w:t>评标。</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否决性评审</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检查不同投标人的投标文件是否由同一单位或者个人编制；</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w:t>
      </w:r>
      <w:r>
        <w:rPr>
          <w:rFonts w:hint="eastAsia" w:ascii="宋体" w:hAnsi="宋体"/>
          <w:snapToGrid w:val="0"/>
          <w:kern w:val="0"/>
        </w:rPr>
        <w:t>投标文件是否对应招标文件编制需求</w:t>
      </w:r>
      <w:r>
        <w:rPr>
          <w:rFonts w:hint="eastAsia" w:ascii="宋体" w:hAnsi="宋体"/>
        </w:rPr>
        <w:t>。</w:t>
      </w:r>
    </w:p>
    <w:p>
      <w:pPr>
        <w:widowControl w:val="0"/>
        <w:numPr>
          <w:ilvl w:val="0"/>
          <w:numId w:val="5"/>
        </w:numPr>
        <w:autoSpaceDE w:val="0"/>
        <w:autoSpaceDN w:val="0"/>
        <w:adjustRightInd w:val="0"/>
        <w:snapToGrid w:val="0"/>
        <w:ind w:firstLineChars="0"/>
        <w:jc w:val="left"/>
        <w:rPr>
          <w:rFonts w:ascii="宋体" w:hAnsi="宋体"/>
          <w:b/>
        </w:rPr>
      </w:pPr>
      <w:r>
        <w:rPr>
          <w:rFonts w:ascii="宋体" w:hAnsi="宋体"/>
          <w:b/>
        </w:rPr>
        <w:t>废标条件</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pPr>
        <w:widowControl w:val="0"/>
        <w:numPr>
          <w:ilvl w:val="0"/>
          <w:numId w:val="5"/>
        </w:numPr>
        <w:autoSpaceDE w:val="0"/>
        <w:autoSpaceDN w:val="0"/>
        <w:adjustRightInd w:val="0"/>
        <w:snapToGrid w:val="0"/>
        <w:ind w:firstLineChars="0"/>
        <w:jc w:val="left"/>
        <w:rPr>
          <w:rFonts w:ascii="宋体" w:hAnsi="宋体"/>
          <w:b/>
        </w:rPr>
      </w:pPr>
      <w:bookmarkStart w:id="317" w:name="_Toc350872401"/>
      <w:bookmarkStart w:id="318" w:name="_Toc361737578"/>
      <w:bookmarkStart w:id="319" w:name="_Toc523252730"/>
      <w:bookmarkStart w:id="320" w:name="_Toc290992893"/>
      <w:bookmarkStart w:id="321" w:name="_Toc291178117"/>
      <w:bookmarkStart w:id="322" w:name="_Toc351032833"/>
      <w:r>
        <w:rPr>
          <w:rFonts w:hint="eastAsia" w:ascii="宋体" w:hAnsi="宋体"/>
          <w:b/>
        </w:rPr>
        <w:t>附则</w:t>
      </w:r>
      <w:bookmarkEnd w:id="317"/>
      <w:bookmarkEnd w:id="318"/>
      <w:bookmarkEnd w:id="319"/>
      <w:bookmarkEnd w:id="320"/>
      <w:bookmarkEnd w:id="321"/>
      <w:bookmarkEnd w:id="322"/>
    </w:p>
    <w:p>
      <w:pPr>
        <w:widowControl w:val="0"/>
        <w:numPr>
          <w:ilvl w:val="1"/>
          <w:numId w:val="5"/>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附件一</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11"/>
        <w:gridCol w:w="1519"/>
        <w:gridCol w:w="3843"/>
        <w:gridCol w:w="1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5"/>
            <w:shd w:val="clear" w:color="auto" w:fill="D9E2F3"/>
            <w:vAlign w:val="center"/>
          </w:tcPr>
          <w:p>
            <w:pPr>
              <w:widowControl w:val="0"/>
              <w:autoSpaceDE w:val="0"/>
              <w:autoSpaceDN w:val="0"/>
              <w:adjustRightInd w:val="0"/>
              <w:snapToGrid w:val="0"/>
              <w:ind w:firstLine="0" w:firstLineChars="0"/>
              <w:jc w:val="center"/>
              <w:rPr>
                <w:rFonts w:ascii="宋体" w:hAnsi="宋体" w:cs="宋体"/>
                <w:b/>
                <w:sz w:val="32"/>
                <w:szCs w:val="32"/>
              </w:rPr>
            </w:pPr>
            <w:r>
              <w:rPr>
                <w:rFonts w:hint="eastAsia" w:ascii="宋体" w:hAnsi="宋体" w:cs="宋体"/>
                <w:b/>
                <w:sz w:val="32"/>
                <w:szCs w:val="32"/>
              </w:rPr>
              <w:t>《初步评审审查标准》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42" w:type="dxa"/>
            <w:gridSpan w:val="2"/>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条款号</w:t>
            </w:r>
          </w:p>
        </w:tc>
        <w:tc>
          <w:tcPr>
            <w:tcW w:w="1519" w:type="dxa"/>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评审因素</w:t>
            </w:r>
          </w:p>
        </w:tc>
        <w:tc>
          <w:tcPr>
            <w:tcW w:w="3843" w:type="dxa"/>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w:t>
            </w:r>
            <w:r>
              <w:rPr>
                <w:rFonts w:hint="eastAsia" w:ascii="宋体" w:hAnsi="宋体" w:cs="宋体"/>
                <w:b/>
                <w:sz w:val="24"/>
              </w:rPr>
              <w:t>内容</w:t>
            </w:r>
          </w:p>
        </w:tc>
        <w:tc>
          <w:tcPr>
            <w:tcW w:w="1519" w:type="dxa"/>
            <w:vAlign w:val="center"/>
          </w:tcPr>
          <w:p>
            <w:pPr>
              <w:widowControl w:val="0"/>
              <w:autoSpaceDE w:val="0"/>
              <w:autoSpaceDN w:val="0"/>
              <w:adjustRightInd w:val="0"/>
              <w:snapToGrid w:val="0"/>
              <w:ind w:firstLine="0" w:firstLineChars="0"/>
              <w:jc w:val="center"/>
              <w:rPr>
                <w:rFonts w:ascii="宋体" w:hAnsi="宋体" w:cs="宋体"/>
                <w:b/>
                <w:sz w:val="24"/>
              </w:rPr>
            </w:pPr>
            <w:r>
              <w:rPr>
                <w:rFonts w:hint="eastAsia" w:ascii="宋体" w:hAnsi="宋体" w:cs="宋体"/>
                <w:b/>
                <w:sz w:val="24"/>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1</w:t>
            </w:r>
          </w:p>
        </w:tc>
        <w:tc>
          <w:tcPr>
            <w:tcW w:w="111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形式评审标准</w:t>
            </w: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只能有一个有效报价</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否决性条款判定</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2</w:t>
            </w:r>
          </w:p>
        </w:tc>
        <w:tc>
          <w:tcPr>
            <w:tcW w:w="111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资格评审标准</w:t>
            </w: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具备有效的营业执照（事业单位法人证书或其他主体开办证明）</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43" w:type="dxa"/>
            <w:vAlign w:val="center"/>
          </w:tcPr>
          <w:p>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43"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不存在第一章“投标人须知”第三节“总则”中1.4.</w:t>
            </w:r>
            <w:r>
              <w:rPr>
                <w:rFonts w:ascii="宋体" w:hAnsi="宋体"/>
                <w:szCs w:val="21"/>
              </w:rPr>
              <w:t>5</w:t>
            </w:r>
            <w:r>
              <w:rPr>
                <w:rFonts w:hint="eastAsia" w:ascii="宋体" w:hAnsi="宋体"/>
                <w:szCs w:val="21"/>
              </w:rPr>
              <w:t>规定的任何一种情形</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3</w:t>
            </w:r>
          </w:p>
        </w:tc>
        <w:tc>
          <w:tcPr>
            <w:tcW w:w="111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响应性评审标准</w:t>
            </w: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服务期</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43"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bl>
    <w:p>
      <w:pPr>
        <w:widowControl w:val="0"/>
        <w:autoSpaceDE w:val="0"/>
        <w:autoSpaceDN w:val="0"/>
        <w:adjustRightInd w:val="0"/>
        <w:snapToGrid w:val="0"/>
        <w:ind w:firstLine="0" w:firstLineChars="0"/>
        <w:jc w:val="center"/>
        <w:outlineLvl w:val="1"/>
        <w:rPr>
          <w:rFonts w:ascii="宋体" w:hAnsi="宋体"/>
          <w:szCs w:val="21"/>
        </w:rPr>
      </w:pPr>
      <w:r>
        <w:rPr>
          <w:rFonts w:ascii="宋体" w:hAnsi="宋体"/>
          <w:szCs w:val="21"/>
        </w:rPr>
        <w:br w:type="page"/>
      </w:r>
      <w:bookmarkStart w:id="323" w:name="_Toc49247159"/>
      <w:r>
        <w:rPr>
          <w:rFonts w:hint="eastAsia" w:ascii="宋体" w:hAnsi="宋体"/>
          <w:b/>
          <w:sz w:val="32"/>
        </w:rPr>
        <w:t>二、评标方法</w:t>
      </w:r>
      <w:bookmarkEnd w:id="323"/>
    </w:p>
    <w:p>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（综合评分法）</w:t>
      </w:r>
    </w:p>
    <w:p>
      <w:pPr>
        <w:widowControl w:val="0"/>
        <w:autoSpaceDE w:val="0"/>
        <w:autoSpaceDN w:val="0"/>
        <w:adjustRightInd w:val="0"/>
        <w:snapToGrid w:val="0"/>
        <w:ind w:firstLine="0" w:firstLineChars="0"/>
        <w:jc w:val="left"/>
        <w:rPr>
          <w:rFonts w:ascii="宋体" w:hAnsi="宋体"/>
        </w:rPr>
      </w:pPr>
      <w:bookmarkStart w:id="324" w:name="_bookmark91"/>
      <w:bookmarkEnd w:id="324"/>
      <w:bookmarkStart w:id="325" w:name="_bookmark90"/>
      <w:bookmarkEnd w:id="325"/>
      <w:bookmarkStart w:id="326" w:name="_Toc177546571"/>
      <w:bookmarkStart w:id="327" w:name="_Toc229236501"/>
      <w:bookmarkStart w:id="328" w:name="_Toc209869262"/>
      <w:r>
        <w:rPr>
          <w:rFonts w:hint="eastAsia" w:ascii="宋体" w:hAnsi="宋体"/>
        </w:rPr>
        <w:t>本项目采用综合评分法，是指在最大限度地满足招标文件实质性要求前提下，按照招标文件规定的评审标准进行评审，按评审因素的量化指标评审，排序靠前的为中标候选人。</w:t>
      </w:r>
    </w:p>
    <w:p>
      <w:pPr>
        <w:widowControl w:val="0"/>
        <w:numPr>
          <w:ilvl w:val="0"/>
          <w:numId w:val="6"/>
        </w:numPr>
        <w:autoSpaceDE w:val="0"/>
        <w:autoSpaceDN w:val="0"/>
        <w:adjustRightInd w:val="0"/>
        <w:snapToGrid w:val="0"/>
        <w:ind w:firstLineChars="0"/>
        <w:jc w:val="left"/>
        <w:rPr>
          <w:rFonts w:ascii="宋体" w:hAnsi="宋体"/>
          <w:b/>
        </w:rPr>
      </w:pPr>
      <w:bookmarkStart w:id="329" w:name="_Toc523252726"/>
      <w:r>
        <w:rPr>
          <w:rFonts w:hint="eastAsia" w:ascii="宋体" w:hAnsi="宋体"/>
          <w:b/>
        </w:rPr>
        <w:t>评标程序</w:t>
      </w:r>
      <w:bookmarkEnd w:id="329"/>
    </w:p>
    <w:p>
      <w:pPr>
        <w:widowControl w:val="0"/>
        <w:numPr>
          <w:ilvl w:val="1"/>
          <w:numId w:val="6"/>
        </w:numPr>
        <w:autoSpaceDE w:val="0"/>
        <w:autoSpaceDN w:val="0"/>
        <w:adjustRightInd w:val="0"/>
        <w:snapToGrid w:val="0"/>
        <w:ind w:firstLineChars="0"/>
        <w:jc w:val="left"/>
        <w:rPr>
          <w:rFonts w:ascii="宋体" w:hAnsi="宋体"/>
          <w:b/>
        </w:rPr>
      </w:pPr>
      <w:r>
        <w:rPr>
          <w:rFonts w:ascii="宋体" w:hAnsi="宋体"/>
        </w:rPr>
        <w:t>初步评审</w:t>
      </w:r>
    </w:p>
    <w:p>
      <w:pPr>
        <w:widowControl w:val="0"/>
        <w:numPr>
          <w:ilvl w:val="2"/>
          <w:numId w:val="6"/>
        </w:numPr>
        <w:autoSpaceDE w:val="0"/>
        <w:autoSpaceDN w:val="0"/>
        <w:adjustRightInd w:val="0"/>
        <w:snapToGrid w:val="0"/>
        <w:ind w:firstLineChars="0"/>
        <w:jc w:val="left"/>
        <w:rPr>
          <w:rFonts w:ascii="宋体" w:hAnsi="宋体"/>
          <w:b/>
        </w:rPr>
      </w:pPr>
      <w:r>
        <w:rPr>
          <w:rFonts w:ascii="宋体" w:hAnsi="宋体"/>
        </w:rPr>
        <w:t>评标</w:t>
      </w:r>
      <w:r>
        <w:rPr>
          <w:rFonts w:hint="eastAsia" w:ascii="宋体" w:hAnsi="宋体"/>
        </w:rPr>
        <w:t>小组</w:t>
      </w:r>
      <w:r>
        <w:rPr>
          <w:rFonts w:ascii="宋体" w:hAnsi="宋体"/>
        </w:rPr>
        <w:t>可以要求投标人提交第</w:t>
      </w:r>
      <w:r>
        <w:rPr>
          <w:rFonts w:hint="eastAsia" w:ascii="宋体" w:hAnsi="宋体"/>
        </w:rPr>
        <w:t>一</w:t>
      </w:r>
      <w:r>
        <w:rPr>
          <w:rFonts w:ascii="宋体" w:hAnsi="宋体"/>
        </w:rPr>
        <w:t>章“投标人须知”规定的有关证明和证件的原件，以便核验。评标</w:t>
      </w:r>
      <w:r>
        <w:rPr>
          <w:rFonts w:hint="eastAsia" w:ascii="宋体" w:hAnsi="宋体"/>
        </w:rPr>
        <w:t>小组</w:t>
      </w:r>
      <w:r>
        <w:rPr>
          <w:rFonts w:ascii="宋体" w:hAnsi="宋体"/>
        </w:rPr>
        <w:t>依据本章规定的标准对投标文件进行初步评审</w:t>
      </w:r>
      <w:r>
        <w:rPr>
          <w:rFonts w:hint="eastAsia" w:ascii="宋体" w:hAnsi="宋体"/>
        </w:rPr>
        <w:t>，</w:t>
      </w:r>
      <w:r>
        <w:rPr>
          <w:rFonts w:ascii="宋体" w:hAnsi="宋体"/>
        </w:rPr>
        <w:t>有一项不符合评审标准的，评标</w:t>
      </w:r>
      <w:r>
        <w:rPr>
          <w:rFonts w:hint="eastAsia" w:ascii="宋体" w:hAnsi="宋体"/>
        </w:rPr>
        <w:t>小组</w:t>
      </w:r>
      <w:r>
        <w:rPr>
          <w:rFonts w:ascii="宋体" w:hAnsi="宋体"/>
        </w:rPr>
        <w:t>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pPr>
        <w:widowControl w:val="0"/>
        <w:numPr>
          <w:ilvl w:val="1"/>
          <w:numId w:val="6"/>
        </w:numPr>
        <w:autoSpaceDE w:val="0"/>
        <w:autoSpaceDN w:val="0"/>
        <w:adjustRightInd w:val="0"/>
        <w:snapToGrid w:val="0"/>
        <w:ind w:firstLineChars="0"/>
        <w:jc w:val="left"/>
        <w:rPr>
          <w:rFonts w:ascii="宋体" w:hAnsi="宋体"/>
        </w:rPr>
      </w:pPr>
      <w:bookmarkStart w:id="330" w:name="_bookmark89"/>
      <w:bookmarkEnd w:id="330"/>
      <w:r>
        <w:rPr>
          <w:rFonts w:ascii="宋体" w:hAnsi="宋体"/>
        </w:rPr>
        <w:t>详细评审</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3"/>
        </w:rPr>
        <w:t>按</w:t>
      </w:r>
      <w:r>
        <w:rPr>
          <w:rFonts w:ascii="宋体" w:hAnsi="宋体"/>
        </w:rPr>
        <w:t>本</w:t>
      </w:r>
      <w:r>
        <w:rPr>
          <w:rFonts w:ascii="宋体" w:hAnsi="宋体"/>
          <w:spacing w:val="-3"/>
        </w:rPr>
        <w:t>章</w:t>
      </w:r>
      <w:r>
        <w:rPr>
          <w:rFonts w:ascii="宋体" w:hAnsi="宋体"/>
        </w:rPr>
        <w:t>规</w:t>
      </w:r>
      <w:r>
        <w:rPr>
          <w:rFonts w:ascii="宋体" w:hAnsi="宋体"/>
          <w:spacing w:val="-3"/>
        </w:rPr>
        <w:t>定</w:t>
      </w:r>
      <w:r>
        <w:rPr>
          <w:rFonts w:ascii="宋体" w:hAnsi="宋体"/>
        </w:rPr>
        <w:t>的</w:t>
      </w:r>
      <w:r>
        <w:rPr>
          <w:rFonts w:ascii="宋体" w:hAnsi="宋体"/>
          <w:spacing w:val="-3"/>
        </w:rPr>
        <w:t>量</w:t>
      </w:r>
      <w:r>
        <w:rPr>
          <w:rFonts w:ascii="宋体" w:hAnsi="宋体"/>
        </w:rPr>
        <w:t>化</w:t>
      </w:r>
      <w:r>
        <w:rPr>
          <w:rFonts w:ascii="宋体" w:hAnsi="宋体"/>
          <w:spacing w:val="-3"/>
        </w:rPr>
        <w:t>因</w:t>
      </w:r>
      <w:r>
        <w:rPr>
          <w:rFonts w:ascii="宋体" w:hAnsi="宋体"/>
        </w:rPr>
        <w:t>素</w:t>
      </w:r>
      <w:r>
        <w:rPr>
          <w:rFonts w:ascii="宋体" w:hAnsi="宋体"/>
          <w:spacing w:val="-3"/>
        </w:rPr>
        <w:t>和</w:t>
      </w:r>
      <w:r>
        <w:rPr>
          <w:rFonts w:ascii="宋体" w:hAnsi="宋体"/>
        </w:rPr>
        <w:t>分值</w:t>
      </w:r>
      <w:r>
        <w:rPr>
          <w:rFonts w:ascii="宋体" w:hAnsi="宋体"/>
          <w:spacing w:val="-3"/>
        </w:rPr>
        <w:t>进</w:t>
      </w:r>
      <w:r>
        <w:rPr>
          <w:rFonts w:ascii="宋体" w:hAnsi="宋体"/>
        </w:rPr>
        <w:t>行</w:t>
      </w:r>
      <w:r>
        <w:rPr>
          <w:rFonts w:ascii="宋体" w:hAnsi="宋体"/>
          <w:spacing w:val="-3"/>
        </w:rPr>
        <w:t>打</w:t>
      </w:r>
      <w:r>
        <w:rPr>
          <w:rFonts w:ascii="宋体" w:hAnsi="宋体"/>
        </w:rPr>
        <w:t>分</w:t>
      </w:r>
      <w:r>
        <w:rPr>
          <w:rFonts w:hint="eastAsia" w:ascii="宋体" w:hAnsi="宋体"/>
        </w:rPr>
        <w:t>，</w:t>
      </w:r>
      <w:r>
        <w:rPr>
          <w:rFonts w:ascii="宋体" w:hAnsi="宋体"/>
        </w:rPr>
        <w:t>并</w:t>
      </w:r>
      <w:r>
        <w:rPr>
          <w:rFonts w:ascii="宋体" w:hAnsi="宋体"/>
          <w:spacing w:val="-3"/>
        </w:rPr>
        <w:t>计</w:t>
      </w:r>
      <w:r>
        <w:rPr>
          <w:rFonts w:ascii="宋体" w:hAnsi="宋体"/>
        </w:rPr>
        <w:t>算</w:t>
      </w:r>
      <w:r>
        <w:rPr>
          <w:rFonts w:ascii="宋体" w:hAnsi="宋体"/>
          <w:spacing w:val="-3"/>
        </w:rPr>
        <w:t>出综</w:t>
      </w:r>
      <w:r>
        <w:rPr>
          <w:rFonts w:ascii="宋体" w:hAnsi="宋体"/>
        </w:rPr>
        <w:t>合评</w:t>
      </w:r>
      <w:r>
        <w:rPr>
          <w:rFonts w:ascii="宋体" w:hAnsi="宋体"/>
          <w:spacing w:val="-3"/>
        </w:rPr>
        <w:t>估</w:t>
      </w:r>
      <w:r>
        <w:rPr>
          <w:rFonts w:ascii="宋体" w:hAnsi="宋体"/>
        </w:rPr>
        <w:t>得</w:t>
      </w:r>
      <w:r>
        <w:rPr>
          <w:rFonts w:ascii="宋体" w:hAnsi="宋体"/>
          <w:spacing w:val="-3"/>
        </w:rPr>
        <w:t>分</w:t>
      </w:r>
      <w:r>
        <w:rPr>
          <w:rFonts w:ascii="宋体" w:hAnsi="宋体"/>
        </w:rPr>
        <w:t>。</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按本章商务</w:t>
      </w:r>
      <w:r>
        <w:rPr>
          <w:rFonts w:hint="eastAsia" w:ascii="宋体" w:hAnsi="宋体"/>
        </w:rPr>
        <w:t>标评审标准</w:t>
      </w:r>
      <w:r>
        <w:rPr>
          <w:rFonts w:ascii="宋体" w:hAnsi="宋体"/>
        </w:rPr>
        <w:t>规定的评审因素和分值对商务部分计算出得分A；</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按本章技术</w:t>
      </w:r>
      <w:r>
        <w:rPr>
          <w:rFonts w:hint="eastAsia" w:ascii="宋体" w:hAnsi="宋体"/>
        </w:rPr>
        <w:t>标评审标准</w:t>
      </w:r>
      <w:r>
        <w:rPr>
          <w:rFonts w:ascii="宋体" w:hAnsi="宋体"/>
        </w:rPr>
        <w:t>规定的评审因素和分值对技术部分计算出得分B；</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按本章</w:t>
      </w:r>
      <w:r>
        <w:rPr>
          <w:rFonts w:hint="eastAsia" w:ascii="宋体" w:hAnsi="宋体"/>
        </w:rPr>
        <w:t>价格标评审方法</w:t>
      </w:r>
      <w:r>
        <w:rPr>
          <w:rFonts w:ascii="宋体" w:hAnsi="宋体"/>
        </w:rPr>
        <w:t>规定的评审因素和分值对投标报价计算出得分C；</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评分分值计算保留小数点后两位，小数点后第三位“四舍五入”。</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投标人得分=A+B+C。</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4"/>
        </w:rPr>
        <w:t>发现投标人的报价明显低于其他投标报价，使得其投标报价可能低于其</w:t>
      </w:r>
      <w:r>
        <w:rPr>
          <w:rFonts w:ascii="宋体" w:hAnsi="宋体"/>
          <w:spacing w:val="-1"/>
        </w:rPr>
        <w:t>成本的，应当要求该投标人作出书面说明并提供相应的证明材料。投标人不能合理说明或者</w:t>
      </w:r>
      <w:r>
        <w:rPr>
          <w:rFonts w:ascii="宋体" w:hAnsi="宋体"/>
          <w:spacing w:val="-6"/>
        </w:rPr>
        <w:t>不能提供相应证明材料的，</w:t>
      </w:r>
      <w:r>
        <w:rPr>
          <w:rFonts w:hint="eastAsia" w:ascii="宋体" w:hAnsi="宋体"/>
          <w:spacing w:val="-6"/>
        </w:rPr>
        <w:t>由</w:t>
      </w:r>
      <w:r>
        <w:rPr>
          <w:rFonts w:ascii="宋体" w:hAnsi="宋体"/>
        </w:rPr>
        <w:t>评标</w:t>
      </w:r>
      <w:r>
        <w:rPr>
          <w:rFonts w:hint="eastAsia" w:ascii="宋体" w:hAnsi="宋体"/>
        </w:rPr>
        <w:t>小组</w:t>
      </w:r>
      <w:r>
        <w:rPr>
          <w:rFonts w:ascii="宋体" w:hAnsi="宋体"/>
          <w:spacing w:val="-6"/>
        </w:rPr>
        <w:t>认定该投标人以低于成本报价竞标，并否决其投标。</w:t>
      </w:r>
    </w:p>
    <w:p>
      <w:pPr>
        <w:widowControl w:val="0"/>
        <w:numPr>
          <w:ilvl w:val="1"/>
          <w:numId w:val="6"/>
        </w:numPr>
        <w:autoSpaceDE w:val="0"/>
        <w:autoSpaceDN w:val="0"/>
        <w:adjustRightInd w:val="0"/>
        <w:snapToGrid w:val="0"/>
        <w:ind w:firstLineChars="0"/>
        <w:jc w:val="left"/>
        <w:rPr>
          <w:rFonts w:ascii="宋体" w:hAnsi="宋体"/>
        </w:rPr>
      </w:pPr>
      <w:r>
        <w:rPr>
          <w:rFonts w:ascii="宋体" w:hAnsi="宋体"/>
        </w:rPr>
        <w:t>投标文件的澄清</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在评标过程中，</w:t>
      </w:r>
      <w:r>
        <w:rPr>
          <w:rFonts w:ascii="宋体" w:hAnsi="宋体"/>
        </w:rPr>
        <w:t>评标</w:t>
      </w:r>
      <w:r>
        <w:rPr>
          <w:rFonts w:hint="eastAsia" w:ascii="宋体" w:hAnsi="宋体"/>
        </w:rPr>
        <w:t>小组</w:t>
      </w:r>
      <w:r>
        <w:rPr>
          <w:rFonts w:ascii="宋体" w:hAnsi="宋体"/>
          <w:spacing w:val="-4"/>
        </w:rPr>
        <w:t>可以书面形式要求投标人对投标文件中含义不明确、对同</w:t>
      </w:r>
      <w:r>
        <w:rPr>
          <w:rFonts w:ascii="宋体" w:hAnsi="宋体"/>
          <w:spacing w:val="-1"/>
        </w:rPr>
        <w:t>类问题表述不一致或者有明显文字和计算错误的内容作必要的澄清、说明或补正。澄清、说明</w:t>
      </w:r>
      <w:r>
        <w:rPr>
          <w:rFonts w:ascii="宋体" w:hAnsi="宋体"/>
        </w:rPr>
        <w:t>或补正应以</w:t>
      </w:r>
      <w:r>
        <w:rPr>
          <w:rFonts w:hint="eastAsia" w:ascii="宋体" w:hAnsi="宋体"/>
        </w:rPr>
        <w:t>书面方式</w:t>
      </w:r>
      <w:r>
        <w:rPr>
          <w:rFonts w:ascii="宋体" w:hAnsi="宋体"/>
        </w:rPr>
        <w:t>进行。评标</w:t>
      </w:r>
      <w:r>
        <w:rPr>
          <w:rFonts w:hint="eastAsia" w:ascii="宋体" w:hAnsi="宋体"/>
        </w:rPr>
        <w:t>小组</w:t>
      </w:r>
      <w:r>
        <w:rPr>
          <w:rFonts w:ascii="宋体" w:hAnsi="宋体"/>
        </w:rPr>
        <w:t>不接受投标人主动提出的澄清、说明或补正。</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澄清、说明或补正不得超出投标文件的范围且不得改变投标文件的实质性内容，并构</w:t>
      </w:r>
      <w:r>
        <w:rPr>
          <w:rFonts w:ascii="宋体" w:hAnsi="宋体"/>
        </w:rPr>
        <w:t>成投标文件的组成部分。</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7"/>
        </w:rPr>
        <w:t>对投标人提交的澄清、说明或补正有疑问的，可以要求投标人进一步澄清、</w:t>
      </w:r>
      <w:r>
        <w:rPr>
          <w:rFonts w:ascii="宋体" w:hAnsi="宋体"/>
        </w:rPr>
        <w:t>说明或补正，直至满足评标委员会的要求。</w:t>
      </w:r>
    </w:p>
    <w:p>
      <w:pPr>
        <w:widowControl w:val="0"/>
        <w:numPr>
          <w:ilvl w:val="2"/>
          <w:numId w:val="6"/>
        </w:numPr>
        <w:autoSpaceDE w:val="0"/>
        <w:autoSpaceDN w:val="0"/>
        <w:adjustRightInd w:val="0"/>
        <w:snapToGrid w:val="0"/>
        <w:ind w:firstLineChars="0"/>
        <w:jc w:val="left"/>
        <w:rPr>
          <w:rFonts w:ascii="宋体" w:hAnsi="宋体"/>
        </w:rPr>
      </w:pPr>
      <w:r>
        <w:rPr>
          <w:rFonts w:hint="eastAsia" w:ascii="宋体" w:hAnsi="宋体"/>
        </w:rPr>
        <w:t>投标文件存在投标报价问题的，</w:t>
      </w:r>
      <w:r>
        <w:rPr>
          <w:rFonts w:ascii="宋体" w:hAnsi="宋体"/>
        </w:rPr>
        <w:t>评标</w:t>
      </w:r>
      <w:r>
        <w:rPr>
          <w:rFonts w:hint="eastAsia" w:ascii="宋体" w:hAnsi="宋体"/>
        </w:rPr>
        <w:t>小组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pPr>
        <w:widowControl w:val="0"/>
        <w:numPr>
          <w:ilvl w:val="1"/>
          <w:numId w:val="6"/>
        </w:numPr>
        <w:autoSpaceDE w:val="0"/>
        <w:autoSpaceDN w:val="0"/>
        <w:adjustRightInd w:val="0"/>
        <w:snapToGrid w:val="0"/>
        <w:ind w:firstLineChars="0"/>
        <w:jc w:val="left"/>
        <w:rPr>
          <w:rFonts w:ascii="宋体" w:hAnsi="宋体"/>
        </w:rPr>
      </w:pPr>
      <w:r>
        <w:rPr>
          <w:rFonts w:ascii="宋体" w:hAnsi="宋体"/>
        </w:rPr>
        <w:t>评标结果</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除第</w:t>
      </w:r>
      <w:r>
        <w:rPr>
          <w:rFonts w:hint="eastAsia" w:ascii="宋体" w:hAnsi="宋体"/>
        </w:rPr>
        <w:t>一</w:t>
      </w:r>
      <w:r>
        <w:rPr>
          <w:rFonts w:ascii="宋体" w:hAnsi="宋体"/>
        </w:rPr>
        <w:t>章</w:t>
      </w:r>
      <w:r>
        <w:rPr>
          <w:rFonts w:ascii="宋体" w:hAnsi="宋体"/>
          <w:iCs/>
        </w:rPr>
        <w:t>“投标人须知”</w:t>
      </w:r>
      <w:r>
        <w:rPr>
          <w:rFonts w:ascii="宋体" w:hAnsi="宋体"/>
        </w:rPr>
        <w:t>前附表授权直接确定中标人外，评标</w:t>
      </w:r>
      <w:r>
        <w:rPr>
          <w:rFonts w:hint="eastAsia" w:ascii="宋体" w:hAnsi="宋体"/>
        </w:rPr>
        <w:t>小组</w:t>
      </w:r>
      <w:r>
        <w:rPr>
          <w:rFonts w:ascii="宋体" w:hAnsi="宋体"/>
        </w:rPr>
        <w:t>按照得分由高到低的顺序推荐中标人，并标明排序。</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评标委员会完成评标后，应当向招标人提交书面评标报告和中标人名单。</w:t>
      </w:r>
    </w:p>
    <w:p>
      <w:pPr>
        <w:widowControl w:val="0"/>
        <w:autoSpaceDE w:val="0"/>
        <w:autoSpaceDN w:val="0"/>
        <w:adjustRightInd w:val="0"/>
        <w:snapToGrid w:val="0"/>
        <w:ind w:firstLine="0" w:firstLineChars="0"/>
        <w:jc w:val="left"/>
        <w:rPr>
          <w:rFonts w:ascii="宋体" w:hAnsi="宋体"/>
        </w:rPr>
      </w:pPr>
    </w:p>
    <w:p>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中标人的确定</w:t>
      </w:r>
    </w:p>
    <w:p>
      <w:pPr>
        <w:widowControl w:val="0"/>
        <w:numPr>
          <w:ilvl w:val="1"/>
          <w:numId w:val="6"/>
        </w:numPr>
        <w:autoSpaceDE w:val="0"/>
        <w:autoSpaceDN w:val="0"/>
        <w:adjustRightInd w:val="0"/>
        <w:snapToGrid w:val="0"/>
        <w:ind w:firstLineChars="0"/>
        <w:jc w:val="left"/>
        <w:rPr>
          <w:rFonts w:ascii="宋体" w:hAnsi="宋体"/>
          <w:b/>
          <w:szCs w:val="21"/>
        </w:rPr>
      </w:pPr>
      <w:r>
        <w:rPr>
          <w:rFonts w:hint="eastAsia" w:ascii="宋体" w:hAnsi="宋体"/>
          <w:szCs w:val="21"/>
        </w:rPr>
        <w:t>按评审综合得分从高至低的顺序进行排序，总得分排名第一的为中标候选人，经评审小组集体表决后，形成评标报告。</w:t>
      </w:r>
    </w:p>
    <w:p>
      <w:pPr>
        <w:widowControl w:val="0"/>
        <w:numPr>
          <w:ilvl w:val="1"/>
          <w:numId w:val="6"/>
        </w:numPr>
        <w:autoSpaceDE w:val="0"/>
        <w:autoSpaceDN w:val="0"/>
        <w:adjustRightInd w:val="0"/>
        <w:snapToGrid w:val="0"/>
        <w:ind w:firstLineChars="0"/>
        <w:jc w:val="left"/>
        <w:rPr>
          <w:rFonts w:ascii="宋体" w:hAnsi="宋体"/>
          <w:szCs w:val="21"/>
        </w:rPr>
      </w:pPr>
      <w:r>
        <w:rPr>
          <w:rFonts w:hint="eastAsia" w:ascii="宋体" w:hAnsi="宋体"/>
          <w:szCs w:val="21"/>
        </w:rPr>
        <w:t>评审得分相同的，由</w:t>
      </w:r>
      <w:r>
        <w:rPr>
          <w:rFonts w:ascii="宋体" w:hAnsi="宋体"/>
        </w:rPr>
        <w:t>评标</w:t>
      </w:r>
      <w:r>
        <w:rPr>
          <w:rFonts w:hint="eastAsia" w:ascii="宋体" w:hAnsi="宋体"/>
        </w:rPr>
        <w:t>小组按照</w:t>
      </w:r>
      <w:r>
        <w:rPr>
          <w:rFonts w:hint="eastAsia" w:hAnsi="宋体" w:cs="宋体"/>
          <w:bCs/>
          <w:color w:val="585858" w:themeColor="text1" w:themeTint="A6"/>
        </w:rPr>
        <w:t>商务得分高者优先选择，商务得分也相同的，报价低者优先选择，若价格也相同，则抽签</w:t>
      </w:r>
      <w:r>
        <w:rPr>
          <w:rFonts w:hint="eastAsia" w:ascii="宋体" w:hAnsi="宋体"/>
          <w:szCs w:val="21"/>
        </w:rPr>
        <w:t>确定中标人。</w:t>
      </w:r>
    </w:p>
    <w:p>
      <w:pPr>
        <w:widowControl w:val="0"/>
        <w:autoSpaceDE w:val="0"/>
        <w:autoSpaceDN w:val="0"/>
        <w:adjustRightInd w:val="0"/>
        <w:snapToGrid w:val="0"/>
        <w:ind w:firstLine="0" w:firstLineChars="0"/>
        <w:jc w:val="left"/>
        <w:rPr>
          <w:rFonts w:ascii="宋体" w:hAnsi="宋体"/>
          <w:szCs w:val="21"/>
        </w:rPr>
      </w:pPr>
    </w:p>
    <w:p>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szCs w:val="21"/>
        </w:rPr>
        <w:t>附</w:t>
      </w:r>
      <w:r>
        <w:rPr>
          <w:rFonts w:hint="eastAsia" w:ascii="宋体" w:hAnsi="宋体" w:eastAsia="宋体" w:cs="Times New Roman"/>
          <w:szCs w:val="21"/>
        </w:rPr>
        <w:t>表1-1《</w:t>
      </w:r>
      <w:r>
        <w:rPr>
          <w:rFonts w:hint="eastAsia" w:ascii="宋体" w:hAnsi="宋体" w:eastAsia="宋体" w:cs="Times New Roman"/>
          <w:szCs w:val="21"/>
          <w:lang w:val="en-US" w:eastAsia="zh-CN"/>
        </w:rPr>
        <w:t>节日</w:t>
      </w:r>
      <w:r>
        <w:rPr>
          <w:rFonts w:hint="eastAsia" w:ascii="宋体" w:hAnsi="宋体" w:eastAsia="宋体" w:cs="Times New Roman"/>
          <w:szCs w:val="21"/>
        </w:rPr>
        <w:t>灯笼国旗等装饰物悬挂服务采购方案》</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2</w:t>
      </w:r>
      <w:r>
        <w:rPr>
          <w:rFonts w:hint="eastAsia" w:ascii="宋体" w:hAnsi="宋体"/>
          <w:szCs w:val="21"/>
        </w:rPr>
        <w:t>-1《商务标评审标准》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3</w:t>
      </w:r>
      <w:r>
        <w:rPr>
          <w:rFonts w:hint="eastAsia" w:ascii="宋体" w:hAnsi="宋体"/>
          <w:szCs w:val="21"/>
        </w:rPr>
        <w:t>-1《技术标评审标准》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4</w:t>
      </w:r>
      <w:r>
        <w:rPr>
          <w:rFonts w:hint="eastAsia" w:ascii="宋体" w:hAnsi="宋体"/>
          <w:szCs w:val="21"/>
        </w:rPr>
        <w:t>-1《价格标评审方法》</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5</w:t>
      </w:r>
      <w:r>
        <w:rPr>
          <w:rFonts w:hint="eastAsia" w:ascii="宋体" w:hAnsi="宋体"/>
          <w:szCs w:val="21"/>
        </w:rPr>
        <w:t>-1《商务标、技术标、价格标权重表和综合得分汇总》</w:t>
      </w:r>
    </w:p>
    <w:bookmarkEnd w:id="326"/>
    <w:bookmarkEnd w:id="327"/>
    <w:bookmarkEnd w:id="328"/>
    <w:p>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rPr>
        <w:br w:type="page"/>
      </w:r>
      <w:r>
        <w:rPr>
          <w:rFonts w:hint="eastAsia" w:ascii="宋体" w:hAnsi="宋体"/>
          <w:b/>
          <w:sz w:val="22"/>
        </w:rPr>
        <w:t xml:space="preserve"> </w:t>
      </w:r>
      <w:r>
        <w:rPr>
          <w:rFonts w:hint="eastAsia" w:ascii="宋体" w:hAnsi="宋体"/>
          <w:b/>
          <w:bCs/>
          <w:szCs w:val="21"/>
        </w:rPr>
        <w:t>附</w:t>
      </w:r>
      <w:r>
        <w:rPr>
          <w:rFonts w:hint="eastAsia" w:ascii="宋体" w:hAnsi="宋体" w:eastAsia="宋体" w:cs="Times New Roman"/>
          <w:b/>
          <w:bCs/>
          <w:szCs w:val="21"/>
        </w:rPr>
        <w:t>表1-1</w:t>
      </w:r>
      <w:r>
        <w:rPr>
          <w:rFonts w:hint="eastAsia" w:ascii="宋体" w:hAnsi="宋体" w:eastAsia="宋体" w:cs="Times New Roman"/>
          <w:szCs w:val="21"/>
        </w:rPr>
        <w:t>《</w:t>
      </w:r>
      <w:r>
        <w:rPr>
          <w:rFonts w:hint="eastAsia" w:ascii="宋体" w:hAnsi="宋体" w:eastAsia="宋体" w:cs="Times New Roman"/>
          <w:szCs w:val="21"/>
          <w:lang w:val="en-US" w:eastAsia="zh-CN"/>
        </w:rPr>
        <w:t>节日</w:t>
      </w:r>
      <w:r>
        <w:rPr>
          <w:rFonts w:hint="eastAsia" w:ascii="宋体" w:hAnsi="宋体" w:eastAsia="宋体" w:cs="Times New Roman"/>
          <w:szCs w:val="21"/>
        </w:rPr>
        <w:t>灯笼国旗等装饰物悬挂服务采购方案》</w:t>
      </w:r>
    </w:p>
    <w:tbl>
      <w:tblPr>
        <w:tblStyle w:val="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844"/>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55" w:type="dxa"/>
            <w:vAlign w:val="center"/>
          </w:tcPr>
          <w:p>
            <w:pPr>
              <w:ind w:left="0" w:leftChars="0" w:firstLine="0" w:firstLineChars="0"/>
              <w:jc w:val="both"/>
              <w:rPr>
                <w:rFonts w:ascii="宋体" w:hAnsi="宋体" w:cs="宋体"/>
                <w:b/>
                <w:bCs/>
                <w:color w:val="000000" w:themeColor="text1"/>
                <w:sz w:val="24"/>
              </w:rPr>
            </w:pPr>
            <w:r>
              <w:rPr>
                <w:rFonts w:hint="eastAsia" w:ascii="宋体" w:hAnsi="宋体" w:cs="宋体"/>
                <w:b/>
                <w:bCs/>
                <w:color w:val="000000" w:themeColor="text1"/>
                <w:sz w:val="24"/>
              </w:rPr>
              <w:t>序号</w:t>
            </w:r>
          </w:p>
        </w:tc>
        <w:tc>
          <w:tcPr>
            <w:tcW w:w="1844" w:type="dxa"/>
            <w:vAlign w:val="center"/>
          </w:tcPr>
          <w:p>
            <w:pPr>
              <w:jc w:val="center"/>
              <w:rPr>
                <w:rFonts w:ascii="宋体" w:hAnsi="宋体" w:cs="宋体"/>
                <w:b/>
                <w:bCs/>
                <w:color w:val="000000" w:themeColor="text1"/>
                <w:sz w:val="24"/>
              </w:rPr>
            </w:pPr>
            <w:r>
              <w:rPr>
                <w:rFonts w:hint="eastAsia" w:ascii="宋体" w:hAnsi="宋体" w:cs="宋体"/>
                <w:b/>
                <w:bCs/>
                <w:color w:val="000000" w:themeColor="text1"/>
                <w:sz w:val="24"/>
              </w:rPr>
              <w:t>名</w:t>
            </w:r>
            <w:r>
              <w:rPr>
                <w:rFonts w:ascii="宋体" w:hAnsi="宋体" w:cs="宋体"/>
                <w:b/>
                <w:bCs/>
                <w:color w:val="000000" w:themeColor="text1"/>
                <w:sz w:val="24"/>
              </w:rPr>
              <w:t xml:space="preserve">  </w:t>
            </w:r>
            <w:r>
              <w:rPr>
                <w:rFonts w:hint="eastAsia" w:ascii="宋体" w:hAnsi="宋体" w:cs="宋体"/>
                <w:b/>
                <w:bCs/>
                <w:color w:val="000000" w:themeColor="text1"/>
                <w:sz w:val="24"/>
              </w:rPr>
              <w:t>称</w:t>
            </w:r>
          </w:p>
        </w:tc>
        <w:tc>
          <w:tcPr>
            <w:tcW w:w="6581" w:type="dxa"/>
            <w:vAlign w:val="center"/>
          </w:tcPr>
          <w:p>
            <w:pPr>
              <w:jc w:val="center"/>
              <w:rPr>
                <w:rFonts w:ascii="宋体" w:hAnsi="宋体" w:cs="宋体"/>
                <w:b/>
                <w:bCs/>
                <w:color w:val="000000" w:themeColor="text1"/>
                <w:sz w:val="24"/>
              </w:rPr>
            </w:pPr>
            <w:r>
              <w:rPr>
                <w:rFonts w:hint="eastAsia" w:ascii="宋体" w:hAnsi="宋体" w:cs="宋体"/>
                <w:b/>
                <w:bCs/>
                <w:color w:val="000000" w:themeColor="text1"/>
                <w:sz w:val="24"/>
              </w:rPr>
              <w:t>主</w:t>
            </w:r>
            <w:r>
              <w:rPr>
                <w:rFonts w:ascii="宋体" w:hAnsi="宋体" w:cs="宋体"/>
                <w:b/>
                <w:bCs/>
                <w:color w:val="000000" w:themeColor="text1"/>
                <w:sz w:val="24"/>
              </w:rPr>
              <w:t xml:space="preserve">   </w:t>
            </w:r>
            <w:r>
              <w:rPr>
                <w:rFonts w:hint="eastAsia" w:ascii="宋体" w:hAnsi="宋体" w:cs="宋体"/>
                <w:b/>
                <w:bCs/>
                <w:color w:val="000000" w:themeColor="text1"/>
                <w:sz w:val="24"/>
              </w:rPr>
              <w:t>要</w:t>
            </w:r>
            <w:r>
              <w:rPr>
                <w:rFonts w:ascii="宋体" w:hAnsi="宋体" w:cs="宋体"/>
                <w:b/>
                <w:bCs/>
                <w:color w:val="000000" w:themeColor="text1"/>
                <w:sz w:val="24"/>
              </w:rPr>
              <w:t xml:space="preserve">   </w:t>
            </w:r>
            <w:r>
              <w:rPr>
                <w:rFonts w:hint="eastAsia" w:ascii="宋体" w:hAnsi="宋体" w:cs="宋体"/>
                <w:b/>
                <w:bCs/>
                <w:color w:val="000000" w:themeColor="text1"/>
                <w:sz w:val="24"/>
              </w:rPr>
              <w:t>内</w:t>
            </w:r>
            <w:r>
              <w:rPr>
                <w:rFonts w:ascii="宋体" w:hAnsi="宋体" w:cs="宋体"/>
                <w:b/>
                <w:bCs/>
                <w:color w:val="000000" w:themeColor="text1"/>
                <w:sz w:val="24"/>
              </w:rPr>
              <w:t xml:space="preserve">   </w:t>
            </w:r>
            <w:r>
              <w:rPr>
                <w:rFonts w:hint="eastAsia" w:ascii="宋体" w:hAnsi="宋体" w:cs="宋体"/>
                <w:b/>
                <w:bCs/>
                <w:color w:val="000000" w:themeColor="text1"/>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ascii="宋体" w:hAnsi="宋体" w:cs="宋体"/>
                <w:bCs/>
                <w:color w:val="000000" w:themeColor="text1"/>
                <w:szCs w:val="21"/>
              </w:rPr>
              <w:t>1</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工程名称</w:t>
            </w:r>
          </w:p>
        </w:tc>
        <w:tc>
          <w:tcPr>
            <w:tcW w:w="6581" w:type="dxa"/>
            <w:vAlign w:val="center"/>
          </w:tcPr>
          <w:p>
            <w:pPr>
              <w:spacing w:line="380" w:lineRule="exact"/>
              <w:ind w:left="0" w:leftChars="0" w:firstLine="0" w:firstLineChars="0"/>
              <w:jc w:val="left"/>
              <w:rPr>
                <w:rFonts w:hint="eastAsia" w:eastAsia="宋体" w:cs="宋体" w:asciiTheme="minorEastAsia" w:hAnsiTheme="minorEastAsia"/>
                <w:bCs/>
                <w:color w:val="000000" w:themeColor="text1"/>
                <w:szCs w:val="21"/>
                <w:lang w:val="en-US" w:eastAsia="zh-CN"/>
              </w:rPr>
            </w:pPr>
            <w:r>
              <w:rPr>
                <w:rFonts w:hint="eastAsia" w:ascii="宋体" w:hAnsi="宋体" w:eastAsia="宋体" w:cs="宋体"/>
                <w:color w:val="000000" w:themeColor="text1"/>
                <w:szCs w:val="21"/>
              </w:rPr>
              <w:t>节日灯笼国旗等装饰物悬挂服务</w:t>
            </w:r>
            <w:r>
              <w:rPr>
                <w:rFonts w:hint="eastAsia" w:ascii="宋体" w:hAnsi="宋体" w:eastAsia="宋体" w:cs="宋体"/>
                <w:color w:val="000000" w:themeColor="text1"/>
                <w:szCs w:val="21"/>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2</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项目简介</w:t>
            </w:r>
          </w:p>
        </w:tc>
        <w:tc>
          <w:tcPr>
            <w:tcW w:w="6581" w:type="dxa"/>
            <w:vAlign w:val="center"/>
          </w:tcPr>
          <w:p>
            <w:pPr>
              <w:spacing w:line="380" w:lineRule="exact"/>
              <w:ind w:left="0" w:leftChars="0"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为装扮及提升城市节日氛围，丰富美好城市元素，国庆节和春节期间在大浪街道范围内公共区域及道路两侧悬挂国旗和灯笼。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3</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招标范围</w:t>
            </w:r>
          </w:p>
        </w:tc>
        <w:tc>
          <w:tcPr>
            <w:tcW w:w="6581" w:type="dxa"/>
            <w:vAlign w:val="center"/>
          </w:tcPr>
          <w:p>
            <w:pPr>
              <w:spacing w:line="380" w:lineRule="exact"/>
              <w:ind w:left="0" w:leftChars="0"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本次招标主要内容包括以下方面：</w:t>
            </w:r>
            <w:r>
              <w:rPr>
                <w:rFonts w:hint="eastAsia" w:ascii="宋体" w:hAnsi="宋体" w:cs="宋体"/>
                <w:bCs/>
                <w:color w:val="000000" w:themeColor="text1"/>
                <w:szCs w:val="21"/>
                <w:lang w:val="en-US" w:eastAsia="zh-CN"/>
              </w:rPr>
              <w:t>龙华区大浪街道范围内：华旺路、华荣路、华兴路、大浪南路、民塘路、浪荣路、华繁路、布龙路、和平路</w:t>
            </w:r>
            <w:r>
              <w:rPr>
                <w:rFonts w:hint="eastAsia" w:ascii="宋体" w:hAnsi="宋体" w:cs="宋体"/>
                <w:bCs/>
                <w:color w:val="000000" w:themeColor="text1"/>
                <w:szCs w:val="21"/>
              </w:rPr>
              <w:t>部分路段</w:t>
            </w:r>
            <w:r>
              <w:rPr>
                <w:rFonts w:hint="eastAsia" w:ascii="宋体" w:hAnsi="宋体" w:cs="宋体"/>
                <w:bCs/>
                <w:color w:val="000000" w:themeColor="text1"/>
                <w:szCs w:val="21"/>
                <w:lang w:val="en-US" w:eastAsia="zh-CN"/>
              </w:rPr>
              <w:t>的</w:t>
            </w:r>
            <w:r>
              <w:rPr>
                <w:rFonts w:hint="eastAsia" w:ascii="宋体" w:hAnsi="宋体" w:cs="宋体"/>
                <w:bCs/>
                <w:color w:val="000000" w:themeColor="text1"/>
                <w:szCs w:val="21"/>
              </w:rPr>
              <w:t>202</w:t>
            </w:r>
            <w:r>
              <w:rPr>
                <w:rFonts w:hint="eastAsia" w:ascii="宋体" w:hAnsi="宋体" w:cs="宋体"/>
                <w:bCs/>
                <w:color w:val="000000" w:themeColor="text1"/>
                <w:szCs w:val="21"/>
                <w:lang w:val="en-US" w:eastAsia="zh-CN"/>
              </w:rPr>
              <w:t>4</w:t>
            </w:r>
            <w:r>
              <w:rPr>
                <w:rFonts w:hint="eastAsia" w:ascii="宋体" w:hAnsi="宋体" w:cs="宋体"/>
                <w:bCs/>
                <w:color w:val="000000" w:themeColor="text1"/>
                <w:szCs w:val="21"/>
              </w:rPr>
              <w:t>年</w:t>
            </w:r>
            <w:r>
              <w:rPr>
                <w:rFonts w:hint="eastAsia" w:ascii="宋体" w:hAnsi="宋体" w:cs="宋体"/>
                <w:bCs/>
                <w:color w:val="000000" w:themeColor="text1"/>
                <w:szCs w:val="21"/>
                <w:lang w:val="en-US" w:eastAsia="zh-CN"/>
              </w:rPr>
              <w:t>节日</w:t>
            </w:r>
            <w:r>
              <w:rPr>
                <w:rFonts w:hint="eastAsia" w:ascii="宋体" w:hAnsi="宋体" w:cs="宋体"/>
                <w:bCs/>
                <w:color w:val="000000" w:themeColor="text1"/>
                <w:szCs w:val="21"/>
              </w:rPr>
              <w:t>灯笼</w:t>
            </w:r>
            <w:r>
              <w:rPr>
                <w:rFonts w:hint="eastAsia" w:ascii="宋体" w:hAnsi="宋体" w:cs="宋体"/>
                <w:bCs/>
                <w:color w:val="000000" w:themeColor="text1"/>
                <w:szCs w:val="21"/>
                <w:lang w:val="en-US" w:eastAsia="zh-CN"/>
              </w:rPr>
              <w:t>国旗等装饰物</w:t>
            </w:r>
            <w:r>
              <w:rPr>
                <w:rFonts w:hint="eastAsia" w:ascii="宋体" w:hAnsi="宋体" w:cs="宋体"/>
                <w:bCs/>
                <w:color w:val="000000" w:themeColor="text1"/>
                <w:szCs w:val="21"/>
              </w:rPr>
              <w:t>悬挂服务，包含灯笼和国旗悬挂、维护、拆卸服务</w:t>
            </w:r>
            <w:r>
              <w:rPr>
                <w:rFonts w:hint="eastAsia" w:ascii="宋体" w:hAnsi="宋体" w:cs="宋体"/>
                <w:bCs/>
                <w:color w:val="000000" w:themeColor="text1"/>
                <w:szCs w:val="21"/>
                <w:lang w:val="en-US" w:eastAsia="zh-CN"/>
              </w:rPr>
              <w:t>以及各类辅材使用</w:t>
            </w:r>
            <w:r>
              <w:rPr>
                <w:rFonts w:hint="eastAsia" w:ascii="宋体" w:hAnsi="宋体" w:cs="宋体"/>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4</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招标方式</w:t>
            </w:r>
          </w:p>
        </w:tc>
        <w:tc>
          <w:tcPr>
            <w:tcW w:w="6581" w:type="dxa"/>
            <w:vAlign w:val="center"/>
          </w:tcPr>
          <w:p>
            <w:pPr>
              <w:spacing w:line="380" w:lineRule="exact"/>
              <w:ind w:left="0" w:leftChars="0"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企业自行组织采购招标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5</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计价方式</w:t>
            </w:r>
          </w:p>
        </w:tc>
        <w:tc>
          <w:tcPr>
            <w:tcW w:w="6581" w:type="dxa"/>
            <w:vAlign w:val="center"/>
          </w:tcPr>
          <w:p>
            <w:pPr>
              <w:pStyle w:val="46"/>
              <w:widowControl/>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kern w:val="2"/>
                <w:sz w:val="21"/>
                <w:szCs w:val="21"/>
              </w:rPr>
              <w:t>固定单价。结算时，以实际悬挂数量为依据，以实际验收和考核结果为准，结算金额不得超过合同价；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6</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投标上限价</w:t>
            </w:r>
          </w:p>
        </w:tc>
        <w:tc>
          <w:tcPr>
            <w:tcW w:w="6581" w:type="dxa"/>
            <w:vAlign w:val="center"/>
          </w:tcPr>
          <w:p>
            <w:pPr>
              <w:pStyle w:val="416"/>
              <w:spacing w:line="380" w:lineRule="exact"/>
              <w:jc w:val="left"/>
              <w:rPr>
                <w:rFonts w:asciiTheme="minorEastAsia" w:hAnsiTheme="minorEastAsia"/>
                <w:color w:val="000000" w:themeColor="text1"/>
              </w:rPr>
            </w:pPr>
            <w:r>
              <w:rPr>
                <w:rFonts w:hint="eastAsia" w:asciiTheme="minorEastAsia" w:hAnsiTheme="minorEastAsia" w:eastAsiaTheme="minorEastAsia"/>
                <w:color w:val="000000" w:themeColor="text1"/>
              </w:rPr>
              <w:t>投</w:t>
            </w:r>
            <w:r>
              <w:rPr>
                <w:rFonts w:hint="eastAsia" w:cs="Times New Roman" w:asciiTheme="minorEastAsia" w:hAnsiTheme="minorEastAsia" w:eastAsiaTheme="minorEastAsia"/>
                <w:color w:val="000000" w:themeColor="text1"/>
              </w:rPr>
              <w:t>标上限价</w:t>
            </w:r>
            <w:r>
              <w:rPr>
                <w:rFonts w:hint="eastAsia" w:cs="Times New Roman"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lang w:val="en-US" w:eastAsia="zh-CN"/>
              </w:rPr>
              <w:t>灯笼悬挂服务上限价112.1元/个（</w:t>
            </w:r>
            <w:r>
              <w:rPr>
                <w:rFonts w:hint="eastAsia" w:ascii="宋体" w:hAnsi="宋体" w:eastAsia="宋体" w:cs="宋体"/>
                <w:color w:val="000000" w:themeColor="text1"/>
                <w:lang w:val="en-US" w:eastAsia="zh-CN"/>
              </w:rPr>
              <w:t>≦</w:t>
            </w:r>
            <w:r>
              <w:rPr>
                <w:rFonts w:hint="eastAsia" w:asciiTheme="minorEastAsia" w:hAnsiTheme="minorEastAsia" w:eastAsiaTheme="minorEastAsia"/>
                <w:color w:val="000000" w:themeColor="text1"/>
                <w:lang w:val="en-US" w:eastAsia="zh-CN"/>
              </w:rPr>
              <w:t>3101个），旗帜悬挂服务上限价111.7元/面（</w:t>
            </w:r>
            <w:r>
              <w:rPr>
                <w:rFonts w:hint="eastAsia" w:ascii="宋体" w:hAnsi="宋体" w:eastAsia="宋体" w:cs="宋体"/>
                <w:color w:val="000000" w:themeColor="text1"/>
                <w:lang w:val="en-US" w:eastAsia="zh-CN"/>
              </w:rPr>
              <w:t>≦</w:t>
            </w:r>
            <w:r>
              <w:rPr>
                <w:rFonts w:hint="eastAsia" w:asciiTheme="minorEastAsia" w:hAnsiTheme="minorEastAsia" w:eastAsiaTheme="minorEastAsia"/>
                <w:color w:val="000000" w:themeColor="text1"/>
                <w:lang w:val="en-US" w:eastAsia="zh-CN"/>
              </w:rPr>
              <w:t>2086面）,灯笼和国旗悬挂数量，根据业主单位要求和现场实际悬挂数量据实结算.采购总金额上限价为580628.3元</w:t>
            </w:r>
            <w:r>
              <w:rPr>
                <w:rFonts w:hint="eastAsia" w:cs="Times New Roman" w:asciiTheme="minorEastAsia" w:hAnsiTheme="minorEastAsia" w:eastAsiaTheme="minorEastAsia"/>
                <w:color w:val="000000" w:themeColor="text1"/>
              </w:rPr>
              <w:t>，上限价均包含</w:t>
            </w:r>
            <w:r>
              <w:rPr>
                <w:rFonts w:hint="eastAsia" w:cs="Times New Roman" w:asciiTheme="minorEastAsia" w:hAnsiTheme="minorEastAsia" w:eastAsiaTheme="minorEastAsia"/>
                <w:color w:val="000000" w:themeColor="text1"/>
                <w:lang w:val="en-US" w:eastAsia="zh-CN"/>
              </w:rPr>
              <w:t>国旗、灯笼的</w:t>
            </w:r>
            <w:r>
              <w:rPr>
                <w:rFonts w:hint="eastAsia" w:cs="Times New Roman" w:asciiTheme="minorEastAsia" w:hAnsiTheme="minorEastAsia" w:eastAsiaTheme="minorEastAsia"/>
                <w:color w:val="000000" w:themeColor="text1"/>
              </w:rPr>
              <w:t>悬挂、维护、拆卸等服务费用</w:t>
            </w: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7</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资格审查方式</w:t>
            </w:r>
          </w:p>
        </w:tc>
        <w:tc>
          <w:tcPr>
            <w:tcW w:w="6581" w:type="dxa"/>
            <w:vAlign w:val="center"/>
          </w:tcPr>
          <w:p>
            <w:pPr>
              <w:spacing w:line="380" w:lineRule="exact"/>
              <w:ind w:left="0" w:leftChars="0" w:firstLine="0" w:firstLineChars="0"/>
              <w:jc w:val="left"/>
              <w:rPr>
                <w:rFonts w:cs="宋体" w:asciiTheme="minorEastAsia" w:hAnsiTheme="minorEastAsia"/>
                <w:color w:val="000000" w:themeColor="text1"/>
                <w:szCs w:val="21"/>
              </w:rPr>
            </w:pPr>
            <w:r>
              <w:rPr>
                <w:rFonts w:hint="eastAsia" w:asciiTheme="minorEastAsia" w:hAnsiTheme="minorEastAsia"/>
                <w:color w:val="000000" w:themeColor="text1"/>
                <w:szCs w:val="21"/>
              </w:rPr>
              <w:t>□投标报名    □资格预审     ☑资格后审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8</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是否接受联合体</w:t>
            </w:r>
          </w:p>
        </w:tc>
        <w:tc>
          <w:tcPr>
            <w:tcW w:w="6581" w:type="dxa"/>
            <w:vAlign w:val="center"/>
          </w:tcPr>
          <w:p>
            <w:pPr>
              <w:spacing w:line="380" w:lineRule="exact"/>
              <w:ind w:left="0" w:leftChars="0" w:firstLine="0" w:firstLineChars="0"/>
              <w:jc w:val="left"/>
              <w:rPr>
                <w:rFonts w:cs="宋体" w:asciiTheme="minorEastAsia" w:hAnsiTheme="minorEastAsia"/>
                <w:color w:val="000000" w:themeColor="text1"/>
                <w:szCs w:val="21"/>
              </w:rPr>
            </w:pPr>
            <w:r>
              <w:rPr>
                <w:rFonts w:hint="eastAsia" w:asciiTheme="minorEastAsia" w:hAnsiTheme="minorEastAsia"/>
                <w:color w:val="000000" w:themeColor="text1"/>
                <w:szCs w:val="21"/>
              </w:rPr>
              <w:t xml:space="preserve">☑不接受    □接受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9</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投标人资质要求</w:t>
            </w:r>
          </w:p>
        </w:tc>
        <w:tc>
          <w:tcPr>
            <w:tcW w:w="6581" w:type="dxa"/>
            <w:vAlign w:val="center"/>
          </w:tcPr>
          <w:p>
            <w:pPr>
              <w:pStyle w:val="46"/>
              <w:widowControl/>
              <w:spacing w:line="380" w:lineRule="exact"/>
              <w:ind w:left="0" w:leftChars="0" w:firstLine="0" w:firstLineChars="0"/>
              <w:rPr>
                <w:color w:val="000000" w:themeColor="text1"/>
              </w:rPr>
            </w:pPr>
            <w:r>
              <w:rPr>
                <w:rFonts w:hint="eastAsia" w:ascii="宋体" w:hAnsi="宋体" w:cs="宋体"/>
                <w:bCs/>
                <w:color w:val="000000" w:themeColor="text1"/>
                <w:kern w:val="2"/>
                <w:sz w:val="21"/>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投标人必须按照招标文件所提供的《投标及履约承诺函》进行承诺（详见招标文件相应章节）；本项目不接受进口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10</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服务期</w:t>
            </w:r>
          </w:p>
        </w:tc>
        <w:tc>
          <w:tcPr>
            <w:tcW w:w="6581" w:type="dxa"/>
            <w:vAlign w:val="center"/>
          </w:tcPr>
          <w:p>
            <w:pPr>
              <w:spacing w:line="380" w:lineRule="exact"/>
              <w:ind w:left="0" w:leftChars="0" w:firstLine="0" w:firstLineChars="0"/>
              <w:jc w:val="left"/>
              <w:rPr>
                <w:rFonts w:ascii="宋体" w:hAnsi="宋体" w:cs="宋体"/>
                <w:bCs/>
                <w:color w:val="000000" w:themeColor="text1"/>
                <w:szCs w:val="21"/>
              </w:rPr>
            </w:pPr>
            <w:bookmarkStart w:id="331" w:name="_Toc450482930"/>
            <w:bookmarkStart w:id="332" w:name="_Toc469400845"/>
            <w:bookmarkStart w:id="333" w:name="_Toc450482895"/>
            <w:r>
              <w:rPr>
                <w:rFonts w:hint="eastAsia" w:ascii="宋体" w:hAnsi="宋体" w:cs="宋体"/>
                <w:bCs/>
                <w:color w:val="000000" w:themeColor="text1"/>
                <w:szCs w:val="21"/>
              </w:rPr>
              <w:t>计划开工时间</w:t>
            </w:r>
            <w:bookmarkEnd w:id="331"/>
            <w:bookmarkEnd w:id="332"/>
            <w:bookmarkEnd w:id="333"/>
            <w:r>
              <w:rPr>
                <w:rFonts w:hint="eastAsia" w:ascii="宋体" w:hAnsi="宋体" w:cs="宋体"/>
                <w:bCs/>
                <w:color w:val="000000" w:themeColor="text1"/>
                <w:szCs w:val="21"/>
              </w:rPr>
              <w:t>，春节灯笼悬挂：2024年2月1日；计划完工日期：2024年02月29日；</w:t>
            </w:r>
          </w:p>
          <w:p>
            <w:pPr>
              <w:spacing w:line="380" w:lineRule="exact"/>
              <w:jc w:val="left"/>
              <w:rPr>
                <w:rFonts w:ascii="宋体" w:hAnsi="宋体" w:cs="宋体"/>
                <w:bCs/>
                <w:color w:val="000000" w:themeColor="text1"/>
                <w:szCs w:val="21"/>
              </w:rPr>
            </w:pPr>
            <w:r>
              <w:rPr>
                <w:rFonts w:hint="eastAsia" w:ascii="宋体" w:hAnsi="宋体" w:cs="宋体"/>
                <w:bCs/>
                <w:color w:val="000000" w:themeColor="text1"/>
                <w:szCs w:val="21"/>
              </w:rPr>
              <w:t>国庆节国旗悬挂：2024年9月25日；计划完工日期：2024年10月15日；具体开工日期以甲方或街道主管方指令为准。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11</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评标方式</w:t>
            </w:r>
          </w:p>
        </w:tc>
        <w:tc>
          <w:tcPr>
            <w:tcW w:w="6581" w:type="dxa"/>
            <w:vAlign w:val="center"/>
          </w:tcPr>
          <w:p>
            <w:pPr>
              <w:pStyle w:val="2"/>
              <w:spacing w:line="380" w:lineRule="exact"/>
              <w:ind w:left="0" w:leftChars="0" w:firstLine="0" w:firstLineChars="0"/>
              <w:rPr>
                <w:rFonts w:hAnsi="宋体" w:eastAsia="宋体" w:cs="宋体"/>
                <w:bCs/>
                <w:color w:val="000000" w:themeColor="text1"/>
              </w:rPr>
            </w:pPr>
            <w:r>
              <w:rPr>
                <w:rFonts w:hint="eastAsia" w:hAnsi="宋体" w:eastAsia="宋体" w:cs="宋体"/>
                <w:bCs/>
                <w:color w:val="000000" w:themeColor="text1"/>
              </w:rPr>
              <w:t>综合评分法：</w:t>
            </w:r>
            <w:r>
              <w:rPr>
                <w:rFonts w:hint="eastAsia" w:hAnsi="宋体" w:eastAsia="宋体" w:cs="宋体"/>
                <w:bCs/>
                <w:color w:val="585858" w:themeColor="text1" w:themeTint="A6"/>
                <w:highlight w:val="none"/>
              </w:rPr>
              <w:t>本项目采用综合评分法。由公司评标小组对投标文件进行评审，综合分数最高的为中标人。综合评分相同的，</w:t>
            </w:r>
            <w:r>
              <w:rPr>
                <w:rFonts w:hint="eastAsia" w:hAnsi="宋体" w:eastAsia="宋体" w:cs="宋体"/>
                <w:bCs/>
                <w:color w:val="585858" w:themeColor="text1" w:themeTint="A6"/>
                <w:highlight w:val="none"/>
                <w:lang w:val="en-US" w:eastAsia="zh-CN"/>
              </w:rPr>
              <w:t>优先选择价格低者</w:t>
            </w:r>
            <w:r>
              <w:rPr>
                <w:rFonts w:hint="eastAsia" w:hAnsi="宋体" w:eastAsia="宋体" w:cs="宋体"/>
                <w:bCs/>
                <w:color w:val="585858" w:themeColor="text1" w:themeTint="A6"/>
                <w:highlight w:val="none"/>
              </w:rPr>
              <w:t>，价格得分也相同的，商务分高者优先选择，若商务分也相同，则抽签确定中标人。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12</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定标方法</w:t>
            </w:r>
          </w:p>
        </w:tc>
        <w:tc>
          <w:tcPr>
            <w:tcW w:w="6581" w:type="dxa"/>
            <w:vAlign w:val="center"/>
          </w:tcPr>
          <w:p>
            <w:pPr>
              <w:pStyle w:val="2"/>
              <w:spacing w:line="380" w:lineRule="exact"/>
              <w:ind w:left="0" w:leftChars="0" w:firstLine="0" w:firstLineChars="0"/>
              <w:rPr>
                <w:color w:val="000000" w:themeColor="text1"/>
              </w:rPr>
            </w:pPr>
            <w:r>
              <w:rPr>
                <w:rFonts w:hint="eastAsia" w:hAnsi="宋体" w:eastAsia="宋体" w:cs="宋体"/>
                <w:b/>
                <w:color w:val="000000" w:themeColor="text1"/>
              </w:rPr>
              <w:t>直接票决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13</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定标择优要素</w:t>
            </w:r>
          </w:p>
        </w:tc>
        <w:tc>
          <w:tcPr>
            <w:tcW w:w="6581" w:type="dxa"/>
            <w:vAlign w:val="center"/>
          </w:tcPr>
          <w:p>
            <w:pPr>
              <w:pStyle w:val="2"/>
              <w:spacing w:line="380" w:lineRule="exact"/>
              <w:ind w:left="0" w:leftChars="0" w:firstLine="0" w:firstLineChars="0"/>
              <w:rPr>
                <w:rFonts w:ascii="Calibri"/>
                <w:color w:val="000000" w:themeColor="text1"/>
              </w:rPr>
            </w:pPr>
            <w:r>
              <w:rPr>
                <w:rFonts w:hint="eastAsia" w:hAnsi="宋体" w:eastAsia="宋体" w:cs="宋体"/>
                <w:bCs/>
                <w:color w:val="000000" w:themeColor="text1"/>
              </w:rPr>
              <w:t>定标择优要素侧重考量：</w:t>
            </w:r>
            <w:r>
              <w:rPr>
                <w:rFonts w:hint="eastAsia" w:hAnsi="宋体" w:eastAsia="宋体" w:cs="宋体"/>
                <w:b/>
                <w:bCs/>
                <w:color w:val="000000" w:themeColor="text1"/>
              </w:rPr>
              <w:t>服务报价、</w:t>
            </w:r>
            <w:r>
              <w:rPr>
                <w:rFonts w:hint="eastAsia" w:hAnsi="宋体" w:eastAsia="宋体" w:cs="宋体"/>
                <w:b/>
                <w:color w:val="000000" w:themeColor="text1"/>
              </w:rPr>
              <w:t>实施方案、</w:t>
            </w:r>
            <w:r>
              <w:rPr>
                <w:rFonts w:hint="eastAsia" w:hAnsi="宋体" w:eastAsia="宋体" w:cs="宋体"/>
                <w:b/>
                <w:bCs/>
                <w:color w:val="000000" w:themeColor="text1"/>
              </w:rPr>
              <w:t>企业同类业绩、综合实力，</w:t>
            </w:r>
            <w:r>
              <w:rPr>
                <w:rFonts w:hint="eastAsia" w:hAnsi="宋体" w:cs="宋体"/>
                <w:bCs/>
                <w:color w:val="000000" w:themeColor="text1"/>
              </w:rPr>
              <w:t>定标时按照上述要素综合择优。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14</w:t>
            </w:r>
          </w:p>
        </w:tc>
        <w:tc>
          <w:tcPr>
            <w:tcW w:w="1844" w:type="dxa"/>
            <w:vAlign w:val="center"/>
          </w:tcPr>
          <w:p>
            <w:pPr>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szCs w:val="21"/>
              </w:rPr>
              <w:t>定标委员会组建</w:t>
            </w:r>
          </w:p>
        </w:tc>
        <w:tc>
          <w:tcPr>
            <w:tcW w:w="6581" w:type="dxa"/>
            <w:vAlign w:val="center"/>
          </w:tcPr>
          <w:p>
            <w:pPr>
              <w:pStyle w:val="416"/>
              <w:spacing w:line="380" w:lineRule="exact"/>
              <w:rPr>
                <w:rFonts w:ascii="宋体" w:hAnsi="宋体" w:cs="宋体"/>
                <w:bCs/>
                <w:color w:val="000000" w:themeColor="text1"/>
              </w:rPr>
            </w:pPr>
            <w:r>
              <w:rPr>
                <w:rFonts w:hint="eastAsia" w:ascii="宋体" w:hAnsi="宋体" w:cs="宋体"/>
                <w:bCs/>
                <w:color w:val="000000" w:themeColor="text1"/>
              </w:rPr>
              <w:t>定标委员会成员共5名，监督人员共1名，定标委员、监督由招标人自行组建。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15</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投标担保</w:t>
            </w:r>
          </w:p>
        </w:tc>
        <w:tc>
          <w:tcPr>
            <w:tcW w:w="6581" w:type="dxa"/>
            <w:vAlign w:val="center"/>
          </w:tcPr>
          <w:p>
            <w:pPr>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szCs w:val="21"/>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16</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履约担保</w:t>
            </w:r>
          </w:p>
        </w:tc>
        <w:tc>
          <w:tcPr>
            <w:tcW w:w="6581" w:type="dxa"/>
            <w:vAlign w:val="center"/>
          </w:tcPr>
          <w:p>
            <w:pPr>
              <w:spacing w:line="380" w:lineRule="exact"/>
              <w:ind w:left="0" w:leftChars="0"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17</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预付款支付与扣回</w:t>
            </w:r>
          </w:p>
        </w:tc>
        <w:tc>
          <w:tcPr>
            <w:tcW w:w="6581" w:type="dxa"/>
            <w:vAlign w:val="center"/>
          </w:tcPr>
          <w:p>
            <w:pPr>
              <w:adjustRightInd w:val="0"/>
              <w:snapToGrid w:val="0"/>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szCs w:val="21"/>
              </w:rPr>
              <w:t>不支付预付款。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18</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合同款支付</w:t>
            </w:r>
          </w:p>
        </w:tc>
        <w:tc>
          <w:tcPr>
            <w:tcW w:w="6581" w:type="dxa"/>
            <w:vAlign w:val="center"/>
          </w:tcPr>
          <w:p>
            <w:pPr>
              <w:pStyle w:val="2"/>
              <w:ind w:left="0" w:leftChars="0" w:firstLine="0" w:firstLineChars="0"/>
              <w:rPr>
                <w:color w:val="000000" w:themeColor="text1"/>
                <w:highlight w:val="none"/>
              </w:rPr>
            </w:pPr>
            <w:r>
              <w:rPr>
                <w:rFonts w:hint="eastAsia" w:hAnsi="宋体" w:eastAsia="宋体" w:cs="宋体"/>
                <w:bCs/>
                <w:color w:val="000000" w:themeColor="text1"/>
                <w:highlight w:val="none"/>
              </w:rPr>
              <w:t>本合同一招一年，其中分春节和国庆两个节日时段开工和支付服务费，每次服务结束并验收合格，根据验收确认单，由乙方提供符合发包人要求的发票后，支付服务费用，合同到期后若考核大于等于95分，下年度可以续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19</w:t>
            </w:r>
          </w:p>
        </w:tc>
        <w:tc>
          <w:tcPr>
            <w:tcW w:w="1844" w:type="dxa"/>
            <w:vAlign w:val="center"/>
          </w:tcPr>
          <w:p>
            <w:pPr>
              <w:spacing w:line="380" w:lineRule="exact"/>
              <w:jc w:val="center"/>
              <w:rPr>
                <w:rFonts w:ascii="宋体" w:hAnsi="宋体" w:cs="宋体"/>
                <w:bCs/>
                <w:color w:val="000000" w:themeColor="text1"/>
                <w:szCs w:val="21"/>
              </w:rPr>
            </w:pPr>
            <w:r>
              <w:rPr>
                <w:rFonts w:hint="eastAsia" w:ascii="宋体" w:hAnsi="宋体" w:cs="宋体"/>
                <w:bCs/>
                <w:color w:val="000000" w:themeColor="text1"/>
                <w:szCs w:val="21"/>
              </w:rPr>
              <w:t>风险提示</w:t>
            </w:r>
          </w:p>
        </w:tc>
        <w:tc>
          <w:tcPr>
            <w:tcW w:w="6581" w:type="dxa"/>
            <w:vAlign w:val="center"/>
          </w:tcPr>
          <w:p>
            <w:pPr>
              <w:adjustRightInd w:val="0"/>
              <w:snapToGrid w:val="0"/>
              <w:spacing w:line="380" w:lineRule="exac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该项目为计划采购，因政策或上级单位要求等原因，存在随时调整减少采购数量的</w:t>
            </w:r>
            <w:r>
              <w:rPr>
                <w:rFonts w:hint="eastAsia" w:ascii="宋体" w:hAnsi="宋体" w:cs="宋体"/>
                <w:bCs/>
                <w:color w:val="000000" w:themeColor="text1"/>
                <w:szCs w:val="21"/>
                <w:highlight w:val="none"/>
                <w:lang w:val="en-US" w:eastAsia="zh-CN"/>
              </w:rPr>
              <w:t>风</w:t>
            </w:r>
            <w:r>
              <w:rPr>
                <w:rFonts w:hint="eastAsia" w:ascii="宋体" w:hAnsi="宋体" w:cs="宋体"/>
                <w:bCs/>
                <w:color w:val="000000" w:themeColor="text1"/>
                <w:szCs w:val="21"/>
                <w:highlight w:val="none"/>
              </w:rPr>
              <w:t>险，以及采购完成后，但根据现场实际情况，减少需求量，出现降费风险，因此需投标企业周知并承诺自行承担风险（企业参加投标即视为自行承担风险）。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5"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20</w:t>
            </w:r>
          </w:p>
        </w:tc>
        <w:tc>
          <w:tcPr>
            <w:tcW w:w="1844"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其他</w:t>
            </w:r>
          </w:p>
        </w:tc>
        <w:tc>
          <w:tcPr>
            <w:tcW w:w="6581" w:type="dxa"/>
            <w:vAlign w:val="center"/>
          </w:tcPr>
          <w:p>
            <w:pPr>
              <w:adjustRightInd w:val="0"/>
              <w:snapToGrid w:val="0"/>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szCs w:val="21"/>
              </w:rPr>
              <w:t>评分细则详见下表</w:t>
            </w:r>
          </w:p>
        </w:tc>
      </w:tr>
    </w:tbl>
    <w:p>
      <w:pPr>
        <w:widowControl w:val="0"/>
        <w:autoSpaceDE w:val="0"/>
        <w:autoSpaceDN w:val="0"/>
        <w:adjustRightInd w:val="0"/>
        <w:snapToGrid w:val="0"/>
        <w:ind w:firstLine="0" w:firstLineChars="0"/>
        <w:jc w:val="left"/>
        <w:rPr>
          <w:rFonts w:hint="eastAsia" w:ascii="宋体" w:hAnsi="宋体" w:eastAsia="宋体" w:cs="Times New Roman"/>
          <w:szCs w:val="21"/>
        </w:rPr>
      </w:pPr>
    </w:p>
    <w:p>
      <w:pPr>
        <w:widowControl w:val="0"/>
        <w:autoSpaceDE w:val="0"/>
        <w:autoSpaceDN w:val="0"/>
        <w:adjustRightInd w:val="0"/>
        <w:snapToGrid w:val="0"/>
        <w:ind w:firstLine="0" w:firstLineChars="0"/>
        <w:jc w:val="left"/>
        <w:rPr>
          <w:rFonts w:hint="eastAsia" w:ascii="宋体" w:hAnsi="宋体" w:eastAsia="宋体" w:cs="Times New Roman"/>
          <w:szCs w:val="21"/>
        </w:rPr>
      </w:pPr>
    </w:p>
    <w:p>
      <w:pPr>
        <w:widowControl w:val="0"/>
        <w:autoSpaceDE w:val="0"/>
        <w:autoSpaceDN w:val="0"/>
        <w:adjustRightInd w:val="0"/>
        <w:snapToGrid w:val="0"/>
        <w:ind w:firstLine="0" w:firstLineChars="0"/>
        <w:jc w:val="left"/>
        <w:rPr>
          <w:rFonts w:hint="eastAsia" w:ascii="宋体" w:hAnsi="宋体" w:eastAsia="宋体" w:cs="Times New Roman"/>
          <w:szCs w:val="21"/>
        </w:rPr>
      </w:pPr>
    </w:p>
    <w:p>
      <w:pPr>
        <w:widowControl w:val="0"/>
        <w:autoSpaceDE w:val="0"/>
        <w:autoSpaceDN w:val="0"/>
        <w:adjustRightInd w:val="0"/>
        <w:snapToGrid w:val="0"/>
        <w:ind w:firstLine="0" w:firstLineChars="0"/>
        <w:jc w:val="left"/>
        <w:rPr>
          <w:rFonts w:hint="eastAsia" w:ascii="宋体" w:hAnsi="宋体" w:eastAsia="宋体" w:cs="Times New Roman"/>
          <w:szCs w:val="21"/>
        </w:rPr>
      </w:pPr>
    </w:p>
    <w:p>
      <w:pPr>
        <w:widowControl w:val="0"/>
        <w:autoSpaceDE w:val="0"/>
        <w:autoSpaceDN w:val="0"/>
        <w:adjustRightInd w:val="0"/>
        <w:snapToGrid w:val="0"/>
        <w:ind w:firstLine="0" w:firstLineChars="0"/>
        <w:jc w:val="left"/>
        <w:rPr>
          <w:rFonts w:ascii="宋体" w:hAnsi="宋体"/>
          <w:b/>
          <w:sz w:val="22"/>
        </w:rPr>
      </w:pPr>
      <w:r>
        <w:rPr>
          <w:rFonts w:hint="eastAsia" w:ascii="宋体" w:hAnsi="宋体"/>
          <w:b/>
          <w:bCs/>
          <w:szCs w:val="21"/>
        </w:rPr>
        <w:t>附</w:t>
      </w:r>
      <w:r>
        <w:rPr>
          <w:rFonts w:hint="eastAsia" w:ascii="宋体" w:hAnsi="宋体" w:eastAsia="宋体" w:cs="Times New Roman"/>
          <w:b/>
          <w:bCs/>
          <w:szCs w:val="21"/>
        </w:rPr>
        <w:t>表</w:t>
      </w:r>
      <w:r>
        <w:rPr>
          <w:rFonts w:hint="eastAsia" w:ascii="宋体" w:hAnsi="宋体" w:eastAsia="宋体" w:cs="Times New Roman"/>
          <w:b/>
          <w:bCs/>
          <w:szCs w:val="21"/>
          <w:lang w:val="en-US" w:eastAsia="zh-CN"/>
        </w:rPr>
        <w:t>2</w:t>
      </w:r>
      <w:r>
        <w:rPr>
          <w:rFonts w:hint="eastAsia" w:ascii="宋体" w:hAnsi="宋体" w:eastAsia="宋体" w:cs="Times New Roman"/>
          <w:b/>
          <w:bCs/>
          <w:szCs w:val="21"/>
        </w:rPr>
        <w:t>-1</w:t>
      </w:r>
      <w:r>
        <w:rPr>
          <w:rFonts w:hint="eastAsia" w:ascii="宋体" w:hAnsi="宋体"/>
          <w:b/>
          <w:sz w:val="22"/>
        </w:rPr>
        <w:t>《商务标评审标准》</w:t>
      </w:r>
      <w:r>
        <w:rPr>
          <w:rFonts w:ascii="宋体" w:hAnsi="宋体"/>
          <w:b/>
          <w:sz w:val="22"/>
        </w:rPr>
        <w:tab/>
      </w:r>
    </w:p>
    <w:tbl>
      <w:tblPr>
        <w:tblStyle w:val="4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2"/>
        <w:gridCol w:w="594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8529" w:type="dxa"/>
            <w:gridSpan w:val="4"/>
            <w:shd w:val="clear" w:color="auto" w:fill="D9E2F3"/>
            <w:vAlign w:val="center"/>
          </w:tcPr>
          <w:p>
            <w:pPr>
              <w:adjustRightInd w:val="0"/>
              <w:snapToGrid w:val="0"/>
              <w:spacing w:line="360" w:lineRule="exact"/>
              <w:ind w:firstLine="643"/>
              <w:jc w:val="center"/>
              <w:rPr>
                <w:b/>
                <w:color w:val="595959"/>
                <w:sz w:val="32"/>
                <w:szCs w:val="32"/>
              </w:rPr>
            </w:pPr>
            <w:r>
              <w:rPr>
                <w:rFonts w:hint="eastAsia"/>
                <w:b/>
                <w:color w:val="595959"/>
                <w:sz w:val="32"/>
                <w:szCs w:val="32"/>
              </w:rPr>
              <w:t>《商务标评审标准》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675" w:type="dxa"/>
            <w:vAlign w:val="center"/>
          </w:tcPr>
          <w:p>
            <w:pPr>
              <w:adjustRightInd w:val="0"/>
              <w:snapToGrid w:val="0"/>
              <w:spacing w:line="360" w:lineRule="exact"/>
              <w:ind w:firstLine="0" w:firstLineChars="0"/>
              <w:rPr>
                <w:b/>
                <w:color w:val="595959"/>
                <w:szCs w:val="21"/>
              </w:rPr>
            </w:pPr>
            <w:r>
              <w:rPr>
                <w:rFonts w:hint="eastAsia"/>
                <w:b/>
                <w:color w:val="595959"/>
                <w:szCs w:val="21"/>
              </w:rPr>
              <w:t>序号</w:t>
            </w:r>
          </w:p>
        </w:tc>
        <w:tc>
          <w:tcPr>
            <w:tcW w:w="1112" w:type="dxa"/>
            <w:vAlign w:val="center"/>
          </w:tcPr>
          <w:p>
            <w:pPr>
              <w:adjustRightInd w:val="0"/>
              <w:snapToGrid w:val="0"/>
              <w:spacing w:line="360" w:lineRule="exact"/>
              <w:ind w:firstLine="0" w:firstLineChars="0"/>
              <w:rPr>
                <w:b/>
                <w:color w:val="595959"/>
                <w:szCs w:val="21"/>
              </w:rPr>
            </w:pPr>
            <w:r>
              <w:rPr>
                <w:rFonts w:hint="eastAsia"/>
                <w:b/>
                <w:color w:val="595959"/>
                <w:szCs w:val="21"/>
              </w:rPr>
              <w:t>评审项目</w:t>
            </w:r>
          </w:p>
        </w:tc>
        <w:tc>
          <w:tcPr>
            <w:tcW w:w="5940" w:type="dxa"/>
            <w:vAlign w:val="center"/>
          </w:tcPr>
          <w:p>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pPr>
              <w:adjustRightInd w:val="0"/>
              <w:snapToGrid w:val="0"/>
              <w:spacing w:line="360" w:lineRule="exact"/>
              <w:ind w:firstLine="0" w:firstLineChars="0"/>
              <w:rPr>
                <w:b/>
                <w:color w:val="595959"/>
                <w:szCs w:val="21"/>
              </w:rPr>
            </w:pPr>
            <w:r>
              <w:rPr>
                <w:rFonts w:hint="eastAsia"/>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675" w:type="dxa"/>
            <w:vMerge w:val="restart"/>
            <w:vAlign w:val="center"/>
          </w:tcPr>
          <w:p>
            <w:pPr>
              <w:adjustRightInd w:val="0"/>
              <w:snapToGrid w:val="0"/>
              <w:spacing w:line="360" w:lineRule="exact"/>
              <w:ind w:firstLine="199" w:firstLineChars="95"/>
              <w:rPr>
                <w:rFonts w:cs="宋体"/>
                <w:b/>
                <w:color w:val="595959"/>
                <w:szCs w:val="21"/>
              </w:rPr>
            </w:pPr>
            <w:r>
              <w:rPr>
                <w:rFonts w:cs="宋体"/>
                <w:color w:val="595959"/>
                <w:szCs w:val="21"/>
              </w:rPr>
              <w:t>1</w:t>
            </w:r>
          </w:p>
        </w:tc>
        <w:tc>
          <w:tcPr>
            <w:tcW w:w="1112" w:type="dxa"/>
            <w:vMerge w:val="restart"/>
            <w:vAlign w:val="center"/>
          </w:tcPr>
          <w:p>
            <w:pPr>
              <w:ind w:firstLine="0" w:firstLineChars="0"/>
              <w:rPr>
                <w:color w:val="595959"/>
                <w:sz w:val="22"/>
              </w:rPr>
            </w:pPr>
            <w:r>
              <w:rPr>
                <w:rFonts w:hint="eastAsia"/>
                <w:color w:val="595959"/>
                <w:sz w:val="22"/>
              </w:rPr>
              <w:t xml:space="preserve">项目拟使用的车辆情况 </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spacing w:line="360" w:lineRule="exact"/>
              <w:ind w:firstLine="420"/>
              <w:rPr>
                <w:rFonts w:cs="宋体"/>
                <w:bCs/>
                <w:color w:val="595959"/>
                <w:szCs w:val="21"/>
              </w:rPr>
            </w:pPr>
            <w:r>
              <w:rPr>
                <w:rFonts w:hint="eastAsia" w:cs="宋体"/>
                <w:bCs/>
                <w:color w:val="595959"/>
                <w:szCs w:val="21"/>
              </w:rPr>
              <w:t>1.拟投入16米及（或）以上高空作业车，每提供1辆得20</w:t>
            </w:r>
            <w:r>
              <w:rPr>
                <w:rFonts w:hint="eastAsia" w:cs="宋体"/>
                <w:color w:val="595959"/>
                <w:szCs w:val="21"/>
              </w:rPr>
              <w:t>%</w:t>
            </w:r>
            <w:r>
              <w:rPr>
                <w:rFonts w:hint="eastAsia" w:cs="宋体"/>
                <w:bCs/>
                <w:color w:val="595959"/>
                <w:szCs w:val="21"/>
              </w:rPr>
              <w:t>分;本项最高得 60</w:t>
            </w:r>
            <w:r>
              <w:rPr>
                <w:rFonts w:hint="eastAsia" w:cs="宋体"/>
                <w:color w:val="595959"/>
                <w:szCs w:val="21"/>
              </w:rPr>
              <w:t>%</w:t>
            </w:r>
            <w:r>
              <w:rPr>
                <w:rFonts w:hint="eastAsia" w:cs="宋体"/>
                <w:bCs/>
                <w:color w:val="595959"/>
                <w:szCs w:val="21"/>
              </w:rPr>
              <w:t>分;</w:t>
            </w:r>
          </w:p>
          <w:p>
            <w:pPr>
              <w:spacing w:line="360" w:lineRule="exact"/>
              <w:ind w:firstLine="420"/>
              <w:rPr>
                <w:rFonts w:cs="宋体"/>
                <w:bCs/>
                <w:color w:val="595959"/>
                <w:szCs w:val="21"/>
              </w:rPr>
            </w:pPr>
            <w:r>
              <w:rPr>
                <w:rFonts w:hint="eastAsia" w:cs="宋体"/>
                <w:bCs/>
                <w:color w:val="595959"/>
                <w:szCs w:val="21"/>
              </w:rPr>
              <w:t>2.拟投入货车(带施工导向标志)，每提供1辆得10</w:t>
            </w:r>
            <w:r>
              <w:rPr>
                <w:rFonts w:hint="eastAsia" w:cs="宋体"/>
                <w:color w:val="595959"/>
                <w:szCs w:val="21"/>
              </w:rPr>
              <w:t>%</w:t>
            </w:r>
            <w:r>
              <w:rPr>
                <w:rFonts w:hint="eastAsia" w:cs="宋体"/>
                <w:bCs/>
                <w:color w:val="595959"/>
                <w:szCs w:val="21"/>
              </w:rPr>
              <w:t>分;本项最高得20</w:t>
            </w:r>
            <w:r>
              <w:rPr>
                <w:rFonts w:hint="eastAsia" w:cs="宋体"/>
                <w:color w:val="595959"/>
                <w:szCs w:val="21"/>
              </w:rPr>
              <w:t>%</w:t>
            </w:r>
            <w:r>
              <w:rPr>
                <w:rFonts w:hint="eastAsia" w:cs="宋体"/>
                <w:bCs/>
                <w:color w:val="595959"/>
                <w:szCs w:val="21"/>
              </w:rPr>
              <w:t>分</w:t>
            </w:r>
          </w:p>
          <w:p>
            <w:pPr>
              <w:spacing w:line="360" w:lineRule="exact"/>
              <w:ind w:firstLine="420"/>
              <w:rPr>
                <w:rFonts w:cs="宋体"/>
                <w:bCs/>
                <w:color w:val="595959"/>
                <w:szCs w:val="21"/>
              </w:rPr>
            </w:pPr>
            <w:r>
              <w:rPr>
                <w:rFonts w:hint="eastAsia" w:cs="宋体"/>
                <w:bCs/>
                <w:color w:val="595959"/>
                <w:szCs w:val="21"/>
              </w:rPr>
              <w:t>3.拟投入防撞车不少于2辆，每提供1辆得5</w:t>
            </w:r>
            <w:r>
              <w:rPr>
                <w:rFonts w:hint="eastAsia" w:cs="宋体"/>
                <w:color w:val="595959"/>
                <w:szCs w:val="21"/>
              </w:rPr>
              <w:t>%</w:t>
            </w:r>
            <w:r>
              <w:rPr>
                <w:rFonts w:hint="eastAsia" w:cs="宋体"/>
                <w:bCs/>
                <w:color w:val="595959"/>
                <w:szCs w:val="21"/>
              </w:rPr>
              <w:t>分;本项最高得10</w:t>
            </w:r>
            <w:r>
              <w:rPr>
                <w:rFonts w:hint="eastAsia" w:cs="宋体"/>
                <w:color w:val="595959"/>
                <w:szCs w:val="21"/>
              </w:rPr>
              <w:t>%</w:t>
            </w:r>
            <w:r>
              <w:rPr>
                <w:rFonts w:hint="eastAsia" w:cs="宋体"/>
                <w:bCs/>
                <w:color w:val="595959"/>
                <w:szCs w:val="21"/>
              </w:rPr>
              <w:t>分</w:t>
            </w:r>
          </w:p>
          <w:p>
            <w:pPr>
              <w:spacing w:line="360" w:lineRule="exact"/>
              <w:ind w:firstLine="420"/>
              <w:rPr>
                <w:rFonts w:cs="宋体"/>
                <w:bCs/>
                <w:color w:val="595959"/>
                <w:szCs w:val="21"/>
              </w:rPr>
            </w:pPr>
            <w:r>
              <w:rPr>
                <w:rFonts w:hint="eastAsia" w:cs="宋体"/>
                <w:bCs/>
                <w:color w:val="595959"/>
                <w:szCs w:val="21"/>
              </w:rPr>
              <w:t>4.拟投入巡查车不少于1辆，得10</w:t>
            </w:r>
            <w:r>
              <w:rPr>
                <w:rFonts w:hint="eastAsia" w:cs="宋体"/>
                <w:color w:val="595959"/>
                <w:szCs w:val="21"/>
              </w:rPr>
              <w:t>%</w:t>
            </w:r>
            <w:r>
              <w:rPr>
                <w:rFonts w:hint="eastAsia" w:cs="宋体"/>
                <w:bCs/>
                <w:color w:val="595959"/>
                <w:szCs w:val="21"/>
              </w:rPr>
              <w:t>分，本项最高得10</w:t>
            </w:r>
            <w:r>
              <w:rPr>
                <w:rFonts w:hint="eastAsia" w:cs="宋体"/>
                <w:color w:val="595959"/>
                <w:szCs w:val="21"/>
              </w:rPr>
              <w:t>%</w:t>
            </w:r>
            <w:r>
              <w:rPr>
                <w:rFonts w:hint="eastAsia" w:cs="宋体"/>
                <w:bCs/>
                <w:color w:val="595959"/>
                <w:szCs w:val="21"/>
              </w:rPr>
              <w:t>分，其余情况不得分。</w:t>
            </w:r>
          </w:p>
          <w:p>
            <w:pPr>
              <w:ind w:firstLine="420"/>
              <w:rPr>
                <w:rFonts w:hAnsi="Courier New"/>
                <w:szCs w:val="21"/>
              </w:rPr>
            </w:pPr>
            <w:r>
              <w:rPr>
                <w:rFonts w:hint="eastAsia" w:cs="宋体"/>
                <w:color w:val="595959"/>
                <w:szCs w:val="21"/>
              </w:rPr>
              <w:t>本项最高得100%分。</w:t>
            </w:r>
          </w:p>
        </w:tc>
        <w:tc>
          <w:tcPr>
            <w:tcW w:w="802" w:type="dxa"/>
            <w:vMerge w:val="restart"/>
            <w:vAlign w:val="center"/>
          </w:tcPr>
          <w:p>
            <w:pPr>
              <w:adjustRightInd w:val="0"/>
              <w:snapToGrid w:val="0"/>
              <w:spacing w:line="360" w:lineRule="exact"/>
              <w:ind w:firstLine="199" w:firstLineChars="95"/>
              <w:rPr>
                <w:rFonts w:cs="宋体"/>
                <w:color w:val="595959"/>
                <w:szCs w:val="21"/>
              </w:rPr>
            </w:pPr>
            <w:r>
              <w:rPr>
                <w:rFonts w:cs="宋体"/>
                <w:color w:val="59595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Merge w:val="continue"/>
            <w:vAlign w:val="center"/>
          </w:tcPr>
          <w:p>
            <w:pPr>
              <w:adjustRightInd w:val="0"/>
              <w:snapToGrid w:val="0"/>
              <w:spacing w:line="360" w:lineRule="exact"/>
              <w:ind w:firstLine="422"/>
              <w:jc w:val="center"/>
              <w:rPr>
                <w:rFonts w:cs="宋体"/>
                <w:b/>
                <w:color w:val="595959"/>
                <w:szCs w:val="21"/>
              </w:rPr>
            </w:pPr>
          </w:p>
        </w:tc>
        <w:tc>
          <w:tcPr>
            <w:tcW w:w="1112" w:type="dxa"/>
            <w:vMerge w:val="continue"/>
            <w:vAlign w:val="center"/>
          </w:tcPr>
          <w:p>
            <w:pPr>
              <w:adjustRightInd w:val="0"/>
              <w:snapToGrid w:val="0"/>
              <w:spacing w:line="360" w:lineRule="exact"/>
              <w:ind w:firstLine="422"/>
              <w:jc w:val="center"/>
              <w:rPr>
                <w:rFonts w:cs="宋体"/>
                <w:b/>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1.要求提供车辆权属资料:合法购买车辆要求提供车辆行驶证，行驶证登记的所有人必须为投标人，租赁车辆要求同时提供行驶证和租赁合同关键信息(租赁合同日期须涵盖本项目整个服务期，否则不予计分)租赁合同的承租人必须为投标人;且投标人须承诺运营车辆的服务时间满足7*24 小时的调配，可保证采购人的使用(提供承诺，格式自拟)。</w:t>
            </w:r>
          </w:p>
          <w:p>
            <w:pPr>
              <w:wordWrap w:val="0"/>
              <w:spacing w:line="360" w:lineRule="exact"/>
              <w:ind w:firstLine="420"/>
              <w:rPr>
                <w:rFonts w:cs="宋体"/>
                <w:color w:val="595959"/>
                <w:szCs w:val="21"/>
              </w:rPr>
            </w:pPr>
            <w:r>
              <w:rPr>
                <w:rFonts w:hint="eastAsia" w:cs="宋体"/>
                <w:color w:val="595959"/>
                <w:szCs w:val="21"/>
              </w:rPr>
              <w:t>2.所有资料均要求扫描件，原件备查。</w:t>
            </w:r>
          </w:p>
          <w:p>
            <w:pPr>
              <w:wordWrap w:val="0"/>
              <w:spacing w:line="360" w:lineRule="exact"/>
              <w:ind w:firstLine="420"/>
              <w:rPr>
                <w:rFonts w:cs="宋体"/>
                <w:color w:val="595959"/>
                <w:szCs w:val="21"/>
              </w:rPr>
            </w:pPr>
            <w:r>
              <w:rPr>
                <w:rFonts w:hint="eastAsia" w:cs="宋体"/>
                <w:color w:val="595959"/>
                <w:szCs w:val="21"/>
              </w:rPr>
              <w:t>3.评分中出现无证明资料或专家无法凭所提供资料判断是否得分的情况，一律作不得分处理。</w:t>
            </w:r>
          </w:p>
        </w:tc>
        <w:tc>
          <w:tcPr>
            <w:tcW w:w="802" w:type="dxa"/>
            <w:vMerge w:val="continue"/>
            <w:vAlign w:val="center"/>
          </w:tcPr>
          <w:p>
            <w:pPr>
              <w:wordWrap w:val="0"/>
              <w:adjustRightInd w:val="0"/>
              <w:snapToGrid w:val="0"/>
              <w:spacing w:line="360" w:lineRule="exact"/>
              <w:ind w:firstLine="420"/>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pPr>
              <w:adjustRightInd w:val="0"/>
              <w:snapToGrid w:val="0"/>
              <w:spacing w:line="360" w:lineRule="exact"/>
              <w:ind w:firstLine="199" w:firstLineChars="95"/>
              <w:rPr>
                <w:rFonts w:cs="宋体"/>
                <w:bCs/>
                <w:color w:val="595959"/>
                <w:szCs w:val="21"/>
              </w:rPr>
            </w:pPr>
            <w:r>
              <w:rPr>
                <w:rFonts w:cs="宋体"/>
                <w:bCs/>
                <w:color w:val="595959"/>
                <w:szCs w:val="21"/>
              </w:rPr>
              <w:t>2</w:t>
            </w:r>
          </w:p>
        </w:tc>
        <w:tc>
          <w:tcPr>
            <w:tcW w:w="1112" w:type="dxa"/>
            <w:vMerge w:val="restart"/>
            <w:vAlign w:val="center"/>
          </w:tcPr>
          <w:p>
            <w:pPr>
              <w:ind w:firstLine="0" w:firstLineChars="0"/>
              <w:rPr>
                <w:color w:val="595959"/>
                <w:sz w:val="22"/>
              </w:rPr>
            </w:pPr>
            <w:r>
              <w:rPr>
                <w:rFonts w:hint="eastAsia"/>
                <w:color w:val="595959"/>
                <w:sz w:val="22"/>
              </w:rPr>
              <w:t>投标人通过相关认证情况</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投标人在具备以下证书:</w:t>
            </w:r>
          </w:p>
          <w:p>
            <w:pPr>
              <w:wordWrap w:val="0"/>
              <w:spacing w:line="360" w:lineRule="exact"/>
              <w:ind w:firstLine="420"/>
              <w:rPr>
                <w:rFonts w:cs="宋体"/>
                <w:color w:val="595959"/>
                <w:szCs w:val="21"/>
              </w:rPr>
            </w:pPr>
            <w:r>
              <w:rPr>
                <w:rFonts w:hint="eastAsia" w:cs="宋体"/>
                <w:color w:val="595959"/>
                <w:szCs w:val="21"/>
              </w:rPr>
              <w:t>1.质量管理体系认证证书得35%分:</w:t>
            </w:r>
          </w:p>
          <w:p>
            <w:pPr>
              <w:wordWrap w:val="0"/>
              <w:spacing w:line="360" w:lineRule="exact"/>
              <w:ind w:firstLine="420"/>
              <w:rPr>
                <w:rFonts w:cs="宋体"/>
                <w:color w:val="595959"/>
                <w:szCs w:val="21"/>
              </w:rPr>
            </w:pPr>
            <w:r>
              <w:rPr>
                <w:rFonts w:hint="eastAsia" w:cs="宋体"/>
                <w:color w:val="595959"/>
                <w:szCs w:val="21"/>
              </w:rPr>
              <w:t>2.职业健康安全管理体系认证证书得 35%分:</w:t>
            </w:r>
          </w:p>
          <w:p>
            <w:pPr>
              <w:wordWrap w:val="0"/>
              <w:spacing w:line="360" w:lineRule="exact"/>
              <w:ind w:firstLine="420"/>
              <w:rPr>
                <w:rFonts w:cs="宋体"/>
                <w:color w:val="595959"/>
                <w:szCs w:val="21"/>
              </w:rPr>
            </w:pPr>
            <w:r>
              <w:rPr>
                <w:rFonts w:hint="eastAsia" w:cs="宋体"/>
                <w:color w:val="595959"/>
                <w:szCs w:val="21"/>
              </w:rPr>
              <w:t>3.环境管理体系认证证书得35%分:</w:t>
            </w:r>
          </w:p>
          <w:p>
            <w:pPr>
              <w:ind w:firstLine="420"/>
              <w:rPr>
                <w:rFonts w:hAnsi="Courier New"/>
                <w:szCs w:val="21"/>
              </w:rPr>
            </w:pPr>
            <w:r>
              <w:rPr>
                <w:rFonts w:hint="eastAsia" w:cs="宋体"/>
                <w:bCs/>
                <w:color w:val="595959"/>
                <w:szCs w:val="21"/>
              </w:rPr>
              <w:t>本项最高得10</w:t>
            </w:r>
            <w:r>
              <w:rPr>
                <w:rFonts w:cs="宋体"/>
                <w:bCs/>
                <w:color w:val="595959"/>
                <w:szCs w:val="21"/>
              </w:rPr>
              <w:t>0</w:t>
            </w:r>
            <w:r>
              <w:rPr>
                <w:rFonts w:hint="eastAsia" w:cs="宋体"/>
                <w:color w:val="595959"/>
                <w:szCs w:val="21"/>
              </w:rPr>
              <w:t>%</w:t>
            </w:r>
            <w:r>
              <w:rPr>
                <w:rFonts w:hint="eastAsia" w:cs="宋体"/>
                <w:bCs/>
                <w:color w:val="595959"/>
                <w:szCs w:val="21"/>
              </w:rPr>
              <w:t>分</w:t>
            </w:r>
          </w:p>
        </w:tc>
        <w:tc>
          <w:tcPr>
            <w:tcW w:w="802" w:type="dxa"/>
            <w:vMerge w:val="restart"/>
            <w:vAlign w:val="center"/>
          </w:tcPr>
          <w:p>
            <w:pPr>
              <w:adjustRightInd w:val="0"/>
              <w:snapToGrid w:val="0"/>
              <w:spacing w:line="360" w:lineRule="exact"/>
              <w:ind w:firstLine="199" w:firstLineChars="95"/>
              <w:rPr>
                <w:rFonts w:cs="宋体"/>
                <w:color w:val="595959"/>
                <w:szCs w:val="21"/>
              </w:rPr>
            </w:pPr>
            <w:r>
              <w:rPr>
                <w:rFonts w:hint="eastAsia" w:cs="宋体"/>
                <w:color w:val="595959"/>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12" w:type="dxa"/>
            <w:vMerge w:val="continue"/>
            <w:vAlign w:val="center"/>
          </w:tcPr>
          <w:p>
            <w:pPr>
              <w:adjustRightInd w:val="0"/>
              <w:snapToGrid w:val="0"/>
              <w:spacing w:line="360" w:lineRule="exact"/>
              <w:ind w:firstLine="420"/>
              <w:jc w:val="center"/>
              <w:rPr>
                <w:rFonts w:cs="宋体"/>
                <w:bCs/>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1.以上认证证书均需在有效期内。</w:t>
            </w:r>
          </w:p>
          <w:p>
            <w:pPr>
              <w:wordWrap w:val="0"/>
              <w:spacing w:line="360" w:lineRule="exact"/>
              <w:ind w:firstLine="420"/>
              <w:rPr>
                <w:rFonts w:cs="宋体"/>
                <w:color w:val="595959"/>
                <w:szCs w:val="21"/>
              </w:rPr>
            </w:pPr>
            <w:r>
              <w:rPr>
                <w:rFonts w:hint="eastAsia" w:cs="宋体"/>
                <w:color w:val="595959"/>
                <w:szCs w:val="21"/>
              </w:rPr>
              <w:t>2.提供在有效期内的相关证明文件扫描件及国家认监委网站【全国认证认可信息公共服务平台（http://cx.cnca.cn/CertECloud/index/index/page）】认证信息查询截图（截图需显示证书状态为有效）未提供或提供的资料无法判断是否有效的均不得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pPr>
              <w:adjustRightInd w:val="0"/>
              <w:snapToGrid w:val="0"/>
              <w:spacing w:line="360" w:lineRule="exact"/>
              <w:ind w:firstLine="199" w:firstLineChars="95"/>
              <w:rPr>
                <w:rFonts w:cs="宋体"/>
                <w:bCs/>
                <w:color w:val="595959"/>
                <w:szCs w:val="21"/>
              </w:rPr>
            </w:pPr>
            <w:r>
              <w:rPr>
                <w:rFonts w:cs="宋体"/>
                <w:bCs/>
                <w:color w:val="595959"/>
                <w:szCs w:val="21"/>
              </w:rPr>
              <w:t>3</w:t>
            </w:r>
          </w:p>
        </w:tc>
        <w:tc>
          <w:tcPr>
            <w:tcW w:w="1112" w:type="dxa"/>
            <w:vMerge w:val="restart"/>
            <w:vAlign w:val="center"/>
          </w:tcPr>
          <w:p>
            <w:pPr>
              <w:ind w:firstLine="0" w:firstLineChars="0"/>
              <w:rPr>
                <w:color w:val="595959"/>
                <w:sz w:val="22"/>
              </w:rPr>
            </w:pPr>
            <w:r>
              <w:rPr>
                <w:rFonts w:hint="eastAsia"/>
                <w:color w:val="595959"/>
                <w:sz w:val="22"/>
              </w:rPr>
              <w:t>获奖情况</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1.投标人（2017年1月1日至本项目招标公告日期前）获得由深圳市级建筑业协会颁发的优质专业工程城市及道路照明工程专业类奖项，得100%分；本项最高得100%分。</w:t>
            </w:r>
          </w:p>
        </w:tc>
        <w:tc>
          <w:tcPr>
            <w:tcW w:w="802" w:type="dxa"/>
            <w:vMerge w:val="restart"/>
            <w:vAlign w:val="center"/>
          </w:tcPr>
          <w:p>
            <w:pPr>
              <w:adjustRightInd w:val="0"/>
              <w:snapToGrid w:val="0"/>
              <w:spacing w:line="360" w:lineRule="exact"/>
              <w:ind w:firstLine="210" w:firstLineChars="100"/>
              <w:rPr>
                <w:rFonts w:cs="宋体"/>
                <w:color w:val="595959"/>
                <w:szCs w:val="21"/>
              </w:rPr>
            </w:pPr>
            <w:r>
              <w:rPr>
                <w:rFonts w:cs="宋体"/>
                <w:color w:val="595959"/>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12" w:type="dxa"/>
            <w:vMerge w:val="continue"/>
            <w:vAlign w:val="center"/>
          </w:tcPr>
          <w:p>
            <w:pPr>
              <w:adjustRightInd w:val="0"/>
              <w:snapToGrid w:val="0"/>
              <w:spacing w:line="360" w:lineRule="exact"/>
              <w:ind w:firstLine="420"/>
              <w:jc w:val="center"/>
              <w:rPr>
                <w:rFonts w:cs="宋体"/>
                <w:bCs/>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1.提供相关证明文件扫描件作为得分依据。</w:t>
            </w:r>
          </w:p>
          <w:p>
            <w:pPr>
              <w:wordWrap w:val="0"/>
              <w:spacing w:line="360" w:lineRule="exact"/>
              <w:ind w:firstLine="420"/>
              <w:rPr>
                <w:rFonts w:cs="宋体"/>
                <w:color w:val="595959"/>
                <w:szCs w:val="21"/>
              </w:rPr>
            </w:pPr>
            <w:r>
              <w:rPr>
                <w:rFonts w:hint="eastAsia" w:cs="宋体"/>
                <w:color w:val="595959"/>
                <w:szCs w:val="21"/>
              </w:rPr>
              <w:t>2.以上资料原件备查。评分中出现无证明资料或专家无法凭所提供资料判断是否得分的情况，一律作不得分处理。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pPr>
              <w:adjustRightInd w:val="0"/>
              <w:snapToGrid w:val="0"/>
              <w:spacing w:line="360" w:lineRule="exact"/>
              <w:ind w:firstLine="210" w:firstLineChars="100"/>
              <w:rPr>
                <w:rFonts w:cs="宋体"/>
                <w:bCs/>
                <w:color w:val="595959"/>
                <w:szCs w:val="21"/>
              </w:rPr>
            </w:pPr>
            <w:r>
              <w:rPr>
                <w:rFonts w:cs="宋体"/>
                <w:bCs/>
                <w:color w:val="595959"/>
                <w:szCs w:val="21"/>
              </w:rPr>
              <w:t>4</w:t>
            </w:r>
          </w:p>
        </w:tc>
        <w:tc>
          <w:tcPr>
            <w:tcW w:w="1112" w:type="dxa"/>
            <w:vMerge w:val="restart"/>
            <w:vAlign w:val="center"/>
          </w:tcPr>
          <w:p>
            <w:pPr>
              <w:adjustRightInd w:val="0"/>
              <w:snapToGrid w:val="0"/>
              <w:spacing w:line="360" w:lineRule="exact"/>
              <w:ind w:firstLine="0" w:firstLineChars="0"/>
              <w:rPr>
                <w:rFonts w:cs="宋体"/>
                <w:bCs/>
                <w:color w:val="595959"/>
                <w:szCs w:val="21"/>
              </w:rPr>
            </w:pPr>
            <w:r>
              <w:rPr>
                <w:rFonts w:hint="eastAsia" w:cs="宋体"/>
                <w:bCs/>
                <w:color w:val="595959"/>
                <w:szCs w:val="21"/>
              </w:rPr>
              <w:t>企业科技创新</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1.投标人（2017年1月1日至本项目招标公告日期前）获得国旗或灯笼类的发明专利的，每提供1个得35%分，本项最高得100%分。</w:t>
            </w:r>
          </w:p>
        </w:tc>
        <w:tc>
          <w:tcPr>
            <w:tcW w:w="802" w:type="dxa"/>
            <w:vMerge w:val="restart"/>
            <w:vAlign w:val="center"/>
          </w:tcPr>
          <w:p>
            <w:pPr>
              <w:adjustRightInd w:val="0"/>
              <w:snapToGrid w:val="0"/>
              <w:spacing w:line="360" w:lineRule="exact"/>
              <w:ind w:firstLine="199" w:firstLineChars="95"/>
              <w:rPr>
                <w:rFonts w:cs="宋体"/>
                <w:color w:val="595959"/>
                <w:szCs w:val="21"/>
              </w:rPr>
            </w:pPr>
            <w:r>
              <w:rPr>
                <w:rFonts w:cs="宋体"/>
                <w:color w:val="595959"/>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12" w:type="dxa"/>
            <w:vMerge w:val="continue"/>
            <w:vAlign w:val="center"/>
          </w:tcPr>
          <w:p>
            <w:pPr>
              <w:adjustRightInd w:val="0"/>
              <w:snapToGrid w:val="0"/>
              <w:spacing w:line="360" w:lineRule="exact"/>
              <w:ind w:firstLine="420"/>
              <w:jc w:val="center"/>
              <w:rPr>
                <w:rFonts w:cs="宋体"/>
                <w:bCs/>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1.提供投标人相关发明专利证明文件扫描件，未提供或提供的资料无法判断是否有效的均不得分。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pPr>
              <w:adjustRightInd w:val="0"/>
              <w:snapToGrid w:val="0"/>
              <w:spacing w:line="360" w:lineRule="exact"/>
              <w:ind w:firstLine="199" w:firstLineChars="95"/>
              <w:rPr>
                <w:rFonts w:cs="宋体"/>
                <w:bCs/>
                <w:color w:val="595959"/>
                <w:szCs w:val="21"/>
              </w:rPr>
            </w:pPr>
            <w:r>
              <w:rPr>
                <w:rFonts w:cs="宋体"/>
                <w:bCs/>
                <w:color w:val="595959"/>
                <w:szCs w:val="21"/>
              </w:rPr>
              <w:t>5</w:t>
            </w:r>
          </w:p>
        </w:tc>
        <w:tc>
          <w:tcPr>
            <w:tcW w:w="1112" w:type="dxa"/>
            <w:vMerge w:val="restart"/>
            <w:vAlign w:val="center"/>
          </w:tcPr>
          <w:p>
            <w:pPr>
              <w:adjustRightInd w:val="0"/>
              <w:snapToGrid w:val="0"/>
              <w:spacing w:line="360" w:lineRule="exact"/>
              <w:ind w:firstLine="0" w:firstLineChars="0"/>
              <w:rPr>
                <w:rFonts w:cs="宋体"/>
                <w:bCs/>
                <w:color w:val="595959"/>
                <w:szCs w:val="21"/>
              </w:rPr>
            </w:pPr>
            <w:r>
              <w:rPr>
                <w:rFonts w:hint="eastAsia" w:cs="宋体"/>
                <w:bCs/>
                <w:color w:val="595959"/>
                <w:szCs w:val="21"/>
              </w:rPr>
              <w:t>投标人同类业绩</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投标人（2017年1月1日至投标截止时间，以合同签订日期为准）:</w:t>
            </w:r>
          </w:p>
          <w:p>
            <w:pPr>
              <w:wordWrap w:val="0"/>
              <w:spacing w:line="360" w:lineRule="exact"/>
              <w:ind w:firstLine="420"/>
              <w:rPr>
                <w:rFonts w:cs="宋体"/>
                <w:color w:val="595959"/>
                <w:szCs w:val="21"/>
              </w:rPr>
            </w:pPr>
            <w:r>
              <w:rPr>
                <w:rFonts w:hint="eastAsia" w:cs="宋体"/>
                <w:color w:val="595959"/>
                <w:szCs w:val="21"/>
              </w:rPr>
              <w:t>1.承担过悬挂灯笼或国旗类项目每1个得20%分，最高得100%分。其他不得分</w:t>
            </w:r>
          </w:p>
          <w:p>
            <w:pPr>
              <w:wordWrap w:val="0"/>
              <w:spacing w:line="360" w:lineRule="exact"/>
              <w:ind w:firstLine="420"/>
              <w:rPr>
                <w:rFonts w:cs="宋体"/>
                <w:color w:val="595959"/>
                <w:szCs w:val="21"/>
              </w:rPr>
            </w:pPr>
            <w:r>
              <w:rPr>
                <w:rFonts w:hint="eastAsia" w:cs="宋体"/>
                <w:color w:val="595959"/>
                <w:szCs w:val="21"/>
              </w:rPr>
              <w:t>同一项目不可重复得分，项目延续合同视为一个业绩，不重复得分，以上累计最高得100</w:t>
            </w:r>
            <w:r>
              <w:rPr>
                <w:rFonts w:cs="宋体"/>
                <w:color w:val="595959"/>
                <w:szCs w:val="21"/>
              </w:rPr>
              <w:t>%</w:t>
            </w:r>
            <w:r>
              <w:rPr>
                <w:rFonts w:hint="eastAsia" w:cs="宋体"/>
                <w:color w:val="595959"/>
                <w:szCs w:val="21"/>
              </w:rPr>
              <w:t>分。</w:t>
            </w:r>
          </w:p>
        </w:tc>
        <w:tc>
          <w:tcPr>
            <w:tcW w:w="802" w:type="dxa"/>
            <w:vMerge w:val="restart"/>
            <w:vAlign w:val="center"/>
          </w:tcPr>
          <w:p>
            <w:pPr>
              <w:adjustRightInd w:val="0"/>
              <w:snapToGrid w:val="0"/>
              <w:spacing w:line="360" w:lineRule="exact"/>
              <w:ind w:firstLine="199" w:firstLineChars="95"/>
              <w:rPr>
                <w:rFonts w:cs="宋体"/>
                <w:color w:val="595959"/>
                <w:szCs w:val="21"/>
              </w:rPr>
            </w:pPr>
            <w:r>
              <w:rPr>
                <w:rFonts w:cs="宋体"/>
                <w:color w:val="595959"/>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12" w:type="dxa"/>
            <w:vMerge w:val="continue"/>
            <w:vAlign w:val="center"/>
          </w:tcPr>
          <w:p>
            <w:pPr>
              <w:adjustRightInd w:val="0"/>
              <w:snapToGrid w:val="0"/>
              <w:spacing w:line="360" w:lineRule="exact"/>
              <w:ind w:firstLine="420"/>
              <w:jc w:val="center"/>
              <w:rPr>
                <w:rFonts w:cs="宋体"/>
                <w:bCs/>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1.要求提供合同关键页及中标通知书证明文件作为得分依据。</w:t>
            </w:r>
          </w:p>
          <w:p>
            <w:pPr>
              <w:wordWrap w:val="0"/>
              <w:spacing w:line="360" w:lineRule="exact"/>
              <w:ind w:firstLine="420"/>
              <w:rPr>
                <w:rFonts w:cs="宋体"/>
                <w:color w:val="595959"/>
                <w:szCs w:val="21"/>
              </w:rPr>
            </w:pPr>
            <w:r>
              <w:rPr>
                <w:rFonts w:hint="eastAsia" w:cs="宋体"/>
                <w:color w:val="595959"/>
                <w:szCs w:val="21"/>
              </w:rPr>
              <w:t>2.通过以上材料无法判断是否得分的，还须同时提供能证明得分的其他证明资料，如项目报告或合同甲方出具的证明文件等。</w:t>
            </w:r>
          </w:p>
          <w:p>
            <w:pPr>
              <w:wordWrap w:val="0"/>
              <w:spacing w:line="360" w:lineRule="exact"/>
              <w:ind w:firstLine="420"/>
              <w:rPr>
                <w:rFonts w:cs="宋体"/>
                <w:color w:val="595959"/>
                <w:szCs w:val="21"/>
              </w:rPr>
            </w:pPr>
            <w:r>
              <w:rPr>
                <w:rFonts w:hint="eastAsia" w:cs="宋体"/>
                <w:color w:val="595959"/>
                <w:szCs w:val="21"/>
              </w:rPr>
              <w:t>3.以上资料均要求提供扫描件或复印件，原件备查。</w:t>
            </w:r>
          </w:p>
          <w:p>
            <w:pPr>
              <w:wordWrap w:val="0"/>
              <w:spacing w:line="360" w:lineRule="exact"/>
              <w:ind w:firstLine="420"/>
              <w:rPr>
                <w:rFonts w:cs="宋体"/>
                <w:color w:val="595959"/>
                <w:szCs w:val="21"/>
              </w:rPr>
            </w:pPr>
            <w:r>
              <w:rPr>
                <w:rFonts w:hint="eastAsia" w:cs="宋体"/>
                <w:color w:val="595959"/>
                <w:szCs w:val="21"/>
              </w:rPr>
              <w:t>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pPr>
              <w:adjustRightInd w:val="0"/>
              <w:snapToGrid w:val="0"/>
              <w:spacing w:line="360" w:lineRule="exact"/>
              <w:ind w:firstLine="199" w:firstLineChars="95"/>
              <w:rPr>
                <w:rFonts w:cs="宋体"/>
                <w:bCs/>
                <w:color w:val="595959"/>
                <w:szCs w:val="21"/>
              </w:rPr>
            </w:pPr>
            <w:r>
              <w:rPr>
                <w:rFonts w:cs="宋体"/>
                <w:bCs/>
                <w:color w:val="595959"/>
                <w:szCs w:val="21"/>
              </w:rPr>
              <w:t>6</w:t>
            </w:r>
          </w:p>
        </w:tc>
        <w:tc>
          <w:tcPr>
            <w:tcW w:w="1112" w:type="dxa"/>
            <w:vMerge w:val="restart"/>
            <w:vAlign w:val="center"/>
          </w:tcPr>
          <w:p>
            <w:pPr>
              <w:adjustRightInd w:val="0"/>
              <w:snapToGrid w:val="0"/>
              <w:spacing w:line="360" w:lineRule="exact"/>
              <w:ind w:firstLine="0" w:firstLineChars="0"/>
              <w:rPr>
                <w:rFonts w:cs="宋体"/>
                <w:bCs/>
                <w:color w:val="595959"/>
                <w:szCs w:val="21"/>
              </w:rPr>
            </w:pPr>
            <w:r>
              <w:rPr>
                <w:rFonts w:hint="eastAsia" w:cs="宋体"/>
                <w:bCs/>
                <w:color w:val="595959"/>
                <w:szCs w:val="21"/>
              </w:rPr>
              <w:t>履约评价</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以上被认定为有效的同类业绩并经服务单位考核评价为优秀或满意以及更高级的每提供1项得20%分，本项满分100%分。</w:t>
            </w:r>
          </w:p>
        </w:tc>
        <w:tc>
          <w:tcPr>
            <w:tcW w:w="802" w:type="dxa"/>
            <w:vMerge w:val="restart"/>
            <w:vAlign w:val="center"/>
          </w:tcPr>
          <w:p>
            <w:pPr>
              <w:adjustRightInd w:val="0"/>
              <w:snapToGrid w:val="0"/>
              <w:spacing w:line="360" w:lineRule="exact"/>
              <w:ind w:firstLine="199" w:firstLineChars="95"/>
              <w:rPr>
                <w:rFonts w:cs="宋体"/>
                <w:color w:val="595959"/>
                <w:szCs w:val="21"/>
              </w:rPr>
            </w:pPr>
            <w:r>
              <w:rPr>
                <w:rFonts w:cs="宋体"/>
                <w:color w:val="595959"/>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12" w:type="dxa"/>
            <w:vMerge w:val="continue"/>
            <w:vAlign w:val="center"/>
          </w:tcPr>
          <w:p>
            <w:pPr>
              <w:adjustRightInd w:val="0"/>
              <w:snapToGrid w:val="0"/>
              <w:spacing w:line="360" w:lineRule="exact"/>
              <w:ind w:firstLine="420"/>
              <w:jc w:val="center"/>
              <w:rPr>
                <w:rFonts w:cs="宋体"/>
                <w:bCs/>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须提供以上项目盖有用户单位公章的履约评价扫描件，不提供不得分。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pPr>
              <w:adjustRightInd w:val="0"/>
              <w:snapToGrid w:val="0"/>
              <w:spacing w:line="360" w:lineRule="exact"/>
              <w:ind w:firstLine="199" w:firstLineChars="95"/>
              <w:rPr>
                <w:rFonts w:cs="宋体"/>
                <w:bCs/>
                <w:color w:val="595959"/>
                <w:szCs w:val="21"/>
              </w:rPr>
            </w:pPr>
            <w:r>
              <w:rPr>
                <w:rFonts w:cs="宋体"/>
                <w:bCs/>
                <w:color w:val="595959"/>
                <w:szCs w:val="21"/>
              </w:rPr>
              <w:t>7</w:t>
            </w:r>
          </w:p>
        </w:tc>
        <w:tc>
          <w:tcPr>
            <w:tcW w:w="1112" w:type="dxa"/>
            <w:vMerge w:val="restart"/>
            <w:vAlign w:val="center"/>
          </w:tcPr>
          <w:p>
            <w:pPr>
              <w:adjustRightInd w:val="0"/>
              <w:snapToGrid w:val="0"/>
              <w:spacing w:line="360" w:lineRule="exact"/>
              <w:ind w:firstLine="0" w:firstLineChars="0"/>
              <w:rPr>
                <w:rFonts w:cs="宋体"/>
                <w:bCs/>
                <w:color w:val="595959"/>
                <w:szCs w:val="21"/>
              </w:rPr>
            </w:pPr>
            <w:r>
              <w:rPr>
                <w:rFonts w:hint="eastAsia" w:cs="宋体"/>
                <w:bCs/>
                <w:color w:val="595959"/>
                <w:szCs w:val="21"/>
              </w:rPr>
              <w:t>相关资质证书</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1.具备建筑机电安装工程专业承包二级或以上资质的得40%分；</w:t>
            </w:r>
          </w:p>
          <w:p>
            <w:pPr>
              <w:wordWrap w:val="0"/>
              <w:spacing w:line="360" w:lineRule="exact"/>
              <w:ind w:firstLine="420"/>
              <w:rPr>
                <w:rFonts w:cs="宋体"/>
                <w:color w:val="595959"/>
                <w:szCs w:val="21"/>
              </w:rPr>
            </w:pPr>
            <w:r>
              <w:rPr>
                <w:rFonts w:hint="eastAsia" w:cs="宋体"/>
                <w:color w:val="595959"/>
                <w:szCs w:val="21"/>
              </w:rPr>
              <w:t>2.具备电力工程施工总承包二级或以上资质的得40%分；</w:t>
            </w:r>
          </w:p>
          <w:p>
            <w:pPr>
              <w:wordWrap w:val="0"/>
              <w:spacing w:line="360" w:lineRule="exact"/>
              <w:ind w:firstLine="420"/>
              <w:rPr>
                <w:rFonts w:cs="宋体"/>
                <w:color w:val="595959"/>
                <w:szCs w:val="21"/>
              </w:rPr>
            </w:pPr>
            <w:r>
              <w:rPr>
                <w:rFonts w:hint="eastAsia" w:cs="宋体"/>
                <w:color w:val="595959"/>
                <w:szCs w:val="21"/>
              </w:rPr>
              <w:t>3.投标人具备承装类四级、承修类四级、承试类四级或以上电力设施许可证，得20%分；本项满分100%。</w:t>
            </w:r>
          </w:p>
        </w:tc>
        <w:tc>
          <w:tcPr>
            <w:tcW w:w="802" w:type="dxa"/>
            <w:vMerge w:val="restart"/>
            <w:vAlign w:val="center"/>
          </w:tcPr>
          <w:p>
            <w:pPr>
              <w:adjustRightInd w:val="0"/>
              <w:snapToGrid w:val="0"/>
              <w:spacing w:line="360" w:lineRule="exact"/>
              <w:ind w:firstLine="105" w:firstLineChars="50"/>
              <w:rPr>
                <w:rFonts w:cs="宋体"/>
                <w:color w:val="595959"/>
                <w:szCs w:val="21"/>
              </w:rPr>
            </w:pPr>
            <w:r>
              <w:rPr>
                <w:rFonts w:cs="宋体"/>
                <w:color w:val="595959"/>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12" w:type="dxa"/>
            <w:vMerge w:val="continue"/>
            <w:vAlign w:val="center"/>
          </w:tcPr>
          <w:p>
            <w:pPr>
              <w:adjustRightInd w:val="0"/>
              <w:snapToGrid w:val="0"/>
              <w:spacing w:line="360" w:lineRule="exact"/>
              <w:ind w:firstLine="420"/>
              <w:jc w:val="center"/>
              <w:rPr>
                <w:rFonts w:cs="宋体"/>
                <w:bCs/>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提供在有效期内的相关证明文件扫描件，未提供或提供的资料无法判断是否有效的均不得分。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Align w:val="center"/>
          </w:tcPr>
          <w:p>
            <w:pPr>
              <w:adjustRightInd w:val="0"/>
              <w:snapToGrid w:val="0"/>
              <w:spacing w:line="360" w:lineRule="exact"/>
              <w:ind w:firstLine="199" w:firstLineChars="95"/>
              <w:rPr>
                <w:rFonts w:cs="宋体"/>
                <w:bCs/>
                <w:color w:val="595959"/>
                <w:szCs w:val="21"/>
              </w:rPr>
            </w:pPr>
            <w:r>
              <w:rPr>
                <w:rFonts w:hint="eastAsia" w:cs="宋体"/>
                <w:bCs/>
                <w:color w:val="595959"/>
                <w:szCs w:val="21"/>
              </w:rPr>
              <w:t>8</w:t>
            </w:r>
          </w:p>
        </w:tc>
        <w:tc>
          <w:tcPr>
            <w:tcW w:w="1112" w:type="dxa"/>
            <w:vAlign w:val="center"/>
          </w:tcPr>
          <w:p>
            <w:pPr>
              <w:adjustRightInd w:val="0"/>
              <w:snapToGrid w:val="0"/>
              <w:spacing w:line="360" w:lineRule="exact"/>
              <w:ind w:firstLine="0" w:firstLineChars="0"/>
              <w:rPr>
                <w:rFonts w:cs="宋体"/>
                <w:bCs/>
                <w:color w:val="595959"/>
                <w:szCs w:val="21"/>
              </w:rPr>
            </w:pPr>
            <w:r>
              <w:rPr>
                <w:rFonts w:hint="eastAsia" w:cs="宋体"/>
                <w:bCs/>
                <w:color w:val="595959"/>
                <w:szCs w:val="21"/>
              </w:rPr>
              <w:t>企业实力</w:t>
            </w:r>
          </w:p>
        </w:tc>
        <w:tc>
          <w:tcPr>
            <w:tcW w:w="5940" w:type="dxa"/>
            <w:vAlign w:val="center"/>
          </w:tcPr>
          <w:p>
            <w:pPr>
              <w:wordWrap w:val="0"/>
              <w:spacing w:line="360" w:lineRule="exact"/>
              <w:ind w:firstLine="420"/>
              <w:rPr>
                <w:rFonts w:cs="宋体"/>
                <w:color w:val="595959"/>
                <w:szCs w:val="21"/>
              </w:rPr>
            </w:pPr>
            <w:r>
              <w:rPr>
                <w:rFonts w:hint="eastAsia" w:cs="宋体"/>
                <w:color w:val="595959"/>
                <w:szCs w:val="21"/>
              </w:rPr>
              <w:t>1.投标人（2017年1月1日至本项目招标公告日期前）获得由住建局或建筑行业协会颁发的优秀企业相关证书的，每份得</w:t>
            </w:r>
            <w:r>
              <w:rPr>
                <w:rFonts w:cs="宋体"/>
                <w:color w:val="595959"/>
                <w:szCs w:val="21"/>
              </w:rPr>
              <w:t>50</w:t>
            </w:r>
            <w:r>
              <w:rPr>
                <w:rFonts w:hint="eastAsia" w:cs="宋体"/>
                <w:color w:val="595959"/>
                <w:szCs w:val="21"/>
              </w:rPr>
              <w:t>%分；</w:t>
            </w:r>
          </w:p>
          <w:p>
            <w:pPr>
              <w:wordWrap w:val="0"/>
              <w:spacing w:line="360" w:lineRule="exact"/>
              <w:ind w:firstLine="420"/>
              <w:rPr>
                <w:rFonts w:cs="宋体"/>
                <w:b/>
                <w:bCs/>
                <w:color w:val="595959"/>
                <w:szCs w:val="21"/>
              </w:rPr>
            </w:pPr>
            <w:r>
              <w:rPr>
                <w:rFonts w:hint="eastAsia" w:cs="宋体"/>
                <w:color w:val="595959"/>
                <w:szCs w:val="21"/>
              </w:rPr>
              <w:t>本项满分100%；提供相关证明文件扫描件。</w:t>
            </w:r>
          </w:p>
        </w:tc>
        <w:tc>
          <w:tcPr>
            <w:tcW w:w="802" w:type="dxa"/>
            <w:vAlign w:val="center"/>
          </w:tcPr>
          <w:p>
            <w:pPr>
              <w:adjustRightInd w:val="0"/>
              <w:snapToGrid w:val="0"/>
              <w:spacing w:line="360" w:lineRule="exact"/>
              <w:ind w:firstLine="199" w:firstLineChars="95"/>
              <w:rPr>
                <w:rFonts w:cs="宋体"/>
                <w:color w:val="595959"/>
                <w:szCs w:val="21"/>
              </w:rPr>
            </w:pPr>
            <w:r>
              <w:rPr>
                <w:rFonts w:cs="宋体"/>
                <w:color w:val="59595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pPr>
              <w:adjustRightInd w:val="0"/>
              <w:snapToGrid w:val="0"/>
              <w:spacing w:line="360" w:lineRule="exact"/>
              <w:ind w:firstLine="199" w:firstLineChars="95"/>
              <w:rPr>
                <w:rFonts w:cs="宋体"/>
                <w:bCs/>
                <w:color w:val="595959"/>
                <w:szCs w:val="21"/>
              </w:rPr>
            </w:pPr>
            <w:r>
              <w:rPr>
                <w:rFonts w:cs="宋体"/>
                <w:bCs/>
                <w:color w:val="595959"/>
                <w:szCs w:val="21"/>
              </w:rPr>
              <w:t>9</w:t>
            </w:r>
          </w:p>
        </w:tc>
        <w:tc>
          <w:tcPr>
            <w:tcW w:w="1112" w:type="dxa"/>
            <w:vMerge w:val="restart"/>
            <w:vAlign w:val="center"/>
          </w:tcPr>
          <w:p>
            <w:pPr>
              <w:adjustRightInd w:val="0"/>
              <w:snapToGrid w:val="0"/>
              <w:spacing w:line="360" w:lineRule="exact"/>
              <w:ind w:firstLine="199" w:firstLineChars="95"/>
              <w:rPr>
                <w:rFonts w:cs="宋体"/>
                <w:bCs/>
                <w:color w:val="595959"/>
                <w:szCs w:val="21"/>
              </w:rPr>
            </w:pPr>
            <w:r>
              <w:rPr>
                <w:rFonts w:hint="eastAsia" w:cs="宋体"/>
                <w:bCs/>
                <w:color w:val="595959"/>
                <w:szCs w:val="21"/>
              </w:rPr>
              <w:t>诚信</w:t>
            </w:r>
          </w:p>
        </w:tc>
        <w:tc>
          <w:tcPr>
            <w:tcW w:w="5940"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投标人在参与政府采购活动中存在诚信相关问题且在主管部门相关处理措施实施期限内的，本项不得分，否则得满分。</w:t>
            </w:r>
          </w:p>
        </w:tc>
        <w:tc>
          <w:tcPr>
            <w:tcW w:w="802" w:type="dxa"/>
            <w:vMerge w:val="restart"/>
            <w:vAlign w:val="center"/>
          </w:tcPr>
          <w:p>
            <w:pPr>
              <w:adjustRightInd w:val="0"/>
              <w:snapToGrid w:val="0"/>
              <w:spacing w:line="360" w:lineRule="exact"/>
              <w:ind w:firstLine="199" w:firstLineChars="95"/>
              <w:rPr>
                <w:rFonts w:cs="宋体"/>
                <w:color w:val="595959"/>
                <w:szCs w:val="21"/>
              </w:rPr>
            </w:pPr>
            <w:r>
              <w:rPr>
                <w:rFonts w:cs="宋体"/>
                <w:color w:val="595959"/>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12" w:type="dxa"/>
            <w:vMerge w:val="continue"/>
            <w:vAlign w:val="center"/>
          </w:tcPr>
          <w:p>
            <w:pPr>
              <w:adjustRightInd w:val="0"/>
              <w:snapToGrid w:val="0"/>
              <w:spacing w:line="360" w:lineRule="exact"/>
              <w:ind w:firstLine="420"/>
              <w:jc w:val="center"/>
              <w:rPr>
                <w:rFonts w:cs="宋体"/>
                <w:bCs/>
                <w:color w:val="595959"/>
                <w:szCs w:val="21"/>
              </w:rPr>
            </w:pPr>
          </w:p>
        </w:tc>
        <w:tc>
          <w:tcPr>
            <w:tcW w:w="5940"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投标人无需提供任何证明材料，由工作人员查询后向评审委员会提供相关信息。</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27" w:type="dxa"/>
            <w:gridSpan w:val="3"/>
            <w:vAlign w:val="center"/>
          </w:tcPr>
          <w:p>
            <w:pPr>
              <w:spacing w:line="360" w:lineRule="exact"/>
              <w:ind w:firstLine="422"/>
              <w:jc w:val="center"/>
              <w:rPr>
                <w:rFonts w:cs="宋体"/>
                <w:b/>
                <w:bCs/>
                <w:color w:val="595959"/>
                <w:szCs w:val="21"/>
              </w:rPr>
            </w:pPr>
            <w:r>
              <w:rPr>
                <w:rFonts w:hint="eastAsia" w:cs="宋体"/>
                <w:b/>
                <w:bCs/>
                <w:color w:val="595959"/>
                <w:szCs w:val="21"/>
              </w:rPr>
              <w:t>合计</w:t>
            </w:r>
          </w:p>
        </w:tc>
        <w:tc>
          <w:tcPr>
            <w:tcW w:w="802" w:type="dxa"/>
            <w:vAlign w:val="center"/>
          </w:tcPr>
          <w:p>
            <w:pPr>
              <w:adjustRightInd w:val="0"/>
              <w:snapToGrid w:val="0"/>
              <w:spacing w:line="360" w:lineRule="exact"/>
              <w:ind w:firstLine="0" w:firstLineChars="0"/>
              <w:rPr>
                <w:rFonts w:cs="宋体"/>
                <w:color w:val="595959"/>
                <w:szCs w:val="21"/>
              </w:rPr>
            </w:pPr>
            <w:r>
              <w:rPr>
                <w:rFonts w:cs="宋体"/>
                <w:color w:val="595959"/>
                <w:szCs w:val="21"/>
              </w:rPr>
              <w:t>50</w:t>
            </w:r>
          </w:p>
        </w:tc>
      </w:tr>
    </w:tbl>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pPr>
        <w:widowControl w:val="0"/>
        <w:autoSpaceDE w:val="0"/>
        <w:autoSpaceDN w:val="0"/>
        <w:adjustRightInd w:val="0"/>
        <w:snapToGrid w:val="0"/>
        <w:ind w:firstLine="0" w:firstLineChars="0"/>
        <w:jc w:val="left"/>
        <w:rPr>
          <w:rFonts w:ascii="宋体" w:hAnsi="宋体"/>
          <w:b/>
          <w:sz w:val="22"/>
        </w:rPr>
      </w:pPr>
      <w:r>
        <w:rPr>
          <w:rFonts w:ascii="宋体" w:hAnsi="宋体"/>
        </w:rPr>
        <w:br w:type="page"/>
      </w:r>
      <w:r>
        <w:rPr>
          <w:rFonts w:hint="eastAsia" w:ascii="宋体" w:hAnsi="宋体"/>
          <w:b/>
          <w:sz w:val="22"/>
        </w:rPr>
        <w:t>附表</w:t>
      </w:r>
      <w:r>
        <w:rPr>
          <w:rFonts w:hint="eastAsia" w:ascii="宋体" w:hAnsi="宋体"/>
          <w:b/>
          <w:sz w:val="22"/>
          <w:lang w:val="en-US" w:eastAsia="zh-CN"/>
        </w:rPr>
        <w:t>3</w:t>
      </w:r>
      <w:r>
        <w:rPr>
          <w:rFonts w:hint="eastAsia" w:ascii="宋体" w:hAnsi="宋体"/>
          <w:b/>
          <w:sz w:val="22"/>
        </w:rPr>
        <w:t>-1 《技术标评审标准》</w:t>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tcBorders>
              <w:top w:val="single" w:color="auto" w:sz="4" w:space="0"/>
              <w:left w:val="single" w:color="auto" w:sz="4" w:space="0"/>
              <w:bottom w:val="single" w:color="auto" w:sz="4" w:space="0"/>
              <w:right w:val="single" w:color="auto" w:sz="4" w:space="0"/>
            </w:tcBorders>
            <w:shd w:val="clear" w:color="auto" w:fill="D9E2F3"/>
            <w:vAlign w:val="center"/>
          </w:tcPr>
          <w:p>
            <w:pPr>
              <w:adjustRightInd w:val="0"/>
              <w:snapToGrid w:val="0"/>
              <w:spacing w:line="360" w:lineRule="exact"/>
              <w:ind w:firstLine="643"/>
              <w:jc w:val="center"/>
              <w:rPr>
                <w:b/>
                <w:color w:val="595959"/>
                <w:sz w:val="32"/>
                <w:szCs w:val="32"/>
              </w:rPr>
            </w:pPr>
            <w:r>
              <w:rPr>
                <w:rFonts w:hint="eastAsia"/>
                <w:b/>
                <w:color w:val="595959"/>
                <w:sz w:val="32"/>
                <w:szCs w:val="32"/>
              </w:rPr>
              <w:t>《技术标评审标准》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pPr>
              <w:adjustRightInd w:val="0"/>
              <w:snapToGrid w:val="0"/>
              <w:spacing w:line="360" w:lineRule="exact"/>
              <w:ind w:firstLine="0" w:firstLineChars="0"/>
              <w:rPr>
                <w:b/>
                <w:color w:val="595959"/>
                <w:szCs w:val="21"/>
              </w:rPr>
            </w:pPr>
            <w:r>
              <w:rPr>
                <w:rFonts w:hint="eastAsia"/>
                <w:b/>
                <w:color w:val="595959"/>
                <w:szCs w:val="21"/>
              </w:rPr>
              <w:t>序号</w:t>
            </w:r>
          </w:p>
        </w:tc>
        <w:tc>
          <w:tcPr>
            <w:tcW w:w="1134" w:type="dxa"/>
            <w:vAlign w:val="center"/>
          </w:tcPr>
          <w:p>
            <w:pPr>
              <w:adjustRightInd w:val="0"/>
              <w:snapToGrid w:val="0"/>
              <w:spacing w:line="360" w:lineRule="exact"/>
              <w:ind w:firstLine="0" w:firstLineChars="0"/>
              <w:rPr>
                <w:b/>
                <w:color w:val="595959"/>
                <w:szCs w:val="21"/>
              </w:rPr>
            </w:pPr>
            <w:r>
              <w:rPr>
                <w:rFonts w:hint="eastAsia"/>
                <w:b/>
                <w:color w:val="595959"/>
                <w:szCs w:val="21"/>
              </w:rPr>
              <w:t>评审项目</w:t>
            </w:r>
          </w:p>
        </w:tc>
        <w:tc>
          <w:tcPr>
            <w:tcW w:w="5918" w:type="dxa"/>
            <w:vAlign w:val="center"/>
          </w:tcPr>
          <w:p>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pPr>
              <w:adjustRightInd w:val="0"/>
              <w:snapToGrid w:val="0"/>
              <w:spacing w:line="360" w:lineRule="exact"/>
              <w:ind w:firstLine="0" w:firstLineChars="0"/>
              <w:rPr>
                <w:b/>
                <w:color w:val="595959"/>
                <w:szCs w:val="21"/>
              </w:rPr>
            </w:pPr>
            <w:r>
              <w:rPr>
                <w:rFonts w:hint="eastAsia"/>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pPr>
              <w:adjustRightInd w:val="0"/>
              <w:snapToGrid w:val="0"/>
              <w:spacing w:line="360" w:lineRule="exact"/>
              <w:ind w:firstLine="199" w:firstLineChars="95"/>
              <w:rPr>
                <w:color w:val="595959"/>
                <w:szCs w:val="21"/>
              </w:rPr>
            </w:pPr>
            <w:r>
              <w:rPr>
                <w:rFonts w:hint="eastAsia" w:cs="宋体"/>
                <w:color w:val="595959"/>
                <w:szCs w:val="21"/>
              </w:rPr>
              <w:t>1</w:t>
            </w:r>
          </w:p>
        </w:tc>
        <w:tc>
          <w:tcPr>
            <w:tcW w:w="1134" w:type="dxa"/>
            <w:vMerge w:val="restart"/>
            <w:vAlign w:val="center"/>
          </w:tcPr>
          <w:p>
            <w:pPr>
              <w:adjustRightInd w:val="0"/>
              <w:snapToGrid w:val="0"/>
              <w:spacing w:line="360" w:lineRule="exact"/>
              <w:ind w:firstLine="0" w:firstLineChars="0"/>
              <w:rPr>
                <w:color w:val="595959"/>
                <w:szCs w:val="21"/>
              </w:rPr>
            </w:pPr>
            <w:r>
              <w:rPr>
                <w:rFonts w:hint="eastAsia" w:cs="宋体"/>
                <w:color w:val="595959"/>
                <w:szCs w:val="21"/>
              </w:rPr>
              <w:t>悬挂灯笼、国旗技术保障措施</w:t>
            </w: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在投标文件中详细说明技术保障措施（主要包括悬挂国旗、灯笼正常施工及管养作业时和发生事故时的交通组织和安全防护措施，以及各项紧急预案），评审委员会根据招标文件的需求和投标文件的响应情况，进行评价及分档评分：</w:t>
            </w:r>
          </w:p>
        </w:tc>
        <w:tc>
          <w:tcPr>
            <w:tcW w:w="802" w:type="dxa"/>
            <w:vMerge w:val="restart"/>
            <w:vAlign w:val="center"/>
          </w:tcPr>
          <w:p>
            <w:pPr>
              <w:adjustRightInd w:val="0"/>
              <w:snapToGrid w:val="0"/>
              <w:spacing w:line="360" w:lineRule="exact"/>
              <w:ind w:firstLine="199" w:firstLineChars="95"/>
              <w:rPr>
                <w:color w:val="595959"/>
                <w:szCs w:val="21"/>
              </w:rPr>
            </w:pPr>
            <w:r>
              <w:rPr>
                <w:rFonts w:cs="宋体"/>
                <w:color w:val="595959"/>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pPr>
              <w:adjustRightInd w:val="0"/>
              <w:snapToGrid w:val="0"/>
              <w:spacing w:line="360" w:lineRule="exact"/>
              <w:ind w:firstLine="420"/>
              <w:jc w:val="center"/>
              <w:rPr>
                <w:color w:val="595959"/>
                <w:szCs w:val="21"/>
              </w:rPr>
            </w:pPr>
          </w:p>
        </w:tc>
        <w:tc>
          <w:tcPr>
            <w:tcW w:w="1134" w:type="dxa"/>
            <w:vMerge w:val="continue"/>
            <w:vAlign w:val="center"/>
          </w:tcPr>
          <w:p>
            <w:pPr>
              <w:adjustRightInd w:val="0"/>
              <w:snapToGrid w:val="0"/>
              <w:spacing w:line="360" w:lineRule="exact"/>
              <w:ind w:firstLine="420"/>
              <w:jc w:val="center"/>
              <w:rPr>
                <w:color w:val="595959"/>
                <w:szCs w:val="21"/>
              </w:rPr>
            </w:pP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评审标准：</w:t>
            </w:r>
          </w:p>
          <w:p>
            <w:pPr>
              <w:wordWrap w:val="0"/>
              <w:spacing w:line="360" w:lineRule="exact"/>
              <w:ind w:firstLine="420"/>
              <w:rPr>
                <w:rFonts w:cs="宋体"/>
                <w:color w:val="595959"/>
                <w:szCs w:val="21"/>
              </w:rPr>
            </w:pPr>
            <w:r>
              <w:rPr>
                <w:rFonts w:hint="eastAsia" w:cs="宋体"/>
                <w:color w:val="595959"/>
                <w:szCs w:val="21"/>
              </w:rPr>
              <w:t>（</w:t>
            </w:r>
            <w:r>
              <w:rPr>
                <w:rFonts w:cs="宋体"/>
                <w:color w:val="595959"/>
                <w:szCs w:val="21"/>
              </w:rPr>
              <w:t>1）技术保障措施内容全面；</w:t>
            </w:r>
          </w:p>
          <w:p>
            <w:pPr>
              <w:wordWrap w:val="0"/>
              <w:spacing w:line="360" w:lineRule="exact"/>
              <w:ind w:firstLine="420"/>
              <w:rPr>
                <w:rFonts w:cs="宋体"/>
                <w:color w:val="595959"/>
                <w:szCs w:val="21"/>
              </w:rPr>
            </w:pPr>
            <w:r>
              <w:rPr>
                <w:rFonts w:cs="宋体"/>
                <w:color w:val="595959"/>
                <w:szCs w:val="21"/>
              </w:rPr>
              <w:t>（2）技术保障措施内容具体；</w:t>
            </w:r>
          </w:p>
          <w:p>
            <w:pPr>
              <w:wordWrap w:val="0"/>
              <w:spacing w:line="360" w:lineRule="exact"/>
              <w:ind w:firstLine="420"/>
              <w:rPr>
                <w:rFonts w:cs="宋体"/>
                <w:color w:val="595959"/>
                <w:szCs w:val="21"/>
              </w:rPr>
            </w:pPr>
            <w:r>
              <w:rPr>
                <w:rFonts w:cs="宋体"/>
                <w:color w:val="595959"/>
                <w:szCs w:val="21"/>
              </w:rPr>
              <w:t>（3）技术保障措施内容科学合理；</w:t>
            </w:r>
          </w:p>
          <w:p>
            <w:pPr>
              <w:wordWrap w:val="0"/>
              <w:spacing w:line="360" w:lineRule="exact"/>
              <w:ind w:firstLine="420"/>
              <w:rPr>
                <w:rFonts w:cs="宋体"/>
                <w:color w:val="595959"/>
                <w:szCs w:val="21"/>
              </w:rPr>
            </w:pPr>
            <w:r>
              <w:rPr>
                <w:rFonts w:cs="宋体"/>
                <w:color w:val="595959"/>
                <w:szCs w:val="21"/>
              </w:rPr>
              <w:t>（4）技术保障措施内容针对性强；</w:t>
            </w:r>
          </w:p>
          <w:p>
            <w:pPr>
              <w:wordWrap w:val="0"/>
              <w:spacing w:line="360" w:lineRule="exact"/>
              <w:ind w:firstLine="420"/>
              <w:rPr>
                <w:rFonts w:cs="宋体"/>
                <w:color w:val="595959"/>
                <w:szCs w:val="21"/>
              </w:rPr>
            </w:pPr>
            <w:r>
              <w:rPr>
                <w:rFonts w:cs="宋体"/>
                <w:color w:val="595959"/>
                <w:szCs w:val="21"/>
              </w:rPr>
              <w:t>（5）技术保障措施内容可操作性强。</w:t>
            </w:r>
          </w:p>
          <w:p>
            <w:pPr>
              <w:wordWrap w:val="0"/>
              <w:spacing w:line="360" w:lineRule="exact"/>
              <w:ind w:firstLine="420"/>
              <w:rPr>
                <w:color w:val="595959"/>
                <w:szCs w:val="21"/>
              </w:rPr>
            </w:pPr>
            <w:r>
              <w:rPr>
                <w:rFonts w:cs="宋体"/>
                <w:color w:val="595959"/>
                <w:szCs w:val="21"/>
              </w:rPr>
              <w:t>优评分标准：满足以上五项要求的评价为优，得100%分；良评分标准：满足以上四项要求的评价为良，得75%分；中评分标准：满足以上三项要求的评价为中，得50%分；差评分标准：上述情况之外的，评差，得0%分。</w:t>
            </w:r>
          </w:p>
        </w:tc>
        <w:tc>
          <w:tcPr>
            <w:tcW w:w="802" w:type="dxa"/>
            <w:vMerge w:val="continue"/>
            <w:vAlign w:val="center"/>
          </w:tcPr>
          <w:p>
            <w:pPr>
              <w:adjustRightInd w:val="0"/>
              <w:snapToGrid w:val="0"/>
              <w:spacing w:line="360" w:lineRule="exact"/>
              <w:ind w:firstLine="420"/>
              <w:jc w:val="center"/>
              <w:rPr>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75" w:type="dxa"/>
            <w:vMerge w:val="restart"/>
            <w:vAlign w:val="center"/>
          </w:tcPr>
          <w:p>
            <w:pPr>
              <w:adjustRightInd w:val="0"/>
              <w:snapToGrid w:val="0"/>
              <w:spacing w:line="360" w:lineRule="exact"/>
              <w:ind w:firstLine="199" w:firstLineChars="95"/>
              <w:rPr>
                <w:rFonts w:cs="宋体"/>
                <w:color w:val="595959"/>
                <w:szCs w:val="21"/>
              </w:rPr>
            </w:pPr>
            <w:r>
              <w:rPr>
                <w:rFonts w:cs="宋体"/>
                <w:color w:val="595959"/>
                <w:szCs w:val="21"/>
              </w:rPr>
              <w:t>2</w:t>
            </w:r>
          </w:p>
        </w:tc>
        <w:tc>
          <w:tcPr>
            <w:tcW w:w="1134" w:type="dxa"/>
            <w:vMerge w:val="restart"/>
            <w:vAlign w:val="center"/>
          </w:tcPr>
          <w:p>
            <w:pPr>
              <w:adjustRightInd w:val="0"/>
              <w:snapToGrid w:val="0"/>
              <w:spacing w:line="360" w:lineRule="exact"/>
              <w:ind w:firstLine="0" w:firstLineChars="0"/>
              <w:rPr>
                <w:rFonts w:cs="宋体"/>
                <w:color w:val="595959"/>
                <w:szCs w:val="21"/>
              </w:rPr>
            </w:pPr>
            <w:r>
              <w:rPr>
                <w:rFonts w:hint="eastAsia" w:cs="宋体"/>
                <w:color w:val="595959"/>
                <w:szCs w:val="21"/>
              </w:rPr>
              <w:t>拟安排的项目负责人情况（仅限一人）</w:t>
            </w:r>
          </w:p>
        </w:tc>
        <w:tc>
          <w:tcPr>
            <w:tcW w:w="5918" w:type="dxa"/>
            <w:vAlign w:val="center"/>
          </w:tcPr>
          <w:p>
            <w:pPr>
              <w:wordWrap w:val="0"/>
              <w:spacing w:line="360" w:lineRule="exact"/>
              <w:ind w:firstLine="422"/>
              <w:rPr>
                <w:b/>
                <w:bCs/>
                <w:color w:val="595959"/>
                <w:szCs w:val="20"/>
              </w:rPr>
            </w:pPr>
            <w:r>
              <w:rPr>
                <w:rFonts w:hint="eastAsia"/>
                <w:b/>
                <w:bCs/>
                <w:color w:val="595959"/>
                <w:szCs w:val="20"/>
              </w:rPr>
              <w:t>考察内容：</w:t>
            </w:r>
          </w:p>
          <w:p>
            <w:pPr>
              <w:wordWrap w:val="0"/>
              <w:spacing w:line="360" w:lineRule="exact"/>
              <w:ind w:firstLine="420"/>
              <w:rPr>
                <w:color w:val="595959"/>
                <w:szCs w:val="20"/>
              </w:rPr>
            </w:pPr>
            <w:r>
              <w:rPr>
                <w:rFonts w:hint="eastAsia"/>
                <w:color w:val="595959"/>
                <w:szCs w:val="20"/>
              </w:rPr>
              <w:t xml:space="preserve">要求拟派本项目负责人(1人)须为投标人自有员工 </w:t>
            </w:r>
          </w:p>
          <w:p>
            <w:pPr>
              <w:wordWrap w:val="0"/>
              <w:spacing w:line="360" w:lineRule="exact"/>
              <w:ind w:firstLine="420"/>
              <w:rPr>
                <w:color w:val="595959"/>
                <w:szCs w:val="20"/>
              </w:rPr>
            </w:pPr>
            <w:r>
              <w:rPr>
                <w:rFonts w:hint="eastAsia"/>
                <w:color w:val="595959"/>
                <w:szCs w:val="20"/>
              </w:rPr>
              <w:t xml:space="preserve">(以社保为准)，在此基础上: </w:t>
            </w:r>
          </w:p>
          <w:p>
            <w:pPr>
              <w:wordWrap w:val="0"/>
              <w:spacing w:line="360" w:lineRule="exact"/>
              <w:ind w:firstLine="420"/>
              <w:rPr>
                <w:color w:val="595959"/>
                <w:szCs w:val="20"/>
              </w:rPr>
            </w:pPr>
            <w:r>
              <w:rPr>
                <w:rFonts w:hint="eastAsia"/>
                <w:color w:val="595959"/>
                <w:szCs w:val="20"/>
              </w:rPr>
              <w:t>(1)有电气专业或照明专业或机电相关专业高级职称</w:t>
            </w:r>
            <w:r>
              <w:rPr>
                <w:rFonts w:hint="eastAsia"/>
                <w:color w:val="3F3F3F" w:themeColor="text1" w:themeTint="BF"/>
                <w:szCs w:val="20"/>
              </w:rPr>
              <w:t>（含副高级）</w:t>
            </w:r>
            <w:r>
              <w:rPr>
                <w:rFonts w:hint="eastAsia"/>
                <w:color w:val="595959"/>
                <w:szCs w:val="20"/>
              </w:rPr>
              <w:t>得60</w:t>
            </w:r>
            <w:r>
              <w:rPr>
                <w:color w:val="595959"/>
                <w:szCs w:val="21"/>
              </w:rPr>
              <w:t>%</w:t>
            </w:r>
            <w:r>
              <w:rPr>
                <w:rFonts w:hint="eastAsia"/>
                <w:color w:val="595959"/>
                <w:szCs w:val="20"/>
              </w:rPr>
              <w:t>分，有电气专业或照明专业或机电相关专业中级职称得25</w:t>
            </w:r>
            <w:r>
              <w:rPr>
                <w:color w:val="595959"/>
                <w:szCs w:val="21"/>
              </w:rPr>
              <w:t>%</w:t>
            </w:r>
            <w:r>
              <w:rPr>
                <w:rFonts w:hint="eastAsia"/>
                <w:color w:val="595959"/>
                <w:szCs w:val="20"/>
              </w:rPr>
              <w:t>分；</w:t>
            </w:r>
          </w:p>
          <w:p>
            <w:pPr>
              <w:wordWrap w:val="0"/>
              <w:spacing w:line="360" w:lineRule="exact"/>
              <w:ind w:firstLine="420"/>
              <w:rPr>
                <w:color w:val="595959"/>
                <w:szCs w:val="20"/>
              </w:rPr>
            </w:pPr>
            <w:r>
              <w:rPr>
                <w:rFonts w:hint="eastAsia"/>
                <w:color w:val="595959"/>
                <w:szCs w:val="20"/>
              </w:rPr>
              <w:t>(2)具有机电专业注册建造师资格一级证书得40</w:t>
            </w:r>
            <w:r>
              <w:rPr>
                <w:color w:val="595959"/>
                <w:szCs w:val="21"/>
              </w:rPr>
              <w:t>%</w:t>
            </w:r>
            <w:r>
              <w:rPr>
                <w:rFonts w:hint="eastAsia"/>
                <w:color w:val="595959"/>
                <w:szCs w:val="20"/>
              </w:rPr>
              <w:t>分；二级得25</w:t>
            </w:r>
            <w:r>
              <w:rPr>
                <w:color w:val="595959"/>
                <w:szCs w:val="21"/>
              </w:rPr>
              <w:t>%</w:t>
            </w:r>
            <w:r>
              <w:rPr>
                <w:rFonts w:hint="eastAsia"/>
                <w:color w:val="595959"/>
                <w:szCs w:val="20"/>
              </w:rPr>
              <w:t>分；</w:t>
            </w:r>
          </w:p>
        </w:tc>
        <w:tc>
          <w:tcPr>
            <w:tcW w:w="802" w:type="dxa"/>
            <w:vMerge w:val="restart"/>
            <w:vAlign w:val="center"/>
          </w:tcPr>
          <w:p>
            <w:pPr>
              <w:adjustRightInd w:val="0"/>
              <w:snapToGrid w:val="0"/>
              <w:spacing w:line="360" w:lineRule="exact"/>
              <w:ind w:firstLine="210" w:firstLineChars="100"/>
              <w:rPr>
                <w:color w:val="595959"/>
                <w:szCs w:val="21"/>
              </w:rPr>
            </w:pPr>
            <w:r>
              <w:rPr>
                <w:rFonts w:cs="宋体"/>
                <w:color w:val="595959"/>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675" w:type="dxa"/>
            <w:vMerge w:val="continue"/>
            <w:vAlign w:val="center"/>
          </w:tcPr>
          <w:p>
            <w:pPr>
              <w:adjustRightInd w:val="0"/>
              <w:snapToGrid w:val="0"/>
              <w:spacing w:line="360" w:lineRule="exact"/>
              <w:ind w:firstLine="420"/>
              <w:rPr>
                <w:rFonts w:cs="宋体"/>
                <w:color w:val="595959"/>
                <w:szCs w:val="21"/>
              </w:rPr>
            </w:pPr>
          </w:p>
        </w:tc>
        <w:tc>
          <w:tcPr>
            <w:tcW w:w="1134" w:type="dxa"/>
            <w:vMerge w:val="continue"/>
            <w:vAlign w:val="center"/>
          </w:tcPr>
          <w:p>
            <w:pPr>
              <w:adjustRightInd w:val="0"/>
              <w:snapToGrid w:val="0"/>
              <w:spacing w:line="360" w:lineRule="exact"/>
              <w:ind w:firstLine="420"/>
              <w:rPr>
                <w:rFonts w:cs="宋体"/>
                <w:color w:val="595959"/>
                <w:szCs w:val="21"/>
              </w:rPr>
            </w:pPr>
          </w:p>
        </w:tc>
        <w:tc>
          <w:tcPr>
            <w:tcW w:w="5918" w:type="dxa"/>
            <w:vAlign w:val="center"/>
          </w:tcPr>
          <w:p>
            <w:pPr>
              <w:wordWrap w:val="0"/>
              <w:spacing w:line="360" w:lineRule="exact"/>
              <w:ind w:firstLine="422"/>
              <w:rPr>
                <w:rFonts w:cs="宋体"/>
                <w:color w:val="595959"/>
                <w:szCs w:val="21"/>
              </w:rPr>
            </w:pPr>
            <w:r>
              <w:rPr>
                <w:rFonts w:hint="eastAsia" w:cs="宋体"/>
                <w:b/>
                <w:bCs/>
                <w:color w:val="595959"/>
                <w:szCs w:val="21"/>
              </w:rPr>
              <w:t>证明文件</w:t>
            </w:r>
            <w:r>
              <w:rPr>
                <w:rFonts w:hint="eastAsia" w:cs="宋体"/>
                <w:color w:val="595959"/>
                <w:szCs w:val="21"/>
              </w:rPr>
              <w:t>：</w:t>
            </w:r>
          </w:p>
          <w:p>
            <w:pPr>
              <w:adjustRightInd w:val="0"/>
              <w:snapToGrid w:val="0"/>
              <w:spacing w:line="360" w:lineRule="exact"/>
              <w:ind w:firstLine="420"/>
              <w:rPr>
                <w:rFonts w:cs="宋体"/>
                <w:color w:val="595959"/>
                <w:szCs w:val="21"/>
              </w:rPr>
            </w:pPr>
            <w:r>
              <w:rPr>
                <w:rFonts w:hint="eastAsia" w:cs="宋体"/>
                <w:color w:val="595959"/>
                <w:szCs w:val="21"/>
              </w:rPr>
              <w:t>1注册建造师需提供证书及全国建筑市场监督公共服务平台(http://jzsc.mohurd.gov.cn/home)证书信息查询截图，原件备查。评分中出现无法证明资料或专家无法凭所提供资料判断是否得分的情况，一律作不得分处理。</w:t>
            </w:r>
          </w:p>
          <w:p>
            <w:pPr>
              <w:adjustRightInd w:val="0"/>
              <w:snapToGrid w:val="0"/>
              <w:spacing w:line="360" w:lineRule="exact"/>
              <w:ind w:firstLine="420"/>
              <w:rPr>
                <w:rFonts w:cs="宋体"/>
                <w:color w:val="595959"/>
                <w:szCs w:val="21"/>
              </w:rPr>
            </w:pPr>
            <w:r>
              <w:rPr>
                <w:rFonts w:hint="eastAsia" w:cs="宋体"/>
                <w:color w:val="595959"/>
                <w:szCs w:val="21"/>
              </w:rPr>
              <w:t>3.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pPr>
              <w:adjustRightInd w:val="0"/>
              <w:snapToGrid w:val="0"/>
              <w:spacing w:line="360" w:lineRule="exact"/>
              <w:ind w:firstLine="420"/>
              <w:rPr>
                <w:rFonts w:cs="宋体"/>
                <w:color w:val="595959"/>
                <w:szCs w:val="21"/>
              </w:rPr>
            </w:pPr>
            <w:r>
              <w:rPr>
                <w:rFonts w:hint="eastAsia" w:cs="宋体"/>
                <w:color w:val="595959"/>
                <w:szCs w:val="21"/>
              </w:rPr>
              <w:t>4.评分中出现无证明资料或专家无法凭所提供资料判断是否得分的情况，一律作不得分处理。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ind w:firstLine="422"/>
              <w:jc w:val="center"/>
              <w:rPr>
                <w:b/>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7" w:hRule="atLeast"/>
          <w:jc w:val="center"/>
        </w:trPr>
        <w:tc>
          <w:tcPr>
            <w:tcW w:w="675" w:type="dxa"/>
            <w:vMerge w:val="restart"/>
            <w:vAlign w:val="center"/>
          </w:tcPr>
          <w:p>
            <w:pPr>
              <w:adjustRightInd w:val="0"/>
              <w:snapToGrid w:val="0"/>
              <w:spacing w:line="360" w:lineRule="exact"/>
              <w:ind w:firstLine="199" w:firstLineChars="95"/>
              <w:rPr>
                <w:rFonts w:cs="宋体"/>
                <w:color w:val="595959"/>
                <w:szCs w:val="21"/>
              </w:rPr>
            </w:pPr>
            <w:r>
              <w:rPr>
                <w:rFonts w:cs="宋体"/>
                <w:color w:val="595959"/>
                <w:szCs w:val="21"/>
              </w:rPr>
              <w:t>3</w:t>
            </w:r>
          </w:p>
        </w:tc>
        <w:tc>
          <w:tcPr>
            <w:tcW w:w="1134" w:type="dxa"/>
            <w:vMerge w:val="restart"/>
            <w:vAlign w:val="center"/>
          </w:tcPr>
          <w:p>
            <w:pPr>
              <w:adjustRightInd w:val="0"/>
              <w:snapToGrid w:val="0"/>
              <w:spacing w:line="360" w:lineRule="exact"/>
              <w:ind w:firstLine="0" w:firstLineChars="0"/>
              <w:rPr>
                <w:rFonts w:cs="宋体"/>
                <w:color w:val="595959"/>
                <w:szCs w:val="21"/>
              </w:rPr>
            </w:pPr>
            <w:r>
              <w:rPr>
                <w:rFonts w:hint="eastAsia" w:cs="宋体"/>
                <w:color w:val="595959"/>
                <w:szCs w:val="21"/>
              </w:rPr>
              <w:t>拟安排的项目主要团队成员(主要技术人员)情况(项目负责人除外)</w:t>
            </w:r>
          </w:p>
        </w:tc>
        <w:tc>
          <w:tcPr>
            <w:tcW w:w="5918" w:type="dxa"/>
            <w:vAlign w:val="center"/>
          </w:tcPr>
          <w:p>
            <w:pPr>
              <w:wordWrap w:val="0"/>
              <w:spacing w:line="360" w:lineRule="exact"/>
              <w:ind w:firstLine="420"/>
              <w:rPr>
                <w:color w:val="595959"/>
                <w:szCs w:val="20"/>
              </w:rPr>
            </w:pPr>
            <w:r>
              <w:rPr>
                <w:rFonts w:hint="eastAsia"/>
                <w:color w:val="595959"/>
                <w:szCs w:val="20"/>
              </w:rPr>
              <w:t>考察内容：</w:t>
            </w:r>
          </w:p>
          <w:p>
            <w:pPr>
              <w:wordWrap w:val="0"/>
              <w:spacing w:line="360" w:lineRule="exact"/>
              <w:ind w:firstLine="420"/>
              <w:rPr>
                <w:color w:val="595959"/>
                <w:szCs w:val="20"/>
              </w:rPr>
            </w:pPr>
            <w:r>
              <w:rPr>
                <w:rFonts w:hint="eastAsia"/>
                <w:color w:val="595959"/>
                <w:szCs w:val="20"/>
              </w:rPr>
              <w:t>拟安排的项目团队成员须为投标人自有员工(以社保为准)，在此基础上:</w:t>
            </w:r>
          </w:p>
          <w:p>
            <w:pPr>
              <w:wordWrap w:val="0"/>
              <w:spacing w:line="360" w:lineRule="exact"/>
              <w:ind w:firstLine="420"/>
              <w:rPr>
                <w:color w:val="595959"/>
                <w:szCs w:val="20"/>
              </w:rPr>
            </w:pPr>
            <w:r>
              <w:rPr>
                <w:rFonts w:hint="eastAsia"/>
                <w:color w:val="595959"/>
                <w:szCs w:val="20"/>
              </w:rPr>
              <w:t>1.技术负责人(1人):</w:t>
            </w:r>
          </w:p>
          <w:p>
            <w:pPr>
              <w:wordWrap w:val="0"/>
              <w:spacing w:line="360" w:lineRule="exact"/>
              <w:ind w:firstLine="420"/>
              <w:rPr>
                <w:color w:val="595959"/>
                <w:szCs w:val="20"/>
              </w:rPr>
            </w:pPr>
            <w:r>
              <w:rPr>
                <w:rFonts w:hint="eastAsia"/>
                <w:color w:val="595959"/>
                <w:szCs w:val="20"/>
              </w:rPr>
              <w:t>①具有电气或照明或机电相关专业高级（含副高级）职称，得15</w:t>
            </w:r>
            <w:r>
              <w:rPr>
                <w:color w:val="595959"/>
                <w:szCs w:val="21"/>
              </w:rPr>
              <w:t>%</w:t>
            </w:r>
            <w:r>
              <w:rPr>
                <w:rFonts w:hint="eastAsia"/>
                <w:color w:val="595959"/>
                <w:szCs w:val="20"/>
              </w:rPr>
              <w:t>分；</w:t>
            </w:r>
          </w:p>
          <w:p>
            <w:pPr>
              <w:wordWrap w:val="0"/>
              <w:spacing w:line="360" w:lineRule="exact"/>
              <w:ind w:firstLine="420"/>
              <w:rPr>
                <w:color w:val="595959"/>
                <w:szCs w:val="20"/>
              </w:rPr>
            </w:pPr>
            <w:r>
              <w:rPr>
                <w:rFonts w:hint="eastAsia"/>
                <w:color w:val="595959"/>
                <w:szCs w:val="20"/>
              </w:rPr>
              <w:t>②具有电气或照明或机电相关专业中级职称，得5</w:t>
            </w:r>
            <w:r>
              <w:rPr>
                <w:color w:val="595959"/>
                <w:szCs w:val="21"/>
              </w:rPr>
              <w:t>%</w:t>
            </w:r>
            <w:r>
              <w:rPr>
                <w:rFonts w:hint="eastAsia"/>
                <w:color w:val="595959"/>
                <w:szCs w:val="20"/>
              </w:rPr>
              <w:t>分；此项最高得15</w:t>
            </w:r>
            <w:r>
              <w:rPr>
                <w:color w:val="595959"/>
                <w:szCs w:val="21"/>
              </w:rPr>
              <w:t>%</w:t>
            </w:r>
            <w:r>
              <w:rPr>
                <w:rFonts w:hint="eastAsia"/>
                <w:color w:val="595959"/>
                <w:szCs w:val="20"/>
              </w:rPr>
              <w:t>分；需要注明相应颁发单位或者国家承认的</w:t>
            </w:r>
          </w:p>
          <w:p>
            <w:pPr>
              <w:wordWrap w:val="0"/>
              <w:spacing w:line="360" w:lineRule="exact"/>
              <w:ind w:firstLine="420"/>
              <w:rPr>
                <w:color w:val="595959"/>
                <w:szCs w:val="20"/>
              </w:rPr>
            </w:pPr>
            <w:r>
              <w:rPr>
                <w:rFonts w:hint="eastAsia"/>
                <w:color w:val="595959"/>
                <w:szCs w:val="20"/>
              </w:rPr>
              <w:t>2.每提供一人具有应急管理部门(或安监部门)颁发的特种作业操作证(作业类别:电工作业，准操项目:低压电工作业)且同时具备(作业种类:高处作业，准操项目：高处安装、维修、拆除作业或登高架设作业)得9</w:t>
            </w:r>
            <w:r>
              <w:rPr>
                <w:color w:val="595959"/>
                <w:szCs w:val="21"/>
              </w:rPr>
              <w:t>%</w:t>
            </w:r>
            <w:r>
              <w:rPr>
                <w:rFonts w:hint="eastAsia"/>
                <w:color w:val="595959"/>
                <w:szCs w:val="20"/>
              </w:rPr>
              <w:t>分，此项最高得60</w:t>
            </w:r>
            <w:r>
              <w:rPr>
                <w:color w:val="595959"/>
                <w:szCs w:val="21"/>
              </w:rPr>
              <w:t>%</w:t>
            </w:r>
            <w:r>
              <w:rPr>
                <w:rFonts w:hint="eastAsia"/>
                <w:color w:val="595959"/>
                <w:szCs w:val="20"/>
              </w:rPr>
              <w:t>分；</w:t>
            </w:r>
          </w:p>
          <w:p>
            <w:pPr>
              <w:wordWrap w:val="0"/>
              <w:spacing w:line="360" w:lineRule="exact"/>
              <w:ind w:firstLine="420"/>
              <w:rPr>
                <w:color w:val="595959"/>
                <w:szCs w:val="20"/>
              </w:rPr>
            </w:pPr>
            <w:r>
              <w:rPr>
                <w:rFonts w:hint="eastAsia"/>
                <w:color w:val="595959"/>
                <w:szCs w:val="20"/>
              </w:rPr>
              <w:t>3.安全负责人:有注册安全工程师证，得15</w:t>
            </w:r>
            <w:r>
              <w:rPr>
                <w:color w:val="595959"/>
                <w:szCs w:val="21"/>
              </w:rPr>
              <w:t>%</w:t>
            </w:r>
            <w:r>
              <w:rPr>
                <w:rFonts w:hint="eastAsia"/>
                <w:color w:val="595959"/>
                <w:szCs w:val="20"/>
              </w:rPr>
              <w:t>分，此项最高得15</w:t>
            </w:r>
            <w:r>
              <w:rPr>
                <w:color w:val="595959"/>
                <w:szCs w:val="21"/>
              </w:rPr>
              <w:t>%</w:t>
            </w:r>
            <w:r>
              <w:rPr>
                <w:rFonts w:hint="eastAsia"/>
                <w:color w:val="595959"/>
                <w:szCs w:val="20"/>
              </w:rPr>
              <w:t>分；</w:t>
            </w:r>
          </w:p>
          <w:p>
            <w:pPr>
              <w:wordWrap w:val="0"/>
              <w:spacing w:line="360" w:lineRule="exact"/>
              <w:ind w:firstLine="420"/>
              <w:rPr>
                <w:color w:val="595959"/>
                <w:szCs w:val="20"/>
              </w:rPr>
            </w:pPr>
            <w:r>
              <w:rPr>
                <w:rFonts w:hint="eastAsia"/>
                <w:color w:val="595959"/>
                <w:szCs w:val="20"/>
              </w:rPr>
              <w:t>4.每提供一人具有住房建设部门(或安监部门)颁发的《安全生产考核合格证书》得2</w:t>
            </w:r>
            <w:r>
              <w:rPr>
                <w:color w:val="595959"/>
                <w:szCs w:val="21"/>
              </w:rPr>
              <w:t>%</w:t>
            </w:r>
            <w:r>
              <w:rPr>
                <w:rFonts w:hint="eastAsia"/>
                <w:color w:val="595959"/>
                <w:szCs w:val="20"/>
              </w:rPr>
              <w:t>分，此项最高得10</w:t>
            </w:r>
            <w:r>
              <w:rPr>
                <w:color w:val="595959"/>
                <w:szCs w:val="21"/>
              </w:rPr>
              <w:t>%</w:t>
            </w:r>
            <w:r>
              <w:rPr>
                <w:rFonts w:hint="eastAsia"/>
                <w:color w:val="595959"/>
                <w:szCs w:val="20"/>
              </w:rPr>
              <w:t xml:space="preserve">分。 </w:t>
            </w:r>
          </w:p>
          <w:p>
            <w:pPr>
              <w:wordWrap w:val="0"/>
              <w:spacing w:line="360" w:lineRule="exact"/>
              <w:ind w:firstLine="420"/>
              <w:rPr>
                <w:color w:val="595959"/>
                <w:szCs w:val="20"/>
              </w:rPr>
            </w:pPr>
            <w:r>
              <w:rPr>
                <w:rFonts w:hint="eastAsia"/>
                <w:color w:val="595959"/>
                <w:szCs w:val="20"/>
              </w:rPr>
              <w:t>以上所有人员中，同一人不得重复计分。以上4项可累计得分，满分为100</w:t>
            </w:r>
            <w:r>
              <w:rPr>
                <w:color w:val="595959"/>
                <w:szCs w:val="21"/>
              </w:rPr>
              <w:t>%</w:t>
            </w:r>
            <w:r>
              <w:rPr>
                <w:rFonts w:hint="eastAsia"/>
                <w:color w:val="595959"/>
                <w:szCs w:val="20"/>
              </w:rPr>
              <w:t>分。</w:t>
            </w:r>
          </w:p>
        </w:tc>
        <w:tc>
          <w:tcPr>
            <w:tcW w:w="802" w:type="dxa"/>
            <w:vMerge w:val="restart"/>
            <w:vAlign w:val="center"/>
          </w:tcPr>
          <w:p>
            <w:pPr>
              <w:adjustRightInd w:val="0"/>
              <w:snapToGrid w:val="0"/>
              <w:spacing w:line="360" w:lineRule="exact"/>
              <w:ind w:firstLine="105" w:firstLineChars="50"/>
              <w:rPr>
                <w:color w:val="595959"/>
                <w:szCs w:val="21"/>
              </w:rPr>
            </w:pPr>
            <w:r>
              <w:rPr>
                <w:rFonts w:cs="宋体"/>
                <w:color w:val="595959"/>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75" w:type="dxa"/>
            <w:vMerge w:val="continue"/>
            <w:vAlign w:val="center"/>
          </w:tcPr>
          <w:p>
            <w:pPr>
              <w:adjustRightInd w:val="0"/>
              <w:snapToGrid w:val="0"/>
              <w:spacing w:line="360" w:lineRule="exact"/>
              <w:ind w:firstLine="422"/>
              <w:jc w:val="center"/>
              <w:rPr>
                <w:b/>
                <w:color w:val="595959"/>
                <w:szCs w:val="21"/>
              </w:rPr>
            </w:pPr>
          </w:p>
        </w:tc>
        <w:tc>
          <w:tcPr>
            <w:tcW w:w="1134" w:type="dxa"/>
            <w:vMerge w:val="continue"/>
            <w:vAlign w:val="center"/>
          </w:tcPr>
          <w:p>
            <w:pPr>
              <w:adjustRightInd w:val="0"/>
              <w:snapToGrid w:val="0"/>
              <w:spacing w:line="360" w:lineRule="exact"/>
              <w:ind w:firstLine="422"/>
              <w:jc w:val="center"/>
              <w:rPr>
                <w:b/>
                <w:color w:val="595959"/>
                <w:szCs w:val="21"/>
              </w:rPr>
            </w:pPr>
          </w:p>
        </w:tc>
        <w:tc>
          <w:tcPr>
            <w:tcW w:w="5918" w:type="dxa"/>
            <w:vAlign w:val="center"/>
          </w:tcPr>
          <w:p>
            <w:pPr>
              <w:wordWrap w:val="0"/>
              <w:spacing w:line="360" w:lineRule="exact"/>
              <w:ind w:firstLine="422"/>
              <w:rPr>
                <w:rFonts w:cs="宋体"/>
                <w:color w:val="595959"/>
                <w:szCs w:val="21"/>
              </w:rPr>
            </w:pPr>
            <w:r>
              <w:rPr>
                <w:rFonts w:hint="eastAsia" w:cs="宋体"/>
                <w:b/>
                <w:bCs/>
                <w:color w:val="595959"/>
                <w:szCs w:val="21"/>
              </w:rPr>
              <w:t>证明文件</w:t>
            </w:r>
            <w:r>
              <w:rPr>
                <w:rFonts w:hint="eastAsia" w:cs="宋体"/>
                <w:color w:val="595959"/>
                <w:szCs w:val="21"/>
              </w:rPr>
              <w:t>：</w:t>
            </w:r>
          </w:p>
          <w:p>
            <w:pPr>
              <w:wordWrap w:val="0"/>
              <w:spacing w:line="360" w:lineRule="exact"/>
              <w:ind w:firstLine="420"/>
              <w:rPr>
                <w:bCs/>
                <w:color w:val="595959"/>
                <w:szCs w:val="21"/>
              </w:rPr>
            </w:pPr>
            <w:r>
              <w:rPr>
                <w:rFonts w:hint="eastAsia"/>
                <w:bCs/>
                <w:color w:val="595959"/>
                <w:szCs w:val="21"/>
              </w:rPr>
              <w:t>1.评分内容要求提供投标人相关证书扫描件及国家应急管理部网站(https://www.mem.gov.cn/)证书信息查询截图作为得分依据，所有提供的证书均需在有效期内，未按求复(年)审或延期注册视为无效证书；</w:t>
            </w:r>
          </w:p>
          <w:p>
            <w:pPr>
              <w:wordWrap w:val="0"/>
              <w:spacing w:line="360" w:lineRule="exact"/>
              <w:ind w:firstLine="420"/>
              <w:rPr>
                <w:bCs/>
                <w:color w:val="595959"/>
                <w:szCs w:val="21"/>
              </w:rPr>
            </w:pPr>
            <w:r>
              <w:rPr>
                <w:rFonts w:hint="eastAsia"/>
                <w:bCs/>
                <w:color w:val="595959"/>
                <w:szCs w:val="21"/>
              </w:rPr>
              <w:t>2.拟派人员必须为投标人自有员工，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pPr>
              <w:wordWrap w:val="0"/>
              <w:spacing w:line="360" w:lineRule="exact"/>
              <w:ind w:firstLine="420"/>
              <w:rPr>
                <w:bCs/>
                <w:color w:val="595959"/>
                <w:szCs w:val="21"/>
              </w:rPr>
            </w:pPr>
            <w:r>
              <w:rPr>
                <w:rFonts w:hint="eastAsia"/>
                <w:bCs/>
                <w:color w:val="595959"/>
                <w:szCs w:val="21"/>
              </w:rPr>
              <w:t>3.评分中出现无证明资料或专家无法凭所提供资料判断是否得分的情况，一律作不得分处理。</w:t>
            </w:r>
          </w:p>
        </w:tc>
        <w:tc>
          <w:tcPr>
            <w:tcW w:w="802" w:type="dxa"/>
            <w:vMerge w:val="continue"/>
            <w:vAlign w:val="center"/>
          </w:tcPr>
          <w:p>
            <w:pPr>
              <w:adjustRightInd w:val="0"/>
              <w:snapToGrid w:val="0"/>
              <w:spacing w:line="360" w:lineRule="exact"/>
              <w:ind w:firstLine="422"/>
              <w:jc w:val="center"/>
              <w:rPr>
                <w:b/>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Merge w:val="restart"/>
            <w:vAlign w:val="center"/>
          </w:tcPr>
          <w:p>
            <w:pPr>
              <w:adjustRightInd w:val="0"/>
              <w:snapToGrid w:val="0"/>
              <w:spacing w:line="360" w:lineRule="exact"/>
              <w:ind w:firstLine="199" w:firstLineChars="95"/>
              <w:rPr>
                <w:b/>
                <w:color w:val="595959"/>
                <w:szCs w:val="21"/>
              </w:rPr>
            </w:pPr>
            <w:r>
              <w:rPr>
                <w:rFonts w:cs="宋体"/>
                <w:color w:val="595959"/>
                <w:szCs w:val="21"/>
              </w:rPr>
              <w:t>4</w:t>
            </w:r>
          </w:p>
        </w:tc>
        <w:tc>
          <w:tcPr>
            <w:tcW w:w="1134" w:type="dxa"/>
            <w:vMerge w:val="restart"/>
            <w:vAlign w:val="center"/>
          </w:tcPr>
          <w:p>
            <w:pPr>
              <w:adjustRightInd w:val="0"/>
              <w:snapToGrid w:val="0"/>
              <w:spacing w:line="360" w:lineRule="exact"/>
              <w:ind w:firstLine="0" w:firstLineChars="0"/>
              <w:rPr>
                <w:rFonts w:cs="宋体"/>
                <w:color w:val="595959"/>
                <w:szCs w:val="21"/>
              </w:rPr>
            </w:pPr>
            <w:r>
              <w:rPr>
                <w:rFonts w:hint="eastAsia"/>
                <w:color w:val="595959"/>
                <w:szCs w:val="21"/>
              </w:rPr>
              <w:t>违约承诺</w:t>
            </w:r>
          </w:p>
        </w:tc>
        <w:tc>
          <w:tcPr>
            <w:tcW w:w="5918" w:type="dxa"/>
            <w:vAlign w:val="center"/>
          </w:tcPr>
          <w:p>
            <w:pPr>
              <w:wordWrap w:val="0"/>
              <w:spacing w:line="360" w:lineRule="exact"/>
              <w:ind w:firstLine="420"/>
              <w:rPr>
                <w:rFonts w:cs="宋体"/>
                <w:color w:val="595959"/>
                <w:szCs w:val="21"/>
              </w:rPr>
            </w:pPr>
            <w:r>
              <w:rPr>
                <w:rFonts w:hint="eastAsia" w:cs="宋体"/>
                <w:color w:val="595959"/>
                <w:szCs w:val="21"/>
              </w:rPr>
              <w:t>考察内容：投标人提供违约承诺得100</w:t>
            </w:r>
            <w:r>
              <w:rPr>
                <w:color w:val="595959"/>
                <w:szCs w:val="21"/>
              </w:rPr>
              <w:t>%</w:t>
            </w:r>
            <w:r>
              <w:rPr>
                <w:rFonts w:hint="eastAsia" w:cs="宋体"/>
                <w:color w:val="595959"/>
                <w:szCs w:val="21"/>
              </w:rPr>
              <w:t>分。要求提供承诺内容包括:</w:t>
            </w:r>
          </w:p>
          <w:p>
            <w:pPr>
              <w:wordWrap w:val="0"/>
              <w:spacing w:line="360" w:lineRule="exact"/>
              <w:ind w:firstLine="420"/>
              <w:rPr>
                <w:rFonts w:cs="宋体"/>
                <w:color w:val="595959"/>
                <w:szCs w:val="21"/>
              </w:rPr>
            </w:pPr>
            <w:r>
              <w:rPr>
                <w:rFonts w:hint="eastAsia" w:cs="宋体"/>
                <w:color w:val="595959"/>
                <w:szCs w:val="21"/>
              </w:rPr>
              <w:t>(1)全面响应项目招标文件中各项技术和商务要求；</w:t>
            </w:r>
          </w:p>
          <w:p>
            <w:pPr>
              <w:wordWrap w:val="0"/>
              <w:spacing w:line="360" w:lineRule="exact"/>
              <w:ind w:firstLine="420"/>
              <w:rPr>
                <w:rFonts w:cs="宋体"/>
                <w:color w:val="595959"/>
                <w:szCs w:val="21"/>
              </w:rPr>
            </w:pPr>
            <w:r>
              <w:rPr>
                <w:rFonts w:hint="eastAsia" w:cs="宋体"/>
                <w:color w:val="595959"/>
                <w:szCs w:val="21"/>
              </w:rPr>
              <w:t>(2)投标文件所列全部内容真实，不存在虚假情况；</w:t>
            </w:r>
          </w:p>
          <w:p>
            <w:pPr>
              <w:wordWrap w:val="0"/>
              <w:spacing w:line="360" w:lineRule="exact"/>
              <w:ind w:firstLine="420"/>
              <w:rPr>
                <w:rFonts w:cs="宋体"/>
                <w:color w:val="595959"/>
                <w:szCs w:val="21"/>
              </w:rPr>
            </w:pPr>
            <w:r>
              <w:rPr>
                <w:rFonts w:hint="eastAsia" w:cs="宋体"/>
                <w:color w:val="595959"/>
                <w:szCs w:val="21"/>
              </w:rPr>
              <w:t>(3)全面配合采购人，保质保量完成本服务项目。</w:t>
            </w:r>
          </w:p>
        </w:tc>
        <w:tc>
          <w:tcPr>
            <w:tcW w:w="802" w:type="dxa"/>
            <w:vMerge w:val="restart"/>
            <w:vAlign w:val="center"/>
          </w:tcPr>
          <w:p>
            <w:pPr>
              <w:adjustRightInd w:val="0"/>
              <w:snapToGrid w:val="0"/>
              <w:spacing w:line="360" w:lineRule="exact"/>
              <w:ind w:firstLine="199" w:firstLineChars="95"/>
              <w:rPr>
                <w:color w:val="595959"/>
                <w:szCs w:val="21"/>
              </w:rPr>
            </w:pPr>
            <w:r>
              <w:rPr>
                <w:rFonts w:cs="宋体"/>
                <w:color w:val="595959"/>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Merge w:val="continue"/>
            <w:vAlign w:val="center"/>
          </w:tcPr>
          <w:p>
            <w:pPr>
              <w:adjustRightInd w:val="0"/>
              <w:snapToGrid w:val="0"/>
              <w:spacing w:line="360" w:lineRule="exact"/>
              <w:ind w:firstLine="420"/>
              <w:jc w:val="center"/>
              <w:rPr>
                <w:rFonts w:cs="宋体"/>
                <w:color w:val="595959"/>
                <w:szCs w:val="21"/>
              </w:rPr>
            </w:pPr>
          </w:p>
        </w:tc>
        <w:tc>
          <w:tcPr>
            <w:tcW w:w="1134" w:type="dxa"/>
            <w:vMerge w:val="continue"/>
            <w:vAlign w:val="center"/>
          </w:tcPr>
          <w:p>
            <w:pPr>
              <w:adjustRightInd w:val="0"/>
              <w:snapToGrid w:val="0"/>
              <w:spacing w:line="360" w:lineRule="exact"/>
              <w:ind w:firstLine="420"/>
              <w:rPr>
                <w:color w:val="595959"/>
                <w:szCs w:val="21"/>
              </w:rPr>
            </w:pPr>
          </w:p>
        </w:tc>
        <w:tc>
          <w:tcPr>
            <w:tcW w:w="5918" w:type="dxa"/>
            <w:vAlign w:val="center"/>
          </w:tcPr>
          <w:p>
            <w:pPr>
              <w:wordWrap w:val="0"/>
              <w:spacing w:line="360" w:lineRule="exact"/>
              <w:ind w:firstLine="420"/>
              <w:rPr>
                <w:rFonts w:cs="宋体"/>
                <w:color w:val="595959"/>
                <w:szCs w:val="21"/>
              </w:rPr>
            </w:pPr>
            <w:r>
              <w:rPr>
                <w:rFonts w:hint="eastAsia" w:cs="宋体"/>
                <w:color w:val="595959"/>
                <w:szCs w:val="21"/>
              </w:rPr>
              <w:t>证明文件：</w:t>
            </w:r>
          </w:p>
          <w:p>
            <w:pPr>
              <w:wordWrap w:val="0"/>
              <w:spacing w:line="360" w:lineRule="exact"/>
              <w:ind w:firstLine="420"/>
              <w:rPr>
                <w:szCs w:val="20"/>
              </w:rPr>
            </w:pPr>
            <w:r>
              <w:rPr>
                <w:rFonts w:hint="eastAsia" w:cs="宋体"/>
                <w:color w:val="595959"/>
                <w:szCs w:val="21"/>
              </w:rPr>
              <w:t>提供承诺函(格式自拟)作为得分依据，未提供承诺或承诺内容不满足要求不得分。若违反任何一项承诺，同意全面接受采购人做出的相应违约处理。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pPr>
              <w:adjustRightInd w:val="0"/>
              <w:snapToGrid w:val="0"/>
              <w:spacing w:line="360" w:lineRule="exact"/>
              <w:ind w:firstLine="422"/>
              <w:jc w:val="center"/>
              <w:rPr>
                <w:b/>
                <w:color w:val="595959"/>
                <w:szCs w:val="21"/>
              </w:rPr>
            </w:pPr>
            <w:r>
              <w:rPr>
                <w:rFonts w:hint="eastAsia"/>
                <w:b/>
                <w:color w:val="595959"/>
                <w:szCs w:val="21"/>
              </w:rPr>
              <w:t>合计</w:t>
            </w:r>
          </w:p>
        </w:tc>
        <w:tc>
          <w:tcPr>
            <w:tcW w:w="802" w:type="dxa"/>
            <w:vAlign w:val="center"/>
          </w:tcPr>
          <w:p>
            <w:pPr>
              <w:adjustRightInd w:val="0"/>
              <w:snapToGrid w:val="0"/>
              <w:spacing w:line="360" w:lineRule="exact"/>
              <w:ind w:firstLine="210" w:firstLineChars="100"/>
              <w:rPr>
                <w:color w:val="595959"/>
                <w:szCs w:val="21"/>
              </w:rPr>
            </w:pPr>
            <w:r>
              <w:rPr>
                <w:color w:val="595959"/>
                <w:szCs w:val="21"/>
              </w:rPr>
              <w:t>30</w:t>
            </w:r>
          </w:p>
        </w:tc>
      </w:tr>
    </w:tbl>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pPr>
        <w:ind w:firstLine="442"/>
        <w:rPr>
          <w:rFonts w:ascii="宋体" w:hAnsi="宋体"/>
          <w:b/>
          <w:sz w:val="22"/>
        </w:rPr>
      </w:pPr>
    </w:p>
    <w:p>
      <w:pPr>
        <w:widowControl w:val="0"/>
        <w:autoSpaceDE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4</w:t>
      </w:r>
      <w:r>
        <w:rPr>
          <w:rFonts w:hint="eastAsia" w:ascii="宋体" w:hAnsi="宋体"/>
          <w:b/>
          <w:sz w:val="22"/>
        </w:rPr>
        <w:t>-1《价格标评审方法》</w:t>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tcBorders>
              <w:top w:val="single" w:color="auto" w:sz="4" w:space="0"/>
              <w:left w:val="single" w:color="auto" w:sz="4" w:space="0"/>
              <w:bottom w:val="single" w:color="auto" w:sz="4" w:space="0"/>
              <w:right w:val="single" w:color="auto" w:sz="4" w:space="0"/>
            </w:tcBorders>
            <w:shd w:val="clear" w:color="auto" w:fill="D9E2F3"/>
            <w:vAlign w:val="center"/>
          </w:tcPr>
          <w:p>
            <w:pPr>
              <w:adjustRightInd w:val="0"/>
              <w:snapToGrid w:val="0"/>
              <w:spacing w:line="360" w:lineRule="exact"/>
              <w:ind w:firstLine="643"/>
              <w:jc w:val="center"/>
              <w:rPr>
                <w:b/>
                <w:color w:val="595959"/>
                <w:sz w:val="32"/>
                <w:szCs w:val="32"/>
              </w:rPr>
            </w:pPr>
            <w:r>
              <w:rPr>
                <w:rFonts w:hint="eastAsia"/>
                <w:b/>
                <w:color w:val="595959"/>
                <w:sz w:val="32"/>
                <w:szCs w:val="32"/>
              </w:rPr>
              <w:t>《价格部分评审标准》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pPr>
              <w:adjustRightInd w:val="0"/>
              <w:snapToGrid w:val="0"/>
              <w:spacing w:line="360" w:lineRule="exact"/>
              <w:ind w:firstLine="0" w:firstLineChars="0"/>
              <w:rPr>
                <w:b/>
                <w:color w:val="595959"/>
                <w:szCs w:val="21"/>
              </w:rPr>
            </w:pPr>
            <w:r>
              <w:rPr>
                <w:rFonts w:hint="eastAsia"/>
                <w:b/>
                <w:color w:val="595959"/>
                <w:szCs w:val="21"/>
              </w:rPr>
              <w:t>序号</w:t>
            </w:r>
          </w:p>
        </w:tc>
        <w:tc>
          <w:tcPr>
            <w:tcW w:w="1134" w:type="dxa"/>
            <w:vAlign w:val="center"/>
          </w:tcPr>
          <w:p>
            <w:pPr>
              <w:adjustRightInd w:val="0"/>
              <w:snapToGrid w:val="0"/>
              <w:spacing w:line="360" w:lineRule="exact"/>
              <w:ind w:firstLine="0" w:firstLineChars="0"/>
              <w:rPr>
                <w:b/>
                <w:color w:val="595959"/>
                <w:szCs w:val="21"/>
              </w:rPr>
            </w:pPr>
            <w:r>
              <w:rPr>
                <w:rFonts w:hint="eastAsia"/>
                <w:b/>
                <w:color w:val="595959"/>
                <w:szCs w:val="21"/>
              </w:rPr>
              <w:t>评审项目</w:t>
            </w:r>
          </w:p>
        </w:tc>
        <w:tc>
          <w:tcPr>
            <w:tcW w:w="5918" w:type="dxa"/>
            <w:vAlign w:val="center"/>
          </w:tcPr>
          <w:p>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pPr>
              <w:adjustRightInd w:val="0"/>
              <w:snapToGrid w:val="0"/>
              <w:spacing w:line="360" w:lineRule="exact"/>
              <w:ind w:firstLine="0" w:firstLineChars="0"/>
              <w:rPr>
                <w:b/>
                <w:color w:val="595959"/>
                <w:szCs w:val="21"/>
              </w:rPr>
            </w:pPr>
            <w:r>
              <w:rPr>
                <w:rFonts w:hint="eastAsia"/>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675" w:type="dxa"/>
            <w:vAlign w:val="center"/>
          </w:tcPr>
          <w:p>
            <w:pPr>
              <w:adjustRightInd w:val="0"/>
              <w:snapToGrid w:val="0"/>
              <w:spacing w:line="360" w:lineRule="exact"/>
              <w:ind w:firstLine="199" w:firstLineChars="95"/>
              <w:rPr>
                <w:color w:val="595959"/>
                <w:szCs w:val="21"/>
              </w:rPr>
            </w:pPr>
            <w:r>
              <w:rPr>
                <w:rFonts w:hint="eastAsia" w:cs="宋体"/>
                <w:color w:val="595959"/>
                <w:szCs w:val="21"/>
              </w:rPr>
              <w:t>1</w:t>
            </w:r>
          </w:p>
        </w:tc>
        <w:tc>
          <w:tcPr>
            <w:tcW w:w="1134" w:type="dxa"/>
            <w:vAlign w:val="center"/>
          </w:tcPr>
          <w:p>
            <w:pPr>
              <w:adjustRightInd w:val="0"/>
              <w:snapToGrid w:val="0"/>
              <w:spacing w:line="360" w:lineRule="exact"/>
              <w:ind w:firstLine="0" w:firstLineChars="0"/>
              <w:rPr>
                <w:color w:val="595959"/>
                <w:szCs w:val="21"/>
              </w:rPr>
            </w:pPr>
            <w:r>
              <w:rPr>
                <w:rFonts w:hint="eastAsia" w:cs="宋体"/>
                <w:color w:val="595959"/>
                <w:szCs w:val="21"/>
              </w:rPr>
              <w:t>投标报价</w:t>
            </w:r>
          </w:p>
        </w:tc>
        <w:tc>
          <w:tcPr>
            <w:tcW w:w="5918" w:type="dxa"/>
            <w:vAlign w:val="center"/>
          </w:tcPr>
          <w:p>
            <w:pPr>
              <w:wordWrap w:val="0"/>
              <w:spacing w:line="360" w:lineRule="exact"/>
              <w:ind w:firstLine="420"/>
              <w:rPr>
                <w:rFonts w:cs="宋体"/>
                <w:color w:val="595959"/>
                <w:szCs w:val="21"/>
              </w:rPr>
            </w:pPr>
            <w:r>
              <w:rPr>
                <w:rFonts w:hint="eastAsia" w:cs="宋体"/>
                <w:color w:val="595959"/>
                <w:szCs w:val="21"/>
              </w:rPr>
              <w:t>价格分应当采用低价优先法计算，即满足招标文件要求且投标价格最低的投标报价为评标基准价，其价格分为满分。其他投标人的价格分统一按照下列公式计算:</w:t>
            </w:r>
          </w:p>
          <w:p>
            <w:pPr>
              <w:wordWrap w:val="0"/>
              <w:spacing w:line="360" w:lineRule="exact"/>
              <w:ind w:firstLine="420"/>
              <w:rPr>
                <w:rFonts w:cs="宋体"/>
                <w:color w:val="595959"/>
                <w:szCs w:val="21"/>
              </w:rPr>
            </w:pPr>
            <w:r>
              <w:rPr>
                <w:rFonts w:hint="eastAsia" w:cs="宋体"/>
                <w:color w:val="595959"/>
                <w:szCs w:val="21"/>
              </w:rPr>
              <w:t>投标报价得分=(评标基准价/投标报价)x100x权重</w:t>
            </w:r>
          </w:p>
          <w:p>
            <w:pPr>
              <w:wordWrap w:val="0"/>
              <w:spacing w:line="360" w:lineRule="exact"/>
              <w:ind w:firstLine="420"/>
              <w:rPr>
                <w:rFonts w:cs="宋体"/>
                <w:color w:val="595959"/>
                <w:szCs w:val="21"/>
              </w:rPr>
            </w:pPr>
            <w:r>
              <w:rPr>
                <w:rFonts w:hint="eastAsia" w:cs="宋体"/>
                <w:color w:val="595959"/>
                <w:szCs w:val="21"/>
              </w:rPr>
              <w:t>备注:</w:t>
            </w:r>
          </w:p>
          <w:p>
            <w:pPr>
              <w:wordWrap w:val="0"/>
              <w:spacing w:line="360" w:lineRule="exact"/>
              <w:ind w:firstLine="420"/>
              <w:rPr>
                <w:rFonts w:cs="宋体"/>
                <w:color w:val="595959"/>
                <w:szCs w:val="21"/>
              </w:rPr>
            </w:pPr>
            <w:r>
              <w:rPr>
                <w:rFonts w:hint="eastAsia" w:cs="宋体"/>
                <w:color w:val="595959"/>
                <w:szCs w:val="21"/>
              </w:rPr>
              <w:t>1、因落实政府采购政策进行价格调整的，以调整后的价格计算评标基准价和投标报价。</w:t>
            </w:r>
          </w:p>
          <w:p>
            <w:pPr>
              <w:wordWrap w:val="0"/>
              <w:spacing w:line="360" w:lineRule="exact"/>
              <w:ind w:firstLine="420"/>
              <w:rPr>
                <w:color w:val="595959"/>
                <w:szCs w:val="21"/>
              </w:rPr>
            </w:pPr>
            <w:r>
              <w:rPr>
                <w:rFonts w:hint="eastAsia" w:cs="宋体"/>
                <w:color w:val="595959"/>
                <w:szCs w:val="21"/>
              </w:rPr>
              <w:t>2、投标报价得分四舍五入后，小数点后保留两位有效数。</w:t>
            </w:r>
          </w:p>
        </w:tc>
        <w:tc>
          <w:tcPr>
            <w:tcW w:w="802" w:type="dxa"/>
            <w:vAlign w:val="center"/>
          </w:tcPr>
          <w:p>
            <w:pPr>
              <w:adjustRightInd w:val="0"/>
              <w:snapToGrid w:val="0"/>
              <w:spacing w:line="360" w:lineRule="exact"/>
              <w:ind w:firstLine="105" w:firstLineChars="50"/>
              <w:rPr>
                <w:color w:val="595959"/>
                <w:szCs w:val="21"/>
              </w:rPr>
            </w:pPr>
            <w:r>
              <w:rPr>
                <w:rFonts w:cs="宋体"/>
                <w:color w:val="595959"/>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pPr>
              <w:adjustRightInd w:val="0"/>
              <w:snapToGrid w:val="0"/>
              <w:spacing w:line="360" w:lineRule="exact"/>
              <w:ind w:firstLine="422"/>
              <w:jc w:val="center"/>
              <w:rPr>
                <w:b/>
                <w:color w:val="595959"/>
                <w:szCs w:val="21"/>
              </w:rPr>
            </w:pPr>
            <w:r>
              <w:rPr>
                <w:rFonts w:hint="eastAsia"/>
                <w:b/>
                <w:color w:val="595959"/>
                <w:szCs w:val="21"/>
              </w:rPr>
              <w:t>合计</w:t>
            </w:r>
          </w:p>
        </w:tc>
        <w:tc>
          <w:tcPr>
            <w:tcW w:w="802" w:type="dxa"/>
            <w:vAlign w:val="center"/>
          </w:tcPr>
          <w:p>
            <w:pPr>
              <w:adjustRightInd w:val="0"/>
              <w:snapToGrid w:val="0"/>
              <w:spacing w:line="360" w:lineRule="exact"/>
              <w:ind w:firstLine="210" w:firstLineChars="100"/>
              <w:rPr>
                <w:color w:val="595959"/>
                <w:szCs w:val="21"/>
              </w:rPr>
            </w:pPr>
            <w:r>
              <w:rPr>
                <w:color w:val="595959"/>
                <w:szCs w:val="21"/>
              </w:rPr>
              <w:t>20</w:t>
            </w:r>
          </w:p>
        </w:tc>
      </w:tr>
    </w:tbl>
    <w:p>
      <w:pPr>
        <w:widowControl w:val="0"/>
        <w:autoSpaceDE w:val="0"/>
        <w:autoSpaceDN w:val="0"/>
        <w:adjustRightInd w:val="0"/>
        <w:snapToGrid w:val="0"/>
        <w:ind w:firstLine="0" w:firstLineChars="0"/>
        <w:jc w:val="center"/>
        <w:rPr>
          <w:rFonts w:ascii="宋体" w:hAnsi="宋体"/>
          <w:b/>
          <w:sz w:val="24"/>
        </w:rPr>
      </w:pPr>
    </w:p>
    <w:p>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评标价格</w:t>
      </w:r>
    </w:p>
    <w:p>
      <w:pPr>
        <w:widowControl w:val="0"/>
        <w:numPr>
          <w:ilvl w:val="1"/>
          <w:numId w:val="8"/>
        </w:numPr>
        <w:autoSpaceDE w:val="0"/>
        <w:autoSpaceDN w:val="0"/>
        <w:adjustRightInd w:val="0"/>
        <w:snapToGrid w:val="0"/>
        <w:ind w:firstLineChars="0"/>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若投标报价一览表中投标总价与投标文件中投标总价不一致，以投标报价一览表投标总价为准；</w:t>
      </w:r>
    </w:p>
    <w:p>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当小写金额与大写金额有差异时，以大写金额为准（有明显错误的除外）；</w:t>
      </w:r>
    </w:p>
    <w:p>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单价金额小数点有明显错位的，应以总价为准，并修改单价；</w:t>
      </w:r>
    </w:p>
    <w:p>
      <w:pPr>
        <w:widowControl w:val="0"/>
        <w:numPr>
          <w:ilvl w:val="2"/>
          <w:numId w:val="8"/>
        </w:numPr>
        <w:autoSpaceDE w:val="0"/>
        <w:autoSpaceDN w:val="0"/>
        <w:adjustRightInd w:val="0"/>
        <w:snapToGrid w:val="0"/>
        <w:ind w:firstLineChars="0"/>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w:t>
      </w:r>
    </w:p>
    <w:p>
      <w:pPr>
        <w:widowControl w:val="0"/>
        <w:numPr>
          <w:ilvl w:val="1"/>
          <w:numId w:val="8"/>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合同金额以经修正后的投标报价为准，缺漏项部分由投标人自行承担。</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2、价格标评审的计算：</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133"/>
        <w:gridCol w:w="1558"/>
        <w:gridCol w:w="4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restart"/>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w:t>
            </w:r>
            <w:r>
              <w:rPr>
                <w:rFonts w:ascii="宋体" w:hAnsi="宋体"/>
                <w:b/>
                <w:szCs w:val="21"/>
              </w:rPr>
              <w:t>报价得分</w:t>
            </w:r>
          </w:p>
        </w:tc>
        <w:tc>
          <w:tcPr>
            <w:tcW w:w="7565" w:type="dxa"/>
            <w:gridSpan w:val="3"/>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r>
              <w:rPr>
                <w:rFonts w:ascii="宋体" w:hAnsi="宋体"/>
                <w:b/>
                <w:szCs w:val="21"/>
              </w:rPr>
              <w:t>和算法类型选择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133" w:type="dxa"/>
            <w:vMerge w:val="restart"/>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p>
        </w:tc>
        <w:tc>
          <w:tcPr>
            <w:tcW w:w="6432" w:type="dxa"/>
            <w:gridSpan w:val="2"/>
            <w:vAlign w:val="center"/>
          </w:tcPr>
          <w:p>
            <w:pPr>
              <w:widowControl w:val="0"/>
              <w:autoSpaceDE w:val="0"/>
              <w:autoSpaceDN w:val="0"/>
              <w:adjustRightInd w:val="0"/>
              <w:snapToGrid w:val="0"/>
              <w:ind w:firstLine="210" w:firstLineChars="100"/>
              <w:rPr>
                <w:rFonts w:ascii="宋体" w:hAnsi="宋体"/>
                <w:szCs w:val="21"/>
              </w:rPr>
            </w:pPr>
            <w:r>
              <w:rPr>
                <w:rFonts w:hint="eastAsia" w:ascii="宋体" w:hAnsi="宋体"/>
                <w:szCs w:val="21"/>
              </w:rPr>
              <w:t>当有效投标报价少于3家时，则此次招标无效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pPr>
              <w:widowControl w:val="0"/>
              <w:autoSpaceDE w:val="0"/>
              <w:autoSpaceDN w:val="0"/>
              <w:adjustRightInd w:val="0"/>
              <w:snapToGrid w:val="0"/>
              <w:ind w:firstLine="0" w:firstLineChars="0"/>
              <w:jc w:val="center"/>
              <w:rPr>
                <w:rFonts w:ascii="宋体" w:hAnsi="宋体"/>
                <w:b/>
                <w:szCs w:val="21"/>
              </w:rPr>
            </w:pPr>
          </w:p>
        </w:tc>
        <w:tc>
          <w:tcPr>
            <w:tcW w:w="6432" w:type="dxa"/>
            <w:gridSpan w:val="2"/>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hint="eastAsia" w:ascii="宋体" w:hAnsi="宋体"/>
                <w:b/>
                <w:bCs/>
                <w:szCs w:val="21"/>
              </w:rPr>
              <w:t>有效投标报价的最低价为基价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558"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☑其他</w:t>
            </w:r>
            <w:r>
              <w:rPr>
                <w:rFonts w:ascii="宋体" w:hAnsi="宋体"/>
                <w:szCs w:val="21"/>
              </w:rPr>
              <w:t>方法</w:t>
            </w:r>
          </w:p>
        </w:tc>
        <w:tc>
          <w:tcPr>
            <w:tcW w:w="4874" w:type="dxa"/>
            <w:vAlign w:val="center"/>
          </w:tcPr>
          <w:p>
            <w:pPr>
              <w:widowControl w:val="0"/>
              <w:autoSpaceDE w:val="0"/>
              <w:autoSpaceDN w:val="0"/>
              <w:adjustRightInd w:val="0"/>
              <w:snapToGrid w:val="0"/>
              <w:ind w:firstLine="0" w:firstLineChars="0"/>
              <w:rPr>
                <w:rFonts w:ascii="宋体" w:hAnsi="宋体"/>
                <w:b/>
                <w:bCs/>
                <w:szCs w:val="21"/>
              </w:rPr>
            </w:pPr>
            <w:r>
              <w:rPr>
                <w:rFonts w:hint="eastAsia" w:ascii="宋体" w:hAnsi="宋体"/>
                <w:b/>
                <w:bCs/>
                <w:szCs w:val="21"/>
              </w:rPr>
              <w:t>投标报价</w:t>
            </w: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得分</w:t>
            </w:r>
            <w:r>
              <w:rPr>
                <w:rFonts w:ascii="宋体" w:hAnsi="宋体"/>
                <w:b/>
                <w:bCs/>
                <w:szCs w:val="21"/>
              </w:rPr>
              <w:t>=(</w:t>
            </w:r>
            <w:r>
              <w:rPr>
                <w:rFonts w:hint="eastAsia" w:ascii="宋体" w:hAnsi="宋体"/>
                <w:b/>
                <w:bCs/>
                <w:szCs w:val="21"/>
              </w:rPr>
              <w:t>评标基准价／投标报价</w:t>
            </w:r>
          </w:p>
          <w:p>
            <w:pPr>
              <w:widowControl w:val="0"/>
              <w:autoSpaceDE w:val="0"/>
              <w:autoSpaceDN w:val="0"/>
              <w:adjustRightInd w:val="0"/>
              <w:snapToGrid w:val="0"/>
              <w:ind w:firstLine="0" w:firstLineChars="0"/>
              <w:rPr>
                <w:rFonts w:ascii="宋体" w:hAnsi="宋体"/>
                <w:szCs w:val="21"/>
              </w:rPr>
            </w:pP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2</w:t>
            </w:r>
            <w:r>
              <w:rPr>
                <w:rFonts w:ascii="宋体" w:hAnsi="宋体"/>
                <w:b/>
                <w:bCs/>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4"/>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注：未通过初步评审的投标人的价格得分计算：未通过初步评审的投标人，不计算价格得分。</w:t>
            </w:r>
          </w:p>
        </w:tc>
      </w:tr>
    </w:tbl>
    <w:p>
      <w:pPr>
        <w:widowControl w:val="0"/>
        <w:autoSpaceDN w:val="0"/>
        <w:adjustRightInd w:val="0"/>
        <w:snapToGrid w:val="0"/>
        <w:ind w:firstLine="0" w:firstLineChars="0"/>
        <w:jc w:val="left"/>
        <w:rPr>
          <w:rFonts w:ascii="宋体" w:hAnsi="宋体"/>
          <w:b/>
          <w:sz w:val="22"/>
        </w:rPr>
      </w:pPr>
    </w:p>
    <w:p>
      <w:pPr>
        <w:widowControl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5</w:t>
      </w:r>
      <w:r>
        <w:rPr>
          <w:rFonts w:hint="eastAsia" w:ascii="宋体" w:hAnsi="宋体"/>
          <w:b/>
          <w:sz w:val="22"/>
        </w:rPr>
        <w:t>-1 《商务标、技术标、价格标权重表和综合得分汇总》</w:t>
      </w:r>
    </w:p>
    <w:p>
      <w:pPr>
        <w:widowControl w:val="0"/>
        <w:autoSpaceDE w:val="0"/>
        <w:autoSpaceDN w:val="0"/>
        <w:adjustRightInd w:val="0"/>
        <w:snapToGrid w:val="0"/>
        <w:ind w:firstLine="0" w:firstLineChars="0"/>
        <w:rPr>
          <w:rFonts w:ascii="宋体" w:hAnsi="宋体"/>
          <w:b/>
        </w:rPr>
      </w:pP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8" w:type="dxa"/>
            <w:gridSpan w:val="4"/>
            <w:shd w:val="clear" w:color="auto" w:fill="D9E2F3"/>
            <w:vAlign w:val="center"/>
          </w:tcPr>
          <w:p>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《商务标、技术标、价格标权重表和综合得分汇总》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权重名称</w:t>
            </w:r>
          </w:p>
        </w:tc>
        <w:tc>
          <w:tcPr>
            <w:tcW w:w="2158"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商务标权重</w:t>
            </w:r>
          </w:p>
        </w:tc>
        <w:tc>
          <w:tcPr>
            <w:tcW w:w="2159"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技术标权重</w:t>
            </w:r>
          </w:p>
        </w:tc>
        <w:tc>
          <w:tcPr>
            <w:tcW w:w="2159"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价格标权重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权重</w:t>
            </w:r>
          </w:p>
        </w:tc>
        <w:tc>
          <w:tcPr>
            <w:tcW w:w="2158"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50</w:t>
            </w:r>
          </w:p>
        </w:tc>
        <w:tc>
          <w:tcPr>
            <w:tcW w:w="2159"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30</w:t>
            </w:r>
          </w:p>
        </w:tc>
        <w:tc>
          <w:tcPr>
            <w:tcW w:w="2159"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投标人综合得分</w:t>
            </w:r>
          </w:p>
        </w:tc>
        <w:tc>
          <w:tcPr>
            <w:tcW w:w="6476" w:type="dxa"/>
            <w:gridSpan w:val="3"/>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商务标得分+技术标得分+价格标得分=100</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center"/>
        <w:outlineLvl w:val="1"/>
        <w:rPr>
          <w:rFonts w:ascii="宋体" w:hAnsi="宋体"/>
          <w:szCs w:val="21"/>
        </w:rPr>
      </w:pPr>
      <w:r>
        <w:rPr>
          <w:rFonts w:ascii="宋体" w:hAnsi="宋体"/>
        </w:rPr>
        <w:br w:type="page"/>
      </w:r>
      <w:bookmarkEnd w:id="296"/>
      <w:bookmarkEnd w:id="298"/>
      <w:bookmarkEnd w:id="299"/>
      <w:bookmarkEnd w:id="300"/>
      <w:bookmarkEnd w:id="301"/>
      <w:bookmarkEnd w:id="302"/>
      <w:bookmarkStart w:id="334" w:name="_Toc49247160"/>
      <w:bookmarkStart w:id="335" w:name="_Toc48740536"/>
      <w:bookmarkStart w:id="336" w:name="_Toc144974577"/>
      <w:bookmarkStart w:id="337" w:name="_Toc403513554"/>
      <w:bookmarkStart w:id="338" w:name="_Toc152045609"/>
      <w:bookmarkStart w:id="339" w:name="_Toc152042387"/>
      <w:r>
        <w:rPr>
          <w:rFonts w:hint="eastAsia" w:ascii="宋体" w:hAnsi="宋体"/>
          <w:b/>
          <w:sz w:val="32"/>
          <w:szCs w:val="32"/>
        </w:rPr>
        <w:t>三、定标方法</w:t>
      </w:r>
      <w:bookmarkEnd w:id="334"/>
      <w:bookmarkEnd w:id="335"/>
    </w:p>
    <w:p>
      <w:pPr>
        <w:widowControl w:val="0"/>
        <w:autoSpaceDE w:val="0"/>
        <w:autoSpaceDN w:val="0"/>
        <w:adjustRightInd w:val="0"/>
        <w:snapToGrid w:val="0"/>
        <w:ind w:firstLine="0" w:firstLineChars="0"/>
        <w:rPr>
          <w:rFonts w:ascii="宋体" w:hAnsi="宋体"/>
          <w:bCs/>
          <w:kern w:val="0"/>
          <w:szCs w:val="21"/>
        </w:rPr>
      </w:pPr>
      <w:r>
        <w:rPr>
          <w:rFonts w:hint="eastAsia" w:ascii="宋体" w:hAnsi="宋体"/>
          <w:kern w:val="0"/>
          <w:szCs w:val="21"/>
        </w:rPr>
        <w:t>招标人在定标过程中，应当坚持择优与竞价相结合，择优为主。招标人</w:t>
      </w:r>
      <w:r>
        <w:rPr>
          <w:rFonts w:hint="eastAsia" w:ascii="宋体" w:hAnsi="宋体"/>
          <w:bCs/>
          <w:kern w:val="0"/>
          <w:szCs w:val="21"/>
        </w:rPr>
        <w:t>采用下列方法确定中标人：</w:t>
      </w:r>
    </w:p>
    <w:p>
      <w:pPr>
        <w:widowControl w:val="0"/>
        <w:numPr>
          <w:ilvl w:val="0"/>
          <w:numId w:val="9"/>
        </w:numPr>
        <w:autoSpaceDE w:val="0"/>
        <w:autoSpaceDN w:val="0"/>
        <w:adjustRightInd w:val="0"/>
        <w:snapToGrid w:val="0"/>
        <w:ind w:firstLineChars="0"/>
        <w:rPr>
          <w:rFonts w:ascii="宋体" w:hAnsi="宋体"/>
          <w:b/>
          <w:kern w:val="0"/>
          <w:szCs w:val="21"/>
        </w:rPr>
      </w:pPr>
      <w:r>
        <w:rPr>
          <w:rFonts w:hint="eastAsia" w:ascii="宋体" w:hAnsi="宋体"/>
          <w:b/>
          <w:kern w:val="0"/>
          <w:szCs w:val="21"/>
        </w:rPr>
        <w:t>票决定标法</w:t>
      </w:r>
    </w:p>
    <w:p>
      <w:pPr>
        <w:widowControl w:val="0"/>
        <w:numPr>
          <w:ilvl w:val="1"/>
          <w:numId w:val="9"/>
        </w:numPr>
        <w:autoSpaceDE w:val="0"/>
        <w:autoSpaceDN w:val="0"/>
        <w:adjustRightInd w:val="0"/>
        <w:snapToGrid w:val="0"/>
        <w:ind w:firstLineChars="0"/>
        <w:rPr>
          <w:rFonts w:ascii="宋体" w:hAnsi="宋体"/>
          <w:b/>
          <w:kern w:val="0"/>
          <w:szCs w:val="21"/>
        </w:rPr>
      </w:pPr>
      <w:r>
        <w:rPr>
          <w:rFonts w:hint="eastAsia" w:ascii="宋体" w:hAnsi="宋体"/>
          <w:b/>
          <w:kern w:val="0"/>
          <w:szCs w:val="21"/>
        </w:rPr>
        <w:t>直接票决定标</w:t>
      </w:r>
    </w:p>
    <w:bookmarkEnd w:id="336"/>
    <w:bookmarkEnd w:id="337"/>
    <w:bookmarkEnd w:id="338"/>
    <w:bookmarkEnd w:id="339"/>
    <w:p>
      <w:pPr>
        <w:widowControl w:val="0"/>
        <w:autoSpaceDE w:val="0"/>
        <w:autoSpaceDN w:val="0"/>
        <w:adjustRightInd w:val="0"/>
        <w:snapToGrid w:val="0"/>
        <w:ind w:firstLine="0" w:firstLineChars="0"/>
        <w:jc w:val="left"/>
        <w:outlineLvl w:val="0"/>
        <w:rPr>
          <w:rFonts w:ascii="宋体" w:hAnsi="宋体"/>
          <w:b/>
          <w:sz w:val="52"/>
          <w:szCs w:val="52"/>
        </w:rPr>
      </w:pPr>
      <w:bookmarkStart w:id="340" w:name="_Toc49247161"/>
      <w:bookmarkStart w:id="341" w:name="_Toc406669470"/>
      <w:bookmarkStart w:id="342" w:name="_Toc49247162"/>
      <w:bookmarkStart w:id="343" w:name="_Toc403513619"/>
      <w:r>
        <w:rPr>
          <w:rFonts w:hint="eastAsia" w:ascii="宋体" w:hAnsi="宋体" w:cs="宋体"/>
          <w:bCs/>
          <w:color w:val="585858" w:themeColor="text1" w:themeTint="A6"/>
          <w:szCs w:val="21"/>
        </w:rPr>
        <w:t>评标方法为综合评分法。综合评分总分第一名的供应商为中标供应商。若综合评分总分出现并列第一名的情况，评审价格低者优先选择，若价格也相同，则抽签确定中标供应商。</w:t>
      </w: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pStyle w:val="15"/>
        <w:ind w:firstLine="1044"/>
        <w:rPr>
          <w:rFonts w:ascii="宋体" w:hAnsi="宋体"/>
          <w:b/>
          <w:sz w:val="52"/>
          <w:szCs w:val="52"/>
        </w:rPr>
      </w:pPr>
    </w:p>
    <w:p>
      <w:pPr>
        <w:pStyle w:val="15"/>
        <w:ind w:firstLine="1044"/>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numPr>
          <w:ilvl w:val="0"/>
          <w:numId w:val="10"/>
        </w:numPr>
        <w:autoSpaceDE w:val="0"/>
        <w:autoSpaceDN w:val="0"/>
        <w:adjustRightInd w:val="0"/>
        <w:snapToGrid w:val="0"/>
        <w:ind w:firstLine="0" w:firstLineChars="0"/>
        <w:jc w:val="left"/>
        <w:outlineLvl w:val="0"/>
        <w:rPr>
          <w:rFonts w:ascii="宋体" w:hAnsi="宋体"/>
          <w:b/>
          <w:sz w:val="52"/>
          <w:szCs w:val="52"/>
        </w:rPr>
      </w:pPr>
      <w:r>
        <w:rPr>
          <w:rFonts w:hint="eastAsia" w:ascii="宋体" w:hAnsi="宋体"/>
          <w:b/>
          <w:sz w:val="52"/>
          <w:szCs w:val="52"/>
        </w:rPr>
        <w:t>合同条款及格式</w:t>
      </w:r>
      <w:bookmarkEnd w:id="340"/>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420"/>
      </w:pPr>
    </w:p>
    <w:p>
      <w:pPr>
        <w:tabs>
          <w:tab w:val="left" w:pos="4950"/>
        </w:tabs>
        <w:ind w:firstLine="0" w:firstLineChars="0"/>
        <w:rPr>
          <w:rFonts w:ascii="宋体" w:hAnsi="宋体" w:cs="宋体"/>
          <w:b/>
          <w:sz w:val="48"/>
          <w:szCs w:val="48"/>
        </w:rPr>
      </w:pPr>
    </w:p>
    <w:p>
      <w:pPr>
        <w:tabs>
          <w:tab w:val="left" w:pos="4950"/>
        </w:tabs>
        <w:ind w:firstLine="0" w:firstLineChars="0"/>
        <w:rPr>
          <w:rFonts w:ascii="宋体" w:hAnsi="宋体" w:cs="宋体"/>
          <w:b/>
          <w:sz w:val="48"/>
          <w:szCs w:val="48"/>
        </w:rPr>
      </w:pPr>
    </w:p>
    <w:p>
      <w:pPr>
        <w:tabs>
          <w:tab w:val="left" w:pos="4950"/>
        </w:tabs>
        <w:ind w:firstLine="0" w:firstLineChars="0"/>
        <w:rPr>
          <w:rFonts w:ascii="宋体" w:hAnsi="宋体" w:cs="宋体"/>
          <w:b/>
          <w:sz w:val="44"/>
          <w:szCs w:val="44"/>
        </w:rPr>
      </w:pPr>
      <w:r>
        <w:rPr>
          <w:rFonts w:hint="eastAsia" w:ascii="宋体" w:hAnsi="宋体" w:cs="宋体"/>
          <w:b/>
          <w:color w:val="000000" w:themeColor="text1"/>
          <w:sz w:val="48"/>
          <w:szCs w:val="48"/>
        </w:rPr>
        <w:t>节日灯笼国旗等装饰物悬挂服务</w:t>
      </w:r>
      <w:r>
        <w:rPr>
          <w:rFonts w:hint="eastAsia" w:ascii="宋体" w:hAnsi="宋体" w:cs="宋体"/>
          <w:b/>
          <w:sz w:val="48"/>
          <w:szCs w:val="48"/>
        </w:rPr>
        <w:t>合同</w:t>
      </w:r>
    </w:p>
    <w:p>
      <w:pPr>
        <w:ind w:firstLine="482"/>
        <w:jc w:val="center"/>
        <w:rPr>
          <w:b/>
          <w:bCs/>
          <w:sz w:val="24"/>
        </w:rPr>
      </w:pPr>
    </w:p>
    <w:p>
      <w:pPr>
        <w:ind w:firstLine="1044"/>
        <w:rPr>
          <w:rFonts w:ascii="宋体" w:hAnsi="宋体" w:cs="宋体"/>
          <w:b/>
          <w:bCs/>
          <w:sz w:val="52"/>
          <w:szCs w:val="52"/>
        </w:rPr>
      </w:pPr>
    </w:p>
    <w:p>
      <w:pPr>
        <w:ind w:firstLine="800" w:firstLineChars="250"/>
        <w:jc w:val="left"/>
        <w:rPr>
          <w:rFonts w:ascii="宋体" w:hAnsi="宋体"/>
          <w:sz w:val="32"/>
          <w:szCs w:val="32"/>
          <w:u w:val="single"/>
        </w:rPr>
      </w:pPr>
    </w:p>
    <w:p>
      <w:pPr>
        <w:ind w:firstLine="640"/>
        <w:jc w:val="left"/>
        <w:rPr>
          <w:rFonts w:ascii="宋体" w:hAnsi="宋体"/>
          <w:sz w:val="32"/>
          <w:szCs w:val="32"/>
          <w:u w:val="single"/>
        </w:rPr>
      </w:pPr>
      <w:r>
        <w:rPr>
          <w:rFonts w:hint="eastAsia" w:ascii="宋体" w:hAnsi="宋体"/>
          <w:sz w:val="32"/>
          <w:szCs w:val="32"/>
        </w:rPr>
        <w:t xml:space="preserve">     甲    方：深圳市龙华环境有限公司</w:t>
      </w:r>
    </w:p>
    <w:p>
      <w:pPr>
        <w:ind w:firstLine="640"/>
        <w:jc w:val="left"/>
        <w:rPr>
          <w:rFonts w:ascii="宋体" w:hAnsi="宋体"/>
          <w:sz w:val="32"/>
          <w:szCs w:val="32"/>
          <w:u w:val="single"/>
        </w:rPr>
      </w:pPr>
    </w:p>
    <w:p>
      <w:pPr>
        <w:ind w:firstLine="640"/>
        <w:jc w:val="left"/>
        <w:rPr>
          <w:rFonts w:ascii="宋体" w:hAnsi="宋体"/>
          <w:sz w:val="32"/>
          <w:szCs w:val="32"/>
          <w:u w:val="single"/>
        </w:rPr>
      </w:pPr>
      <w:r>
        <w:rPr>
          <w:rFonts w:hint="eastAsia" w:ascii="宋体" w:hAnsi="宋体"/>
          <w:sz w:val="32"/>
          <w:szCs w:val="32"/>
        </w:rPr>
        <w:t xml:space="preserve">     乙    方：</w:t>
      </w:r>
      <w:r>
        <w:rPr>
          <w:rFonts w:hint="eastAsia" w:ascii="宋体" w:hAnsi="宋体" w:cs="宋体"/>
          <w:sz w:val="32"/>
          <w:szCs w:val="32"/>
        </w:rPr>
        <w:t xml:space="preserve"> </w:t>
      </w:r>
      <w:r>
        <w:rPr>
          <w:rFonts w:hint="eastAsia" w:ascii="宋体" w:hAnsi="宋体" w:cs="宋体"/>
          <w:sz w:val="32"/>
          <w:szCs w:val="32"/>
          <w:u w:val="single"/>
        </w:rPr>
        <w:t xml:space="preserve">                    </w:t>
      </w:r>
    </w:p>
    <w:p>
      <w:pPr>
        <w:ind w:firstLine="640"/>
        <w:jc w:val="left"/>
        <w:rPr>
          <w:rFonts w:ascii="宋体" w:hAnsi="宋体"/>
          <w:sz w:val="32"/>
          <w:szCs w:val="32"/>
        </w:rPr>
      </w:pPr>
      <w:r>
        <w:rPr>
          <w:rFonts w:hint="eastAsia" w:ascii="宋体" w:hAnsi="宋体"/>
          <w:sz w:val="32"/>
          <w:szCs w:val="32"/>
        </w:rPr>
        <w:t xml:space="preserve">     </w:t>
      </w:r>
    </w:p>
    <w:p>
      <w:pPr>
        <w:ind w:firstLine="800" w:firstLineChars="250"/>
        <w:jc w:val="left"/>
        <w:rPr>
          <w:rFonts w:ascii="宋体" w:hAnsi="宋体"/>
          <w:sz w:val="32"/>
          <w:szCs w:val="32"/>
          <w:u w:val="single"/>
        </w:rPr>
      </w:pPr>
      <w:r>
        <w:rPr>
          <w:rFonts w:hint="eastAsia" w:ascii="宋体" w:hAnsi="宋体"/>
          <w:sz w:val="32"/>
          <w:szCs w:val="32"/>
        </w:rPr>
        <w:t>订立时间：   年    月    日</w:t>
      </w:r>
    </w:p>
    <w:p>
      <w:pPr>
        <w:tabs>
          <w:tab w:val="left" w:pos="4950"/>
        </w:tabs>
        <w:ind w:firstLine="560"/>
        <w:rPr>
          <w:rFonts w:ascii="仿宋_GB2312" w:hAnsi="仿宋_GB2312" w:eastAsia="仿宋_GB2312" w:cs="仿宋_GB2312"/>
          <w:bCs/>
          <w:sz w:val="28"/>
          <w:szCs w:val="28"/>
        </w:rPr>
      </w:pPr>
    </w:p>
    <w:p>
      <w:pPr>
        <w:pStyle w:val="15"/>
        <w:ind w:firstLine="420"/>
      </w:pPr>
    </w:p>
    <w:p>
      <w:pPr>
        <w:pStyle w:val="15"/>
        <w:ind w:firstLine="420"/>
      </w:pPr>
    </w:p>
    <w:p>
      <w:pPr>
        <w:pStyle w:val="15"/>
        <w:ind w:firstLine="420"/>
      </w:pPr>
    </w:p>
    <w:p>
      <w:pPr>
        <w:pStyle w:val="15"/>
        <w:ind w:firstLine="420"/>
      </w:pPr>
    </w:p>
    <w:p>
      <w:pPr>
        <w:pStyle w:val="15"/>
        <w:ind w:firstLine="420"/>
      </w:pPr>
    </w:p>
    <w:p>
      <w:pPr>
        <w:pStyle w:val="15"/>
        <w:ind w:firstLine="420"/>
      </w:pPr>
    </w:p>
    <w:p>
      <w:pPr>
        <w:pStyle w:val="15"/>
        <w:ind w:firstLine="420"/>
      </w:pPr>
    </w:p>
    <w:p>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深圳市龙华环境有限公司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深圳市龙华区观盛三路龙馨家园A栋龙华建设15层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91440300MA5F4K33XD</w:t>
      </w:r>
    </w:p>
    <w:p>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中国民生银行股份有限公司深圳龙华支行</w:t>
      </w:r>
    </w:p>
    <w:p>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银行账户：</w:t>
      </w:r>
      <w:r>
        <w:rPr>
          <w:rFonts w:ascii="仿宋_GB2312" w:hAnsi="仿宋_GB2312" w:eastAsia="仿宋_GB2312" w:cs="仿宋_GB2312"/>
          <w:bCs/>
          <w:sz w:val="28"/>
          <w:szCs w:val="28"/>
          <w:u w:val="single"/>
        </w:rPr>
        <w:t>698003181</w:t>
      </w:r>
      <w:r>
        <w:rPr>
          <w:rFonts w:ascii="仿宋_GB2312" w:hAnsi="仿宋_GB2312" w:eastAsia="仿宋_GB2312" w:cs="仿宋_GB2312"/>
          <w:bCs/>
          <w:sz w:val="28"/>
          <w:szCs w:val="28"/>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13537521158      </w:t>
      </w:r>
      <w:r>
        <w:rPr>
          <w:rFonts w:hint="eastAsia" w:ascii="仿宋_GB2312" w:hAnsi="仿宋_GB2312" w:eastAsia="仿宋_GB2312" w:cs="仿宋_GB2312"/>
          <w:bCs/>
          <w:sz w:val="28"/>
          <w:szCs w:val="28"/>
        </w:rPr>
        <w:t xml:space="preserve">      联系人:</w:t>
      </w:r>
      <w:r>
        <w:rPr>
          <w:rFonts w:hint="eastAsia" w:ascii="仿宋_GB2312" w:hAnsi="仿宋_GB2312" w:eastAsia="仿宋_GB2312" w:cs="仿宋_GB2312"/>
          <w:bCs/>
          <w:sz w:val="28"/>
          <w:szCs w:val="28"/>
          <w:u w:val="single"/>
        </w:rPr>
        <w:t xml:space="preserve"> 陈果  </w:t>
      </w:r>
      <w:r>
        <w:rPr>
          <w:rFonts w:hint="eastAsia" w:ascii="仿宋_GB2312" w:hAnsi="仿宋_GB2312" w:eastAsia="仿宋_GB2312" w:cs="仿宋_GB2312"/>
          <w:bCs/>
          <w:sz w:val="28"/>
          <w:szCs w:val="28"/>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r>
        <w:rPr>
          <w:rFonts w:hint="eastAsia" w:ascii="仿宋_GB2312" w:hAnsi="仿宋_GB2312" w:eastAsia="仿宋_GB2312" w:cs="仿宋_GB2312"/>
          <w:bCs/>
          <w:sz w:val="28"/>
          <w:szCs w:val="28"/>
          <w:u w:val="single"/>
        </w:rPr>
        <w:t xml:space="preserve">  847596970@qq.com          </w:t>
      </w:r>
      <w:r>
        <w:rPr>
          <w:rFonts w:hint="eastAsia" w:ascii="仿宋_GB2312" w:hAnsi="仿宋_GB2312" w:eastAsia="仿宋_GB2312" w:cs="仿宋_GB2312"/>
          <w:bCs/>
          <w:sz w:val="28"/>
          <w:szCs w:val="28"/>
        </w:rPr>
        <w:t xml:space="preserve">                              </w:t>
      </w:r>
    </w:p>
    <w:p>
      <w:pPr>
        <w:ind w:firstLine="56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w:t>
      </w: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 xml:space="preserve">                                   </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银行账号：</w:t>
      </w:r>
      <w:r>
        <w:rPr>
          <w:rFonts w:hint="eastAsia" w:ascii="仿宋_GB2312" w:hAnsi="仿宋_GB2312" w:eastAsia="仿宋_GB2312" w:cs="仿宋_GB2312"/>
          <w:bCs/>
          <w:sz w:val="28"/>
          <w:szCs w:val="28"/>
          <w:u w:val="single"/>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联系人：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根据《中华人民共和国民法典》及有关法律法规和政策，经甲、乙双方协商，在平等、自愿的基础上，就乙方向甲方提供大浪街道</w:t>
      </w:r>
      <w:r>
        <w:rPr>
          <w:rFonts w:hint="eastAsia" w:ascii="宋体" w:hAnsi="宋体" w:cs="宋体"/>
          <w:color w:val="000000" w:themeColor="text1"/>
          <w:sz w:val="30"/>
          <w:szCs w:val="30"/>
        </w:rPr>
        <w:t>节日灯笼国旗等装饰物悬挂服务</w:t>
      </w:r>
      <w:r>
        <w:rPr>
          <w:rFonts w:hint="eastAsia" w:ascii="仿宋_GB2312" w:hAnsi="仿宋_GB2312" w:eastAsia="仿宋_GB2312" w:cs="仿宋_GB2312"/>
          <w:bCs/>
          <w:sz w:val="28"/>
          <w:szCs w:val="28"/>
        </w:rPr>
        <w:t>服务事宜，自愿签订本合同，共同遵守本合同所列条款。</w:t>
      </w:r>
    </w:p>
    <w:p>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项目内容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本项目为龙华区大浪街道范围内</w:t>
      </w:r>
      <w:r>
        <w:rPr>
          <w:rFonts w:hint="eastAsia" w:ascii="仿宋_GB2312" w:hAnsi="仿宋_GB2312" w:eastAsia="仿宋_GB2312" w:cs="仿宋_GB2312"/>
          <w:bCs/>
          <w:sz w:val="28"/>
          <w:szCs w:val="28"/>
          <w:lang w:val="en-US" w:eastAsia="zh-CN"/>
        </w:rPr>
        <w:t>华旺路、华荣路、华兴路、大浪南路、民塘路、浪荣路、华繁路、布龙路、和平路</w:t>
      </w:r>
      <w:r>
        <w:rPr>
          <w:rFonts w:hint="eastAsia" w:ascii="仿宋_GB2312" w:hAnsi="仿宋_GB2312" w:eastAsia="仿宋_GB2312" w:cs="仿宋_GB2312"/>
          <w:bCs/>
          <w:sz w:val="28"/>
          <w:szCs w:val="28"/>
        </w:rPr>
        <w:t>部分路段</w:t>
      </w:r>
      <w:r>
        <w:rPr>
          <w:rFonts w:hint="eastAsia" w:ascii="仿宋_GB2312" w:hAnsi="仿宋_GB2312" w:eastAsia="仿宋_GB2312" w:cs="仿宋_GB2312"/>
          <w:bCs/>
          <w:sz w:val="28"/>
          <w:szCs w:val="28"/>
          <w:lang w:val="en-US" w:eastAsia="zh-CN"/>
        </w:rPr>
        <w:t>的</w:t>
      </w: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节日</w:t>
      </w:r>
      <w:r>
        <w:rPr>
          <w:rFonts w:hint="eastAsia" w:ascii="仿宋_GB2312" w:hAnsi="仿宋_GB2312" w:eastAsia="仿宋_GB2312" w:cs="仿宋_GB2312"/>
          <w:bCs/>
          <w:sz w:val="28"/>
          <w:szCs w:val="28"/>
        </w:rPr>
        <w:t>灯笼</w:t>
      </w:r>
      <w:r>
        <w:rPr>
          <w:rFonts w:hint="eastAsia" w:ascii="仿宋_GB2312" w:hAnsi="仿宋_GB2312" w:eastAsia="仿宋_GB2312" w:cs="仿宋_GB2312"/>
          <w:bCs/>
          <w:sz w:val="28"/>
          <w:szCs w:val="28"/>
          <w:lang w:val="en-US" w:eastAsia="zh-CN"/>
        </w:rPr>
        <w:t>国旗等装饰物</w:t>
      </w:r>
      <w:r>
        <w:rPr>
          <w:rFonts w:hint="eastAsia" w:ascii="仿宋_GB2312" w:hAnsi="仿宋_GB2312" w:eastAsia="仿宋_GB2312" w:cs="仿宋_GB2312"/>
          <w:bCs/>
          <w:sz w:val="28"/>
          <w:szCs w:val="28"/>
        </w:rPr>
        <w:t>悬挂服务，包含灯笼和国旗悬挂、维护、拆卸服务。</w:t>
      </w:r>
    </w:p>
    <w:p>
      <w:pPr>
        <w:ind w:firstLine="0" w:firstLineChars="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 xml:space="preserve">第二条 </w:t>
      </w:r>
      <w:r>
        <w:rPr>
          <w:rFonts w:hint="eastAsia" w:ascii="方正小标宋简体" w:hAnsi="方正小标宋简体" w:eastAsia="方正小标宋简体" w:cs="方正小标宋简体"/>
          <w:sz w:val="32"/>
          <w:szCs w:val="32"/>
        </w:rPr>
        <w:t>项目验收及保修服务要求</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1、悬挂服务要求</w:t>
      </w:r>
    </w:p>
    <w:p>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（1）签订合同后在规定时间内完成</w:t>
      </w:r>
      <w:r>
        <w:rPr>
          <w:rFonts w:hint="eastAsia" w:ascii="仿宋_GB2312" w:hAnsi="仿宋_GB2312" w:eastAsia="仿宋_GB2312" w:cs="仿宋_GB2312"/>
          <w:bCs/>
          <w:sz w:val="28"/>
          <w:szCs w:val="28"/>
        </w:rPr>
        <w:t>悬挂维护及拆除服务</w:t>
      </w:r>
      <w:r>
        <w:rPr>
          <w:rFonts w:hint="eastAsia" w:ascii="仿宋_GB2312" w:hAnsi="仿宋_GB2312" w:eastAsia="仿宋_GB2312" w:cs="仿宋_GB2312"/>
          <w:color w:val="000000" w:themeColor="text1"/>
          <w:sz w:val="28"/>
          <w:szCs w:val="28"/>
        </w:rPr>
        <w:t>。</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2、保修期内的服务要求</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（1）保修期：国旗和灯笼安装后应保修至拆除为止，人为损坏和恶劣天气造成损坏除外。</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（2）维修响应及故障解决时间：在保修期内，乙方应对因国旗、灯笼及配件质量出现的问题在规定时间内免费维修、更换。</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3、验收要求</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（1）乙方已按照合同规定完成灯笼国旗悬挂服务。</w:t>
      </w:r>
    </w:p>
    <w:p>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（2）灯笼亮灯率达到98%以上。</w:t>
      </w: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第三条 项目技术要求</w:t>
      </w:r>
    </w:p>
    <w:p>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1、国旗规格及安装标准：</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95"/>
        <w:gridCol w:w="1710"/>
        <w:gridCol w:w="1725"/>
        <w:gridCol w:w="1519"/>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9" w:type="dxa"/>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型号</w:t>
            </w:r>
          </w:p>
        </w:tc>
        <w:tc>
          <w:tcPr>
            <w:tcW w:w="1695"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1号</w:t>
            </w:r>
          </w:p>
        </w:tc>
        <w:tc>
          <w:tcPr>
            <w:tcW w:w="1710"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2号</w:t>
            </w:r>
          </w:p>
        </w:tc>
        <w:tc>
          <w:tcPr>
            <w:tcW w:w="1725"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3号</w:t>
            </w:r>
          </w:p>
        </w:tc>
        <w:tc>
          <w:tcPr>
            <w:tcW w:w="1519"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4号</w:t>
            </w:r>
          </w:p>
        </w:tc>
        <w:tc>
          <w:tcPr>
            <w:tcW w:w="1650"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49" w:type="dxa"/>
          </w:tcPr>
          <w:p>
            <w:pPr>
              <w:spacing w:line="400" w:lineRule="exact"/>
              <w:ind w:firstLine="560"/>
              <w:jc w:val="center"/>
              <w:rPr>
                <w:rFonts w:ascii="仿宋_GB2312" w:hAnsi="仿宋_GB2312" w:eastAsia="仿宋_GB2312" w:cs="仿宋_GB2312"/>
                <w:bCs/>
                <w:sz w:val="28"/>
                <w:szCs w:val="28"/>
              </w:rPr>
            </w:pPr>
          </w:p>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尺寸（mm）</w:t>
            </w:r>
          </w:p>
        </w:tc>
        <w:tc>
          <w:tcPr>
            <w:tcW w:w="1695"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2880*1920</w:t>
            </w:r>
          </w:p>
        </w:tc>
        <w:tc>
          <w:tcPr>
            <w:tcW w:w="1710"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2400*1600</w:t>
            </w:r>
          </w:p>
        </w:tc>
        <w:tc>
          <w:tcPr>
            <w:tcW w:w="1725"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1920*1280</w:t>
            </w:r>
          </w:p>
        </w:tc>
        <w:tc>
          <w:tcPr>
            <w:tcW w:w="1519"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1440*960</w:t>
            </w:r>
          </w:p>
        </w:tc>
        <w:tc>
          <w:tcPr>
            <w:tcW w:w="1650"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960*640</w:t>
            </w:r>
          </w:p>
        </w:tc>
      </w:tr>
    </w:tbl>
    <w:p>
      <w:pPr>
        <w:ind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不锈钢旗杆（租赁）</w:t>
            </w:r>
          </w:p>
        </w:tc>
        <w:tc>
          <w:tcPr>
            <w:tcW w:w="6521" w:type="dxa"/>
            <w:vAlign w:val="center"/>
          </w:tcPr>
          <w:p>
            <w:pPr>
              <w:ind w:left="840"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长2750mm</w:t>
            </w:r>
          </w:p>
          <w:p>
            <w:pPr>
              <w:pStyle w:val="15"/>
              <w:spacing w:line="400" w:lineRule="exact"/>
              <w:ind w:left="840" w:firstLine="560"/>
              <w:jc w:val="center"/>
              <w:rPr>
                <w:rFonts w:ascii="仿宋_GB2312" w:hAnsi="仿宋_GB2312" w:eastAsia="仿宋_GB2312" w:cs="仿宋_GB2312"/>
                <w:bCs/>
                <w:kern w:val="0"/>
                <w:sz w:val="28"/>
                <w:szCs w:val="28"/>
              </w:rPr>
            </w:pPr>
          </w:p>
        </w:tc>
      </w:tr>
    </w:tbl>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①采用全新的防水纳米涂层纯涤纶面料。</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②采用丝网印刷工艺，双面显示效果一致。</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③其他规格参数必须符合《中华人民共和国国旗法》要求。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（4）管理要求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国旗在运输、交接期间，必须按照《中华人民共和国国旗法》相关规定进行。</w:t>
      </w:r>
    </w:p>
    <w:p>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2、灯笼规格及标准：</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1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3594"/>
        <w:gridCol w:w="1294"/>
        <w:gridCol w:w="1631"/>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规格</w:t>
            </w:r>
          </w:p>
        </w:tc>
        <w:tc>
          <w:tcPr>
            <w:tcW w:w="3594"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w:t>
            </w:r>
          </w:p>
        </w:tc>
        <w:tc>
          <w:tcPr>
            <w:tcW w:w="1294" w:type="dxa"/>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1631"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w:t>
            </w:r>
          </w:p>
        </w:tc>
        <w:tc>
          <w:tcPr>
            <w:tcW w:w="1354"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25" w:type="dxa"/>
            <w:vMerge w:val="restart"/>
          </w:tcPr>
          <w:p>
            <w:pPr>
              <w:spacing w:line="400" w:lineRule="exact"/>
              <w:ind w:firstLine="560"/>
              <w:jc w:val="center"/>
              <w:rPr>
                <w:rFonts w:ascii="仿宋_GB2312" w:hAnsi="仿宋_GB2312" w:eastAsia="仿宋_GB2312" w:cs="仿宋_GB2312"/>
                <w:bCs/>
                <w:sz w:val="28"/>
                <w:szCs w:val="28"/>
              </w:rPr>
            </w:pPr>
          </w:p>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48寸</w:t>
            </w: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1500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1210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840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restart"/>
          </w:tcPr>
          <w:p>
            <w:pPr>
              <w:spacing w:line="400" w:lineRule="exact"/>
              <w:ind w:firstLine="560"/>
              <w:jc w:val="center"/>
              <w:rPr>
                <w:rFonts w:ascii="仿宋_GB2312" w:hAnsi="仿宋_GB2312" w:eastAsia="仿宋_GB2312" w:cs="仿宋_GB2312"/>
                <w:bCs/>
                <w:sz w:val="28"/>
                <w:szCs w:val="28"/>
              </w:rPr>
            </w:pPr>
          </w:p>
          <w:p>
            <w:pPr>
              <w:pStyle w:val="15"/>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40寸</w:t>
            </w: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1220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1000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700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bl>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0" w:firstLine="0" w:firstLineChars="0"/>
              <w:rPr>
                <w:rFonts w:ascii="仿宋_GB2312" w:hAnsi="仿宋_GB2312" w:eastAsia="仿宋_GB2312" w:cs="仿宋_GB2312"/>
                <w:bCs/>
                <w:kern w:val="0"/>
                <w:sz w:val="28"/>
                <w:szCs w:val="28"/>
              </w:rPr>
            </w:pPr>
            <w:r>
              <w:rPr>
                <w:rFonts w:hint="eastAsia" w:ascii="仿宋" w:hAnsi="仿宋" w:eastAsia="仿宋" w:cs="宋体"/>
                <w:b/>
                <w:color w:val="595959"/>
                <w:sz w:val="30"/>
                <w:szCs w:val="30"/>
              </w:rPr>
              <w:t>光源</w:t>
            </w:r>
            <w:r>
              <w:rPr>
                <w:rFonts w:hint="eastAsia" w:ascii="仿宋_GB2312" w:hAnsi="仿宋_GB2312" w:eastAsia="仿宋_GB2312" w:cs="仿宋_GB2312"/>
                <w:bCs/>
                <w:kern w:val="0"/>
                <w:sz w:val="28"/>
                <w:szCs w:val="28"/>
              </w:rPr>
              <w:t>（租赁）</w:t>
            </w:r>
          </w:p>
        </w:tc>
        <w:tc>
          <w:tcPr>
            <w:tcW w:w="6521" w:type="dxa"/>
            <w:vAlign w:val="center"/>
          </w:tcPr>
          <w:p>
            <w:pPr>
              <w:pStyle w:val="15"/>
              <w:spacing w:line="400" w:lineRule="exact"/>
              <w:ind w:left="840" w:firstLine="602"/>
              <w:jc w:val="center"/>
              <w:rPr>
                <w:rFonts w:ascii="仿宋_GB2312" w:hAnsi="仿宋_GB2312" w:eastAsia="仿宋_GB2312" w:cs="仿宋_GB2312"/>
                <w:bCs/>
                <w:kern w:val="0"/>
                <w:sz w:val="28"/>
                <w:szCs w:val="28"/>
              </w:rPr>
            </w:pPr>
            <w:r>
              <w:rPr>
                <w:rFonts w:hint="eastAsia" w:ascii="仿宋" w:hAnsi="仿宋" w:eastAsia="仿宋" w:cs="宋体"/>
                <w:b/>
                <w:color w:val="595959"/>
                <w:sz w:val="30"/>
                <w:szCs w:val="30"/>
              </w:rPr>
              <w:t>18WT8防爆防水纳米灯管光源</w:t>
            </w:r>
          </w:p>
        </w:tc>
      </w:tr>
    </w:tbl>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①面料为全新的红色防水绸布，灯笼顶端、底端可出现与传统民族风格相关的图案。灯笼中部一般不出现文字或图案（上级部门有要求除外）。</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②为保证灯笼撑开形状保持完整，灯笼钢丝骨架需有限位线固定。</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③灯盘与骨架可分离，上下使用塑料灯盘，外圈为金黄色喷漆，内为白色，灯盘采用厚胶板注塑成型，具有较高的硬度。</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④灯笼撑开后采用3根钢丝下拉钩固定。</w:t>
      </w: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第四条 合同期限</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本合同期为一年，</w:t>
      </w:r>
      <w:r>
        <w:rPr>
          <w:rFonts w:hint="eastAsia" w:hAnsi="宋体" w:cs="宋体"/>
          <w:bCs/>
          <w:color w:val="000000" w:themeColor="text1"/>
          <w:sz w:val="28"/>
          <w:szCs w:val="28"/>
        </w:rPr>
        <w:t>合同到期后若考核大于等于95分，下年度可以续签。</w:t>
      </w:r>
    </w:p>
    <w:p>
      <w:pPr>
        <w:ind w:firstLine="560"/>
        <w:jc w:val="left"/>
        <w:textAlignment w:val="baseline"/>
        <w:rPr>
          <w:rFonts w:ascii="仿宋_GB2312" w:hAnsi="仿宋_GB2312" w:eastAsia="仿宋_GB2312" w:cs="仿宋_GB2312"/>
          <w:bCs/>
          <w:sz w:val="28"/>
          <w:szCs w:val="28"/>
        </w:rPr>
      </w:pPr>
      <w:bookmarkStart w:id="344" w:name="_Toc28182"/>
      <w:bookmarkStart w:id="345" w:name="_Toc7217"/>
      <w:bookmarkStart w:id="346" w:name="_Toc22611"/>
      <w:r>
        <w:rPr>
          <w:rFonts w:hint="eastAsia" w:ascii="仿宋_GB2312" w:hAnsi="仿宋_GB2312" w:eastAsia="仿宋_GB2312" w:cs="仿宋_GB2312"/>
          <w:bCs/>
          <w:sz w:val="28"/>
          <w:szCs w:val="28"/>
        </w:rPr>
        <w:t>第五条 合同价款及支付方式</w:t>
      </w:r>
      <w:bookmarkEnd w:id="344"/>
      <w:bookmarkEnd w:id="345"/>
      <w:bookmarkEnd w:id="346"/>
    </w:p>
    <w:p>
      <w:pPr>
        <w:ind w:firstLine="560"/>
        <w:jc w:val="lef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bCs/>
          <w:sz w:val="28"/>
          <w:szCs w:val="28"/>
        </w:rPr>
        <w:t>1、此合同价款为人民币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，大写</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，其中灯笼 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元，国旗价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元，价款包括但不限于物资、运输费、税费等实现合同一切目的费用</w:t>
      </w:r>
      <w:r>
        <w:rPr>
          <w:rFonts w:hint="eastAsia" w:ascii="仿宋_GB2312" w:hAnsi="仿宋_GB2312" w:eastAsia="仿宋_GB2312" w:cs="仿宋_GB2312"/>
          <w:sz w:val="28"/>
          <w:szCs w:val="28"/>
        </w:rPr>
        <w:t>。</w:t>
      </w:r>
    </w:p>
    <w:p>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2、甲方分别支付国旗、灯笼悬挂服务费。在拆除后十五个工作日后，甲方收到业主单位服务费用十五个工作日内，乙方向甲方提供</w:t>
      </w:r>
      <w:r>
        <w:rPr>
          <w:rFonts w:hint="eastAsia" w:ascii="仿宋_GB2312" w:hAnsi="仿宋_GB2312" w:eastAsia="仿宋_GB2312" w:cs="仿宋_GB2312"/>
          <w:color w:val="000000" w:themeColor="text1"/>
          <w:sz w:val="28"/>
          <w:szCs w:val="28"/>
        </w:rPr>
        <w:t>6%</w:t>
      </w:r>
      <w:r>
        <w:rPr>
          <w:rFonts w:hint="eastAsia" w:ascii="仿宋_GB2312" w:hAnsi="仿宋_GB2312" w:eastAsia="仿宋_GB2312" w:cs="仿宋_GB2312"/>
          <w:sz w:val="28"/>
          <w:szCs w:val="28"/>
        </w:rPr>
        <w:t>服务发票后，甲方以转账的方式向中标方支付国旗、灯笼悬挂服务费用。因业主单位财政支付流程导致付款不及时不视为甲方违约。</w:t>
      </w:r>
    </w:p>
    <w:p>
      <w:pPr>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在合同履行期间，因政策变化或实际管理需要，按实决算。</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5、乙方指定的银行收款账号：</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开户银行：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开户名：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银行账号：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联系人：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联系方式： </w:t>
      </w:r>
    </w:p>
    <w:p>
      <w:pPr>
        <w:ind w:firstLine="640"/>
        <w:rPr>
          <w:rFonts w:ascii="方正小标宋简体" w:hAnsi="方正小标宋简体" w:eastAsia="方正小标宋简体" w:cs="方正小标宋简体"/>
          <w:bCs/>
          <w:sz w:val="32"/>
          <w:szCs w:val="32"/>
        </w:rPr>
      </w:pPr>
      <w:bookmarkStart w:id="347" w:name="_Toc13603"/>
      <w:bookmarkStart w:id="348" w:name="_Toc1505"/>
      <w:bookmarkStart w:id="349" w:name="_Toc9711"/>
      <w:r>
        <w:rPr>
          <w:rFonts w:hint="eastAsia" w:ascii="方正小标宋简体" w:hAnsi="方正小标宋简体" w:eastAsia="方正小标宋简体" w:cs="方正小标宋简体"/>
          <w:bCs/>
          <w:sz w:val="32"/>
          <w:szCs w:val="32"/>
        </w:rPr>
        <w:t>第七条 权利和义务</w:t>
      </w:r>
      <w:bookmarkEnd w:id="347"/>
      <w:bookmarkEnd w:id="348"/>
      <w:bookmarkEnd w:id="349"/>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（一）甲方的权利和义务</w:t>
      </w:r>
    </w:p>
    <w:p>
      <w:pPr>
        <w:pStyle w:val="15"/>
        <w:spacing w:after="0"/>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1、甲方根据相关规定制定龙华区大浪街道节日灯笼国旗等装饰悬挂服务考核办法，有权采取日常检查、综合检查等方式对乙方的服务质量进行考核、评分，发现问题及时向乙方提出书面或口头整改意见。</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2、甲方有权对乙方落实本项目服务承诺情况和安全生产措施进行监督检查，发现乙方不符合服务要求的问题，有权要求乙方限期整改，如整改不达标则甲方有权提前终止合同。</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3、甲方有权监督检查乙方对项目服务人员的培训和管理情况，如存在拖欠薪资或其他严重违法情形，有权停止支付服务费用和提前解除合同。</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4、甲方有权要求乙方更换不符合服务项目要求（如未取得相应上岗证书、罢工、歇业等）的工作人员，乙方应在3个工作日内保证更换后的工作人员到岗。</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5、甲方有权对乙方的资金投入情况进行监督。如：每月是否按时发放员工的工资、补贴、津贴、社保、意外保险和水电等。若乙方工作不到位，甲方有权要求乙方限期整改。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6、甲方应提供乙方开展服务项目所需的相关资料和必要条件，保证乙方能顺利开展服务工作。</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7、甲方根据考核结果计算服务费，扣除乙方应扣款后，将服务费支付给乙方。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8、本合同服务费由政府拨款，如因政策影响，拨款未能及时到位，乙方不得以此为由不履行本合同规定的义务或要求甲方支付迟延付款违约金。</w:t>
      </w:r>
    </w:p>
    <w:p>
      <w:pPr>
        <w:ind w:firstLine="560"/>
        <w:rPr>
          <w:rFonts w:ascii="仿宋_GB2312" w:hAnsi="仿宋_GB2312" w:eastAsia="仿宋_GB2312" w:cs="仿宋_GB2312"/>
          <w:sz w:val="28"/>
          <w:szCs w:val="28"/>
        </w:rPr>
      </w:pP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（二）乙方的权利义务</w:t>
      </w:r>
    </w:p>
    <w:p>
      <w:pPr>
        <w:pStyle w:val="15"/>
        <w:spacing w:after="0"/>
        <w:ind w:firstLine="560"/>
        <w:rPr>
          <w:rFonts w:ascii="仿宋_GB2312" w:hAnsi="仿宋_GB2312" w:eastAsia="仿宋_GB2312" w:cs="仿宋_GB2312"/>
          <w:sz w:val="28"/>
          <w:szCs w:val="28"/>
        </w:rPr>
      </w:pPr>
      <w:bookmarkStart w:id="350" w:name="_Toc18992"/>
      <w:bookmarkStart w:id="351" w:name="_Toc29574"/>
      <w:bookmarkStart w:id="352" w:name="_Toc197"/>
      <w:bookmarkStart w:id="353" w:name="_Toc18897"/>
      <w:bookmarkStart w:id="354" w:name="_Toc30331"/>
      <w:bookmarkStart w:id="355" w:name="_Toc8450"/>
      <w:r>
        <w:rPr>
          <w:rFonts w:hint="eastAsia" w:ascii="仿宋_GB2312" w:hAnsi="仿宋_GB2312" w:eastAsia="仿宋_GB2312" w:cs="仿宋_GB2312"/>
          <w:sz w:val="28"/>
          <w:szCs w:val="28"/>
        </w:rPr>
        <w:t xml:space="preserve"> 1、乙方有权根据合同及达到的服务质量等级（或考评分数）领取服务费用。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2、乙方应根据招标文件的要求、投标文件的承诺以及本合同约定的项目服务标准和要求向甲方提交服务计划，经甲方认可后履行相应的责任和义务，保质保量完成项目服务内容。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3、除甲方提供使用的设施设备外，乙方负责提供本服务项目所需的人员、设施、设备等，承担项目实施所需的人工费、材料费、设施费等一切费用。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4、乙方有权对甲方及本服务项目管理工作提出意见建议。</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5、乙方服务过程中应接受甲方的监督和指导，不得以任何理由拒绝甲方监督人员的检查、考核等要求。</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6、乙方服务过程中应接受甲方及其上级主管部门组织的检查和考评，并积极参加市、区开展的各类竞赛活动。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7、乙方负责安排员工参加相应的业务技术的培训学习，需持证上岗的员工，必须在到岗前获得从事相应岗位的证书。</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8、乙方应为其服务项目的工作人员购买统一的工作服、工作鞋等劳动保护用品，要求按规定统一着装，保障安全。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如遇天气恶劣（以全市任一区域发布台风黄、橙、红色及红色暴雨等4种气象灾害预警信号为准）无法正常开展服务工作，乙方应安排人员坚守岗位并做好防灾、安保等应急准备，台风或暴雨过后，乙方应立即组织人员开展服务工作。特殊情况，如需协助抢险救灾工作的，乙方应服从甲方的统一指挥和调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10、乙方应严格按照安全生产相关规章制度的规定进行服务，在合同服务管理过程中，发生的任何安全事故处理和一切费用由乙方承担。</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11、乙方根据本合同所承担的服务内容，自行到有关部门为其聘请的人员申办用工、社会保险和居住证件等手续。依照《劳动法》合法用工，按照《深圳市员工工资支付条例》等有关规定和乙方投标承诺按时足额发放员工工资（不得低于深圳市最低工资标准和乙方投标报价水平）、按国家及深圳市规定的缴交比例为人员购买养老、医疗、工伤、失业、生育保险并缴纳住房公积金；安排好员工的生活、生产、培训及管理等工作。如乙方或其员工发生违法事件，或因用工劳务合同、劳资等产生纠纷，由乙方承担一切相关经济和法律责任，不得向甲方主张任何权利。</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12、乙方根据有关法律、法规、规章、政策和本合同的规定开展服务内容时，不得损害国家、集体及第三人的合法权益，不得获取不当利益，否则，由此所产生的一切法律责任由乙方承担。</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13、乙方未经甲方同意，不得将本服务项目整体或部分分包、转包给第三方。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乙方为实施本项目服务的行为，及为实施本项目服务提供的技术、材料、设施均不会对任何第三方构成侵权或引起第三方索赔，否则如有第三方因乙方之服务行为而向甲方索赔，甲方因此产生的所有费用及损失均应由乙方予以赔偿。</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15、在合同期内，因政府政策变化或甲方管理需要等原因需要调整乙方的服务方案时，乙方要服从大局和甲方意见，由此造成的经济损失，甲方无需承担赔偿责任。</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16、乙方应指定固定联系人，保持通讯畅通，确保甲方监管人员能够随时联系。 </w:t>
      </w:r>
    </w:p>
    <w:p>
      <w:pPr>
        <w:pStyle w:val="15"/>
        <w:spacing w:after="0"/>
        <w:ind w:firstLine="560"/>
        <w:rPr>
          <w:rFonts w:ascii="仿宋_GB2312" w:hAnsi="仿宋_GB2312" w:eastAsia="仿宋_GB2312" w:cs="仿宋_GB2312"/>
          <w:sz w:val="28"/>
          <w:szCs w:val="28"/>
        </w:rPr>
      </w:pPr>
      <w:r>
        <w:rPr>
          <w:rFonts w:ascii="仿宋_GB2312" w:hAnsi="仿宋_GB2312" w:eastAsia="仿宋_GB2312" w:cs="仿宋_GB2312"/>
          <w:sz w:val="28"/>
          <w:szCs w:val="28"/>
        </w:rPr>
        <w:t>17</w:t>
      </w:r>
      <w:r>
        <w:rPr>
          <w:rFonts w:hint="eastAsia" w:ascii="仿宋_GB2312" w:hAnsi="仿宋_GB2312" w:eastAsia="仿宋_GB2312" w:cs="仿宋_GB2312"/>
          <w:sz w:val="28"/>
          <w:szCs w:val="28"/>
        </w:rPr>
        <w:t>、物品在运输途中发生毁损、灭失的风险由乙方负担。</w:t>
      </w:r>
    </w:p>
    <w:bookmarkEnd w:id="350"/>
    <w:bookmarkEnd w:id="351"/>
    <w:bookmarkEnd w:id="352"/>
    <w:p>
      <w:pPr>
        <w:ind w:firstLine="560"/>
        <w:rPr>
          <w:rFonts w:ascii="仿宋_GB2312" w:hAnsi="仿宋_GB2312" w:eastAsia="仿宋_GB2312" w:cs="仿宋_GB2312"/>
          <w:sz w:val="28"/>
          <w:szCs w:val="28"/>
        </w:rPr>
      </w:pPr>
    </w:p>
    <w:p>
      <w:pPr>
        <w:ind w:firstLine="640"/>
        <w:rPr>
          <w:rFonts w:ascii="方正小标宋简体" w:hAnsi="方正小标宋简体" w:eastAsia="方正小标宋简体" w:cs="方正小标宋简体"/>
          <w:color w:val="FF0000"/>
          <w:sz w:val="32"/>
          <w:szCs w:val="32"/>
        </w:rPr>
      </w:pPr>
      <w:r>
        <w:rPr>
          <w:rFonts w:hint="eastAsia" w:ascii="方正小标宋简体" w:hAnsi="方正小标宋简体" w:eastAsia="方正小标宋简体" w:cs="方正小标宋简体"/>
          <w:sz w:val="32"/>
          <w:szCs w:val="32"/>
        </w:rPr>
        <w:t>第八条 合同的解除或终止</w:t>
      </w:r>
      <w:bookmarkEnd w:id="353"/>
      <w:bookmarkEnd w:id="354"/>
      <w:bookmarkEnd w:id="355"/>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bookmarkStart w:id="356" w:name="_Toc19321"/>
      <w:bookmarkStart w:id="357" w:name="_Toc19576"/>
      <w:bookmarkStart w:id="358" w:name="_Toc24239"/>
      <w:r>
        <w:rPr>
          <w:rFonts w:hint="eastAsia" w:ascii="仿宋_GB2312" w:hAnsi="仿宋_GB2312" w:eastAsia="仿宋_GB2312" w:cs="仿宋_GB2312"/>
          <w:bCs/>
          <w:sz w:val="28"/>
          <w:szCs w:val="28"/>
        </w:rPr>
        <w:t>（一）本合同出现以下情况时，甲方有权立即解除本合同或向有关部门申请取消乙方中标资格，并由乙方承担相关违约责任：</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1、由于乙方未按合同规定在中标公告发布之日起</w:t>
      </w:r>
      <w:r>
        <w:rPr>
          <w:rFonts w:hint="eastAsia" w:ascii="仿宋_GB2312" w:hAnsi="仿宋_GB2312" w:eastAsia="仿宋_GB2312" w:cs="仿宋_GB2312"/>
          <w:bCs/>
          <w:sz w:val="28"/>
          <w:szCs w:val="28"/>
          <w:u w:val="single"/>
        </w:rPr>
        <w:t xml:space="preserve"> 7 </w:t>
      </w:r>
      <w:r>
        <w:rPr>
          <w:rFonts w:hint="eastAsia" w:ascii="仿宋_GB2312" w:hAnsi="仿宋_GB2312" w:eastAsia="仿宋_GB2312" w:cs="仿宋_GB2312"/>
          <w:bCs/>
          <w:sz w:val="28"/>
          <w:szCs w:val="28"/>
        </w:rPr>
        <w:t>天内配备数量足够、素质合格的服务设备和服务人员或其他原因严重影响合同履行。</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2、因乙方管理不善或负主要责任、造成乙方员工或其他人员1人以上（含1人）死亡或2人以上（含2人）重伤的。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乙方未按时足额发放员工工资（含加班工资）的人数达5人以上的，或乙方拖欠任1名员工工资（含加班工资）达3个月以上（含3个月）的，或乙方拖欠员工工资累计数额（含加班工资）达伍仟元以上的，或违反深圳市最低工资标准的要求发放工资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4、乙方未经甲方同意将本服务项目分包或者转包给第三方的。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5、乙方在履行本合同服务时违反法律法规或因弄虚造假及其他不正当行为造成性质恶劣的社会影响的。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6、乙方被撤销相关服务运营资质的；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7、乙方未经甲方同意将在本服务项目的服务期内获得的甲方有关的所有非公开资料和信息擅自泄露或提供给第三方使用的。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8、乙方资不抵债，申请破产的。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（二）因甲方管理需要或政府政策变动原因，甲方需解除本合同的，应提前30天以书面形式通知乙方，由此造成的经济损失，甲方不负赔偿（补偿）责任。</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（三）因战争、自然灾害等不可抗力导致合同终止的，双方互不承担赔偿责任。</w:t>
      </w: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第九条 违约责任</w:t>
      </w:r>
      <w:bookmarkEnd w:id="356"/>
      <w:bookmarkEnd w:id="357"/>
      <w:bookmarkEnd w:id="358"/>
    </w:p>
    <w:p>
      <w:pPr>
        <w:tabs>
          <w:tab w:val="left" w:pos="425"/>
          <w:tab w:val="left" w:pos="900"/>
        </w:tabs>
        <w:autoSpaceDE w:val="0"/>
        <w:autoSpaceDN w:val="0"/>
        <w:adjustRightInd w:val="0"/>
        <w:ind w:firstLine="560"/>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乙方未能按本合同规定的时间完成灯笼、国旗等安装服务的，从逾期之日起每日按本合同总价3%的金额向甲方支付违约金；逾期15天以上（含15天）的，甲方有权终止合同，要求乙方支付违约金，并且给甲方造成的经济损失由乙方承担赔偿责任。</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2、因乙方原因导致本合同解除或终止或无法继续履行的，乙方需向甲方支付本合同总价的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3、因乙方原因导致侵权纠纷、劳资纠纷、劳务合同纠纷、罢工歇业、服务中断等影响本合同服务内容正常进行时，乙方需向甲方支付本合同总价的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pPr>
        <w:ind w:firstLine="56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其它违约责任按《中华人民共和国民法典》处理。</w:t>
      </w:r>
    </w:p>
    <w:p>
      <w:pPr>
        <w:pStyle w:val="15"/>
        <w:tabs>
          <w:tab w:val="left" w:pos="562"/>
          <w:tab w:val="left" w:pos="3372"/>
          <w:tab w:val="left" w:pos="3653"/>
        </w:tabs>
        <w:ind w:right="-92" w:rightChars="-44" w:firstLine="640"/>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第十条</w:t>
      </w:r>
      <w:r>
        <w:rPr>
          <w:rFonts w:hint="eastAsia" w:ascii="方正小标宋简体" w:hAnsi="方正小标宋简体" w:eastAsia="方正小标宋简体" w:cs="方正小标宋简体"/>
          <w:bCs/>
          <w:sz w:val="32"/>
          <w:szCs w:val="32"/>
        </w:rPr>
        <w:t xml:space="preserve"> </w:t>
      </w:r>
      <w:r>
        <w:rPr>
          <w:rFonts w:hint="eastAsia" w:ascii="方正小标宋简体" w:hAnsi="方正小标宋简体" w:eastAsia="方正小标宋简体" w:cs="方正小标宋简体"/>
          <w:bCs/>
          <w:sz w:val="32"/>
          <w:szCs w:val="32"/>
          <w:lang w:val="zh-TW"/>
        </w:rPr>
        <w:t>考核方式</w:t>
      </w:r>
    </w:p>
    <w:p>
      <w:pPr>
        <w:pStyle w:val="15"/>
        <w:tabs>
          <w:tab w:val="left" w:pos="562"/>
          <w:tab w:val="left" w:pos="3372"/>
          <w:tab w:val="left" w:pos="3653"/>
        </w:tabs>
        <w:ind w:right="-92" w:rightChars="-44" w:firstLine="560"/>
        <w:rPr>
          <w:rFonts w:ascii="仿宋_GB2312" w:hAnsi="仿宋_GB2312" w:eastAsia="仿宋_GB2312" w:cs="仿宋_GB2312"/>
          <w:bCs/>
          <w:sz w:val="28"/>
          <w:szCs w:val="28"/>
          <w:lang w:val="zh-TW"/>
        </w:rPr>
      </w:pPr>
      <w:r>
        <w:rPr>
          <w:rFonts w:hint="eastAsia" w:ascii="仿宋_GB2312" w:hAnsi="仿宋_GB2312" w:eastAsia="仿宋_GB2312" w:cs="仿宋_GB2312"/>
          <w:bCs/>
          <w:sz w:val="28"/>
          <w:szCs w:val="28"/>
          <w:lang w:val="zh-TW"/>
        </w:rPr>
        <w:t>检查考核方式为随机考核</w:t>
      </w:r>
    </w:p>
    <w:p>
      <w:pPr>
        <w:ind w:firstLine="560"/>
        <w:jc w:val="left"/>
        <w:textAlignment w:val="baseline"/>
        <w:rPr>
          <w:rFonts w:ascii="仿宋_GB2312" w:hAnsi="仿宋_GB2312" w:eastAsia="仿宋_GB2312" w:cs="仿宋_GB2312"/>
          <w:bCs/>
          <w:sz w:val="28"/>
          <w:szCs w:val="28"/>
        </w:rPr>
      </w:pPr>
      <w:bookmarkStart w:id="359" w:name="_Toc6665"/>
      <w:bookmarkStart w:id="360" w:name="_Toc12476"/>
      <w:bookmarkStart w:id="361" w:name="_Toc8790"/>
      <w:r>
        <w:rPr>
          <w:rFonts w:hint="eastAsia" w:ascii="仿宋_GB2312" w:hAnsi="仿宋_GB2312" w:eastAsia="仿宋_GB2312" w:cs="仿宋_GB2312"/>
          <w:bCs/>
          <w:sz w:val="28"/>
          <w:szCs w:val="28"/>
        </w:rPr>
        <w:t>1、考核扣款不设上限（具体扣款标准按附件：《龙华区大浪街道节日灯笼国旗等装饰悬挂服务考核内容及扣款标准表》）执行；</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2、乙方在服务期内发生重大安全事故并造成恶劣影响，甲方有权立即终止本合同，而由此造成的经济损失和法律责任全部由乙方承担。</w:t>
      </w:r>
    </w:p>
    <w:p>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第十一条 争议解决</w:t>
      </w:r>
      <w:bookmarkEnd w:id="359"/>
      <w:bookmarkEnd w:id="360"/>
      <w:bookmarkEnd w:id="361"/>
      <w:r>
        <w:rPr>
          <w:rFonts w:hint="eastAsia" w:ascii="方正小标宋简体" w:hAnsi="方正小标宋简体" w:eastAsia="方正小标宋简体" w:cs="方正小标宋简体"/>
          <w:sz w:val="32"/>
          <w:szCs w:val="32"/>
        </w:rPr>
        <w:t>方式</w:t>
      </w:r>
    </w:p>
    <w:p>
      <w:pPr>
        <w:ind w:firstLine="560"/>
        <w:rPr>
          <w:rFonts w:ascii="仿宋_GB2312" w:hAnsi="仿宋_GB2312" w:eastAsia="仿宋_GB2312" w:cs="仿宋_GB2312"/>
          <w:kern w:val="0"/>
          <w:sz w:val="32"/>
          <w:szCs w:val="32"/>
        </w:rPr>
      </w:pPr>
      <w:bookmarkStart w:id="362" w:name="_Toc30348"/>
      <w:bookmarkStart w:id="363" w:name="_Toc16046"/>
      <w:bookmarkStart w:id="364" w:name="_Toc24999"/>
      <w:r>
        <w:rPr>
          <w:rFonts w:hint="eastAsia" w:ascii="仿宋_GB2312" w:hAnsi="仿宋_GB2312" w:eastAsia="仿宋_GB2312" w:cs="仿宋_GB2312"/>
          <w:kern w:val="0"/>
          <w:sz w:val="28"/>
          <w:szCs w:val="28"/>
        </w:rPr>
        <w:t>甲、乙双方因合同履行发生其他争议时，应协商解决，协商不成的，由甲方所在地人民法院裁决。</w:t>
      </w:r>
    </w:p>
    <w:p>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第十二条 合同组成、份数及生效及其他</w:t>
      </w:r>
      <w:bookmarkEnd w:id="362"/>
      <w:bookmarkEnd w:id="363"/>
      <w:bookmarkEnd w:id="364"/>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1、本合同未尽事宜，甲乙双方另行签订补充协议，补充协议与本合同具有同等的法律效力。</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2、本合同由正文、附件组成，经双方签字盖章后生效，共一式</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份，甲方执</w:t>
      </w:r>
      <w:r>
        <w:rPr>
          <w:rFonts w:hint="eastAsia" w:ascii="仿宋_GB2312" w:hAnsi="仿宋_GB2312" w:eastAsia="仿宋_GB2312" w:cs="仿宋_GB2312"/>
          <w:bCs/>
          <w:sz w:val="28"/>
          <w:szCs w:val="28"/>
          <w:u w:val="single"/>
        </w:rPr>
        <w:t>叁</w:t>
      </w:r>
      <w:r>
        <w:rPr>
          <w:rFonts w:hint="eastAsia" w:ascii="仿宋_GB2312" w:hAnsi="仿宋_GB2312" w:eastAsia="仿宋_GB2312" w:cs="仿宋_GB2312"/>
          <w:bCs/>
          <w:sz w:val="28"/>
          <w:szCs w:val="28"/>
        </w:rPr>
        <w:t>份，乙方执</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份，均具同等法律效力。</w:t>
      </w:r>
    </w:p>
    <w:p>
      <w:pPr>
        <w:pStyle w:val="15"/>
        <w:tabs>
          <w:tab w:val="left" w:pos="562"/>
          <w:tab w:val="left" w:pos="3372"/>
          <w:tab w:val="left" w:pos="3653"/>
        </w:tabs>
        <w:ind w:right="-92" w:rightChars="-44" w:firstLine="560"/>
        <w:rPr>
          <w:rFonts w:ascii="仿宋_GB2312" w:hAnsi="仿宋_GB2312" w:eastAsia="仿宋_GB2312" w:cs="仿宋_GB2312"/>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本合同载明的双方地址、电话为双方确认的联系方式，本合同履行期间，双方的任何通知、文件除了送至对方直接签收外，可按本合同载明联系方式以邮政特快专递送达另一方。任何一方变更联系方式应书面告知另一方，否则按原联系方式以邮政特快专递发出的通知、文件即使退回，仍视为送达。</w:t>
      </w:r>
    </w:p>
    <w:p>
      <w:pPr>
        <w:pStyle w:val="21"/>
        <w:ind w:firstLine="420"/>
      </w:pP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甲方（盖章）：深圳市龙华环境有限公司  乙方（盖章）：                               </w:t>
      </w:r>
    </w:p>
    <w:p>
      <w:pPr>
        <w:pStyle w:val="15"/>
        <w:ind w:firstLine="420"/>
      </w:pP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法定代表人（签字或盖章）：       法定代表人（签字或盖章）：</w:t>
      </w:r>
    </w:p>
    <w:p>
      <w:pPr>
        <w:ind w:firstLine="560"/>
        <w:rPr>
          <w:rFonts w:ascii="仿宋_GB2312" w:hAnsi="仿宋_GB2312" w:eastAsia="仿宋_GB2312" w:cs="仿宋_GB2312"/>
          <w:bCs/>
          <w:sz w:val="28"/>
          <w:szCs w:val="28"/>
        </w:rPr>
      </w:pP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授权代理人（签字）：                 授权代理人（签字）：</w:t>
      </w:r>
    </w:p>
    <w:p>
      <w:pPr>
        <w:pStyle w:val="15"/>
        <w:ind w:firstLine="560"/>
        <w:rPr>
          <w:rFonts w:ascii="仿宋_GB2312" w:hAnsi="仿宋_GB2312" w:eastAsia="仿宋_GB2312" w:cs="仿宋_GB2312"/>
          <w:bCs/>
          <w:sz w:val="28"/>
          <w:szCs w:val="28"/>
        </w:rPr>
      </w:pPr>
    </w:p>
    <w:p>
      <w:pPr>
        <w:pStyle w:val="15"/>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 月 日                           年  月   日</w:t>
      </w:r>
    </w:p>
    <w:p>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合同签订地：深圳市龙华区大浪街道</w:t>
      </w:r>
    </w:p>
    <w:p>
      <w:pPr>
        <w:pStyle w:val="15"/>
        <w:ind w:firstLine="560"/>
        <w:rPr>
          <w:rFonts w:ascii="仿宋_GB2312" w:hAnsi="仿宋_GB2312" w:eastAsia="仿宋_GB2312" w:cs="仿宋_GB2312"/>
          <w:bCs/>
          <w:sz w:val="28"/>
          <w:szCs w:val="28"/>
        </w:rPr>
      </w:pPr>
    </w:p>
    <w:p>
      <w:pPr>
        <w:pStyle w:val="21"/>
        <w:ind w:firstLine="420"/>
      </w:pP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p>
    <w:p>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龙华区大浪街道节日灯笼国旗等装饰悬挂服务</w:t>
      </w:r>
    </w:p>
    <w:p>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考核内容及扣款标准表</w:t>
      </w:r>
    </w:p>
    <w:tbl>
      <w:tblPr>
        <w:tblStyle w:val="49"/>
        <w:tblW w:w="9640" w:type="dxa"/>
        <w:tblInd w:w="-411" w:type="dxa"/>
        <w:tblLayout w:type="fixed"/>
        <w:tblCellMar>
          <w:top w:w="0" w:type="dxa"/>
          <w:left w:w="0" w:type="dxa"/>
          <w:bottom w:w="0" w:type="dxa"/>
          <w:right w:w="0" w:type="dxa"/>
        </w:tblCellMar>
      </w:tblPr>
      <w:tblGrid>
        <w:gridCol w:w="1267"/>
        <w:gridCol w:w="5538"/>
        <w:gridCol w:w="1843"/>
        <w:gridCol w:w="992"/>
      </w:tblGrid>
      <w:tr>
        <w:tblPrEx>
          <w:tblCellMar>
            <w:top w:w="0" w:type="dxa"/>
            <w:left w:w="0" w:type="dxa"/>
            <w:bottom w:w="0" w:type="dxa"/>
            <w:right w:w="0" w:type="dxa"/>
          </w:tblCellMar>
        </w:tblPrEx>
        <w:trPr>
          <w:trHeight w:val="435" w:hRule="atLeast"/>
        </w:trPr>
        <w:tc>
          <w:tcPr>
            <w:tcW w:w="12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考核项目</w:t>
            </w:r>
          </w:p>
        </w:tc>
        <w:tc>
          <w:tcPr>
            <w:tcW w:w="55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考核内容</w:t>
            </w:r>
          </w:p>
        </w:tc>
        <w:tc>
          <w:tcPr>
            <w:tcW w:w="184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扣款标准</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备注</w:t>
            </w:r>
          </w:p>
        </w:tc>
      </w:tr>
      <w:tr>
        <w:tblPrEx>
          <w:tblCellMar>
            <w:top w:w="0" w:type="dxa"/>
            <w:left w:w="0" w:type="dxa"/>
            <w:bottom w:w="0" w:type="dxa"/>
            <w:right w:w="0" w:type="dxa"/>
          </w:tblCellMar>
        </w:tblPrEx>
        <w:trPr>
          <w:trHeight w:val="600" w:hRule="atLeast"/>
        </w:trPr>
        <w:tc>
          <w:tcPr>
            <w:tcW w:w="12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直接扣</w:t>
            </w:r>
          </w:p>
          <w:p>
            <w:pPr>
              <w:ind w:firstLine="422"/>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款项目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1.按合同规定，</w:t>
            </w:r>
            <w:r>
              <w:rPr>
                <w:rFonts w:hint="eastAsia" w:asciiTheme="minorEastAsia" w:hAnsiTheme="minorEastAsia" w:eastAsiaTheme="minorEastAsia" w:cstheme="minorEastAsia"/>
                <w:szCs w:val="21"/>
              </w:rPr>
              <w:t>节日结束后7天（日历日）内</w:t>
            </w:r>
            <w:r>
              <w:rPr>
                <w:rFonts w:hint="eastAsia" w:asciiTheme="minorEastAsia" w:hAnsiTheme="minorEastAsia" w:eastAsiaTheme="minorEastAsia" w:cstheme="minorEastAsia"/>
                <w:kern w:val="0"/>
                <w:szCs w:val="21"/>
              </w:rPr>
              <w:t>拆除国旗或灯笼。如乙方未在约定时间拆除完毕并撤离的。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每逾期一天扣服务费1000元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2.凡受到深圳市龙华区大浪街道办本级及以上领导或部门点名批评、通报、督办，以及受到报纸、电视等媒体监督曝光的，经查证属实的。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每发生一宗扣服务费500元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3.发生市民、企业投诉有责事件的，经查证属实的。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4.一个月内同一问题2次以上（含2次）受到市民、企业等同类投诉有责事件的，经查证属实的。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每发生一宗扣除服务费500元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5.悬挂国旗服务期间有违反《中华人民共和国国旗法》等相关法律法规，经查证属实的。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每发生一宗扣除服务费500元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26" w:hRule="atLeast"/>
        </w:trPr>
        <w:tc>
          <w:tcPr>
            <w:tcW w:w="1267"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国旗质量</w:t>
            </w:r>
          </w:p>
          <w:p>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1.未采用有关规定的国旗型号尺寸，经查证属实的。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2.未采用</w:t>
            </w:r>
            <w:r>
              <w:rPr>
                <w:rFonts w:hint="eastAsia" w:asciiTheme="minorEastAsia" w:hAnsiTheme="minorEastAsia" w:eastAsiaTheme="minorEastAsia" w:cstheme="minorEastAsia"/>
                <w:bCs/>
                <w:szCs w:val="21"/>
              </w:rPr>
              <w:t>全新的</w:t>
            </w:r>
            <w:r>
              <w:rPr>
                <w:rFonts w:hint="eastAsia" w:asciiTheme="minorEastAsia" w:hAnsiTheme="minorEastAsia" w:eastAsiaTheme="minorEastAsia" w:cstheme="minorEastAsia"/>
                <w:kern w:val="0"/>
                <w:szCs w:val="21"/>
              </w:rPr>
              <w:t>防水纳米涂层纯涤纶面料，经查证属实的。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3.未采用丝网印刷工艺，双面显示效果不一致，经查证属实的。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4.悬挂国旗及配件与合同规定规格不符，经查证属实的。</w:t>
            </w:r>
          </w:p>
        </w:tc>
        <w:tc>
          <w:tcPr>
            <w:tcW w:w="1843" w:type="dxa"/>
            <w:tcBorders>
              <w:top w:val="nil"/>
              <w:left w:val="nil"/>
              <w:bottom w:val="single" w:color="auto" w:sz="4" w:space="0"/>
              <w:right w:val="nil"/>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846" w:hRule="atLeast"/>
        </w:trPr>
        <w:tc>
          <w:tcPr>
            <w:tcW w:w="1267" w:type="dxa"/>
            <w:vMerge w:val="restart"/>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灯笼质量</w:t>
            </w:r>
          </w:p>
          <w:p>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1.悬挂灯笼及配件与合同规定规格不符，经查证属实的。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每发现一处扣除服务费35元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9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2.需要安装光源的灯笼无光源，或光源不在灯笼内部中心位置，经查证属实的。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每发现一个扣除服务费35元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restar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安装拆除</w:t>
            </w:r>
          </w:p>
          <w:p>
            <w:pPr>
              <w:ind w:firstLine="422"/>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1.国旗及灯笼悬挂施工、维护时，破坏路灯杆漆面，经查证属实的。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2.国旗及底板安装完毕后未与灯具同一平面，经查证属实的。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3.国旗及灯笼悬挂施工、维护时，施工人员无证上岗；所使用的车辆不符合上路作业的各项规定，经查证属实的。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 xml:space="preserve"> 4.施工及维护作业不符合安全规范，未做好各项安全措施，经查证属实的。</w:t>
            </w:r>
          </w:p>
        </w:tc>
        <w:tc>
          <w:tcPr>
            <w:tcW w:w="1843" w:type="dxa"/>
            <w:tcBorders>
              <w:top w:val="nil"/>
              <w:left w:val="nil"/>
              <w:bottom w:val="single" w:color="auto" w:sz="4"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5.国旗及灯笼悬挂施工、拆除、维护时，发生重大安全并造成恶劣影响，经查证属实的。</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每发生一宗扣除服务费1000元</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6.灯笼悬挂安装未按照合同规定的安装方式，经查证属实的。</w:t>
            </w:r>
          </w:p>
        </w:tc>
        <w:tc>
          <w:tcPr>
            <w:tcW w:w="1843" w:type="dxa"/>
            <w:tcBorders>
              <w:top w:val="single" w:color="auto" w:sz="4" w:space="0"/>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每发现一套扣除服务费20元</w:t>
            </w:r>
          </w:p>
        </w:tc>
        <w:tc>
          <w:tcPr>
            <w:tcW w:w="992"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auto"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7.因质量原因悬挂灯笼亮灯率低于98%的。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每发现一次扣除服务费100元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8.国旗及灯笼安装及拆卸施工时，未避开交通高峰期，造成交通事故或拥挤，经查证属实的。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w:t>
            </w:r>
            <w:r>
              <w:rPr>
                <w:rFonts w:hint="eastAsia" w:asciiTheme="minorEastAsia" w:hAnsiTheme="minorEastAsia" w:eastAsiaTheme="minorEastAsia" w:cstheme="minorEastAsia"/>
                <w:color w:val="000000"/>
                <w:kern w:val="0"/>
                <w:szCs w:val="21"/>
              </w:rPr>
              <w:t>现</w:t>
            </w:r>
            <w:r>
              <w:rPr>
                <w:rFonts w:hint="eastAsia" w:asciiTheme="minorEastAsia" w:hAnsiTheme="minorEastAsia" w:eastAsiaTheme="minorEastAsia" w:cstheme="minorEastAsia"/>
                <w:kern w:val="0"/>
                <w:szCs w:val="21"/>
              </w:rPr>
              <w:t>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9.国旗及灯笼悬挂期间，接报通知维修，中标方在接到通知后未1小时内赶到现场进行维修的。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每发现一次扣除服务费200元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10.因服务企业维护国旗灯笼不及时，遭媒体曝光或市民投诉，经查实的。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11.国旗及灯笼维护期间及安装拆除期间未按照规定设置安全警示标志，维护人员未穿反光衣，违法相关安全文明规定的。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每发现一次扣除服务费200元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12.国旗及灯笼悬挂及维护期间出现安全事故，由乙方负责并承担全部责任。</w:t>
            </w:r>
          </w:p>
        </w:tc>
        <w:tc>
          <w:tcPr>
            <w:tcW w:w="184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每发生一宗扣除服务费500元</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color w:val="000000"/>
                <w:szCs w:val="21"/>
              </w:rPr>
            </w:pPr>
          </w:p>
        </w:tc>
      </w:tr>
    </w:tbl>
    <w:p>
      <w:pPr>
        <w:ind w:firstLine="420"/>
      </w:pPr>
    </w:p>
    <w:bookmarkEnd w:id="341"/>
    <w:bookmarkEnd w:id="342"/>
    <w:bookmarkEnd w:id="343"/>
    <w:p>
      <w:pPr>
        <w:widowControl w:val="0"/>
        <w:autoSpaceDE w:val="0"/>
        <w:autoSpaceDN w:val="0"/>
        <w:adjustRightInd w:val="0"/>
        <w:snapToGrid w:val="0"/>
        <w:ind w:firstLine="0" w:firstLineChars="0"/>
        <w:jc w:val="center"/>
        <w:outlineLvl w:val="0"/>
        <w:rPr>
          <w:rFonts w:hint="eastAsia" w:ascii="宋体" w:hAnsi="宋体"/>
          <w:b/>
          <w:bCs/>
          <w:sz w:val="52"/>
          <w:szCs w:val="52"/>
        </w:rPr>
      </w:pPr>
      <w:bookmarkStart w:id="365" w:name="_Toc144974855"/>
      <w:bookmarkStart w:id="366" w:name="_Toc152045786"/>
      <w:bookmarkStart w:id="367" w:name="_Toc152042575"/>
      <w:bookmarkStart w:id="368" w:name="_Toc49247165"/>
    </w:p>
    <w:p>
      <w:pPr>
        <w:widowControl w:val="0"/>
        <w:autoSpaceDE w:val="0"/>
        <w:autoSpaceDN w:val="0"/>
        <w:adjustRightInd w:val="0"/>
        <w:snapToGrid w:val="0"/>
        <w:ind w:firstLine="0" w:firstLineChars="0"/>
        <w:jc w:val="center"/>
        <w:outlineLvl w:val="0"/>
        <w:rPr>
          <w:rFonts w:hint="eastAsia" w:ascii="宋体" w:hAnsi="宋体"/>
          <w:b/>
          <w:bCs/>
          <w:sz w:val="52"/>
          <w:szCs w:val="52"/>
        </w:rPr>
      </w:pPr>
    </w:p>
    <w:p>
      <w:pPr>
        <w:widowControl w:val="0"/>
        <w:autoSpaceDE w:val="0"/>
        <w:autoSpaceDN w:val="0"/>
        <w:adjustRightInd w:val="0"/>
        <w:snapToGrid w:val="0"/>
        <w:ind w:firstLine="0" w:firstLineChars="0"/>
        <w:jc w:val="center"/>
        <w:outlineLvl w:val="0"/>
        <w:rPr>
          <w:rFonts w:ascii="宋体" w:hAnsi="宋体"/>
          <w:sz w:val="52"/>
          <w:szCs w:val="52"/>
        </w:rPr>
      </w:pPr>
      <w:r>
        <w:rPr>
          <w:rFonts w:hint="eastAsia" w:ascii="宋体" w:hAnsi="宋体"/>
          <w:b/>
          <w:bCs/>
          <w:sz w:val="52"/>
          <w:szCs w:val="52"/>
        </w:rPr>
        <w:t>第</w:t>
      </w:r>
      <w:r>
        <w:rPr>
          <w:rFonts w:hint="eastAsia" w:ascii="宋体" w:hAnsi="宋体"/>
          <w:b/>
          <w:bCs/>
          <w:sz w:val="52"/>
          <w:szCs w:val="52"/>
          <w:lang w:val="en-US" w:eastAsia="zh-CN"/>
        </w:rPr>
        <w:t>四</w:t>
      </w:r>
      <w:r>
        <w:rPr>
          <w:rFonts w:hint="eastAsia" w:ascii="宋体" w:hAnsi="宋体"/>
          <w:b/>
          <w:bCs/>
          <w:sz w:val="52"/>
          <w:szCs w:val="52"/>
        </w:rPr>
        <w:t>章 投标文件格式</w:t>
      </w:r>
      <w:bookmarkEnd w:id="365"/>
      <w:bookmarkEnd w:id="366"/>
      <w:bookmarkEnd w:id="367"/>
      <w:bookmarkEnd w:id="368"/>
    </w:p>
    <w:p>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69" w:name="_Toc277844084"/>
      <w:bookmarkStart w:id="370" w:name="_Toc277844085"/>
    </w:p>
    <w:p>
      <w:pPr>
        <w:widowControl w:val="0"/>
        <w:autoSpaceDE w:val="0"/>
        <w:autoSpaceDN w:val="0"/>
        <w:adjustRightInd w:val="0"/>
        <w:snapToGrid w:val="0"/>
        <w:ind w:firstLine="0" w:firstLineChars="0"/>
        <w:jc w:val="center"/>
        <w:rPr>
          <w:rFonts w:ascii="宋体" w:hAnsi="宋体"/>
          <w:sz w:val="84"/>
          <w:szCs w:val="84"/>
        </w:rPr>
      </w:pPr>
    </w:p>
    <w:p>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投标文件</w:t>
      </w: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pPr>
        <w:widowControl w:val="0"/>
        <w:autoSpaceDE w:val="0"/>
        <w:autoSpaceDN w:val="0"/>
        <w:adjustRightInd w:val="0"/>
        <w:snapToGrid w:val="0"/>
        <w:ind w:firstLine="0" w:firstLineChars="0"/>
        <w:jc w:val="left"/>
        <w:rPr>
          <w:rFonts w:ascii="宋体" w:hAnsi="宋体"/>
          <w:b/>
          <w:sz w:val="44"/>
          <w:szCs w:val="44"/>
        </w:rPr>
      </w:pPr>
    </w:p>
    <w:p>
      <w:pPr>
        <w:widowControl w:val="0"/>
        <w:autoSpaceDE w:val="0"/>
        <w:autoSpaceDN w:val="0"/>
        <w:adjustRightInd w:val="0"/>
        <w:snapToGrid w:val="0"/>
        <w:ind w:firstLine="0" w:firstLineChars="0"/>
        <w:rPr>
          <w:rFonts w:ascii="宋体" w:hAnsi="宋体"/>
        </w:rPr>
      </w:pPr>
    </w:p>
    <w:p>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一、资格审查文件部分</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A1、营业执照</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A2、《投标及履约承诺函》</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A3、法定代表人资格证明书</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A4、法定代表人授权委托书</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A5、投标人情况介绍</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A6、其他</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二、商务标部分</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B1、投标函</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B2、承诺书</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B3、</w:t>
      </w:r>
      <w:r>
        <w:rPr>
          <w:rFonts w:hint="eastAsia" w:ascii="宋体" w:hAnsi="宋体"/>
          <w:szCs w:val="21"/>
        </w:rPr>
        <w:t>投标人通过相关认证情况</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B4、</w:t>
      </w:r>
      <w:r>
        <w:rPr>
          <w:rFonts w:hint="eastAsia" w:ascii="宋体" w:hAnsi="宋体"/>
          <w:szCs w:val="21"/>
        </w:rPr>
        <w:t>获奖情况</w:t>
      </w:r>
    </w:p>
    <w:p>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B5、</w:t>
      </w:r>
      <w:r>
        <w:rPr>
          <w:rFonts w:hint="eastAsia" w:ascii="宋体" w:hAnsi="宋体"/>
          <w:szCs w:val="21"/>
        </w:rPr>
        <w:t>投标人同类业绩</w:t>
      </w:r>
    </w:p>
    <w:p>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B6、履约评价</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B7、相关资质证书</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B8、诚信</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B9、</w:t>
      </w:r>
      <w:r>
        <w:rPr>
          <w:rFonts w:hint="eastAsia" w:ascii="宋体" w:hAnsi="宋体"/>
        </w:rPr>
        <w:t>其他</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三、技术标部分</w:t>
      </w:r>
    </w:p>
    <w:p>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C1、</w:t>
      </w:r>
      <w:r>
        <w:rPr>
          <w:rFonts w:hint="eastAsia" w:ascii="宋体" w:hAnsi="宋体"/>
          <w:szCs w:val="21"/>
        </w:rPr>
        <w:t>服务保障措施</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C2、</w:t>
      </w:r>
      <w:r>
        <w:rPr>
          <w:rFonts w:hint="eastAsia" w:ascii="宋体" w:hAnsi="宋体"/>
          <w:szCs w:val="21"/>
        </w:rPr>
        <w:t>拟安排的项目负责人情况（仅限一人）</w:t>
      </w:r>
    </w:p>
    <w:p>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C3、</w:t>
      </w:r>
      <w:r>
        <w:rPr>
          <w:rFonts w:hint="eastAsia" w:ascii="宋体" w:hAnsi="宋体"/>
          <w:szCs w:val="21"/>
        </w:rPr>
        <w:t>拟安排的项目主要团队成员(主要技术人员)情况(项目负责人除外)</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C4、</w:t>
      </w:r>
      <w:r>
        <w:rPr>
          <w:rFonts w:hint="eastAsia" w:ascii="宋体" w:hAnsi="宋体" w:cs="宋体"/>
          <w:szCs w:val="21"/>
        </w:rPr>
        <w:t>违约承诺</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C5、其他</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四、价格标部分</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D1、投标报价一览表</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D2、其他（投标人认为应补充提供的其他文件资料或说明。）</w:t>
      </w:r>
      <w:r>
        <w:rPr>
          <w:rFonts w:ascii="宋体" w:hAnsi="宋体"/>
        </w:rPr>
        <w:br w:type="page"/>
      </w:r>
      <w:bookmarkStart w:id="371" w:name="_Toc49247166"/>
      <w:bookmarkStart w:id="372" w:name="_Hlk532142363"/>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371"/>
      <w:bookmarkEnd w:id="372"/>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A1、营业执照</w:t>
      </w:r>
    </w:p>
    <w:p>
      <w:pPr>
        <w:ind w:firstLine="422"/>
        <w:rPr>
          <w:rFonts w:ascii="宋体" w:hAnsi="宋体" w:cs="宋体"/>
          <w:b/>
          <w:bCs/>
          <w:szCs w:val="21"/>
        </w:rPr>
      </w:pPr>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A2、其他补充材料（如：授权函、委托书等）</w:t>
      </w:r>
    </w:p>
    <w:p>
      <w:pPr>
        <w:widowControl w:val="0"/>
        <w:autoSpaceDE w:val="0"/>
        <w:autoSpaceDN w:val="0"/>
        <w:adjustRightInd w:val="0"/>
        <w:snapToGrid w:val="0"/>
        <w:ind w:firstLine="0" w:firstLineChars="0"/>
        <w:rPr>
          <w:rFonts w:ascii="宋体" w:hAnsi="宋体" w:cs="宋体"/>
          <w:b/>
          <w:bCs/>
          <w:szCs w:val="21"/>
        </w:rPr>
      </w:pPr>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A3、《投标及履约承诺函》</w:t>
      </w:r>
    </w:p>
    <w:p>
      <w:pPr>
        <w:ind w:firstLine="480"/>
        <w:jc w:val="center"/>
        <w:rPr>
          <w:rFonts w:ascii="宋体" w:hAnsi="宋体" w:cs="宋体"/>
          <w:sz w:val="24"/>
        </w:rPr>
      </w:pPr>
      <w:r>
        <w:rPr>
          <w:rFonts w:hint="eastAsia" w:ascii="宋体" w:hAnsi="宋体" w:cs="宋体"/>
          <w:kern w:val="0"/>
          <w:sz w:val="24"/>
        </w:rPr>
        <w:t>投标及履约承诺函</w:t>
      </w:r>
    </w:p>
    <w:p>
      <w:pPr>
        <w:ind w:firstLine="420"/>
        <w:rPr>
          <w:rFonts w:ascii="宋体" w:hAnsi="宋体" w:cs="宋体"/>
        </w:rPr>
      </w:pPr>
      <w:r>
        <w:rPr>
          <w:rFonts w:hint="eastAsia" w:ascii="宋体" w:hAnsi="宋体" w:cs="宋体"/>
        </w:rPr>
        <w:t xml:space="preserve">致：深圳市龙华环境有限公司 </w:t>
      </w:r>
    </w:p>
    <w:p>
      <w:pPr>
        <w:ind w:firstLine="420"/>
        <w:rPr>
          <w:rFonts w:ascii="宋体" w:hAnsi="宋体" w:cs="宋体"/>
        </w:rPr>
      </w:pPr>
      <w:r>
        <w:rPr>
          <w:rFonts w:hint="eastAsia" w:ascii="宋体" w:hAnsi="宋体" w:cs="宋体"/>
        </w:rPr>
        <w:t>我单位承诺：</w:t>
      </w:r>
    </w:p>
    <w:p>
      <w:pPr>
        <w:ind w:left="-120" w:firstLine="420"/>
        <w:rPr>
          <w:rFonts w:ascii="宋体" w:hAnsi="宋体" w:cs="宋体"/>
          <w:szCs w:val="21"/>
        </w:rPr>
      </w:pPr>
      <w:r>
        <w:rPr>
          <w:rFonts w:hint="eastAsia" w:ascii="宋体" w:hAnsi="宋体" w:cs="宋体"/>
          <w:szCs w:val="21"/>
        </w:rPr>
        <w:t>1、对本招标项目所提供的货物或服务未侵犯知识产权。</w:t>
      </w:r>
    </w:p>
    <w:p>
      <w:pPr>
        <w:ind w:left="-120" w:firstLine="420"/>
        <w:rPr>
          <w:rFonts w:ascii="宋体" w:hAnsi="宋体" w:cs="宋体"/>
          <w:szCs w:val="21"/>
        </w:rPr>
      </w:pPr>
      <w:r>
        <w:rPr>
          <w:rFonts w:hint="eastAsia" w:ascii="宋体" w:hAnsi="宋体" w:cs="宋体"/>
          <w:szCs w:val="21"/>
        </w:rPr>
        <w:t>2、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left="-120" w:firstLine="420"/>
        <w:rPr>
          <w:rFonts w:ascii="宋体" w:hAnsi="宋体" w:cs="宋体"/>
          <w:szCs w:val="21"/>
        </w:rPr>
      </w:pPr>
      <w:r>
        <w:rPr>
          <w:rFonts w:hint="eastAsia" w:ascii="宋体" w:hAnsi="宋体" w:cs="宋体"/>
          <w:szCs w:val="21"/>
        </w:rPr>
        <w:t>3、我单位参与该项目投标，严格遵守相关法律，投标做到诚实，不造假，不围标、串标、陪标。我单位已清楚，如违反上述要求，其投标将作废，被列入不良记录名单并在网上曝光，同时将被提请相关部门给予审查。</w:t>
      </w:r>
    </w:p>
    <w:p>
      <w:pPr>
        <w:ind w:left="-120" w:firstLine="420"/>
        <w:rPr>
          <w:rFonts w:ascii="宋体" w:hAnsi="宋体" w:cs="宋体"/>
          <w:szCs w:val="21"/>
        </w:rPr>
      </w:pPr>
      <w:r>
        <w:rPr>
          <w:rFonts w:hint="eastAsia" w:ascii="宋体" w:hAnsi="宋体" w:cs="宋体"/>
          <w:szCs w:val="21"/>
        </w:rPr>
        <w:t>4、如果中标，做到守信，不偷工减料，不非法转包，依照本项目招标文件需求内容、签署的采购合同及本单位在投标中所作的一切承诺履约。项目验收达到全部指标合格，力争优良。</w:t>
      </w:r>
    </w:p>
    <w:p>
      <w:pPr>
        <w:ind w:left="-120" w:firstLine="420"/>
        <w:rPr>
          <w:rFonts w:ascii="宋体" w:hAnsi="宋体" w:cs="宋体"/>
          <w:szCs w:val="21"/>
        </w:rPr>
      </w:pPr>
      <w:r>
        <w:rPr>
          <w:rFonts w:hint="eastAsia" w:ascii="宋体" w:hAnsi="宋体" w:cs="宋体"/>
          <w:szCs w:val="21"/>
        </w:rPr>
        <w:t>5、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相关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相关部门的处理处罚。</w:t>
      </w:r>
    </w:p>
    <w:p>
      <w:pPr>
        <w:ind w:left="-120" w:firstLine="420"/>
        <w:rPr>
          <w:rFonts w:ascii="宋体" w:hAnsi="宋体" w:cs="宋体"/>
          <w:szCs w:val="21"/>
        </w:rPr>
      </w:pPr>
      <w:r>
        <w:rPr>
          <w:rFonts w:hint="eastAsia" w:ascii="宋体" w:hAnsi="宋体" w:cs="宋体"/>
          <w:szCs w:val="21"/>
        </w:rPr>
        <w:t>6、我单位参与本项目投标前三年内，在经营活动中不存在</w:t>
      </w:r>
      <w:r>
        <w:rPr>
          <w:rFonts w:hint="eastAsia" w:ascii="宋体" w:hAnsi="宋体" w:cs="宋体"/>
        </w:rPr>
        <w:t>重大违法记录</w:t>
      </w:r>
      <w:r>
        <w:rPr>
          <w:rFonts w:hint="eastAsia" w:ascii="宋体" w:hAnsi="宋体" w:cs="宋体"/>
          <w:szCs w:val="21"/>
        </w:rPr>
        <w:t>的情形。</w:t>
      </w:r>
      <w:r>
        <w:rPr>
          <w:rFonts w:hint="eastAsia" w:ascii="宋体" w:hAnsi="宋体" w:cs="宋体"/>
        </w:rPr>
        <w:t>（重大违法记录是指：因违法经营受到刑事处罚或者责令停产停业、吊销许可证或者执照、较大数额罚款等行政处罚）</w:t>
      </w:r>
    </w:p>
    <w:p>
      <w:pPr>
        <w:ind w:left="-120" w:firstLine="420"/>
        <w:rPr>
          <w:rFonts w:ascii="宋体" w:hAnsi="宋体" w:cs="宋体"/>
          <w:szCs w:val="21"/>
        </w:rPr>
      </w:pPr>
      <w:r>
        <w:rPr>
          <w:rFonts w:hint="eastAsia" w:ascii="宋体" w:hAnsi="宋体" w:cs="宋体"/>
          <w:szCs w:val="21"/>
        </w:rPr>
        <w:t>7、我单位参与本项目时不存在被有关部门禁止参与本项目且在有效期内的情况。</w:t>
      </w:r>
    </w:p>
    <w:p>
      <w:pPr>
        <w:ind w:left="-120" w:firstLine="420"/>
        <w:rPr>
          <w:rFonts w:ascii="宋体" w:hAnsi="宋体" w:cs="宋体"/>
          <w:szCs w:val="21"/>
        </w:rPr>
      </w:pPr>
      <w:r>
        <w:rPr>
          <w:rFonts w:hint="eastAsia" w:ascii="宋体" w:hAnsi="宋体" w:cs="宋体"/>
          <w:szCs w:val="21"/>
        </w:rPr>
        <w:t>8、我单位参与本项目近三年内（投标人成立不足三年的可从成立之日起算），我单位、单位法定代表人均无行贿犯罪记录。</w:t>
      </w:r>
    </w:p>
    <w:p>
      <w:pPr>
        <w:ind w:left="-120" w:firstLine="420"/>
        <w:rPr>
          <w:rFonts w:ascii="宋体" w:hAnsi="宋体" w:cs="宋体"/>
          <w:szCs w:val="21"/>
        </w:rPr>
      </w:pPr>
      <w:r>
        <w:rPr>
          <w:rFonts w:hint="eastAsia" w:ascii="宋体" w:hAnsi="宋体" w:cs="宋体"/>
          <w:szCs w:val="21"/>
        </w:rPr>
        <w:t>9、参照《中华人民共和国政府采购法实施条例》第十八条规定，我单位承诺：不存在“单位负责人为同一人或者存在直接控股、管理关系的不同供应商，参加同一合同项下的招标项目”的情形。</w:t>
      </w:r>
    </w:p>
    <w:p>
      <w:pPr>
        <w:ind w:left="-120" w:firstLine="420"/>
        <w:rPr>
          <w:rFonts w:ascii="宋体" w:hAnsi="宋体" w:cs="宋体"/>
          <w:szCs w:val="21"/>
        </w:rPr>
      </w:pPr>
      <w:r>
        <w:rPr>
          <w:rFonts w:hint="eastAsia" w:ascii="宋体" w:hAnsi="宋体" w:cs="宋体"/>
          <w:szCs w:val="21"/>
        </w:rPr>
        <w:t>10、参照《中华人民共和国政府采购法》第二十二条规定，我单位承诺：具备供应商参加本项目应当具备的条件：（一）具有独立承担民事责任的能力；（二）具有良好的商业信誉和健全的财务会计制度（如为新成立公司需提供情况说明，证明无财务往来等情况；以上均未能提供，需提供承诺函，承诺具有良好的商业信誉和健全的财务会计制度；）；（三）具有履行合同所必需的设备和专业技术能力；（四）有依法缴纳税收和社会保障资金的良好记录（如为新成立公司需提供情况说明，证明人员情况；以上均未能提供，需提供承诺函，承诺将会依法缴纳税收和社会保障资金；）。</w:t>
      </w:r>
    </w:p>
    <w:p>
      <w:pPr>
        <w:pStyle w:val="109"/>
        <w:ind w:firstLine="420"/>
        <w:rPr>
          <w:rFonts w:hAnsi="宋体" w:cs="宋体"/>
        </w:rPr>
      </w:pPr>
      <w:r>
        <w:rPr>
          <w:rFonts w:hint="eastAsia" w:hAnsi="宋体" w:cs="宋体"/>
        </w:rPr>
        <w:t>以上承诺，如有违反，愿依照国家相关法律接受相关处理结果，并愿承担由此给采购人带来的损失。</w:t>
      </w:r>
    </w:p>
    <w:p>
      <w:pPr>
        <w:ind w:firstLine="420"/>
        <w:rPr>
          <w:rFonts w:ascii="宋体" w:hAnsi="宋体" w:cs="宋体"/>
        </w:rPr>
      </w:pPr>
      <w:r>
        <w:rPr>
          <w:rFonts w:hint="eastAsia" w:ascii="宋体" w:hAnsi="宋体" w:cs="宋体"/>
        </w:rPr>
        <w:t xml:space="preserve">   </w:t>
      </w:r>
    </w:p>
    <w:p>
      <w:pPr>
        <w:ind w:firstLine="420"/>
        <w:rPr>
          <w:rFonts w:ascii="宋体" w:hAnsi="宋体" w:cs="宋体"/>
        </w:rPr>
      </w:pPr>
      <w:r>
        <w:rPr>
          <w:rFonts w:hint="eastAsia" w:ascii="宋体" w:hAnsi="宋体" w:cs="宋体"/>
        </w:rPr>
        <w:t xml:space="preserve"> </w:t>
      </w:r>
    </w:p>
    <w:p>
      <w:pPr>
        <w:ind w:firstLine="420"/>
        <w:rPr>
          <w:rFonts w:ascii="宋体" w:hAnsi="宋体" w:cs="宋体"/>
        </w:rPr>
      </w:pPr>
      <w:r>
        <w:rPr>
          <w:rFonts w:hint="eastAsia" w:ascii="宋体" w:hAnsi="宋体" w:cs="宋体"/>
        </w:rPr>
        <w:t xml:space="preserve">                                       投标单位名称：</w:t>
      </w:r>
    </w:p>
    <w:p>
      <w:pPr>
        <w:ind w:firstLine="420"/>
        <w:rPr>
          <w:rFonts w:ascii="宋体" w:hAnsi="宋体"/>
          <w:b/>
          <w:sz w:val="44"/>
          <w:szCs w:val="44"/>
        </w:rPr>
      </w:pPr>
      <w:r>
        <w:rPr>
          <w:rFonts w:hint="eastAsia" w:ascii="宋体" w:hAnsi="宋体" w:cs="宋体"/>
        </w:rPr>
        <w:t xml:space="preserve">                               </w:t>
      </w:r>
      <w:r>
        <w:rPr>
          <w:rFonts w:hint="eastAsia" w:ascii="宋体" w:hAnsi="宋体" w:cs="宋体"/>
          <w:b/>
          <w:bCs/>
          <w:szCs w:val="21"/>
        </w:rPr>
        <w:t xml:space="preserve">       </w:t>
      </w:r>
      <w:r>
        <w:rPr>
          <w:rFonts w:hint="eastAsia" w:ascii="宋体" w:hAnsi="宋体" w:cs="宋体"/>
        </w:rPr>
        <w:t xml:space="preserve"> 日期：   年   月   日</w:t>
      </w: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pStyle w:val="4"/>
        <w:spacing w:before="0" w:after="0"/>
        <w:ind w:firstLine="0" w:firstLineChars="0"/>
        <w:rPr>
          <w:rFonts w:ascii="宋体" w:hAnsi="宋体" w:cs="宋体"/>
          <w:b/>
          <w:bCs/>
          <w:sz w:val="21"/>
          <w:szCs w:val="21"/>
        </w:rPr>
      </w:pPr>
      <w:bookmarkStart w:id="373" w:name="_Toc278892899"/>
      <w:bookmarkStart w:id="374" w:name="_Toc280341016"/>
      <w:bookmarkStart w:id="375" w:name="_Toc390444141"/>
      <w:bookmarkStart w:id="376" w:name="_Hlk532142439"/>
      <w:r>
        <w:rPr>
          <w:rFonts w:hint="eastAsia" w:ascii="宋体" w:hAnsi="宋体" w:cs="宋体"/>
          <w:b/>
          <w:bCs/>
          <w:sz w:val="21"/>
          <w:szCs w:val="21"/>
        </w:rPr>
        <w:t>A4、法定代表人资格证明书</w:t>
      </w:r>
      <w:bookmarkEnd w:id="373"/>
      <w:bookmarkEnd w:id="374"/>
      <w:bookmarkEnd w:id="375"/>
    </w:p>
    <w:p>
      <w:pPr>
        <w:widowControl w:val="0"/>
        <w:autoSpaceDE w:val="0"/>
        <w:autoSpaceDN w:val="0"/>
        <w:adjustRightInd w:val="0"/>
        <w:snapToGrid w:val="0"/>
        <w:ind w:firstLine="0" w:firstLineChars="0"/>
        <w:jc w:val="left"/>
        <w:rPr>
          <w:rFonts w:ascii="宋体" w:hAnsi="宋体"/>
          <w:sz w:val="24"/>
        </w:rPr>
      </w:pPr>
    </w:p>
    <w:bookmarkEnd w:id="376"/>
    <w:p>
      <w:pPr>
        <w:widowControl w:val="0"/>
        <w:autoSpaceDE w:val="0"/>
        <w:autoSpaceDN w:val="0"/>
        <w:adjustRightInd w:val="0"/>
        <w:snapToGrid w:val="0"/>
        <w:ind w:firstLine="0" w:firstLineChars="0"/>
        <w:jc w:val="center"/>
        <w:rPr>
          <w:rFonts w:ascii="宋体" w:hAnsi="宋体"/>
          <w:b/>
          <w:sz w:val="32"/>
          <w:szCs w:val="32"/>
        </w:rPr>
      </w:pPr>
      <w:bookmarkStart w:id="377" w:name="_Hlk532142471"/>
      <w:r>
        <w:rPr>
          <w:rFonts w:hint="eastAsia" w:ascii="宋体" w:hAnsi="宋体"/>
          <w:b/>
          <w:sz w:val="32"/>
          <w:szCs w:val="32"/>
        </w:rPr>
        <w:t>法定代表人资格证明书</w:t>
      </w:r>
    </w:p>
    <w:p>
      <w:pPr>
        <w:widowControl w:val="0"/>
        <w:autoSpaceDE w:val="0"/>
        <w:autoSpaceDN w:val="0"/>
        <w:adjustRightInd w:val="0"/>
        <w:snapToGrid w:val="0"/>
        <w:ind w:firstLine="0" w:firstLineChars="0"/>
        <w:jc w:val="left"/>
        <w:rPr>
          <w:rFonts w:ascii="宋体" w:hAnsi="宋体"/>
          <w:sz w:val="24"/>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pPr>
        <w:widowControl w:val="0"/>
        <w:autoSpaceDE w:val="0"/>
        <w:autoSpaceDN w:val="0"/>
        <w:adjustRightInd w:val="0"/>
        <w:snapToGrid w:val="0"/>
        <w:ind w:firstLine="0" w:firstLineChars="0"/>
        <w:jc w:val="left"/>
        <w:rPr>
          <w:rFonts w:ascii="宋体" w:hAnsi="宋体"/>
          <w:bCs/>
          <w:szCs w:val="21"/>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ascii="宋体" w:hAnsi="宋体"/>
          <w:szCs w:val="21"/>
        </w:rPr>
        <w:t>1</w:t>
      </w:r>
      <w:r>
        <w:rPr>
          <w:rFonts w:hint="eastAsia" w:ascii="宋体" w:hAnsi="宋体"/>
          <w:szCs w:val="21"/>
        </w:rPr>
        <w:t>、如为法定代表人参加本次投标活动时，则不需要填写“法定代表人授权委托书”。</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2、后附法定代表人身份证扫描件。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3、格式仅供参考</w:t>
      </w:r>
    </w:p>
    <w:p>
      <w:pPr>
        <w:widowControl w:val="0"/>
        <w:autoSpaceDE w:val="0"/>
        <w:autoSpaceDN w:val="0"/>
        <w:adjustRightInd w:val="0"/>
        <w:snapToGrid w:val="0"/>
        <w:ind w:firstLine="0" w:firstLineChars="0"/>
        <w:jc w:val="left"/>
        <w:rPr>
          <w:rFonts w:ascii="宋体" w:hAnsi="宋体"/>
          <w:b/>
          <w:szCs w:val="21"/>
        </w:rPr>
      </w:pPr>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A5、法定代表人授权委托书</w:t>
      </w:r>
    </w:p>
    <w:p>
      <w:pPr>
        <w:widowControl w:val="0"/>
        <w:autoSpaceDE w:val="0"/>
        <w:autoSpaceDN w:val="0"/>
        <w:adjustRightInd w:val="0"/>
        <w:snapToGrid w:val="0"/>
        <w:ind w:firstLine="0" w:firstLineChars="0"/>
        <w:jc w:val="left"/>
        <w:rPr>
          <w:rFonts w:ascii="宋体" w:hAnsi="宋体"/>
          <w:b/>
          <w:sz w:val="28"/>
          <w:szCs w:val="28"/>
        </w:rPr>
      </w:pPr>
    </w:p>
    <w:bookmarkEnd w:id="377"/>
    <w:p>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pPr>
        <w:widowControl w:val="0"/>
        <w:autoSpaceDE w:val="0"/>
        <w:autoSpaceDN w:val="0"/>
        <w:adjustRightInd w:val="0"/>
        <w:snapToGrid w:val="0"/>
        <w:ind w:firstLine="0" w:firstLineChars="0"/>
        <w:jc w:val="left"/>
        <w:rPr>
          <w:rFonts w:ascii="宋体" w:hAnsi="宋体"/>
          <w:sz w:val="24"/>
        </w:rPr>
      </w:pPr>
    </w:p>
    <w:p>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深圳市龙华环境有限公司  </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2、后附授权代理人身份证扫描件</w:t>
      </w:r>
      <w:r>
        <w:rPr>
          <w:rFonts w:hint="eastAsia" w:ascii="宋体" w:hAnsi="宋体"/>
          <w:spacing w:val="-8"/>
          <w:szCs w:val="21"/>
        </w:rPr>
        <w:t>；</w:t>
      </w:r>
    </w:p>
    <w:p>
      <w:pPr>
        <w:widowControl w:val="0"/>
        <w:autoSpaceDE w:val="0"/>
        <w:autoSpaceDN w:val="0"/>
        <w:adjustRightInd w:val="0"/>
        <w:snapToGrid w:val="0"/>
        <w:ind w:firstLine="0" w:firstLineChars="0"/>
        <w:jc w:val="left"/>
        <w:rPr>
          <w:rFonts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p>
      <w:pPr>
        <w:widowControl w:val="0"/>
        <w:autoSpaceDE w:val="0"/>
        <w:autoSpaceDN w:val="0"/>
        <w:adjustRightInd w:val="0"/>
        <w:snapToGrid w:val="0"/>
        <w:ind w:firstLine="0" w:firstLineChars="0"/>
        <w:rPr>
          <w:rFonts w:ascii="宋体" w:hAnsi="宋体"/>
          <w:b/>
          <w:bCs/>
          <w:sz w:val="32"/>
          <w:szCs w:val="32"/>
        </w:rPr>
      </w:pPr>
    </w:p>
    <w:p>
      <w:pPr>
        <w:pStyle w:val="4"/>
        <w:spacing w:before="0" w:after="0"/>
        <w:ind w:firstLine="0" w:firstLineChars="0"/>
        <w:rPr>
          <w:rFonts w:ascii="宋体" w:hAnsi="宋体" w:cs="宋体"/>
          <w:b/>
          <w:sz w:val="21"/>
          <w:szCs w:val="21"/>
        </w:rPr>
      </w:pPr>
      <w:r>
        <w:rPr>
          <w:rFonts w:ascii="宋体" w:hAnsi="宋体"/>
          <w:b/>
          <w:bCs/>
          <w:sz w:val="28"/>
          <w:szCs w:val="28"/>
        </w:rPr>
        <w:br w:type="page"/>
      </w:r>
      <w:r>
        <w:rPr>
          <w:rFonts w:hint="eastAsia" w:ascii="宋体" w:hAnsi="宋体"/>
          <w:b/>
          <w:sz w:val="21"/>
          <w:szCs w:val="21"/>
        </w:rPr>
        <w:t>A6、</w:t>
      </w:r>
      <w:r>
        <w:rPr>
          <w:rFonts w:hint="eastAsia" w:ascii="宋体" w:hAnsi="宋体" w:cs="宋体"/>
          <w:b/>
          <w:sz w:val="21"/>
          <w:szCs w:val="21"/>
        </w:rPr>
        <w:t>投标人情况介绍</w:t>
      </w:r>
    </w:p>
    <w:p>
      <w:pPr>
        <w:ind w:firstLine="420"/>
      </w:pPr>
    </w:p>
    <w:tbl>
      <w:tblPr>
        <w:tblStyle w:val="49"/>
        <w:tblW w:w="91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77"/>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48" w:type="dxa"/>
            <w:vAlign w:val="center"/>
          </w:tcPr>
          <w:p>
            <w:pPr>
              <w:ind w:left="1" w:leftChars="-95" w:hanging="200" w:hangingChars="95"/>
              <w:jc w:val="center"/>
              <w:rPr>
                <w:b/>
                <w:szCs w:val="21"/>
              </w:rPr>
            </w:pPr>
            <w:r>
              <w:rPr>
                <w:rFonts w:hint="eastAsia"/>
                <w:b/>
                <w:szCs w:val="21"/>
              </w:rPr>
              <w:t>序号</w:t>
            </w:r>
          </w:p>
        </w:tc>
        <w:tc>
          <w:tcPr>
            <w:tcW w:w="2477" w:type="dxa"/>
          </w:tcPr>
          <w:p>
            <w:pPr>
              <w:ind w:firstLine="422"/>
              <w:jc w:val="center"/>
              <w:rPr>
                <w:b/>
                <w:szCs w:val="21"/>
              </w:rPr>
            </w:pPr>
            <w:r>
              <w:rPr>
                <w:rFonts w:hint="eastAsia"/>
                <w:b/>
                <w:szCs w:val="21"/>
              </w:rPr>
              <w:t>项  目</w:t>
            </w:r>
          </w:p>
        </w:tc>
        <w:tc>
          <w:tcPr>
            <w:tcW w:w="4514" w:type="dxa"/>
            <w:vAlign w:val="center"/>
          </w:tcPr>
          <w:p>
            <w:pPr>
              <w:ind w:firstLine="422"/>
              <w:jc w:val="center"/>
              <w:rPr>
                <w:b/>
                <w:szCs w:val="21"/>
              </w:rPr>
            </w:pPr>
            <w:r>
              <w:rPr>
                <w:rFonts w:hint="eastAsia"/>
                <w:b/>
                <w:szCs w:val="21"/>
              </w:rPr>
              <w:t>内容及说明</w:t>
            </w:r>
          </w:p>
        </w:tc>
        <w:tc>
          <w:tcPr>
            <w:tcW w:w="1411" w:type="dxa"/>
            <w:vAlign w:val="center"/>
          </w:tcPr>
          <w:p>
            <w:pPr>
              <w:ind w:firstLine="422"/>
              <w:jc w:val="center"/>
              <w:rPr>
                <w:b/>
                <w:szCs w:val="21"/>
              </w:rPr>
            </w:pPr>
            <w:r>
              <w:rPr>
                <w:rFonts w:hint="eastAsia"/>
                <w:b/>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48" w:type="dxa"/>
            <w:vAlign w:val="center"/>
          </w:tcPr>
          <w:p>
            <w:pPr>
              <w:ind w:firstLine="422"/>
              <w:jc w:val="center"/>
              <w:rPr>
                <w:b/>
                <w:szCs w:val="21"/>
              </w:rPr>
            </w:pPr>
            <w:r>
              <w:rPr>
                <w:rFonts w:hint="eastAsia"/>
                <w:b/>
                <w:szCs w:val="21"/>
              </w:rPr>
              <w:t>一</w:t>
            </w:r>
          </w:p>
        </w:tc>
        <w:tc>
          <w:tcPr>
            <w:tcW w:w="6991" w:type="dxa"/>
            <w:gridSpan w:val="2"/>
          </w:tcPr>
          <w:p>
            <w:pPr>
              <w:ind w:firstLine="422"/>
              <w:rPr>
                <w:b/>
                <w:szCs w:val="21"/>
              </w:rPr>
            </w:pPr>
            <w:r>
              <w:rPr>
                <w:rFonts w:hint="eastAsia"/>
                <w:b/>
                <w:szCs w:val="21"/>
              </w:rPr>
              <w:t>营业执照</w:t>
            </w: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1</w:t>
            </w:r>
          </w:p>
        </w:tc>
        <w:tc>
          <w:tcPr>
            <w:tcW w:w="2477" w:type="dxa"/>
            <w:vAlign w:val="center"/>
          </w:tcPr>
          <w:p>
            <w:pPr>
              <w:ind w:firstLine="0" w:firstLineChars="0"/>
              <w:jc w:val="center"/>
              <w:rPr>
                <w:szCs w:val="21"/>
              </w:rPr>
            </w:pPr>
            <w:r>
              <w:rPr>
                <w:rFonts w:hint="eastAsia"/>
                <w:szCs w:val="21"/>
              </w:rPr>
              <w:t>注册年度及注册编号</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2</w:t>
            </w:r>
          </w:p>
        </w:tc>
        <w:tc>
          <w:tcPr>
            <w:tcW w:w="2477" w:type="dxa"/>
            <w:vAlign w:val="center"/>
          </w:tcPr>
          <w:p>
            <w:pPr>
              <w:ind w:firstLine="420"/>
              <w:jc w:val="center"/>
              <w:rPr>
                <w:szCs w:val="21"/>
              </w:rPr>
            </w:pPr>
            <w:r>
              <w:rPr>
                <w:rFonts w:hint="eastAsia"/>
                <w:szCs w:val="21"/>
              </w:rPr>
              <w:t>注册资金（万元）</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3</w:t>
            </w:r>
          </w:p>
        </w:tc>
        <w:tc>
          <w:tcPr>
            <w:tcW w:w="2477" w:type="dxa"/>
            <w:vAlign w:val="center"/>
          </w:tcPr>
          <w:p>
            <w:pPr>
              <w:ind w:firstLine="420"/>
              <w:jc w:val="center"/>
              <w:rPr>
                <w:szCs w:val="21"/>
              </w:rPr>
            </w:pPr>
            <w:r>
              <w:rPr>
                <w:rFonts w:hint="eastAsia"/>
                <w:szCs w:val="21"/>
              </w:rPr>
              <w:t>经营场所</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4</w:t>
            </w:r>
          </w:p>
        </w:tc>
        <w:tc>
          <w:tcPr>
            <w:tcW w:w="2477" w:type="dxa"/>
            <w:vAlign w:val="center"/>
          </w:tcPr>
          <w:p>
            <w:pPr>
              <w:ind w:firstLine="420"/>
              <w:jc w:val="center"/>
              <w:rPr>
                <w:szCs w:val="21"/>
              </w:rPr>
            </w:pPr>
            <w:r>
              <w:rPr>
                <w:rFonts w:hint="eastAsia"/>
                <w:szCs w:val="21"/>
              </w:rPr>
              <w:t>有效期</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2"/>
              <w:jc w:val="center"/>
              <w:rPr>
                <w:b/>
                <w:szCs w:val="21"/>
              </w:rPr>
            </w:pPr>
            <w:r>
              <w:rPr>
                <w:rFonts w:hint="eastAsia"/>
                <w:b/>
                <w:szCs w:val="21"/>
              </w:rPr>
              <w:t>二</w:t>
            </w:r>
          </w:p>
        </w:tc>
        <w:tc>
          <w:tcPr>
            <w:tcW w:w="6991" w:type="dxa"/>
            <w:gridSpan w:val="2"/>
            <w:vAlign w:val="center"/>
          </w:tcPr>
          <w:p>
            <w:pPr>
              <w:ind w:firstLine="422"/>
              <w:rPr>
                <w:b/>
                <w:szCs w:val="21"/>
              </w:rPr>
            </w:pPr>
            <w:r>
              <w:rPr>
                <w:rFonts w:hint="eastAsia"/>
                <w:b/>
                <w:szCs w:val="21"/>
              </w:rPr>
              <w:t>税务登记证</w:t>
            </w: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1</w:t>
            </w:r>
          </w:p>
        </w:tc>
        <w:tc>
          <w:tcPr>
            <w:tcW w:w="2477" w:type="dxa"/>
            <w:vAlign w:val="center"/>
          </w:tcPr>
          <w:p>
            <w:pPr>
              <w:ind w:firstLine="420"/>
              <w:jc w:val="center"/>
              <w:rPr>
                <w:szCs w:val="21"/>
              </w:rPr>
            </w:pPr>
            <w:r>
              <w:rPr>
                <w:rFonts w:hint="eastAsia"/>
                <w:szCs w:val="21"/>
              </w:rPr>
              <w:t>税务登记证编号</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2"/>
              <w:jc w:val="center"/>
              <w:rPr>
                <w:b/>
                <w:szCs w:val="21"/>
              </w:rPr>
            </w:pPr>
            <w:r>
              <w:rPr>
                <w:rFonts w:hint="eastAsia"/>
                <w:b/>
                <w:szCs w:val="21"/>
              </w:rPr>
              <w:t>三</w:t>
            </w:r>
          </w:p>
        </w:tc>
        <w:tc>
          <w:tcPr>
            <w:tcW w:w="6991" w:type="dxa"/>
            <w:gridSpan w:val="2"/>
            <w:vAlign w:val="center"/>
          </w:tcPr>
          <w:p>
            <w:pPr>
              <w:ind w:firstLine="422"/>
              <w:rPr>
                <w:b/>
                <w:szCs w:val="21"/>
              </w:rPr>
            </w:pPr>
            <w:r>
              <w:rPr>
                <w:rFonts w:hint="eastAsia"/>
                <w:b/>
                <w:szCs w:val="21"/>
              </w:rPr>
              <w:t>其他</w:t>
            </w:r>
            <w:r>
              <w:rPr>
                <w:rFonts w:hint="eastAsia"/>
                <w:szCs w:val="21"/>
              </w:rPr>
              <w:t>（投标人认为需补充的其他说明）</w:t>
            </w: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1</w:t>
            </w:r>
          </w:p>
        </w:tc>
        <w:tc>
          <w:tcPr>
            <w:tcW w:w="2477" w:type="dxa"/>
            <w:vAlign w:val="center"/>
          </w:tcPr>
          <w:p>
            <w:pPr>
              <w:ind w:firstLine="420"/>
              <w:jc w:val="center"/>
              <w:rPr>
                <w:szCs w:val="21"/>
              </w:rPr>
            </w:pPr>
          </w:p>
        </w:tc>
        <w:tc>
          <w:tcPr>
            <w:tcW w:w="4514" w:type="dxa"/>
            <w:vAlign w:val="center"/>
          </w:tcPr>
          <w:p>
            <w:pPr>
              <w:ind w:firstLine="420"/>
              <w:jc w:val="center"/>
              <w:rPr>
                <w:szCs w:val="21"/>
              </w:rPr>
            </w:pPr>
          </w:p>
        </w:tc>
        <w:tc>
          <w:tcPr>
            <w:tcW w:w="1411" w:type="dxa"/>
            <w:vAlign w:val="center"/>
          </w:tcPr>
          <w:p>
            <w:pPr>
              <w:ind w:firstLine="420"/>
              <w:jc w:val="center"/>
              <w:rPr>
                <w:szCs w:val="21"/>
              </w:rPr>
            </w:pPr>
          </w:p>
        </w:tc>
      </w:tr>
    </w:tbl>
    <w:p>
      <w:pPr>
        <w:ind w:firstLine="420"/>
        <w:rPr>
          <w:szCs w:val="21"/>
        </w:rPr>
      </w:pPr>
      <w:r>
        <w:rPr>
          <w:rFonts w:hint="eastAsia"/>
          <w:szCs w:val="21"/>
        </w:rPr>
        <w:t>注：1、在按要求填写好此表格后，各投标单位可以用其它的方式，就自身整体情况作出详细的介绍。</w:t>
      </w:r>
    </w:p>
    <w:p>
      <w:pPr>
        <w:ind w:firstLine="0" w:firstLineChars="0"/>
        <w:jc w:val="left"/>
        <w:rPr>
          <w:rFonts w:ascii="SimSun,Bold" w:hAnsi="SimSun,Bold" w:eastAsia="SimSun,Bold"/>
          <w:b/>
        </w:rPr>
      </w:pPr>
      <w:bookmarkStart w:id="378" w:name="_Toc49247167"/>
      <w:bookmarkStart w:id="379" w:name="_Hlk532142542"/>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A7、其他</w:t>
      </w:r>
    </w:p>
    <w:p>
      <w:pPr>
        <w:ind w:firstLine="420"/>
        <w:rPr>
          <w:rFonts w:ascii="宋体" w:hAnsi="宋体"/>
          <w:b/>
          <w:sz w:val="44"/>
          <w:szCs w:val="44"/>
        </w:rPr>
      </w:pPr>
      <w:r>
        <w:rPr>
          <w:rFonts w:hint="eastAsia"/>
        </w:rPr>
        <w:t>投标人认为应补充提供的其他文件资料或说明。</w:t>
      </w:r>
    </w:p>
    <w:p>
      <w:pPr>
        <w:ind w:firstLine="883"/>
        <w:rPr>
          <w:rFonts w:ascii="宋体" w:hAnsi="宋体"/>
          <w:b/>
          <w:sz w:val="44"/>
          <w:szCs w:val="44"/>
        </w:rPr>
      </w:pPr>
      <w:r>
        <w:rPr>
          <w:rFonts w:hint="eastAsia" w:ascii="宋体" w:hAnsi="宋体"/>
          <w:b/>
          <w:sz w:val="44"/>
          <w:szCs w:val="44"/>
        </w:rPr>
        <w:br w:type="page"/>
      </w:r>
    </w:p>
    <w:p>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378"/>
      <w:bookmarkEnd w:id="379"/>
    </w:p>
    <w:p>
      <w:pPr>
        <w:pStyle w:val="4"/>
        <w:spacing w:before="0" w:after="0"/>
        <w:ind w:firstLine="0" w:firstLineChars="0"/>
        <w:rPr>
          <w:rFonts w:ascii="宋体" w:hAnsi="宋体" w:cs="宋体"/>
          <w:b/>
          <w:bCs/>
          <w:sz w:val="21"/>
          <w:szCs w:val="21"/>
        </w:rPr>
      </w:pPr>
      <w:bookmarkStart w:id="380" w:name="_Toc390444140"/>
      <w:bookmarkStart w:id="381" w:name="_Toc280341017"/>
      <w:r>
        <w:rPr>
          <w:rFonts w:hint="eastAsia" w:ascii="宋体" w:hAnsi="宋体" w:cs="宋体"/>
          <w:b/>
          <w:bCs/>
          <w:sz w:val="21"/>
          <w:szCs w:val="21"/>
        </w:rPr>
        <w:t>B1、投标函</w:t>
      </w:r>
      <w:bookmarkEnd w:id="380"/>
      <w:bookmarkEnd w:id="381"/>
    </w:p>
    <w:p>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投标函</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深圳市龙华环境有限公司 </w:t>
      </w:r>
    </w:p>
    <w:p>
      <w:pPr>
        <w:widowControl w:val="0"/>
        <w:autoSpaceDE w:val="0"/>
        <w:autoSpaceDN w:val="0"/>
        <w:adjustRightInd w:val="0"/>
        <w:snapToGrid w:val="0"/>
        <w:ind w:firstLine="0" w:firstLineChars="0"/>
        <w:rPr>
          <w:rFonts w:ascii="宋体" w:hAnsi="宋体"/>
        </w:rPr>
      </w:pPr>
      <w:r>
        <w:rPr>
          <w:rFonts w:hint="eastAsia" w:ascii="宋体" w:hAnsi="宋体"/>
        </w:rPr>
        <w:t>1、</w:t>
      </w:r>
      <w:r>
        <w:rPr>
          <w:rFonts w:ascii="宋体" w:hAnsi="宋体"/>
          <w:szCs w:val="21"/>
        </w:rPr>
        <w:t>在研究了</w:t>
      </w:r>
      <w:r>
        <w:rPr>
          <w:rFonts w:hint="eastAsia" w:ascii="宋体" w:hAnsi="宋体"/>
          <w:szCs w:val="21"/>
        </w:rPr>
        <w:t>你方</w:t>
      </w:r>
      <w:r>
        <w:rPr>
          <w:rFonts w:ascii="宋体" w:hAnsi="宋体"/>
          <w:szCs w:val="21"/>
        </w:rPr>
        <w:t>提供的招标文件</w:t>
      </w:r>
      <w:r>
        <w:rPr>
          <w:rFonts w:hint="eastAsia" w:ascii="宋体" w:hAnsi="宋体"/>
          <w:szCs w:val="21"/>
        </w:rPr>
        <w:t>及澄清或修改文件</w:t>
      </w:r>
      <w:r>
        <w:rPr>
          <w:rFonts w:ascii="宋体" w:hAnsi="宋体"/>
          <w:szCs w:val="21"/>
        </w:rPr>
        <w:t>后，</w:t>
      </w:r>
      <w:r>
        <w:rPr>
          <w:rFonts w:hint="eastAsia" w:ascii="宋体" w:hAnsi="宋体"/>
          <w:szCs w:val="21"/>
        </w:rPr>
        <w:t>我方愿意按投标报价一览表投标总价</w:t>
      </w:r>
      <w:r>
        <w:rPr>
          <w:rFonts w:hint="eastAsia" w:ascii="宋体" w:hAnsi="宋体"/>
        </w:rPr>
        <w:t>投标、服务期和服务要求提供服务，并履行招标文件及合同协议书中的责任和义务。</w:t>
      </w:r>
    </w:p>
    <w:p>
      <w:pPr>
        <w:widowControl w:val="0"/>
        <w:autoSpaceDE w:val="0"/>
        <w:autoSpaceDN w:val="0"/>
        <w:adjustRightInd w:val="0"/>
        <w:snapToGrid w:val="0"/>
        <w:ind w:firstLine="0" w:firstLineChars="0"/>
        <w:jc w:val="left"/>
        <w:rPr>
          <w:rFonts w:ascii="宋体" w:hAnsi="宋体"/>
        </w:rPr>
      </w:pPr>
      <w:r>
        <w:rPr>
          <w:rFonts w:hint="eastAsia" w:ascii="宋体" w:hAnsi="宋体"/>
          <w:szCs w:val="21"/>
        </w:rPr>
        <w:t>2、我方已详细审查全部招标文件，包括澄清或修改文件（如有）以及有关附件。我方完全理解并同意放弃对这方面有不明及误解的权利。</w:t>
      </w:r>
    </w:p>
    <w:p>
      <w:pPr>
        <w:widowControl w:val="0"/>
        <w:autoSpaceDE w:val="0"/>
        <w:autoSpaceDN w:val="0"/>
        <w:adjustRightInd w:val="0"/>
        <w:snapToGrid w:val="0"/>
        <w:ind w:firstLine="0" w:firstLineChars="0"/>
        <w:jc w:val="left"/>
        <w:rPr>
          <w:rFonts w:ascii="宋体" w:hAnsi="宋体"/>
          <w:bCs/>
        </w:rPr>
      </w:pPr>
      <w:r>
        <w:rPr>
          <w:rFonts w:hint="eastAsia" w:ascii="宋体" w:hAnsi="宋体"/>
        </w:rPr>
        <w:t>3、</w:t>
      </w:r>
      <w:r>
        <w:rPr>
          <w:rFonts w:hint="eastAsia" w:ascii="宋体" w:hAnsi="宋体"/>
          <w:bCs/>
        </w:rPr>
        <w:t>本投标有效期为投标截止日起</w:t>
      </w:r>
      <w:r>
        <w:rPr>
          <w:rFonts w:hint="eastAsia" w:ascii="宋体" w:hAnsi="宋体"/>
          <w:bCs/>
          <w:u w:val="single"/>
        </w:rPr>
        <w:t xml:space="preserve"> 120</w:t>
      </w:r>
      <w:r>
        <w:rPr>
          <w:rFonts w:ascii="宋体" w:hAnsi="宋体"/>
          <w:bCs/>
          <w:u w:val="single"/>
        </w:rPr>
        <w:t xml:space="preserve"> </w:t>
      </w:r>
      <w:r>
        <w:rPr>
          <w:rFonts w:hint="eastAsia" w:ascii="宋体" w:hAnsi="宋体"/>
          <w:bCs/>
        </w:rPr>
        <w:t>日历日，我方保证在</w:t>
      </w:r>
      <w:r>
        <w:rPr>
          <w:rFonts w:ascii="宋体" w:hAnsi="宋体"/>
        </w:rPr>
        <w:t>投标有效期内严格遵守本投标函的各项承诺。在此期限届满之前，本投标函将对我方具有约束力，并随时接受中标</w:t>
      </w:r>
      <w:r>
        <w:rPr>
          <w:rFonts w:hint="eastAsia" w:ascii="宋体" w:hAnsi="宋体"/>
          <w:bCs/>
        </w:rPr>
        <w:t>。</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rPr>
        <w:t>同时也理解，</w:t>
      </w:r>
      <w:r>
        <w:rPr>
          <w:rFonts w:hint="eastAsia" w:ascii="宋体" w:hAnsi="宋体"/>
        </w:rPr>
        <w:t>你</w:t>
      </w:r>
      <w:r>
        <w:rPr>
          <w:rFonts w:ascii="宋体" w:hAnsi="宋体"/>
        </w:rPr>
        <w:t>方不负担我方的任何投标费用。</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5、如果我方中标，我方保证按照招标文件规定的期限要求履行提供服务及有关责任和义务。</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6、</w:t>
      </w:r>
      <w:r>
        <w:rPr>
          <w:rFonts w:ascii="宋体" w:hAnsi="宋体"/>
        </w:rPr>
        <w:t>在合同协议书正式签署生效之前，本投标函连同</w:t>
      </w:r>
      <w:r>
        <w:rPr>
          <w:rFonts w:hint="eastAsia" w:ascii="宋体" w:hAnsi="宋体"/>
        </w:rPr>
        <w:t>你方发出</w:t>
      </w:r>
      <w:r>
        <w:rPr>
          <w:rFonts w:ascii="宋体" w:hAnsi="宋体"/>
        </w:rPr>
        <w:t>的中标通知书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p>
    <w:p>
      <w:pPr>
        <w:widowControl w:val="0"/>
        <w:autoSpaceDE w:val="0"/>
        <w:autoSpaceDN w:val="0"/>
        <w:adjustRightInd w:val="0"/>
        <w:snapToGrid w:val="0"/>
        <w:ind w:firstLine="0" w:firstLineChars="0"/>
        <w:jc w:val="left"/>
        <w:rPr>
          <w:rFonts w:ascii="宋体" w:hAnsi="宋体"/>
          <w:bCs/>
          <w:u w:val="single"/>
        </w:rPr>
      </w:pPr>
      <w:r>
        <w:rPr>
          <w:rFonts w:hint="eastAsia" w:ascii="宋体" w:hAnsi="宋体"/>
          <w:bCs/>
        </w:rPr>
        <w:t>7、与本投标有关的一切正式往来通讯请发往：</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投标人地址：</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hint="eastAsia" w:ascii="宋体" w:hAnsi="宋体" w:cs="宋体"/>
          <w:sz w:val="24"/>
        </w:rPr>
        <w:t xml:space="preserve">         </w:t>
      </w:r>
      <w:bookmarkEnd w:id="369"/>
      <w:bookmarkEnd w:id="370"/>
      <w:bookmarkStart w:id="382" w:name="_Toc201743123"/>
      <w:bookmarkStart w:id="383" w:name="_Toc201997953"/>
      <w:bookmarkStart w:id="384" w:name="_Toc390444144"/>
      <w:bookmarkStart w:id="385" w:name="_Toc280341019"/>
      <w:bookmarkStart w:id="386" w:name="_Toc201742868"/>
      <w:bookmarkStart w:id="387" w:name="_Toc201401665"/>
      <w:bookmarkStart w:id="388" w:name="_Toc201719125"/>
      <w:bookmarkStart w:id="389" w:name="_Hlk532143053"/>
      <w:bookmarkStart w:id="390" w:name="_Toc201719123"/>
      <w:bookmarkStart w:id="391" w:name="_Toc280341018"/>
      <w:bookmarkStart w:id="392" w:name="_Toc201743121"/>
      <w:bookmarkStart w:id="393" w:name="_Toc201997951"/>
      <w:bookmarkStart w:id="394" w:name="_Toc370197705"/>
      <w:bookmarkStart w:id="395" w:name="_Toc201742866"/>
      <w:bookmarkStart w:id="396" w:name="_Toc201401663"/>
      <w:bookmarkStart w:id="397" w:name="_Toc199215951"/>
      <w:bookmarkStart w:id="398" w:name="_Toc390444143"/>
    </w:p>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cs="宋体"/>
          <w:b/>
          <w:bCs/>
          <w:szCs w:val="21"/>
        </w:rPr>
      </w:pPr>
      <w:r>
        <w:rPr>
          <w:rFonts w:hint="eastAsia" w:ascii="宋体" w:hAnsi="宋体" w:cs="宋体"/>
          <w:b/>
          <w:bCs/>
          <w:szCs w:val="21"/>
        </w:rPr>
        <w:t>B2、</w:t>
      </w:r>
      <w:bookmarkEnd w:id="382"/>
      <w:bookmarkEnd w:id="383"/>
      <w:bookmarkEnd w:id="384"/>
      <w:bookmarkEnd w:id="385"/>
      <w:bookmarkEnd w:id="386"/>
      <w:bookmarkEnd w:id="387"/>
      <w:bookmarkEnd w:id="388"/>
      <w:bookmarkStart w:id="399" w:name="_Toc410220103"/>
      <w:r>
        <w:rPr>
          <w:rFonts w:hint="eastAsia" w:ascii="宋体" w:hAnsi="宋体" w:cs="宋体"/>
          <w:b/>
          <w:bCs/>
          <w:szCs w:val="21"/>
        </w:rPr>
        <w:t>承诺书</w:t>
      </w:r>
      <w:bookmarkEnd w:id="399"/>
    </w:p>
    <w:p>
      <w:pPr>
        <w:widowControl w:val="0"/>
        <w:autoSpaceDE w:val="0"/>
        <w:autoSpaceDN w:val="0"/>
        <w:adjustRightInd w:val="0"/>
        <w:snapToGrid w:val="0"/>
        <w:ind w:firstLine="0" w:firstLineChars="0"/>
        <w:jc w:val="left"/>
        <w:rPr>
          <w:rFonts w:ascii="宋体" w:hAnsi="宋体"/>
          <w:b/>
          <w:bCs/>
          <w:sz w:val="28"/>
          <w:szCs w:val="28"/>
        </w:rPr>
      </w:pPr>
    </w:p>
    <w:bookmarkEnd w:id="389"/>
    <w:p>
      <w:pPr>
        <w:widowControl w:val="0"/>
        <w:autoSpaceDE w:val="0"/>
        <w:autoSpaceDN w:val="0"/>
        <w:adjustRightInd w:val="0"/>
        <w:snapToGrid w:val="0"/>
        <w:ind w:firstLine="0" w:firstLineChars="0"/>
        <w:jc w:val="center"/>
        <w:rPr>
          <w:rFonts w:ascii="宋体" w:hAnsi="宋体"/>
          <w:b/>
          <w:bCs/>
          <w:sz w:val="32"/>
          <w:szCs w:val="32"/>
        </w:rPr>
      </w:pPr>
      <w:bookmarkStart w:id="400" w:name="_Toc410220106"/>
      <w:r>
        <w:rPr>
          <w:rFonts w:hint="eastAsia" w:ascii="宋体" w:hAnsi="宋体"/>
          <w:b/>
          <w:bCs/>
          <w:sz w:val="32"/>
          <w:szCs w:val="32"/>
        </w:rPr>
        <w:t>承诺书</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深圳市龙华环境有限公司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u w:val="single"/>
        </w:rPr>
        <w:t>（投标人名称）</w:t>
      </w:r>
      <w:r>
        <w:rPr>
          <w:rFonts w:hint="eastAsia" w:ascii="宋体" w:hAnsi="宋体"/>
          <w:szCs w:val="21"/>
        </w:rPr>
        <w:t>在（</w:t>
      </w:r>
      <w:r>
        <w:rPr>
          <w:rFonts w:hint="eastAsia" w:ascii="宋体" w:hAnsi="宋体"/>
          <w:szCs w:val="21"/>
          <w:u w:val="single"/>
        </w:rPr>
        <w:t xml:space="preserve"> 2020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日至投标截止时间）没有处于被责令停业、或投标资格被取消，或财产被接管、冻结、破产状态；没有骗取中标或严重违约引起的合同终止、纠纷、争议、仲裁和诉讼记录，没有重大质量问题。</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u w:val="single"/>
        </w:rPr>
        <w:t>（投标人名称）</w:t>
      </w:r>
      <w:r>
        <w:rPr>
          <w:rFonts w:hint="eastAsia" w:ascii="宋体" w:hAnsi="宋体"/>
          <w:szCs w:val="21"/>
        </w:rPr>
        <w:t>自</w:t>
      </w:r>
      <w:r>
        <w:rPr>
          <w:rFonts w:hint="eastAsia" w:ascii="宋体" w:hAnsi="宋体"/>
          <w:szCs w:val="21"/>
          <w:u w:val="single"/>
        </w:rPr>
        <w:t xml:space="preserve"> 2020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日日至投标截止时间，提供的服务在中国大陆地区项目中无重大安全事故。</w:t>
      </w:r>
    </w:p>
    <w:p>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ind w:firstLine="420"/>
        <w:jc w:val="center"/>
        <w:rPr>
          <w:rFonts w:ascii="宋体" w:hAnsi="宋体"/>
          <w:szCs w:val="21"/>
        </w:rPr>
      </w:pPr>
      <w:r>
        <w:rPr>
          <w:rFonts w:hint="eastAsia" w:ascii="宋体" w:hAnsi="宋体"/>
        </w:rPr>
        <w:t>投标人：</w:t>
      </w:r>
      <w:r>
        <w:rPr>
          <w:rFonts w:ascii="宋体" w:hAnsi="宋体"/>
          <w:szCs w:val="21"/>
        </w:rPr>
        <w:br w:type="page"/>
      </w:r>
    </w:p>
    <w:p>
      <w:pPr>
        <w:ind w:firstLine="420"/>
        <w:jc w:val="left"/>
        <w:rPr>
          <w:rFonts w:ascii="宋体" w:hAnsi="宋体"/>
          <w:szCs w:val="21"/>
        </w:rPr>
      </w:pPr>
    </w:p>
    <w:p>
      <w:pPr>
        <w:ind w:firstLine="0" w:firstLineChars="0"/>
        <w:jc w:val="left"/>
        <w:rPr>
          <w:rFonts w:ascii="宋体" w:hAnsi="宋体" w:cs="宋体"/>
          <w:b/>
          <w:bCs/>
          <w:szCs w:val="21"/>
        </w:rPr>
      </w:pPr>
      <w:r>
        <w:rPr>
          <w:rFonts w:hint="eastAsia" w:ascii="宋体" w:hAnsi="宋体" w:cs="宋体"/>
          <w:b/>
          <w:bCs/>
          <w:szCs w:val="21"/>
        </w:rPr>
        <w:t>B</w:t>
      </w:r>
      <w:bookmarkEnd w:id="400"/>
      <w:r>
        <w:rPr>
          <w:rFonts w:hint="eastAsia" w:ascii="宋体" w:hAnsi="宋体" w:cs="宋体"/>
          <w:b/>
          <w:bCs/>
          <w:szCs w:val="21"/>
        </w:rPr>
        <w:t>3、投标人通过相关认证情况</w:t>
      </w:r>
    </w:p>
    <w:p>
      <w:pPr>
        <w:ind w:firstLine="480"/>
        <w:jc w:val="left"/>
        <w:rPr>
          <w:rFonts w:ascii="宋体" w:hAnsi="宋体" w:cs="宋体"/>
          <w:sz w:val="24"/>
        </w:rPr>
      </w:pPr>
      <w:r>
        <w:rPr>
          <w:rFonts w:hint="eastAsia" w:ascii="宋体" w:hAnsi="宋体" w:cs="宋体"/>
          <w:sz w:val="24"/>
        </w:rPr>
        <w:t>（根据商务标评审项提供相关证明材料，格式自拟）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B4、获奖情况</w:t>
      </w:r>
    </w:p>
    <w:p>
      <w:pPr>
        <w:ind w:firstLine="480"/>
        <w:jc w:val="left"/>
        <w:rPr>
          <w:rFonts w:ascii="宋体" w:hAnsi="宋体" w:cs="宋体"/>
          <w:sz w:val="24"/>
        </w:rPr>
      </w:pPr>
      <w:r>
        <w:rPr>
          <w:rFonts w:hint="eastAsia" w:ascii="宋体" w:hAnsi="宋体" w:cs="宋体"/>
          <w:sz w:val="24"/>
        </w:rPr>
        <w:t>（根据商务标评审项提供相关证明材料，格式自拟）</w:t>
      </w:r>
    </w:p>
    <w:p>
      <w:pPr>
        <w:pStyle w:val="4"/>
        <w:spacing w:before="0" w:after="0"/>
        <w:ind w:firstLine="0" w:firstLineChars="0"/>
        <w:jc w:val="left"/>
        <w:rPr>
          <w:rFonts w:ascii="宋体" w:hAnsi="宋体" w:cs="宋体"/>
          <w:b/>
          <w:bCs/>
          <w:sz w:val="21"/>
          <w:szCs w:val="21"/>
        </w:rPr>
      </w:pPr>
      <w:bookmarkStart w:id="401" w:name="_Toc410220107"/>
      <w:r>
        <w:rPr>
          <w:rFonts w:ascii="宋体" w:hAnsi="宋体" w:cs="宋体"/>
          <w:b/>
          <w:bCs/>
          <w:sz w:val="21"/>
          <w:szCs w:val="21"/>
        </w:rPr>
        <w:t>B</w:t>
      </w:r>
      <w:r>
        <w:rPr>
          <w:rFonts w:hint="eastAsia" w:ascii="宋体" w:hAnsi="宋体" w:cs="宋体"/>
          <w:b/>
          <w:bCs/>
          <w:sz w:val="21"/>
          <w:szCs w:val="21"/>
        </w:rPr>
        <w:t>5、投标人同类业绩</w:t>
      </w:r>
    </w:p>
    <w:p>
      <w:pPr>
        <w:ind w:firstLine="480"/>
        <w:jc w:val="left"/>
      </w:pPr>
      <w:r>
        <w:rPr>
          <w:rFonts w:hint="eastAsia" w:ascii="宋体" w:hAnsi="宋体" w:cs="宋体"/>
          <w:sz w:val="24"/>
        </w:rPr>
        <w:t>（根据商务标评审项提供相关证明材料，格式自拟）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B6、履约评价</w:t>
      </w:r>
    </w:p>
    <w:p>
      <w:pPr>
        <w:ind w:firstLine="480"/>
        <w:jc w:val="left"/>
      </w:pPr>
      <w:r>
        <w:rPr>
          <w:rFonts w:hint="eastAsia" w:ascii="宋体" w:hAnsi="宋体" w:cs="宋体"/>
          <w:sz w:val="24"/>
        </w:rPr>
        <w:t>（根据商务标评审项提供相关证明材料，格式自拟）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B7、相关资质证书</w:t>
      </w:r>
    </w:p>
    <w:p>
      <w:pPr>
        <w:ind w:firstLine="480"/>
        <w:jc w:val="left"/>
      </w:pPr>
      <w:r>
        <w:rPr>
          <w:rFonts w:hint="eastAsia" w:ascii="宋体" w:hAnsi="宋体" w:cs="宋体"/>
          <w:sz w:val="24"/>
        </w:rPr>
        <w:t>（根据商务标评审项提供相关证明材料，格式自拟）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B8、诚信</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b/>
          <w:bCs/>
        </w:rPr>
        <w:t>致深圳市龙华环境有限公司：</w:t>
      </w:r>
    </w:p>
    <w:p>
      <w:pPr>
        <w:pStyle w:val="46"/>
        <w:spacing w:line="264" w:lineRule="atLeast"/>
        <w:ind w:firstLine="380"/>
        <w:rPr>
          <w:b/>
          <w:color w:val="FF0000"/>
        </w:rPr>
      </w:pPr>
      <w:r>
        <w:rPr>
          <w:rFonts w:hint="eastAsia"/>
        </w:rPr>
        <w:t>在参与贵公司组织的</w:t>
      </w:r>
      <w:r>
        <w:rPr>
          <w:rFonts w:hint="eastAsia"/>
          <w:u w:val="single"/>
        </w:rPr>
        <w:t xml:space="preserve">       （项目名称）    （项目编号：      ） </w:t>
      </w:r>
      <w:r>
        <w:rPr>
          <w:rFonts w:hint="eastAsia"/>
        </w:rPr>
        <w:t>采购活动中，我单位承诺：</w:t>
      </w:r>
      <w:r>
        <w:rPr>
          <w:rFonts w:hint="eastAsia"/>
          <w:b/>
          <w:color w:val="FF0000"/>
        </w:rPr>
        <w:t>本公司不存在因违法违规行为被记入诚信档案</w:t>
      </w:r>
      <w:r>
        <w:rPr>
          <w:rFonts w:hint="eastAsia"/>
          <w:b/>
          <w:bCs/>
          <w:color w:val="FF0000"/>
          <w:szCs w:val="21"/>
        </w:rPr>
        <w:t>且在相关主管部门处理措施实施期限内</w:t>
      </w:r>
      <w:r>
        <w:rPr>
          <w:b/>
          <w:color w:val="FF0000"/>
        </w:rPr>
        <w:t>的</w:t>
      </w:r>
      <w:r>
        <w:rPr>
          <w:rFonts w:hint="eastAsia"/>
          <w:b/>
          <w:color w:val="FF0000"/>
        </w:rPr>
        <w:t>情形。</w:t>
      </w:r>
    </w:p>
    <w:p>
      <w:pPr>
        <w:pStyle w:val="46"/>
        <w:spacing w:line="264" w:lineRule="atLeast"/>
        <w:ind w:firstLine="380"/>
      </w:pPr>
      <w:r>
        <w:rPr>
          <w:rFonts w:hint="eastAsia"/>
        </w:rPr>
        <w:t xml:space="preserve">    我公司对该承诺的真实性负责，如有不实，自愿接受相关法律法规的处罚及其他一切后果（含自愿接受将此不良行为记入</w:t>
      </w:r>
      <w:r>
        <w:t>供应商诚信档案</w:t>
      </w:r>
      <w:r>
        <w:rPr>
          <w:rFonts w:hint="eastAsia"/>
        </w:rPr>
        <w:t>和自愿接受虚假响应导致禁止参加政府采购活动的处罚等）。</w:t>
      </w:r>
    </w:p>
    <w:p>
      <w:pPr>
        <w:ind w:firstLine="420"/>
        <w:rPr>
          <w:rFonts w:ascii="宋体" w:hAnsi="宋体"/>
        </w:rPr>
      </w:pPr>
      <w:r>
        <w:rPr>
          <w:rFonts w:hint="eastAsia" w:ascii="宋体" w:hAnsi="宋体"/>
        </w:rPr>
        <w:t xml:space="preserve">    特此承诺。</w:t>
      </w:r>
    </w:p>
    <w:p>
      <w:pPr>
        <w:ind w:firstLine="420"/>
      </w:pPr>
    </w:p>
    <w:p>
      <w:pPr>
        <w:ind w:firstLine="4620" w:firstLineChars="2200"/>
        <w:jc w:val="left"/>
        <w:rPr>
          <w:rFonts w:ascii="宋体" w:hAnsi="宋体"/>
        </w:rPr>
      </w:pPr>
      <w:r>
        <w:rPr>
          <w:rFonts w:hint="eastAsia" w:ascii="宋体" w:hAnsi="宋体"/>
        </w:rPr>
        <w:t xml:space="preserve">投标单位： </w:t>
      </w:r>
    </w:p>
    <w:p>
      <w:pPr>
        <w:ind w:firstLine="4620" w:firstLineChars="2200"/>
        <w:jc w:val="left"/>
      </w:pPr>
      <w:r>
        <w:rPr>
          <w:rFonts w:hint="eastAsia" w:ascii="宋体" w:hAnsi="宋体"/>
        </w:rPr>
        <w:t>日期：    年   月   日</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B19、其他</w:t>
      </w:r>
    </w:p>
    <w:p>
      <w:pPr>
        <w:widowControl w:val="0"/>
        <w:autoSpaceDE w:val="0"/>
        <w:autoSpaceDN w:val="0"/>
        <w:adjustRightInd w:val="0"/>
        <w:snapToGrid w:val="0"/>
        <w:ind w:firstLine="0" w:firstLineChars="0"/>
        <w:jc w:val="left"/>
        <w:rPr>
          <w:rFonts w:ascii="宋体" w:hAnsi="宋体"/>
          <w:bCs/>
          <w:szCs w:val="21"/>
        </w:rPr>
      </w:pPr>
      <w:r>
        <w:rPr>
          <w:rFonts w:hint="eastAsia" w:ascii="宋体" w:hAnsi="宋体" w:cs="宋体"/>
          <w:sz w:val="24"/>
        </w:rPr>
        <w:t>（投标人认为应补充提供的其他文件资料或说明，格式自拟）</w:t>
      </w:r>
      <w:bookmarkEnd w:id="401"/>
      <w:bookmarkStart w:id="402" w:name="_Toc49247168"/>
    </w:p>
    <w:p>
      <w:pPr>
        <w:ind w:firstLine="883"/>
        <w:rPr>
          <w:rFonts w:ascii="宋体" w:hAnsi="宋体"/>
          <w:b/>
          <w:sz w:val="44"/>
          <w:szCs w:val="44"/>
        </w:rPr>
      </w:pPr>
      <w:r>
        <w:rPr>
          <w:rFonts w:hint="eastAsia" w:ascii="宋体" w:hAnsi="宋体"/>
          <w:b/>
          <w:sz w:val="44"/>
          <w:szCs w:val="44"/>
        </w:rPr>
        <w:br w:type="page"/>
      </w:r>
    </w:p>
    <w:p>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三、技术标部分</w:t>
      </w:r>
      <w:bookmarkEnd w:id="402"/>
    </w:p>
    <w:bookmarkEnd w:id="390"/>
    <w:bookmarkEnd w:id="391"/>
    <w:bookmarkEnd w:id="392"/>
    <w:bookmarkEnd w:id="393"/>
    <w:bookmarkEnd w:id="394"/>
    <w:bookmarkEnd w:id="395"/>
    <w:bookmarkEnd w:id="396"/>
    <w:bookmarkEnd w:id="397"/>
    <w:bookmarkEnd w:id="398"/>
    <w:p>
      <w:pPr>
        <w:pStyle w:val="4"/>
        <w:spacing w:before="0" w:after="0"/>
        <w:ind w:firstLine="0" w:firstLineChars="0"/>
        <w:jc w:val="left"/>
        <w:rPr>
          <w:rFonts w:ascii="宋体" w:hAnsi="宋体" w:cs="宋体"/>
          <w:b/>
          <w:bCs/>
          <w:sz w:val="21"/>
          <w:szCs w:val="21"/>
        </w:rPr>
      </w:pPr>
      <w:bookmarkStart w:id="403" w:name="_Toc199215991"/>
      <w:bookmarkStart w:id="404" w:name="_Toc373139290"/>
      <w:bookmarkStart w:id="405" w:name="_Toc201401708"/>
      <w:bookmarkStart w:id="406" w:name="_Toc201742912"/>
      <w:bookmarkStart w:id="407" w:name="_Toc201719168"/>
      <w:bookmarkStart w:id="408" w:name="_Toc280341042"/>
      <w:bookmarkStart w:id="409" w:name="_Toc390444157"/>
      <w:bookmarkStart w:id="410" w:name="_Toc201743167"/>
      <w:bookmarkStart w:id="411" w:name="_Toc201997996"/>
      <w:bookmarkStart w:id="412" w:name="_Toc103258639"/>
      <w:bookmarkStart w:id="413" w:name="_Toc102385731"/>
      <w:bookmarkStart w:id="414" w:name="_Toc153591804"/>
      <w:bookmarkStart w:id="415" w:name="_Toc102392597"/>
      <w:bookmarkStart w:id="416" w:name="_Toc103258079"/>
      <w:bookmarkStart w:id="417" w:name="_Toc102316715"/>
      <w:bookmarkStart w:id="418" w:name="_Toc102391902"/>
      <w:bookmarkStart w:id="419" w:name="_Toc102316470"/>
      <w:bookmarkStart w:id="420" w:name="_Toc102319448"/>
      <w:bookmarkStart w:id="421" w:name="_Toc102315646"/>
      <w:bookmarkStart w:id="422" w:name="_Toc153177847"/>
      <w:bookmarkStart w:id="423" w:name="_Toc102316949"/>
      <w:bookmarkStart w:id="424" w:name="_Toc103704738"/>
      <w:bookmarkStart w:id="425" w:name="_Toc103734977"/>
      <w:bookmarkStart w:id="426" w:name="_Toc103257699"/>
      <w:bookmarkStart w:id="427" w:name="_Toc102318076"/>
      <w:bookmarkStart w:id="428" w:name="_Toc103257484"/>
      <w:bookmarkStart w:id="429" w:name="_Toc103256567"/>
      <w:bookmarkStart w:id="430" w:name="_Toc153524107"/>
      <w:r>
        <w:rPr>
          <w:rFonts w:hint="eastAsia" w:ascii="宋体" w:hAnsi="宋体" w:cs="宋体"/>
          <w:b/>
          <w:bCs/>
          <w:sz w:val="21"/>
          <w:szCs w:val="21"/>
        </w:rPr>
        <w:t>C1、</w:t>
      </w:r>
      <w:bookmarkEnd w:id="403"/>
      <w:bookmarkEnd w:id="404"/>
      <w:bookmarkEnd w:id="405"/>
      <w:bookmarkEnd w:id="406"/>
      <w:bookmarkEnd w:id="407"/>
      <w:bookmarkEnd w:id="408"/>
      <w:bookmarkEnd w:id="409"/>
      <w:bookmarkEnd w:id="410"/>
      <w:bookmarkEnd w:id="411"/>
      <w:bookmarkStart w:id="431" w:name="_Toc390444159"/>
      <w:bookmarkStart w:id="432" w:name="_Toc201997999"/>
      <w:bookmarkStart w:id="433" w:name="_Toc373139292"/>
      <w:bookmarkStart w:id="434" w:name="_Toc201742915"/>
      <w:bookmarkStart w:id="435" w:name="_Toc201719171"/>
      <w:bookmarkStart w:id="436" w:name="_Toc201743170"/>
      <w:r>
        <w:rPr>
          <w:rFonts w:hint="eastAsia" w:ascii="宋体" w:hAnsi="宋体" w:cs="宋体"/>
          <w:b/>
          <w:bCs/>
          <w:sz w:val="21"/>
          <w:szCs w:val="21"/>
        </w:rPr>
        <w:t>实施方案</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C2、拟安排的项目负责人情况（仅限一人）</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C3、拟安排的项目主要团队成员(主要技术人员)情况(项目负责人除外)</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C4、违约承诺</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C5、其他</w:t>
      </w:r>
    </w:p>
    <w:p>
      <w:pPr>
        <w:widowControl w:val="0"/>
        <w:autoSpaceDE w:val="0"/>
        <w:autoSpaceDN w:val="0"/>
        <w:adjustRightInd w:val="0"/>
        <w:snapToGrid w:val="0"/>
        <w:ind w:firstLine="0" w:firstLineChars="0"/>
        <w:jc w:val="left"/>
        <w:rPr>
          <w:rFonts w:ascii="宋体" w:hAnsi="宋体"/>
          <w:b/>
        </w:rPr>
      </w:pPr>
      <w:r>
        <w:rPr>
          <w:rFonts w:hint="eastAsia" w:ascii="宋体" w:hAnsi="宋体"/>
        </w:rPr>
        <w:t>投标人认为应补充提供的其他文件资料或说明。</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Pr>
        <w:ind w:firstLine="883"/>
        <w:jc w:val="left"/>
        <w:rPr>
          <w:rFonts w:ascii="宋体" w:hAnsi="宋体" w:cs="Courier New"/>
          <w:b/>
          <w:bCs/>
          <w:sz w:val="44"/>
          <w:szCs w:val="44"/>
        </w:rPr>
      </w:pPr>
      <w:bookmarkStart w:id="437" w:name="_Toc49247169"/>
      <w:r>
        <w:rPr>
          <w:rFonts w:hint="eastAsia" w:ascii="宋体" w:hAnsi="宋体" w:cs="Courier New"/>
          <w:b/>
          <w:bCs/>
          <w:sz w:val="44"/>
          <w:szCs w:val="44"/>
        </w:rPr>
        <w:br w:type="page"/>
      </w:r>
    </w:p>
    <w:p>
      <w:pPr>
        <w:widowControl w:val="0"/>
        <w:numPr>
          <w:ilvl w:val="0"/>
          <w:numId w:val="11"/>
        </w:numPr>
        <w:autoSpaceDE w:val="0"/>
        <w:autoSpaceDN w:val="0"/>
        <w:adjustRightInd w:val="0"/>
        <w:snapToGrid w:val="0"/>
        <w:ind w:firstLine="2209" w:firstLineChars="500"/>
        <w:outlineLvl w:val="1"/>
        <w:rPr>
          <w:rFonts w:ascii="宋体" w:hAnsi="宋体" w:cs="Courier New"/>
          <w:b/>
          <w:bCs/>
          <w:sz w:val="44"/>
          <w:szCs w:val="44"/>
        </w:rPr>
      </w:pPr>
      <w:r>
        <w:rPr>
          <w:rFonts w:hint="eastAsia" w:ascii="宋体" w:hAnsi="宋体" w:cs="Courier New"/>
          <w:b/>
          <w:bCs/>
          <w:sz w:val="44"/>
          <w:szCs w:val="44"/>
        </w:rPr>
        <w:t>价格标部分</w:t>
      </w:r>
      <w:bookmarkEnd w:id="437"/>
      <w:bookmarkStart w:id="438" w:name="_Toc278893410"/>
    </w:p>
    <w:tbl>
      <w:tblPr>
        <w:tblStyle w:val="49"/>
        <w:tblW w:w="81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176"/>
        <w:gridCol w:w="981"/>
        <w:gridCol w:w="920"/>
        <w:gridCol w:w="1413"/>
        <w:gridCol w:w="1270"/>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19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节日灯笼国旗等装饰物悬挂服务报价表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数量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2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9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含6%税</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widowControl w:val="0"/>
        <w:autoSpaceDE w:val="0"/>
        <w:autoSpaceDN w:val="0"/>
        <w:adjustRightInd w:val="0"/>
        <w:snapToGrid w:val="0"/>
        <w:ind w:firstLine="0" w:firstLineChars="0"/>
        <w:outlineLvl w:val="1"/>
        <w:rPr>
          <w:rFonts w:hint="eastAsia" w:ascii="宋体" w:hAnsi="宋体" w:cs="宋体"/>
          <w:b/>
          <w:bCs/>
          <w:szCs w:val="21"/>
        </w:rPr>
      </w:pPr>
    </w:p>
    <w:p>
      <w:pPr>
        <w:widowControl w:val="0"/>
        <w:autoSpaceDE w:val="0"/>
        <w:autoSpaceDN w:val="0"/>
        <w:adjustRightInd w:val="0"/>
        <w:snapToGrid w:val="0"/>
        <w:ind w:firstLine="0" w:firstLineChars="0"/>
        <w:outlineLvl w:val="1"/>
        <w:rPr>
          <w:rFonts w:hint="eastAsia" w:ascii="宋体" w:hAnsi="宋体" w:cs="宋体"/>
          <w:b/>
          <w:bCs/>
          <w:szCs w:val="21"/>
        </w:rPr>
      </w:pPr>
    </w:p>
    <w:p>
      <w:pPr>
        <w:widowControl w:val="0"/>
        <w:autoSpaceDE w:val="0"/>
        <w:autoSpaceDN w:val="0"/>
        <w:adjustRightInd w:val="0"/>
        <w:snapToGrid w:val="0"/>
        <w:ind w:firstLine="0" w:firstLineChars="0"/>
        <w:jc w:val="left"/>
        <w:rPr>
          <w:rFonts w:ascii="宋体" w:hAnsi="宋体"/>
          <w:b/>
          <w:bCs/>
          <w:sz w:val="28"/>
          <w:szCs w:val="28"/>
        </w:rPr>
      </w:pPr>
      <w:r>
        <w:rPr>
          <w:rFonts w:ascii="宋体" w:hAnsi="宋体"/>
          <w:b/>
          <w:bCs/>
          <w:sz w:val="28"/>
          <w:szCs w:val="28"/>
        </w:rPr>
        <w:tab/>
      </w:r>
    </w:p>
    <w:p>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投标报价一览表</w:t>
      </w:r>
      <w:bookmarkEnd w:id="438"/>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cs="宋体"/>
          <w:sz w:val="32"/>
          <w:szCs w:val="32"/>
          <w:u w:val="single"/>
        </w:rPr>
        <w:t>节日灯笼国旗等装饰物悬挂服务</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4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07"/>
        <w:gridCol w:w="1222"/>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592" w:type="dxa"/>
            <w:tcBorders>
              <w:right w:val="single" w:color="auto" w:sz="2" w:space="0"/>
            </w:tcBorders>
            <w:shd w:val="clear" w:color="auto" w:fill="DBE5F1"/>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项目名称</w:t>
            </w:r>
          </w:p>
        </w:tc>
        <w:tc>
          <w:tcPr>
            <w:tcW w:w="3207" w:type="dxa"/>
            <w:tcBorders>
              <w:left w:val="single" w:color="auto" w:sz="2" w:space="0"/>
            </w:tcBorders>
            <w:shd w:val="clear" w:color="auto" w:fill="DBE5F1"/>
            <w:vAlign w:val="center"/>
          </w:tcPr>
          <w:p>
            <w:pPr>
              <w:ind w:firstLine="0" w:firstLineChars="0"/>
              <w:jc w:val="center"/>
              <w:rPr>
                <w:rFonts w:ascii="宋体" w:hAnsi="宋体"/>
                <w:b/>
                <w:szCs w:val="21"/>
              </w:rPr>
            </w:pPr>
            <w:r>
              <w:rPr>
                <w:rFonts w:hint="eastAsia" w:ascii="SimSun,Bold" w:hAnsi="SimSun,Bold" w:eastAsia="SimSun,Bold"/>
                <w:b/>
              </w:rPr>
              <w:t>投保报价</w:t>
            </w:r>
          </w:p>
        </w:tc>
        <w:tc>
          <w:tcPr>
            <w:tcW w:w="1222" w:type="dxa"/>
            <w:shd w:val="clear" w:color="auto" w:fill="DBE5F1"/>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服务期</w:t>
            </w:r>
          </w:p>
        </w:tc>
        <w:tc>
          <w:tcPr>
            <w:tcW w:w="1759" w:type="dxa"/>
            <w:shd w:val="clear" w:color="auto" w:fill="DBE5F1"/>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2592" w:type="dxa"/>
            <w:tcBorders>
              <w:right w:val="single" w:color="auto" w:sz="2" w:space="0"/>
            </w:tcBorders>
            <w:vAlign w:val="center"/>
          </w:tcPr>
          <w:p>
            <w:pPr>
              <w:widowControl w:val="0"/>
              <w:autoSpaceDE w:val="0"/>
              <w:autoSpaceDN w:val="0"/>
              <w:adjustRightInd w:val="0"/>
              <w:snapToGrid w:val="0"/>
              <w:ind w:firstLine="0" w:firstLineChars="0"/>
              <w:jc w:val="center"/>
              <w:rPr>
                <w:rFonts w:ascii="宋体" w:hAnsi="宋体" w:cs="宋体"/>
                <w:kern w:val="0"/>
                <w:szCs w:val="21"/>
              </w:rPr>
            </w:pPr>
            <w:r>
              <w:rPr>
                <w:rFonts w:hint="eastAsia" w:ascii="宋体" w:hAnsi="宋体" w:cs="宋体"/>
                <w:kern w:val="0"/>
                <w:sz w:val="20"/>
                <w:szCs w:val="20"/>
              </w:rPr>
              <w:t xml:space="preserve"> </w:t>
            </w:r>
          </w:p>
        </w:tc>
        <w:tc>
          <w:tcPr>
            <w:tcW w:w="3207" w:type="dxa"/>
            <w:tcBorders>
              <w:left w:val="single" w:color="auto" w:sz="2" w:space="0"/>
            </w:tcBorders>
            <w:vAlign w:val="center"/>
          </w:tcPr>
          <w:p>
            <w:pPr>
              <w:widowControl w:val="0"/>
              <w:autoSpaceDE w:val="0"/>
              <w:autoSpaceDN w:val="0"/>
              <w:adjustRightInd w:val="0"/>
              <w:snapToGrid w:val="0"/>
              <w:ind w:firstLine="0" w:firstLineChars="0"/>
              <w:jc w:val="center"/>
              <w:rPr>
                <w:rFonts w:ascii="宋体" w:hAnsi="宋体"/>
                <w:szCs w:val="21"/>
              </w:rPr>
            </w:pPr>
          </w:p>
        </w:tc>
        <w:tc>
          <w:tcPr>
            <w:tcW w:w="1222"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w:t>
            </w:r>
          </w:p>
        </w:tc>
        <w:tc>
          <w:tcPr>
            <w:tcW w:w="1759" w:type="dxa"/>
            <w:vAlign w:val="center"/>
          </w:tcPr>
          <w:p>
            <w:pPr>
              <w:ind w:firstLine="0" w:firstLineChars="0"/>
              <w:jc w:val="left"/>
              <w:rPr>
                <w:rFonts w:ascii="宋体" w:hAnsi="宋体"/>
                <w:szCs w:val="21"/>
              </w:rPr>
            </w:pPr>
            <w:r>
              <w:rPr>
                <w:rFonts w:hint="eastAsia" w:ascii="宋体" w:hAnsi="宋体"/>
              </w:rPr>
              <w:t xml:space="preserve"> </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szCs w:val="21"/>
          <w:u w:val="single"/>
        </w:rPr>
      </w:pPr>
      <w:bookmarkStart w:id="439" w:name="_Toc354072485"/>
      <w:bookmarkStart w:id="440" w:name="_Toc201401716"/>
      <w:bookmarkStart w:id="441" w:name="_Toc199215999"/>
      <w:bookmarkStart w:id="442" w:name="_Toc349224955"/>
      <w:bookmarkStart w:id="443" w:name="_Toc199215805"/>
      <w:bookmarkStart w:id="444" w:name="_Toc372450815"/>
      <w:bookmarkStart w:id="445" w:name="_Toc201742920"/>
      <w:bookmarkStart w:id="446" w:name="_Toc201719175"/>
      <w:bookmarkStart w:id="447" w:name="_Toc280341062"/>
      <w:bookmarkStart w:id="448" w:name="_Toc350769836"/>
      <w:bookmarkStart w:id="449" w:name="_Toc290993142"/>
      <w:bookmarkStart w:id="450" w:name="_Toc280341060"/>
      <w:bookmarkStart w:id="451" w:name="_Toc199213770"/>
      <w:bookmarkStart w:id="452" w:name="_Toc354928098"/>
      <w:bookmarkStart w:id="453" w:name="_Toc201998003"/>
      <w:bookmarkStart w:id="454" w:name="_Toc278893413"/>
      <w:bookmarkStart w:id="455" w:name="_Toc342064557"/>
      <w:bookmarkStart w:id="456" w:name="_Toc285611324"/>
      <w:bookmarkStart w:id="457" w:name="_Toc201743175"/>
      <w:bookmarkStart w:id="458" w:name="_Toc342473298"/>
      <w:bookmarkStart w:id="459" w:name="_Toc353538815"/>
      <w:bookmarkStart w:id="460" w:name="_Toc373075880"/>
      <w:bookmarkStart w:id="461" w:name="_Toc291178366"/>
      <w:bookmarkStart w:id="462" w:name="_Toc350871837"/>
      <w:bookmarkStart w:id="463" w:name="_Toc350774927"/>
      <w:bookmarkStart w:id="464" w:name="_Toc342056723"/>
      <w:bookmarkStart w:id="465" w:name="_Toc351032922"/>
      <w:bookmarkStart w:id="466" w:name="_Toc342394853"/>
      <w:bookmarkStart w:id="467" w:name="_Toc353179117"/>
      <w:bookmarkStart w:id="468" w:name="_Toc353110277"/>
      <w:bookmarkStart w:id="469" w:name="_Toc350770143"/>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b/>
          <w:szCs w:val="21"/>
        </w:rPr>
      </w:pPr>
    </w:p>
    <w:p>
      <w:pPr>
        <w:ind w:firstLine="0" w:firstLineChars="0"/>
        <w:rPr>
          <w:rFonts w:ascii="宋体" w:hAnsi="宋体"/>
        </w:rPr>
      </w:pPr>
      <w:r>
        <w:rPr>
          <w:rFonts w:hint="eastAsia" w:ascii="宋体" w:hAnsi="宋体"/>
        </w:rPr>
        <w:t>本项目投标报价的注意事项如下：</w:t>
      </w:r>
    </w:p>
    <w:p>
      <w:pPr>
        <w:ind w:firstLine="420"/>
        <w:rPr>
          <w:rFonts w:ascii="宋体" w:hAnsi="宋体" w:cs="宋体"/>
          <w:b/>
          <w:color w:val="000000"/>
          <w:szCs w:val="21"/>
        </w:rPr>
      </w:pPr>
      <w:r>
        <w:rPr>
          <w:rFonts w:hint="eastAsia" w:ascii="宋体" w:hAnsi="宋体"/>
        </w:rPr>
        <w:t>1、</w:t>
      </w:r>
      <w:r>
        <w:rPr>
          <w:rFonts w:hint="eastAsia" w:ascii="宋体" w:hAnsi="宋体" w:cs="宋体"/>
          <w:b/>
          <w:szCs w:val="21"/>
        </w:rPr>
        <w:t>本项目的预算金额为人民</w:t>
      </w:r>
      <w:r>
        <w:rPr>
          <w:rFonts w:hint="eastAsia" w:ascii="宋体" w:hAnsi="宋体" w:cs="宋体"/>
          <w:b/>
          <w:color w:val="000000"/>
          <w:szCs w:val="21"/>
        </w:rPr>
        <w:t>币</w:t>
      </w:r>
      <w:r>
        <w:rPr>
          <w:rFonts w:hint="eastAsia" w:ascii="宋体" w:hAnsi="宋体" w:cs="宋体"/>
          <w:b/>
          <w:bCs/>
          <w:u w:val="single"/>
        </w:rPr>
        <w:t xml:space="preserve">   </w:t>
      </w:r>
      <w:r>
        <w:rPr>
          <w:rFonts w:hint="eastAsia" w:ascii="宋体" w:hAnsi="宋体" w:cs="宋体"/>
          <w:b/>
          <w:bCs/>
          <w:u w:val="single"/>
          <w:lang w:val="en-US" w:eastAsia="zh-CN"/>
        </w:rPr>
        <w:t>580628.3</w:t>
      </w:r>
      <w:bookmarkStart w:id="471" w:name="_GoBack"/>
      <w:bookmarkEnd w:id="471"/>
      <w:r>
        <w:rPr>
          <w:rFonts w:hint="eastAsia" w:ascii="宋体" w:hAnsi="宋体" w:cs="宋体"/>
          <w:b/>
          <w:bCs/>
          <w:u w:val="single"/>
        </w:rPr>
        <w:t xml:space="preserve">  </w:t>
      </w:r>
      <w:r>
        <w:rPr>
          <w:rFonts w:hint="eastAsia" w:ascii="宋体" w:hAnsi="宋体" w:cs="宋体"/>
          <w:b/>
          <w:color w:val="000000"/>
          <w:szCs w:val="21"/>
        </w:rPr>
        <w:t>元；</w:t>
      </w:r>
    </w:p>
    <w:p>
      <w:pPr>
        <w:ind w:firstLine="422"/>
        <w:jc w:val="left"/>
        <w:rPr>
          <w:rFonts w:ascii="SimSun,Bold" w:hAnsi="SimSun,Bold" w:eastAsia="SimSun,Bold"/>
          <w:b/>
        </w:rPr>
      </w:pPr>
      <w:r>
        <w:rPr>
          <w:rFonts w:hint="eastAsia" w:ascii="SimSun,Bold" w:hAnsi="SimSun,Bold" w:eastAsia="SimSun,Bold"/>
          <w:b/>
        </w:rPr>
        <w:t>2、本项目投标报价应包括服务成本、法定税费和利润。由企业根据招标文件所提供的资料自行测算投标报价。</w:t>
      </w:r>
    </w:p>
    <w:p>
      <w:pPr>
        <w:widowControl w:val="0"/>
        <w:autoSpaceDE w:val="0"/>
        <w:autoSpaceDN w:val="0"/>
        <w:adjustRightInd w:val="0"/>
        <w:snapToGrid w:val="0"/>
        <w:ind w:firstLine="0" w:firstLineChars="0"/>
        <w:jc w:val="left"/>
        <w:rPr>
          <w:rFonts w:ascii="宋体" w:hAnsi="宋体"/>
          <w:b/>
          <w:szCs w:val="21"/>
        </w:rPr>
      </w:pPr>
    </w:p>
    <w:p>
      <w:pPr>
        <w:pStyle w:val="4"/>
        <w:spacing w:before="0" w:after="0"/>
        <w:ind w:firstLine="0" w:firstLineChars="0"/>
        <w:rPr>
          <w:rFonts w:ascii="SimSun,Bold" w:hAnsi="SimSun,Bold" w:eastAsia="SimSun,Bold"/>
          <w:b/>
          <w:sz w:val="21"/>
        </w:rPr>
      </w:pPr>
      <w:bookmarkStart w:id="470" w:name="_Toc390444192"/>
      <w:r>
        <w:rPr>
          <w:rFonts w:hint="eastAsia" w:ascii="宋体" w:hAnsi="宋体"/>
          <w:b/>
          <w:szCs w:val="21"/>
        </w:rPr>
        <w:t>D2、</w:t>
      </w:r>
      <w:r>
        <w:rPr>
          <w:rFonts w:hint="eastAsia" w:ascii="SimSun,Bold" w:hAnsi="SimSun,Bold" w:eastAsia="SimSun,Bold"/>
          <w:b/>
          <w:sz w:val="21"/>
        </w:rPr>
        <w:t>其他</w:t>
      </w:r>
    </w:p>
    <w:p>
      <w:pPr>
        <w:widowControl w:val="0"/>
        <w:autoSpaceDE w:val="0"/>
        <w:autoSpaceDN w:val="0"/>
        <w:adjustRightInd w:val="0"/>
        <w:snapToGrid w:val="0"/>
        <w:ind w:firstLine="0" w:firstLineChars="0"/>
        <w:jc w:val="left"/>
        <w:rPr>
          <w:rFonts w:ascii="宋体" w:hAnsi="宋体"/>
        </w:rPr>
      </w:pPr>
      <w:r>
        <w:rPr>
          <w:rFonts w:hint="eastAsia" w:ascii="宋体" w:hAnsi="宋体"/>
        </w:rPr>
        <w:t>投标人认为应补充提供的其他文件资料或说明。</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ind w:firstLine="420"/>
      </w:pPr>
    </w:p>
    <w:p>
      <w:pPr>
        <w:tabs>
          <w:tab w:val="left" w:pos="511"/>
        </w:tabs>
        <w:ind w:firstLine="420"/>
        <w:jc w:val="left"/>
      </w:pPr>
    </w:p>
    <w:sectPr>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全真中明體">
    <w:altName w:val="Microsoft JhengHei"/>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Bold">
    <w:altName w:val="宋体"/>
    <w:panose1 w:val="00000000000000000000"/>
    <w:charset w:val="86"/>
    <w:family w:val="auto"/>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71</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p>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spacing w:after="0" w:line="240" w:lineRule="auto"/>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60"/>
      <w:jc w:val="right"/>
    </w:pPr>
    <w:r>
      <w:rPr>
        <w:rFonts w:hint="eastAsia"/>
        <w:bCs/>
      </w:rPr>
      <w:drawing>
        <wp:inline distT="0" distB="0" distL="114300" distR="114300">
          <wp:extent cx="1548130" cy="360680"/>
          <wp:effectExtent l="0" t="0" r="13970" b="1270"/>
          <wp:docPr id="2" name="图片 2"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818203312"/>
                  <pic:cNvPicPr>
                    <a:picLocks noChangeAspect="1"/>
                  </pic:cNvPicPr>
                </pic:nvPicPr>
                <pic:blipFill>
                  <a:blip r:embed="rId1"/>
                  <a:stretch>
                    <a:fillRect/>
                  </a:stretch>
                </pic:blipFill>
                <pic:spPr>
                  <a:xfrm>
                    <a:off x="0" y="0"/>
                    <a:ext cx="1548130" cy="360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5A3"/>
    <w:multiLevelType w:val="singleLevel"/>
    <w:tmpl w:val="B1CA85A3"/>
    <w:lvl w:ilvl="0" w:tentative="0">
      <w:start w:val="4"/>
      <w:numFmt w:val="chineseCounting"/>
      <w:suff w:val="nothing"/>
      <w:lvlText w:val="%1、"/>
      <w:lvlJc w:val="left"/>
      <w:rPr>
        <w:rFonts w:hint="eastAsia"/>
      </w:rPr>
    </w:lvl>
  </w:abstractNum>
  <w:abstractNum w:abstractNumId="1">
    <w:nsid w:val="C4CA5778"/>
    <w:multiLevelType w:val="singleLevel"/>
    <w:tmpl w:val="C4CA5778"/>
    <w:lvl w:ilvl="0" w:tentative="0">
      <w:start w:val="3"/>
      <w:numFmt w:val="chineseCounting"/>
      <w:suff w:val="space"/>
      <w:lvlText w:val="第%1章"/>
      <w:lvlJc w:val="left"/>
      <w:rPr>
        <w:rFonts w:hint="eastAsia"/>
      </w:rPr>
    </w:lvl>
  </w:abstractNum>
  <w:abstractNum w:abstractNumId="2">
    <w:nsid w:val="0A76D104"/>
    <w:multiLevelType w:val="singleLevel"/>
    <w:tmpl w:val="0A76D104"/>
    <w:lvl w:ilvl="0" w:tentative="0">
      <w:start w:val="1"/>
      <w:numFmt w:val="decimal"/>
      <w:lvlText w:val="%1."/>
      <w:lvlJc w:val="left"/>
      <w:pPr>
        <w:tabs>
          <w:tab w:val="left" w:pos="312"/>
        </w:tabs>
      </w:pPr>
    </w:lvl>
  </w:abstractNum>
  <w:abstractNum w:abstractNumId="3">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4">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1BEF4EC0"/>
    <w:multiLevelType w:val="multilevel"/>
    <w:tmpl w:val="1BEF4EC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0">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6"/>
  </w:num>
  <w:num w:numId="2">
    <w:abstractNumId w:val="2"/>
  </w:num>
  <w:num w:numId="3">
    <w:abstractNumId w:val="8"/>
  </w:num>
  <w:num w:numId="4">
    <w:abstractNumId w:val="4"/>
  </w:num>
  <w:num w:numId="5">
    <w:abstractNumId w:val="10"/>
  </w:num>
  <w:num w:numId="6">
    <w:abstractNumId w:val="7"/>
  </w:num>
  <w:num w:numId="7">
    <w:abstractNumId w:val="3"/>
  </w:num>
  <w:num w:numId="8">
    <w:abstractNumId w:val="9"/>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YzMjgxNDY4NjJjZjY3ZmE3YjBlNDQ4NTM3NTM0YzYifQ=="/>
  </w:docVars>
  <w:rsids>
    <w:rsidRoot w:val="00172A27"/>
    <w:rsid w:val="0000066C"/>
    <w:rsid w:val="00000EA6"/>
    <w:rsid w:val="00000EEA"/>
    <w:rsid w:val="000024E0"/>
    <w:rsid w:val="00002620"/>
    <w:rsid w:val="00002674"/>
    <w:rsid w:val="00004014"/>
    <w:rsid w:val="00004927"/>
    <w:rsid w:val="00005535"/>
    <w:rsid w:val="00006612"/>
    <w:rsid w:val="00007D34"/>
    <w:rsid w:val="00007E10"/>
    <w:rsid w:val="00007F87"/>
    <w:rsid w:val="00010405"/>
    <w:rsid w:val="000104A4"/>
    <w:rsid w:val="00010849"/>
    <w:rsid w:val="00010918"/>
    <w:rsid w:val="0001132F"/>
    <w:rsid w:val="000115B0"/>
    <w:rsid w:val="00012F50"/>
    <w:rsid w:val="0001510A"/>
    <w:rsid w:val="00015990"/>
    <w:rsid w:val="00016654"/>
    <w:rsid w:val="000168C5"/>
    <w:rsid w:val="00017578"/>
    <w:rsid w:val="000179AF"/>
    <w:rsid w:val="0002064D"/>
    <w:rsid w:val="00021009"/>
    <w:rsid w:val="0002127B"/>
    <w:rsid w:val="00021443"/>
    <w:rsid w:val="000218DE"/>
    <w:rsid w:val="00022817"/>
    <w:rsid w:val="00023D07"/>
    <w:rsid w:val="000241C7"/>
    <w:rsid w:val="00025FA3"/>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2FBF"/>
    <w:rsid w:val="00044AC6"/>
    <w:rsid w:val="000456FE"/>
    <w:rsid w:val="000458A3"/>
    <w:rsid w:val="000467DB"/>
    <w:rsid w:val="00046B5A"/>
    <w:rsid w:val="0005009A"/>
    <w:rsid w:val="000514C2"/>
    <w:rsid w:val="00051A43"/>
    <w:rsid w:val="000521B6"/>
    <w:rsid w:val="00052428"/>
    <w:rsid w:val="000525C6"/>
    <w:rsid w:val="00054FB1"/>
    <w:rsid w:val="000550B3"/>
    <w:rsid w:val="00055BB0"/>
    <w:rsid w:val="00056805"/>
    <w:rsid w:val="00057B99"/>
    <w:rsid w:val="0006123F"/>
    <w:rsid w:val="00061BFB"/>
    <w:rsid w:val="0006271F"/>
    <w:rsid w:val="000629EE"/>
    <w:rsid w:val="00062C6D"/>
    <w:rsid w:val="0006568B"/>
    <w:rsid w:val="00066198"/>
    <w:rsid w:val="00066662"/>
    <w:rsid w:val="00066A2B"/>
    <w:rsid w:val="00066CD3"/>
    <w:rsid w:val="00066F05"/>
    <w:rsid w:val="000679A5"/>
    <w:rsid w:val="00070264"/>
    <w:rsid w:val="000714CE"/>
    <w:rsid w:val="00071D71"/>
    <w:rsid w:val="00072DF7"/>
    <w:rsid w:val="00073034"/>
    <w:rsid w:val="00073394"/>
    <w:rsid w:val="00074BD9"/>
    <w:rsid w:val="00077ED7"/>
    <w:rsid w:val="00080897"/>
    <w:rsid w:val="000808D3"/>
    <w:rsid w:val="00080A86"/>
    <w:rsid w:val="00081101"/>
    <w:rsid w:val="00082212"/>
    <w:rsid w:val="0008249F"/>
    <w:rsid w:val="00083986"/>
    <w:rsid w:val="00083D5D"/>
    <w:rsid w:val="00086180"/>
    <w:rsid w:val="0008655B"/>
    <w:rsid w:val="000910F1"/>
    <w:rsid w:val="00092B9C"/>
    <w:rsid w:val="00093CD6"/>
    <w:rsid w:val="0009430E"/>
    <w:rsid w:val="00095872"/>
    <w:rsid w:val="00095E2A"/>
    <w:rsid w:val="00096C0E"/>
    <w:rsid w:val="000978C4"/>
    <w:rsid w:val="000A070D"/>
    <w:rsid w:val="000A39D5"/>
    <w:rsid w:val="000A3F78"/>
    <w:rsid w:val="000A3FD7"/>
    <w:rsid w:val="000A42DF"/>
    <w:rsid w:val="000A43B3"/>
    <w:rsid w:val="000A4A5F"/>
    <w:rsid w:val="000A4BE6"/>
    <w:rsid w:val="000A5141"/>
    <w:rsid w:val="000A525C"/>
    <w:rsid w:val="000A5C57"/>
    <w:rsid w:val="000A5CAC"/>
    <w:rsid w:val="000A61C9"/>
    <w:rsid w:val="000A6A4B"/>
    <w:rsid w:val="000A6D8F"/>
    <w:rsid w:val="000A7807"/>
    <w:rsid w:val="000B06D8"/>
    <w:rsid w:val="000B0C1C"/>
    <w:rsid w:val="000B1345"/>
    <w:rsid w:val="000B1C0F"/>
    <w:rsid w:val="000B203C"/>
    <w:rsid w:val="000B233F"/>
    <w:rsid w:val="000B27F2"/>
    <w:rsid w:val="000B2CE1"/>
    <w:rsid w:val="000B3E79"/>
    <w:rsid w:val="000B3F10"/>
    <w:rsid w:val="000B4140"/>
    <w:rsid w:val="000B47C2"/>
    <w:rsid w:val="000B4CEC"/>
    <w:rsid w:val="000B717F"/>
    <w:rsid w:val="000C042A"/>
    <w:rsid w:val="000C0A57"/>
    <w:rsid w:val="000C17DA"/>
    <w:rsid w:val="000C1A77"/>
    <w:rsid w:val="000C1C8B"/>
    <w:rsid w:val="000C23BF"/>
    <w:rsid w:val="000C2451"/>
    <w:rsid w:val="000C2533"/>
    <w:rsid w:val="000C27C3"/>
    <w:rsid w:val="000C37CC"/>
    <w:rsid w:val="000C3E0E"/>
    <w:rsid w:val="000C3EA3"/>
    <w:rsid w:val="000C4A36"/>
    <w:rsid w:val="000C4DA1"/>
    <w:rsid w:val="000C4F6C"/>
    <w:rsid w:val="000C5D07"/>
    <w:rsid w:val="000C6AE1"/>
    <w:rsid w:val="000C7830"/>
    <w:rsid w:val="000D0220"/>
    <w:rsid w:val="000D05ED"/>
    <w:rsid w:val="000D12FA"/>
    <w:rsid w:val="000D18CA"/>
    <w:rsid w:val="000D21BA"/>
    <w:rsid w:val="000D2823"/>
    <w:rsid w:val="000D2ADD"/>
    <w:rsid w:val="000D355D"/>
    <w:rsid w:val="000D37BB"/>
    <w:rsid w:val="000D38E6"/>
    <w:rsid w:val="000D473A"/>
    <w:rsid w:val="000D4C76"/>
    <w:rsid w:val="000D5169"/>
    <w:rsid w:val="000D5875"/>
    <w:rsid w:val="000D5FD1"/>
    <w:rsid w:val="000D6A89"/>
    <w:rsid w:val="000D6DFE"/>
    <w:rsid w:val="000D6FF0"/>
    <w:rsid w:val="000E0369"/>
    <w:rsid w:val="000E050E"/>
    <w:rsid w:val="000E1458"/>
    <w:rsid w:val="000E2D66"/>
    <w:rsid w:val="000E312E"/>
    <w:rsid w:val="000E3AC4"/>
    <w:rsid w:val="000E3FAC"/>
    <w:rsid w:val="000E404E"/>
    <w:rsid w:val="000E4113"/>
    <w:rsid w:val="000E6BD6"/>
    <w:rsid w:val="000E72C8"/>
    <w:rsid w:val="000F1DA5"/>
    <w:rsid w:val="000F2097"/>
    <w:rsid w:val="000F3266"/>
    <w:rsid w:val="000F356D"/>
    <w:rsid w:val="000F37C8"/>
    <w:rsid w:val="000F3DF1"/>
    <w:rsid w:val="000F40DE"/>
    <w:rsid w:val="000F41FF"/>
    <w:rsid w:val="000F6454"/>
    <w:rsid w:val="000F73CB"/>
    <w:rsid w:val="00100091"/>
    <w:rsid w:val="0010019F"/>
    <w:rsid w:val="00100FA0"/>
    <w:rsid w:val="00101788"/>
    <w:rsid w:val="00101B56"/>
    <w:rsid w:val="00101D33"/>
    <w:rsid w:val="001020DF"/>
    <w:rsid w:val="001026E1"/>
    <w:rsid w:val="00102796"/>
    <w:rsid w:val="0010577C"/>
    <w:rsid w:val="00105B51"/>
    <w:rsid w:val="001065B2"/>
    <w:rsid w:val="00106A66"/>
    <w:rsid w:val="001073E7"/>
    <w:rsid w:val="001074D8"/>
    <w:rsid w:val="001077DC"/>
    <w:rsid w:val="00107AFF"/>
    <w:rsid w:val="00112004"/>
    <w:rsid w:val="0011204C"/>
    <w:rsid w:val="0011281C"/>
    <w:rsid w:val="00114BEC"/>
    <w:rsid w:val="001208C5"/>
    <w:rsid w:val="001212A7"/>
    <w:rsid w:val="001219F6"/>
    <w:rsid w:val="00122A62"/>
    <w:rsid w:val="00123106"/>
    <w:rsid w:val="001234B6"/>
    <w:rsid w:val="001245AF"/>
    <w:rsid w:val="00124E0A"/>
    <w:rsid w:val="00125CBE"/>
    <w:rsid w:val="0012698A"/>
    <w:rsid w:val="0012724A"/>
    <w:rsid w:val="001300A6"/>
    <w:rsid w:val="00130D96"/>
    <w:rsid w:val="001314CD"/>
    <w:rsid w:val="00131E9F"/>
    <w:rsid w:val="00133EBE"/>
    <w:rsid w:val="00134555"/>
    <w:rsid w:val="00135289"/>
    <w:rsid w:val="00136613"/>
    <w:rsid w:val="00136D19"/>
    <w:rsid w:val="00137B4D"/>
    <w:rsid w:val="001402F9"/>
    <w:rsid w:val="00141814"/>
    <w:rsid w:val="001430D8"/>
    <w:rsid w:val="001456F1"/>
    <w:rsid w:val="0014584F"/>
    <w:rsid w:val="00145B2A"/>
    <w:rsid w:val="00145C80"/>
    <w:rsid w:val="00145CB5"/>
    <w:rsid w:val="00145FD7"/>
    <w:rsid w:val="00147284"/>
    <w:rsid w:val="00147BC3"/>
    <w:rsid w:val="00150FD0"/>
    <w:rsid w:val="00151249"/>
    <w:rsid w:val="00152026"/>
    <w:rsid w:val="00152A6D"/>
    <w:rsid w:val="00152DD3"/>
    <w:rsid w:val="00153A91"/>
    <w:rsid w:val="00153FCE"/>
    <w:rsid w:val="00154BE0"/>
    <w:rsid w:val="001550CE"/>
    <w:rsid w:val="00155245"/>
    <w:rsid w:val="00156652"/>
    <w:rsid w:val="0015797A"/>
    <w:rsid w:val="00157A50"/>
    <w:rsid w:val="00157E3F"/>
    <w:rsid w:val="00160F59"/>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6D6"/>
    <w:rsid w:val="0017158F"/>
    <w:rsid w:val="00171D42"/>
    <w:rsid w:val="001723CD"/>
    <w:rsid w:val="00172A27"/>
    <w:rsid w:val="00173112"/>
    <w:rsid w:val="001734CA"/>
    <w:rsid w:val="00173E36"/>
    <w:rsid w:val="00174572"/>
    <w:rsid w:val="00176425"/>
    <w:rsid w:val="0017648C"/>
    <w:rsid w:val="00177430"/>
    <w:rsid w:val="001779C9"/>
    <w:rsid w:val="00180048"/>
    <w:rsid w:val="00180071"/>
    <w:rsid w:val="001800DD"/>
    <w:rsid w:val="001802F6"/>
    <w:rsid w:val="0018030A"/>
    <w:rsid w:val="00180A18"/>
    <w:rsid w:val="00181092"/>
    <w:rsid w:val="001821C5"/>
    <w:rsid w:val="001832BE"/>
    <w:rsid w:val="0018359D"/>
    <w:rsid w:val="00183D04"/>
    <w:rsid w:val="001840A0"/>
    <w:rsid w:val="00184EF8"/>
    <w:rsid w:val="00185FCD"/>
    <w:rsid w:val="00186118"/>
    <w:rsid w:val="001861D6"/>
    <w:rsid w:val="0018719B"/>
    <w:rsid w:val="0018748D"/>
    <w:rsid w:val="0018754D"/>
    <w:rsid w:val="00190564"/>
    <w:rsid w:val="00191D8A"/>
    <w:rsid w:val="00192CF4"/>
    <w:rsid w:val="00194824"/>
    <w:rsid w:val="00194BB7"/>
    <w:rsid w:val="00194D12"/>
    <w:rsid w:val="001955BC"/>
    <w:rsid w:val="00195B58"/>
    <w:rsid w:val="00196486"/>
    <w:rsid w:val="00196A9E"/>
    <w:rsid w:val="00196E98"/>
    <w:rsid w:val="001975FD"/>
    <w:rsid w:val="00197F01"/>
    <w:rsid w:val="001A0618"/>
    <w:rsid w:val="001A3F64"/>
    <w:rsid w:val="001A427A"/>
    <w:rsid w:val="001A457C"/>
    <w:rsid w:val="001A63FF"/>
    <w:rsid w:val="001A66B4"/>
    <w:rsid w:val="001A68B4"/>
    <w:rsid w:val="001A7D58"/>
    <w:rsid w:val="001B1AAE"/>
    <w:rsid w:val="001B201A"/>
    <w:rsid w:val="001B2C8C"/>
    <w:rsid w:val="001B527B"/>
    <w:rsid w:val="001B5630"/>
    <w:rsid w:val="001B5DFA"/>
    <w:rsid w:val="001B63B3"/>
    <w:rsid w:val="001B68FD"/>
    <w:rsid w:val="001B7748"/>
    <w:rsid w:val="001C0089"/>
    <w:rsid w:val="001C0442"/>
    <w:rsid w:val="001C09D6"/>
    <w:rsid w:val="001C0F3D"/>
    <w:rsid w:val="001C2AE8"/>
    <w:rsid w:val="001C3134"/>
    <w:rsid w:val="001C3C73"/>
    <w:rsid w:val="001C3F29"/>
    <w:rsid w:val="001C4787"/>
    <w:rsid w:val="001C4B7E"/>
    <w:rsid w:val="001C6382"/>
    <w:rsid w:val="001C6CD7"/>
    <w:rsid w:val="001C7975"/>
    <w:rsid w:val="001D2292"/>
    <w:rsid w:val="001D388B"/>
    <w:rsid w:val="001D3F92"/>
    <w:rsid w:val="001D450E"/>
    <w:rsid w:val="001D474B"/>
    <w:rsid w:val="001D4753"/>
    <w:rsid w:val="001D4CB6"/>
    <w:rsid w:val="001D62B9"/>
    <w:rsid w:val="001D6EF9"/>
    <w:rsid w:val="001E1FC8"/>
    <w:rsid w:val="001E227F"/>
    <w:rsid w:val="001E2B7C"/>
    <w:rsid w:val="001E34A2"/>
    <w:rsid w:val="001E5A5C"/>
    <w:rsid w:val="001E7091"/>
    <w:rsid w:val="001F0B7B"/>
    <w:rsid w:val="001F0F51"/>
    <w:rsid w:val="001F128E"/>
    <w:rsid w:val="001F4623"/>
    <w:rsid w:val="001F5AE8"/>
    <w:rsid w:val="001F6D56"/>
    <w:rsid w:val="001F7877"/>
    <w:rsid w:val="002003B4"/>
    <w:rsid w:val="00200A84"/>
    <w:rsid w:val="00200C58"/>
    <w:rsid w:val="00200D96"/>
    <w:rsid w:val="002043DC"/>
    <w:rsid w:val="002046C9"/>
    <w:rsid w:val="00204741"/>
    <w:rsid w:val="00204E1C"/>
    <w:rsid w:val="002056D0"/>
    <w:rsid w:val="002060B5"/>
    <w:rsid w:val="0020652A"/>
    <w:rsid w:val="002067E0"/>
    <w:rsid w:val="00206D4E"/>
    <w:rsid w:val="00206DCB"/>
    <w:rsid w:val="00206DDA"/>
    <w:rsid w:val="00206EA8"/>
    <w:rsid w:val="002070C3"/>
    <w:rsid w:val="00207C9A"/>
    <w:rsid w:val="0021008C"/>
    <w:rsid w:val="0021041A"/>
    <w:rsid w:val="0021049B"/>
    <w:rsid w:val="00210BE5"/>
    <w:rsid w:val="0021318B"/>
    <w:rsid w:val="002139A8"/>
    <w:rsid w:val="00213BA8"/>
    <w:rsid w:val="00214562"/>
    <w:rsid w:val="00215B14"/>
    <w:rsid w:val="00215B7D"/>
    <w:rsid w:val="00215C16"/>
    <w:rsid w:val="002162E3"/>
    <w:rsid w:val="00216ADD"/>
    <w:rsid w:val="0021762D"/>
    <w:rsid w:val="00217894"/>
    <w:rsid w:val="00220618"/>
    <w:rsid w:val="00220B6C"/>
    <w:rsid w:val="00220B8A"/>
    <w:rsid w:val="002211B9"/>
    <w:rsid w:val="00221941"/>
    <w:rsid w:val="00221D82"/>
    <w:rsid w:val="00222ECD"/>
    <w:rsid w:val="00222F36"/>
    <w:rsid w:val="00223DF0"/>
    <w:rsid w:val="002243AF"/>
    <w:rsid w:val="00224C8F"/>
    <w:rsid w:val="00224D7E"/>
    <w:rsid w:val="0022503F"/>
    <w:rsid w:val="00226571"/>
    <w:rsid w:val="00227E63"/>
    <w:rsid w:val="002310DF"/>
    <w:rsid w:val="002311A6"/>
    <w:rsid w:val="00231DEF"/>
    <w:rsid w:val="00232304"/>
    <w:rsid w:val="002328C4"/>
    <w:rsid w:val="00232B9D"/>
    <w:rsid w:val="002330EB"/>
    <w:rsid w:val="00233DAE"/>
    <w:rsid w:val="00233E2E"/>
    <w:rsid w:val="0023433B"/>
    <w:rsid w:val="00234818"/>
    <w:rsid w:val="00234890"/>
    <w:rsid w:val="00234CBD"/>
    <w:rsid w:val="002351F6"/>
    <w:rsid w:val="002352C6"/>
    <w:rsid w:val="00235614"/>
    <w:rsid w:val="00235BCB"/>
    <w:rsid w:val="00235D1D"/>
    <w:rsid w:val="0023613A"/>
    <w:rsid w:val="00236490"/>
    <w:rsid w:val="00236E08"/>
    <w:rsid w:val="002377FB"/>
    <w:rsid w:val="0023794F"/>
    <w:rsid w:val="002417F8"/>
    <w:rsid w:val="00242634"/>
    <w:rsid w:val="002430C4"/>
    <w:rsid w:val="00243424"/>
    <w:rsid w:val="00243F18"/>
    <w:rsid w:val="00244719"/>
    <w:rsid w:val="002451ED"/>
    <w:rsid w:val="00246562"/>
    <w:rsid w:val="00246967"/>
    <w:rsid w:val="00247623"/>
    <w:rsid w:val="002477A3"/>
    <w:rsid w:val="00247EFD"/>
    <w:rsid w:val="00250703"/>
    <w:rsid w:val="00250C64"/>
    <w:rsid w:val="0025131A"/>
    <w:rsid w:val="002519C5"/>
    <w:rsid w:val="00251A4F"/>
    <w:rsid w:val="00251BA1"/>
    <w:rsid w:val="00251F6D"/>
    <w:rsid w:val="00254704"/>
    <w:rsid w:val="0025508E"/>
    <w:rsid w:val="00255A59"/>
    <w:rsid w:val="0026185A"/>
    <w:rsid w:val="002619DA"/>
    <w:rsid w:val="00262D11"/>
    <w:rsid w:val="002631C6"/>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87B"/>
    <w:rsid w:val="00276968"/>
    <w:rsid w:val="00280571"/>
    <w:rsid w:val="0028094B"/>
    <w:rsid w:val="00281E81"/>
    <w:rsid w:val="00282CA7"/>
    <w:rsid w:val="00282E3F"/>
    <w:rsid w:val="00283641"/>
    <w:rsid w:val="00283668"/>
    <w:rsid w:val="00286005"/>
    <w:rsid w:val="00286087"/>
    <w:rsid w:val="002901B3"/>
    <w:rsid w:val="00291685"/>
    <w:rsid w:val="00292E01"/>
    <w:rsid w:val="002942C8"/>
    <w:rsid w:val="00295C40"/>
    <w:rsid w:val="00296208"/>
    <w:rsid w:val="0029622A"/>
    <w:rsid w:val="0029763D"/>
    <w:rsid w:val="002977E7"/>
    <w:rsid w:val="002A0081"/>
    <w:rsid w:val="002A01AA"/>
    <w:rsid w:val="002A0398"/>
    <w:rsid w:val="002A0C0D"/>
    <w:rsid w:val="002A144C"/>
    <w:rsid w:val="002A15C2"/>
    <w:rsid w:val="002A1A78"/>
    <w:rsid w:val="002A1D87"/>
    <w:rsid w:val="002A287F"/>
    <w:rsid w:val="002A2DC7"/>
    <w:rsid w:val="002A34D1"/>
    <w:rsid w:val="002A3E7C"/>
    <w:rsid w:val="002A3FB6"/>
    <w:rsid w:val="002A5F20"/>
    <w:rsid w:val="002A64BD"/>
    <w:rsid w:val="002A68A2"/>
    <w:rsid w:val="002A691B"/>
    <w:rsid w:val="002A6FE6"/>
    <w:rsid w:val="002A77AE"/>
    <w:rsid w:val="002B18F3"/>
    <w:rsid w:val="002B1EA9"/>
    <w:rsid w:val="002B23DA"/>
    <w:rsid w:val="002B2815"/>
    <w:rsid w:val="002B2FA2"/>
    <w:rsid w:val="002B302C"/>
    <w:rsid w:val="002B55E0"/>
    <w:rsid w:val="002B597E"/>
    <w:rsid w:val="002B5F71"/>
    <w:rsid w:val="002B6211"/>
    <w:rsid w:val="002B68B4"/>
    <w:rsid w:val="002B7090"/>
    <w:rsid w:val="002B7A44"/>
    <w:rsid w:val="002C030E"/>
    <w:rsid w:val="002C26C5"/>
    <w:rsid w:val="002C309C"/>
    <w:rsid w:val="002C30EC"/>
    <w:rsid w:val="002C35B7"/>
    <w:rsid w:val="002C51D1"/>
    <w:rsid w:val="002C6076"/>
    <w:rsid w:val="002C62E0"/>
    <w:rsid w:val="002C6A24"/>
    <w:rsid w:val="002C714E"/>
    <w:rsid w:val="002C758D"/>
    <w:rsid w:val="002D0EB1"/>
    <w:rsid w:val="002D1F6C"/>
    <w:rsid w:val="002D27DB"/>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15D"/>
    <w:rsid w:val="002E2C72"/>
    <w:rsid w:val="002E3F8C"/>
    <w:rsid w:val="002E4079"/>
    <w:rsid w:val="002E4893"/>
    <w:rsid w:val="002E4CC9"/>
    <w:rsid w:val="002E5529"/>
    <w:rsid w:val="002E6580"/>
    <w:rsid w:val="002E77F4"/>
    <w:rsid w:val="002F012D"/>
    <w:rsid w:val="002F0F41"/>
    <w:rsid w:val="002F135F"/>
    <w:rsid w:val="002F3C52"/>
    <w:rsid w:val="002F3D4C"/>
    <w:rsid w:val="002F4CE7"/>
    <w:rsid w:val="002F5C9D"/>
    <w:rsid w:val="002F5DB0"/>
    <w:rsid w:val="002F696B"/>
    <w:rsid w:val="002F6DE5"/>
    <w:rsid w:val="002F78FC"/>
    <w:rsid w:val="0030013D"/>
    <w:rsid w:val="0030091C"/>
    <w:rsid w:val="00301552"/>
    <w:rsid w:val="00301AED"/>
    <w:rsid w:val="00303392"/>
    <w:rsid w:val="003035E8"/>
    <w:rsid w:val="0030362A"/>
    <w:rsid w:val="0030436B"/>
    <w:rsid w:val="00304568"/>
    <w:rsid w:val="00304956"/>
    <w:rsid w:val="00304C95"/>
    <w:rsid w:val="003071BA"/>
    <w:rsid w:val="00307A3B"/>
    <w:rsid w:val="0031065E"/>
    <w:rsid w:val="00310B04"/>
    <w:rsid w:val="00310FBF"/>
    <w:rsid w:val="003124CC"/>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7A75"/>
    <w:rsid w:val="00327B67"/>
    <w:rsid w:val="00330EA4"/>
    <w:rsid w:val="003316BE"/>
    <w:rsid w:val="00332C4B"/>
    <w:rsid w:val="00334B63"/>
    <w:rsid w:val="00335072"/>
    <w:rsid w:val="003350B7"/>
    <w:rsid w:val="003354EE"/>
    <w:rsid w:val="00337727"/>
    <w:rsid w:val="00337C3A"/>
    <w:rsid w:val="00337FCF"/>
    <w:rsid w:val="00340DBF"/>
    <w:rsid w:val="00341D13"/>
    <w:rsid w:val="00342071"/>
    <w:rsid w:val="0034298B"/>
    <w:rsid w:val="00342EAC"/>
    <w:rsid w:val="00345202"/>
    <w:rsid w:val="0034613D"/>
    <w:rsid w:val="0034625C"/>
    <w:rsid w:val="00346823"/>
    <w:rsid w:val="00346C5B"/>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7ED"/>
    <w:rsid w:val="00361A09"/>
    <w:rsid w:val="00361C67"/>
    <w:rsid w:val="003621E7"/>
    <w:rsid w:val="00363E92"/>
    <w:rsid w:val="00364FFB"/>
    <w:rsid w:val="00365668"/>
    <w:rsid w:val="00365F45"/>
    <w:rsid w:val="00365FD4"/>
    <w:rsid w:val="00366002"/>
    <w:rsid w:val="003661FE"/>
    <w:rsid w:val="003665E0"/>
    <w:rsid w:val="00367964"/>
    <w:rsid w:val="00367C85"/>
    <w:rsid w:val="00367E52"/>
    <w:rsid w:val="003702E1"/>
    <w:rsid w:val="00370B57"/>
    <w:rsid w:val="003713D6"/>
    <w:rsid w:val="0037160D"/>
    <w:rsid w:val="003717C3"/>
    <w:rsid w:val="003725FD"/>
    <w:rsid w:val="00373151"/>
    <w:rsid w:val="003743A3"/>
    <w:rsid w:val="0037505A"/>
    <w:rsid w:val="0037548D"/>
    <w:rsid w:val="00375546"/>
    <w:rsid w:val="00375E8D"/>
    <w:rsid w:val="003760BB"/>
    <w:rsid w:val="00376ABC"/>
    <w:rsid w:val="00376CE0"/>
    <w:rsid w:val="0037748D"/>
    <w:rsid w:val="00377CBB"/>
    <w:rsid w:val="00381553"/>
    <w:rsid w:val="003824CC"/>
    <w:rsid w:val="003825A2"/>
    <w:rsid w:val="00382D72"/>
    <w:rsid w:val="00382FD1"/>
    <w:rsid w:val="00383F10"/>
    <w:rsid w:val="00384D21"/>
    <w:rsid w:val="00384ECB"/>
    <w:rsid w:val="003851FE"/>
    <w:rsid w:val="00385E0E"/>
    <w:rsid w:val="00386368"/>
    <w:rsid w:val="0038714E"/>
    <w:rsid w:val="003879C4"/>
    <w:rsid w:val="0039086A"/>
    <w:rsid w:val="00390F9C"/>
    <w:rsid w:val="0039119A"/>
    <w:rsid w:val="003919E9"/>
    <w:rsid w:val="00392264"/>
    <w:rsid w:val="003945E6"/>
    <w:rsid w:val="00394B37"/>
    <w:rsid w:val="00394F4F"/>
    <w:rsid w:val="003958BD"/>
    <w:rsid w:val="00395E08"/>
    <w:rsid w:val="00397311"/>
    <w:rsid w:val="0039775F"/>
    <w:rsid w:val="00397A29"/>
    <w:rsid w:val="003A1A3D"/>
    <w:rsid w:val="003A44ED"/>
    <w:rsid w:val="003A4B14"/>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29B8"/>
    <w:rsid w:val="003D2FEB"/>
    <w:rsid w:val="003D4B8A"/>
    <w:rsid w:val="003D4D2E"/>
    <w:rsid w:val="003D53F8"/>
    <w:rsid w:val="003D62F5"/>
    <w:rsid w:val="003D65AF"/>
    <w:rsid w:val="003D7171"/>
    <w:rsid w:val="003E0088"/>
    <w:rsid w:val="003E0CBE"/>
    <w:rsid w:val="003E1360"/>
    <w:rsid w:val="003E18DB"/>
    <w:rsid w:val="003E1DD4"/>
    <w:rsid w:val="003E1FA5"/>
    <w:rsid w:val="003E3D5F"/>
    <w:rsid w:val="003E3FC0"/>
    <w:rsid w:val="003E42E9"/>
    <w:rsid w:val="003E5758"/>
    <w:rsid w:val="003E5837"/>
    <w:rsid w:val="003E642D"/>
    <w:rsid w:val="003E64E1"/>
    <w:rsid w:val="003E6735"/>
    <w:rsid w:val="003E6ACE"/>
    <w:rsid w:val="003E7137"/>
    <w:rsid w:val="003E77D5"/>
    <w:rsid w:val="003E7FD8"/>
    <w:rsid w:val="003F03D6"/>
    <w:rsid w:val="003F03E6"/>
    <w:rsid w:val="003F097A"/>
    <w:rsid w:val="003F0C3C"/>
    <w:rsid w:val="003F1790"/>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A5A"/>
    <w:rsid w:val="0040522E"/>
    <w:rsid w:val="00405C40"/>
    <w:rsid w:val="00405CB1"/>
    <w:rsid w:val="004060E2"/>
    <w:rsid w:val="00407716"/>
    <w:rsid w:val="00407DCA"/>
    <w:rsid w:val="004107A4"/>
    <w:rsid w:val="00410CC8"/>
    <w:rsid w:val="00411849"/>
    <w:rsid w:val="00412CDB"/>
    <w:rsid w:val="00412FA0"/>
    <w:rsid w:val="00413046"/>
    <w:rsid w:val="0041475B"/>
    <w:rsid w:val="004160CA"/>
    <w:rsid w:val="004177BB"/>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118"/>
    <w:rsid w:val="00427389"/>
    <w:rsid w:val="00427BF6"/>
    <w:rsid w:val="00427D0B"/>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51601"/>
    <w:rsid w:val="00451670"/>
    <w:rsid w:val="00452D7C"/>
    <w:rsid w:val="00453A01"/>
    <w:rsid w:val="0045446F"/>
    <w:rsid w:val="00454764"/>
    <w:rsid w:val="004550E0"/>
    <w:rsid w:val="0045573F"/>
    <w:rsid w:val="004558C0"/>
    <w:rsid w:val="0045697D"/>
    <w:rsid w:val="00456DC5"/>
    <w:rsid w:val="00457BA2"/>
    <w:rsid w:val="00457D13"/>
    <w:rsid w:val="00460875"/>
    <w:rsid w:val="00460DA2"/>
    <w:rsid w:val="00461271"/>
    <w:rsid w:val="004613CB"/>
    <w:rsid w:val="00461BB3"/>
    <w:rsid w:val="00461FA0"/>
    <w:rsid w:val="004649E8"/>
    <w:rsid w:val="00464E44"/>
    <w:rsid w:val="00466777"/>
    <w:rsid w:val="00466C5E"/>
    <w:rsid w:val="004675EF"/>
    <w:rsid w:val="00467C8F"/>
    <w:rsid w:val="00470A1B"/>
    <w:rsid w:val="004717E6"/>
    <w:rsid w:val="00472A3D"/>
    <w:rsid w:val="0047326D"/>
    <w:rsid w:val="004738E6"/>
    <w:rsid w:val="00473C16"/>
    <w:rsid w:val="00474050"/>
    <w:rsid w:val="004748DF"/>
    <w:rsid w:val="004751E7"/>
    <w:rsid w:val="00475421"/>
    <w:rsid w:val="004757C0"/>
    <w:rsid w:val="00476473"/>
    <w:rsid w:val="00476625"/>
    <w:rsid w:val="00476E54"/>
    <w:rsid w:val="004771AF"/>
    <w:rsid w:val="004805FB"/>
    <w:rsid w:val="00480707"/>
    <w:rsid w:val="00481023"/>
    <w:rsid w:val="0048103F"/>
    <w:rsid w:val="00481C0C"/>
    <w:rsid w:val="00481C7F"/>
    <w:rsid w:val="00483609"/>
    <w:rsid w:val="004875B1"/>
    <w:rsid w:val="004879B0"/>
    <w:rsid w:val="00490DF0"/>
    <w:rsid w:val="00491E86"/>
    <w:rsid w:val="0049360B"/>
    <w:rsid w:val="00493983"/>
    <w:rsid w:val="00494183"/>
    <w:rsid w:val="004942E2"/>
    <w:rsid w:val="00495024"/>
    <w:rsid w:val="0049512B"/>
    <w:rsid w:val="00495A8F"/>
    <w:rsid w:val="00495EE7"/>
    <w:rsid w:val="004A160E"/>
    <w:rsid w:val="004A2614"/>
    <w:rsid w:val="004A305B"/>
    <w:rsid w:val="004A3C36"/>
    <w:rsid w:val="004A44F9"/>
    <w:rsid w:val="004A4AF6"/>
    <w:rsid w:val="004A4E63"/>
    <w:rsid w:val="004A566C"/>
    <w:rsid w:val="004A6544"/>
    <w:rsid w:val="004A6DEF"/>
    <w:rsid w:val="004A7269"/>
    <w:rsid w:val="004A764A"/>
    <w:rsid w:val="004A7D76"/>
    <w:rsid w:val="004A7EB2"/>
    <w:rsid w:val="004B003B"/>
    <w:rsid w:val="004B0CAF"/>
    <w:rsid w:val="004B1BB4"/>
    <w:rsid w:val="004B2ECC"/>
    <w:rsid w:val="004B349C"/>
    <w:rsid w:val="004B478C"/>
    <w:rsid w:val="004B6919"/>
    <w:rsid w:val="004B7964"/>
    <w:rsid w:val="004C02C5"/>
    <w:rsid w:val="004C05A3"/>
    <w:rsid w:val="004C0661"/>
    <w:rsid w:val="004C0BF6"/>
    <w:rsid w:val="004C1786"/>
    <w:rsid w:val="004C19ED"/>
    <w:rsid w:val="004C2D4C"/>
    <w:rsid w:val="004C3FFD"/>
    <w:rsid w:val="004C4152"/>
    <w:rsid w:val="004C427D"/>
    <w:rsid w:val="004C43D4"/>
    <w:rsid w:val="004C512B"/>
    <w:rsid w:val="004C6568"/>
    <w:rsid w:val="004C6B05"/>
    <w:rsid w:val="004C7139"/>
    <w:rsid w:val="004C7240"/>
    <w:rsid w:val="004C7F81"/>
    <w:rsid w:val="004D0303"/>
    <w:rsid w:val="004D06CF"/>
    <w:rsid w:val="004D2893"/>
    <w:rsid w:val="004D3DC2"/>
    <w:rsid w:val="004D410E"/>
    <w:rsid w:val="004D4BB7"/>
    <w:rsid w:val="004D4C0A"/>
    <w:rsid w:val="004D4E06"/>
    <w:rsid w:val="004D58E6"/>
    <w:rsid w:val="004D608D"/>
    <w:rsid w:val="004D7889"/>
    <w:rsid w:val="004E0C0B"/>
    <w:rsid w:val="004E1725"/>
    <w:rsid w:val="004E17E1"/>
    <w:rsid w:val="004E3116"/>
    <w:rsid w:val="004E31F5"/>
    <w:rsid w:val="004E3619"/>
    <w:rsid w:val="004E376B"/>
    <w:rsid w:val="004E3CDE"/>
    <w:rsid w:val="004E3E9E"/>
    <w:rsid w:val="004E477E"/>
    <w:rsid w:val="004E47CE"/>
    <w:rsid w:val="004E7BEF"/>
    <w:rsid w:val="004F03DE"/>
    <w:rsid w:val="004F109D"/>
    <w:rsid w:val="004F2E08"/>
    <w:rsid w:val="004F3582"/>
    <w:rsid w:val="004F36A1"/>
    <w:rsid w:val="004F4EB7"/>
    <w:rsid w:val="004F5037"/>
    <w:rsid w:val="004F58B6"/>
    <w:rsid w:val="004F6166"/>
    <w:rsid w:val="004F6D43"/>
    <w:rsid w:val="004F7AFB"/>
    <w:rsid w:val="004F7F83"/>
    <w:rsid w:val="00501404"/>
    <w:rsid w:val="00501517"/>
    <w:rsid w:val="005029DA"/>
    <w:rsid w:val="005043D8"/>
    <w:rsid w:val="0050689B"/>
    <w:rsid w:val="005069C5"/>
    <w:rsid w:val="005070D6"/>
    <w:rsid w:val="005072F9"/>
    <w:rsid w:val="00507859"/>
    <w:rsid w:val="00507FED"/>
    <w:rsid w:val="00510229"/>
    <w:rsid w:val="00511286"/>
    <w:rsid w:val="00511534"/>
    <w:rsid w:val="005118A7"/>
    <w:rsid w:val="0051381F"/>
    <w:rsid w:val="00513B7F"/>
    <w:rsid w:val="00514320"/>
    <w:rsid w:val="0051674E"/>
    <w:rsid w:val="00516EC0"/>
    <w:rsid w:val="005173CD"/>
    <w:rsid w:val="005222CB"/>
    <w:rsid w:val="005229BA"/>
    <w:rsid w:val="00523CDE"/>
    <w:rsid w:val="00523F54"/>
    <w:rsid w:val="0052486F"/>
    <w:rsid w:val="005254C3"/>
    <w:rsid w:val="005261D5"/>
    <w:rsid w:val="00526CB0"/>
    <w:rsid w:val="00526D36"/>
    <w:rsid w:val="00527708"/>
    <w:rsid w:val="0052772E"/>
    <w:rsid w:val="00527C84"/>
    <w:rsid w:val="0053016B"/>
    <w:rsid w:val="00530C01"/>
    <w:rsid w:val="00530EE1"/>
    <w:rsid w:val="0053122C"/>
    <w:rsid w:val="00531550"/>
    <w:rsid w:val="00531DE3"/>
    <w:rsid w:val="005323F4"/>
    <w:rsid w:val="005324FB"/>
    <w:rsid w:val="0053256D"/>
    <w:rsid w:val="00532CB4"/>
    <w:rsid w:val="00533802"/>
    <w:rsid w:val="00533A2B"/>
    <w:rsid w:val="00533AD3"/>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5298B"/>
    <w:rsid w:val="00554BB2"/>
    <w:rsid w:val="0055552A"/>
    <w:rsid w:val="005559B0"/>
    <w:rsid w:val="005561E4"/>
    <w:rsid w:val="00556A2E"/>
    <w:rsid w:val="005575D9"/>
    <w:rsid w:val="005601A0"/>
    <w:rsid w:val="00561822"/>
    <w:rsid w:val="00561E64"/>
    <w:rsid w:val="00562F72"/>
    <w:rsid w:val="00563059"/>
    <w:rsid w:val="0056314F"/>
    <w:rsid w:val="005636B2"/>
    <w:rsid w:val="0056385D"/>
    <w:rsid w:val="00563A5E"/>
    <w:rsid w:val="00564F6A"/>
    <w:rsid w:val="00565347"/>
    <w:rsid w:val="00565794"/>
    <w:rsid w:val="00565D56"/>
    <w:rsid w:val="00566255"/>
    <w:rsid w:val="00566672"/>
    <w:rsid w:val="00566B3E"/>
    <w:rsid w:val="00567543"/>
    <w:rsid w:val="00567C00"/>
    <w:rsid w:val="005702CB"/>
    <w:rsid w:val="005713B5"/>
    <w:rsid w:val="00571458"/>
    <w:rsid w:val="00571548"/>
    <w:rsid w:val="00571781"/>
    <w:rsid w:val="00571BBD"/>
    <w:rsid w:val="00572AAE"/>
    <w:rsid w:val="00573D9D"/>
    <w:rsid w:val="00574420"/>
    <w:rsid w:val="00574752"/>
    <w:rsid w:val="00574838"/>
    <w:rsid w:val="005809E2"/>
    <w:rsid w:val="005820D0"/>
    <w:rsid w:val="00583B8F"/>
    <w:rsid w:val="005844A5"/>
    <w:rsid w:val="0058464C"/>
    <w:rsid w:val="00585209"/>
    <w:rsid w:val="0058539E"/>
    <w:rsid w:val="00587556"/>
    <w:rsid w:val="005875A9"/>
    <w:rsid w:val="00587734"/>
    <w:rsid w:val="00590135"/>
    <w:rsid w:val="00590AF8"/>
    <w:rsid w:val="00592D0D"/>
    <w:rsid w:val="0059355F"/>
    <w:rsid w:val="00593A0F"/>
    <w:rsid w:val="00593E7B"/>
    <w:rsid w:val="00593F62"/>
    <w:rsid w:val="005942B8"/>
    <w:rsid w:val="005946A1"/>
    <w:rsid w:val="005955E8"/>
    <w:rsid w:val="00595B5B"/>
    <w:rsid w:val="00596552"/>
    <w:rsid w:val="005973F1"/>
    <w:rsid w:val="00597BD5"/>
    <w:rsid w:val="005A18D1"/>
    <w:rsid w:val="005A195B"/>
    <w:rsid w:val="005A1D4E"/>
    <w:rsid w:val="005A28E2"/>
    <w:rsid w:val="005A2EDF"/>
    <w:rsid w:val="005A2FB6"/>
    <w:rsid w:val="005A30E8"/>
    <w:rsid w:val="005A3641"/>
    <w:rsid w:val="005A38FE"/>
    <w:rsid w:val="005A44FB"/>
    <w:rsid w:val="005A5911"/>
    <w:rsid w:val="005A7084"/>
    <w:rsid w:val="005B0070"/>
    <w:rsid w:val="005B063F"/>
    <w:rsid w:val="005B0E62"/>
    <w:rsid w:val="005B2086"/>
    <w:rsid w:val="005B3201"/>
    <w:rsid w:val="005B336E"/>
    <w:rsid w:val="005B38F6"/>
    <w:rsid w:val="005B53B5"/>
    <w:rsid w:val="005B5DBA"/>
    <w:rsid w:val="005B5DEE"/>
    <w:rsid w:val="005B635E"/>
    <w:rsid w:val="005B69C0"/>
    <w:rsid w:val="005B6FF1"/>
    <w:rsid w:val="005B7F1A"/>
    <w:rsid w:val="005B7FD0"/>
    <w:rsid w:val="005C13D6"/>
    <w:rsid w:val="005C26FA"/>
    <w:rsid w:val="005C2C78"/>
    <w:rsid w:val="005C2CA9"/>
    <w:rsid w:val="005C3221"/>
    <w:rsid w:val="005C32D3"/>
    <w:rsid w:val="005C34B4"/>
    <w:rsid w:val="005C34F5"/>
    <w:rsid w:val="005C45F2"/>
    <w:rsid w:val="005C5C1E"/>
    <w:rsid w:val="005C6A43"/>
    <w:rsid w:val="005C6BF7"/>
    <w:rsid w:val="005C7843"/>
    <w:rsid w:val="005C7D0E"/>
    <w:rsid w:val="005C7E4A"/>
    <w:rsid w:val="005D1035"/>
    <w:rsid w:val="005D124C"/>
    <w:rsid w:val="005D1E8D"/>
    <w:rsid w:val="005D20C6"/>
    <w:rsid w:val="005D281F"/>
    <w:rsid w:val="005D2AAD"/>
    <w:rsid w:val="005D54A2"/>
    <w:rsid w:val="005D54F8"/>
    <w:rsid w:val="005D5D73"/>
    <w:rsid w:val="005D630F"/>
    <w:rsid w:val="005D6B09"/>
    <w:rsid w:val="005D6B5B"/>
    <w:rsid w:val="005D6E9A"/>
    <w:rsid w:val="005D7222"/>
    <w:rsid w:val="005D762C"/>
    <w:rsid w:val="005E0CB9"/>
    <w:rsid w:val="005E29E0"/>
    <w:rsid w:val="005E4904"/>
    <w:rsid w:val="005E5B15"/>
    <w:rsid w:val="005E6370"/>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3D8"/>
    <w:rsid w:val="005F7C8C"/>
    <w:rsid w:val="00600326"/>
    <w:rsid w:val="00600824"/>
    <w:rsid w:val="0060155D"/>
    <w:rsid w:val="006019B3"/>
    <w:rsid w:val="00601BDC"/>
    <w:rsid w:val="006035BD"/>
    <w:rsid w:val="006059B7"/>
    <w:rsid w:val="006064DA"/>
    <w:rsid w:val="006067DD"/>
    <w:rsid w:val="00606FE8"/>
    <w:rsid w:val="006074F1"/>
    <w:rsid w:val="006075B7"/>
    <w:rsid w:val="006078E9"/>
    <w:rsid w:val="0061070A"/>
    <w:rsid w:val="00610E9D"/>
    <w:rsid w:val="006112D4"/>
    <w:rsid w:val="0061173F"/>
    <w:rsid w:val="00611C20"/>
    <w:rsid w:val="00611DA1"/>
    <w:rsid w:val="0061217D"/>
    <w:rsid w:val="00612231"/>
    <w:rsid w:val="00612374"/>
    <w:rsid w:val="0061254A"/>
    <w:rsid w:val="00612815"/>
    <w:rsid w:val="006136B4"/>
    <w:rsid w:val="00615379"/>
    <w:rsid w:val="006166D3"/>
    <w:rsid w:val="0061695B"/>
    <w:rsid w:val="006170A7"/>
    <w:rsid w:val="00617D08"/>
    <w:rsid w:val="00620500"/>
    <w:rsid w:val="00620C37"/>
    <w:rsid w:val="006225BC"/>
    <w:rsid w:val="0062271C"/>
    <w:rsid w:val="00622AB6"/>
    <w:rsid w:val="0062404A"/>
    <w:rsid w:val="00624236"/>
    <w:rsid w:val="00624E5F"/>
    <w:rsid w:val="00624E70"/>
    <w:rsid w:val="00625602"/>
    <w:rsid w:val="00625F5F"/>
    <w:rsid w:val="006274C7"/>
    <w:rsid w:val="006278B6"/>
    <w:rsid w:val="00630869"/>
    <w:rsid w:val="00630BA3"/>
    <w:rsid w:val="00630FB6"/>
    <w:rsid w:val="00632AB6"/>
    <w:rsid w:val="006340B0"/>
    <w:rsid w:val="0063467B"/>
    <w:rsid w:val="0063501D"/>
    <w:rsid w:val="00635C7B"/>
    <w:rsid w:val="00636868"/>
    <w:rsid w:val="00637DA4"/>
    <w:rsid w:val="00640832"/>
    <w:rsid w:val="00640A6A"/>
    <w:rsid w:val="00643602"/>
    <w:rsid w:val="00643C9F"/>
    <w:rsid w:val="006445B4"/>
    <w:rsid w:val="006454C4"/>
    <w:rsid w:val="00645A96"/>
    <w:rsid w:val="00645D5E"/>
    <w:rsid w:val="006464EB"/>
    <w:rsid w:val="0064734F"/>
    <w:rsid w:val="0064788B"/>
    <w:rsid w:val="00650011"/>
    <w:rsid w:val="00650C5F"/>
    <w:rsid w:val="00651FD1"/>
    <w:rsid w:val="006521FB"/>
    <w:rsid w:val="006522BB"/>
    <w:rsid w:val="00652F23"/>
    <w:rsid w:val="0065304D"/>
    <w:rsid w:val="0065345B"/>
    <w:rsid w:val="00653557"/>
    <w:rsid w:val="00654350"/>
    <w:rsid w:val="00655F6D"/>
    <w:rsid w:val="0066001B"/>
    <w:rsid w:val="006602F6"/>
    <w:rsid w:val="006605F5"/>
    <w:rsid w:val="00661041"/>
    <w:rsid w:val="0066130E"/>
    <w:rsid w:val="00661598"/>
    <w:rsid w:val="00661AFB"/>
    <w:rsid w:val="00661C84"/>
    <w:rsid w:val="00662B73"/>
    <w:rsid w:val="006630FE"/>
    <w:rsid w:val="00663A25"/>
    <w:rsid w:val="00663C0A"/>
    <w:rsid w:val="00663C7B"/>
    <w:rsid w:val="0066409E"/>
    <w:rsid w:val="00664410"/>
    <w:rsid w:val="00664DB3"/>
    <w:rsid w:val="00666661"/>
    <w:rsid w:val="006709E1"/>
    <w:rsid w:val="00671AD8"/>
    <w:rsid w:val="00674160"/>
    <w:rsid w:val="00674271"/>
    <w:rsid w:val="0067478D"/>
    <w:rsid w:val="00674CA3"/>
    <w:rsid w:val="006751F8"/>
    <w:rsid w:val="00675AB7"/>
    <w:rsid w:val="00675E75"/>
    <w:rsid w:val="006761D0"/>
    <w:rsid w:val="00676382"/>
    <w:rsid w:val="006774B4"/>
    <w:rsid w:val="006803F7"/>
    <w:rsid w:val="00680592"/>
    <w:rsid w:val="00680605"/>
    <w:rsid w:val="00680E84"/>
    <w:rsid w:val="0068138E"/>
    <w:rsid w:val="0068184D"/>
    <w:rsid w:val="00681CB7"/>
    <w:rsid w:val="0068260E"/>
    <w:rsid w:val="00682817"/>
    <w:rsid w:val="00682A53"/>
    <w:rsid w:val="00683099"/>
    <w:rsid w:val="00683564"/>
    <w:rsid w:val="00684552"/>
    <w:rsid w:val="00684E16"/>
    <w:rsid w:val="006865AB"/>
    <w:rsid w:val="006867F8"/>
    <w:rsid w:val="0068792D"/>
    <w:rsid w:val="00687CD4"/>
    <w:rsid w:val="00690390"/>
    <w:rsid w:val="00690942"/>
    <w:rsid w:val="0069136E"/>
    <w:rsid w:val="00691971"/>
    <w:rsid w:val="00691BC8"/>
    <w:rsid w:val="006928A2"/>
    <w:rsid w:val="00692FA9"/>
    <w:rsid w:val="00694BBA"/>
    <w:rsid w:val="00694D49"/>
    <w:rsid w:val="00695327"/>
    <w:rsid w:val="00695E9D"/>
    <w:rsid w:val="00696D3B"/>
    <w:rsid w:val="006971FF"/>
    <w:rsid w:val="00697623"/>
    <w:rsid w:val="0069765D"/>
    <w:rsid w:val="00697B9A"/>
    <w:rsid w:val="006A1A33"/>
    <w:rsid w:val="006A21DC"/>
    <w:rsid w:val="006A24AE"/>
    <w:rsid w:val="006A343B"/>
    <w:rsid w:val="006A48AF"/>
    <w:rsid w:val="006A586C"/>
    <w:rsid w:val="006A59CB"/>
    <w:rsid w:val="006A6B7A"/>
    <w:rsid w:val="006B06C1"/>
    <w:rsid w:val="006B1048"/>
    <w:rsid w:val="006B12C0"/>
    <w:rsid w:val="006B1CB0"/>
    <w:rsid w:val="006B27C1"/>
    <w:rsid w:val="006B2B86"/>
    <w:rsid w:val="006B4B0F"/>
    <w:rsid w:val="006B563A"/>
    <w:rsid w:val="006B59E5"/>
    <w:rsid w:val="006B5A45"/>
    <w:rsid w:val="006B5A80"/>
    <w:rsid w:val="006B5D23"/>
    <w:rsid w:val="006B636B"/>
    <w:rsid w:val="006B6D15"/>
    <w:rsid w:val="006B74F9"/>
    <w:rsid w:val="006B7579"/>
    <w:rsid w:val="006B772D"/>
    <w:rsid w:val="006C0093"/>
    <w:rsid w:val="006C03C5"/>
    <w:rsid w:val="006C14DD"/>
    <w:rsid w:val="006C17BF"/>
    <w:rsid w:val="006C251E"/>
    <w:rsid w:val="006C2964"/>
    <w:rsid w:val="006C2FD8"/>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3E0B"/>
    <w:rsid w:val="006D4066"/>
    <w:rsid w:val="006D4C42"/>
    <w:rsid w:val="006D60F0"/>
    <w:rsid w:val="006D6FB9"/>
    <w:rsid w:val="006D7722"/>
    <w:rsid w:val="006D7D9C"/>
    <w:rsid w:val="006E136C"/>
    <w:rsid w:val="006E2549"/>
    <w:rsid w:val="006E2D69"/>
    <w:rsid w:val="006E3329"/>
    <w:rsid w:val="006E3820"/>
    <w:rsid w:val="006E3A0F"/>
    <w:rsid w:val="006E3C47"/>
    <w:rsid w:val="006E47A6"/>
    <w:rsid w:val="006E559A"/>
    <w:rsid w:val="006E63B5"/>
    <w:rsid w:val="006E79C9"/>
    <w:rsid w:val="006E7A12"/>
    <w:rsid w:val="006E7DAF"/>
    <w:rsid w:val="006F1C55"/>
    <w:rsid w:val="006F222E"/>
    <w:rsid w:val="006F2B4C"/>
    <w:rsid w:val="006F374F"/>
    <w:rsid w:val="006F3D25"/>
    <w:rsid w:val="006F47D0"/>
    <w:rsid w:val="006F4879"/>
    <w:rsid w:val="006F5529"/>
    <w:rsid w:val="006F6D62"/>
    <w:rsid w:val="0070035E"/>
    <w:rsid w:val="00700934"/>
    <w:rsid w:val="007031A4"/>
    <w:rsid w:val="00703563"/>
    <w:rsid w:val="007038F6"/>
    <w:rsid w:val="00703BEC"/>
    <w:rsid w:val="00705B79"/>
    <w:rsid w:val="00705D88"/>
    <w:rsid w:val="00707CC5"/>
    <w:rsid w:val="0071021B"/>
    <w:rsid w:val="00710D16"/>
    <w:rsid w:val="007110A9"/>
    <w:rsid w:val="007110AC"/>
    <w:rsid w:val="007130CC"/>
    <w:rsid w:val="00713E3F"/>
    <w:rsid w:val="007147DF"/>
    <w:rsid w:val="0071574E"/>
    <w:rsid w:val="007162EA"/>
    <w:rsid w:val="00716AD7"/>
    <w:rsid w:val="007174A6"/>
    <w:rsid w:val="00720261"/>
    <w:rsid w:val="0072086D"/>
    <w:rsid w:val="00721234"/>
    <w:rsid w:val="007212CA"/>
    <w:rsid w:val="007217ED"/>
    <w:rsid w:val="00721FE4"/>
    <w:rsid w:val="00722C55"/>
    <w:rsid w:val="00723D06"/>
    <w:rsid w:val="007242AD"/>
    <w:rsid w:val="0072501D"/>
    <w:rsid w:val="00725C1D"/>
    <w:rsid w:val="00725C62"/>
    <w:rsid w:val="00726533"/>
    <w:rsid w:val="00726B80"/>
    <w:rsid w:val="007275E0"/>
    <w:rsid w:val="007302C4"/>
    <w:rsid w:val="0073089A"/>
    <w:rsid w:val="007308FA"/>
    <w:rsid w:val="00730BF4"/>
    <w:rsid w:val="00731570"/>
    <w:rsid w:val="00733278"/>
    <w:rsid w:val="0073352C"/>
    <w:rsid w:val="00733CA4"/>
    <w:rsid w:val="0073463C"/>
    <w:rsid w:val="007349CB"/>
    <w:rsid w:val="00734DE8"/>
    <w:rsid w:val="007352E3"/>
    <w:rsid w:val="0073679C"/>
    <w:rsid w:val="007370BF"/>
    <w:rsid w:val="00737531"/>
    <w:rsid w:val="00740BDE"/>
    <w:rsid w:val="00741503"/>
    <w:rsid w:val="00741DC8"/>
    <w:rsid w:val="0074275D"/>
    <w:rsid w:val="0074289D"/>
    <w:rsid w:val="007429CA"/>
    <w:rsid w:val="0074336A"/>
    <w:rsid w:val="00743567"/>
    <w:rsid w:val="00743D51"/>
    <w:rsid w:val="00744BAE"/>
    <w:rsid w:val="00744C33"/>
    <w:rsid w:val="00744EC5"/>
    <w:rsid w:val="007453E5"/>
    <w:rsid w:val="00745E1A"/>
    <w:rsid w:val="00746DA9"/>
    <w:rsid w:val="00746E0D"/>
    <w:rsid w:val="007508B9"/>
    <w:rsid w:val="007511A4"/>
    <w:rsid w:val="0075139B"/>
    <w:rsid w:val="007517D3"/>
    <w:rsid w:val="00751FE1"/>
    <w:rsid w:val="007531E4"/>
    <w:rsid w:val="0075320D"/>
    <w:rsid w:val="0075345D"/>
    <w:rsid w:val="00753CBF"/>
    <w:rsid w:val="00754063"/>
    <w:rsid w:val="00754264"/>
    <w:rsid w:val="007548A2"/>
    <w:rsid w:val="007553D7"/>
    <w:rsid w:val="0075634C"/>
    <w:rsid w:val="0075689D"/>
    <w:rsid w:val="00756942"/>
    <w:rsid w:val="0076017E"/>
    <w:rsid w:val="00760405"/>
    <w:rsid w:val="0076119E"/>
    <w:rsid w:val="0076174C"/>
    <w:rsid w:val="00761D88"/>
    <w:rsid w:val="00762AA9"/>
    <w:rsid w:val="00762D5A"/>
    <w:rsid w:val="00763D0F"/>
    <w:rsid w:val="007645CC"/>
    <w:rsid w:val="00765159"/>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77E03"/>
    <w:rsid w:val="00782672"/>
    <w:rsid w:val="007843B8"/>
    <w:rsid w:val="00784CED"/>
    <w:rsid w:val="00784F49"/>
    <w:rsid w:val="00785612"/>
    <w:rsid w:val="0078601D"/>
    <w:rsid w:val="00786EDD"/>
    <w:rsid w:val="00790F8B"/>
    <w:rsid w:val="00791F58"/>
    <w:rsid w:val="007928F6"/>
    <w:rsid w:val="00792BE0"/>
    <w:rsid w:val="00792D75"/>
    <w:rsid w:val="007934EC"/>
    <w:rsid w:val="00793582"/>
    <w:rsid w:val="0079391D"/>
    <w:rsid w:val="0079440D"/>
    <w:rsid w:val="00794A80"/>
    <w:rsid w:val="00794BFF"/>
    <w:rsid w:val="00794CD1"/>
    <w:rsid w:val="00794D24"/>
    <w:rsid w:val="00795A8A"/>
    <w:rsid w:val="00796D1E"/>
    <w:rsid w:val="0079720E"/>
    <w:rsid w:val="007A0CBE"/>
    <w:rsid w:val="007A213B"/>
    <w:rsid w:val="007A2A86"/>
    <w:rsid w:val="007A33D6"/>
    <w:rsid w:val="007A4021"/>
    <w:rsid w:val="007A4361"/>
    <w:rsid w:val="007A47CD"/>
    <w:rsid w:val="007A4BCF"/>
    <w:rsid w:val="007A5C53"/>
    <w:rsid w:val="007A5E3A"/>
    <w:rsid w:val="007A65BB"/>
    <w:rsid w:val="007A6CC1"/>
    <w:rsid w:val="007A7B85"/>
    <w:rsid w:val="007A7C76"/>
    <w:rsid w:val="007B07A0"/>
    <w:rsid w:val="007B0CED"/>
    <w:rsid w:val="007B1959"/>
    <w:rsid w:val="007B1BF8"/>
    <w:rsid w:val="007B2684"/>
    <w:rsid w:val="007B2EAC"/>
    <w:rsid w:val="007B396D"/>
    <w:rsid w:val="007B3CB3"/>
    <w:rsid w:val="007B3D53"/>
    <w:rsid w:val="007B4878"/>
    <w:rsid w:val="007B4FAD"/>
    <w:rsid w:val="007B55AE"/>
    <w:rsid w:val="007B5AEB"/>
    <w:rsid w:val="007B751D"/>
    <w:rsid w:val="007B754E"/>
    <w:rsid w:val="007B7C5F"/>
    <w:rsid w:val="007C0E63"/>
    <w:rsid w:val="007C1BE0"/>
    <w:rsid w:val="007C22DC"/>
    <w:rsid w:val="007C39B4"/>
    <w:rsid w:val="007C42E3"/>
    <w:rsid w:val="007C5658"/>
    <w:rsid w:val="007C6EE3"/>
    <w:rsid w:val="007C70F8"/>
    <w:rsid w:val="007C77FE"/>
    <w:rsid w:val="007D2278"/>
    <w:rsid w:val="007D2B28"/>
    <w:rsid w:val="007D476F"/>
    <w:rsid w:val="007D53D4"/>
    <w:rsid w:val="007D71D6"/>
    <w:rsid w:val="007D7E48"/>
    <w:rsid w:val="007E0E94"/>
    <w:rsid w:val="007E0F8C"/>
    <w:rsid w:val="007E1CFB"/>
    <w:rsid w:val="007E26E9"/>
    <w:rsid w:val="007E2FAA"/>
    <w:rsid w:val="007E362A"/>
    <w:rsid w:val="007E528C"/>
    <w:rsid w:val="007E5332"/>
    <w:rsid w:val="007E6393"/>
    <w:rsid w:val="007E6E2C"/>
    <w:rsid w:val="007F038A"/>
    <w:rsid w:val="007F1024"/>
    <w:rsid w:val="007F152E"/>
    <w:rsid w:val="007F2FC7"/>
    <w:rsid w:val="007F3E41"/>
    <w:rsid w:val="007F4824"/>
    <w:rsid w:val="007F54F9"/>
    <w:rsid w:val="007F5987"/>
    <w:rsid w:val="007F677E"/>
    <w:rsid w:val="007F6F6E"/>
    <w:rsid w:val="007F7997"/>
    <w:rsid w:val="008006A5"/>
    <w:rsid w:val="00800824"/>
    <w:rsid w:val="00801054"/>
    <w:rsid w:val="0080150D"/>
    <w:rsid w:val="008015BF"/>
    <w:rsid w:val="008020C3"/>
    <w:rsid w:val="00802D54"/>
    <w:rsid w:val="00802DF4"/>
    <w:rsid w:val="00803683"/>
    <w:rsid w:val="00803C24"/>
    <w:rsid w:val="00804CF8"/>
    <w:rsid w:val="008052CB"/>
    <w:rsid w:val="0080535D"/>
    <w:rsid w:val="00805CE5"/>
    <w:rsid w:val="008070AF"/>
    <w:rsid w:val="00810BC3"/>
    <w:rsid w:val="008111ED"/>
    <w:rsid w:val="008117B4"/>
    <w:rsid w:val="00811C1A"/>
    <w:rsid w:val="00812104"/>
    <w:rsid w:val="0081242F"/>
    <w:rsid w:val="0081289B"/>
    <w:rsid w:val="008136BA"/>
    <w:rsid w:val="00813CED"/>
    <w:rsid w:val="0081551D"/>
    <w:rsid w:val="0081562C"/>
    <w:rsid w:val="00815B61"/>
    <w:rsid w:val="0081677D"/>
    <w:rsid w:val="00816C92"/>
    <w:rsid w:val="00817884"/>
    <w:rsid w:val="00817E69"/>
    <w:rsid w:val="00820DFB"/>
    <w:rsid w:val="0082113D"/>
    <w:rsid w:val="008217A7"/>
    <w:rsid w:val="00821862"/>
    <w:rsid w:val="0082222E"/>
    <w:rsid w:val="00822692"/>
    <w:rsid w:val="00824F27"/>
    <w:rsid w:val="00826B16"/>
    <w:rsid w:val="008272E7"/>
    <w:rsid w:val="00827AB2"/>
    <w:rsid w:val="008302E8"/>
    <w:rsid w:val="00830698"/>
    <w:rsid w:val="0083167E"/>
    <w:rsid w:val="00832121"/>
    <w:rsid w:val="0083212F"/>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0182"/>
    <w:rsid w:val="00850C6C"/>
    <w:rsid w:val="00851A89"/>
    <w:rsid w:val="00852330"/>
    <w:rsid w:val="00852693"/>
    <w:rsid w:val="0085360B"/>
    <w:rsid w:val="00854976"/>
    <w:rsid w:val="008551B5"/>
    <w:rsid w:val="00855419"/>
    <w:rsid w:val="00856490"/>
    <w:rsid w:val="00857215"/>
    <w:rsid w:val="00861855"/>
    <w:rsid w:val="00862468"/>
    <w:rsid w:val="008628FF"/>
    <w:rsid w:val="00862C4C"/>
    <w:rsid w:val="00862C94"/>
    <w:rsid w:val="00862EA2"/>
    <w:rsid w:val="00862F7C"/>
    <w:rsid w:val="0086331C"/>
    <w:rsid w:val="00863F5B"/>
    <w:rsid w:val="00864DFE"/>
    <w:rsid w:val="00865CBC"/>
    <w:rsid w:val="0086637F"/>
    <w:rsid w:val="0086661C"/>
    <w:rsid w:val="00867B75"/>
    <w:rsid w:val="00867C01"/>
    <w:rsid w:val="00870A5B"/>
    <w:rsid w:val="00870DC7"/>
    <w:rsid w:val="00871476"/>
    <w:rsid w:val="0087164C"/>
    <w:rsid w:val="00871B04"/>
    <w:rsid w:val="00874350"/>
    <w:rsid w:val="00874791"/>
    <w:rsid w:val="00874A3F"/>
    <w:rsid w:val="00874AE2"/>
    <w:rsid w:val="008758B2"/>
    <w:rsid w:val="00875B77"/>
    <w:rsid w:val="00875D89"/>
    <w:rsid w:val="00876640"/>
    <w:rsid w:val="00877913"/>
    <w:rsid w:val="00877B9E"/>
    <w:rsid w:val="008808F9"/>
    <w:rsid w:val="00883DD6"/>
    <w:rsid w:val="00885EF2"/>
    <w:rsid w:val="008863AD"/>
    <w:rsid w:val="0088691B"/>
    <w:rsid w:val="00886E79"/>
    <w:rsid w:val="008873F9"/>
    <w:rsid w:val="00887692"/>
    <w:rsid w:val="00887C23"/>
    <w:rsid w:val="00887DB2"/>
    <w:rsid w:val="00891368"/>
    <w:rsid w:val="00891376"/>
    <w:rsid w:val="00892D7B"/>
    <w:rsid w:val="00893126"/>
    <w:rsid w:val="00893165"/>
    <w:rsid w:val="00893FDF"/>
    <w:rsid w:val="008942DE"/>
    <w:rsid w:val="00894F22"/>
    <w:rsid w:val="00895338"/>
    <w:rsid w:val="00895C04"/>
    <w:rsid w:val="00896018"/>
    <w:rsid w:val="0089671E"/>
    <w:rsid w:val="00897DF6"/>
    <w:rsid w:val="008A02C4"/>
    <w:rsid w:val="008A0389"/>
    <w:rsid w:val="008A07EF"/>
    <w:rsid w:val="008A0828"/>
    <w:rsid w:val="008A1AF4"/>
    <w:rsid w:val="008A1D80"/>
    <w:rsid w:val="008A1F53"/>
    <w:rsid w:val="008A3A35"/>
    <w:rsid w:val="008A3B90"/>
    <w:rsid w:val="008A3E06"/>
    <w:rsid w:val="008A405D"/>
    <w:rsid w:val="008A430C"/>
    <w:rsid w:val="008A515C"/>
    <w:rsid w:val="008A52AF"/>
    <w:rsid w:val="008A5B28"/>
    <w:rsid w:val="008A626E"/>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7F30"/>
    <w:rsid w:val="008C0951"/>
    <w:rsid w:val="008C12CD"/>
    <w:rsid w:val="008C1917"/>
    <w:rsid w:val="008C1AC3"/>
    <w:rsid w:val="008C1BFF"/>
    <w:rsid w:val="008C248B"/>
    <w:rsid w:val="008C3BF7"/>
    <w:rsid w:val="008C5299"/>
    <w:rsid w:val="008C5763"/>
    <w:rsid w:val="008C58C3"/>
    <w:rsid w:val="008C5B4E"/>
    <w:rsid w:val="008C5BD3"/>
    <w:rsid w:val="008C62AC"/>
    <w:rsid w:val="008C69DA"/>
    <w:rsid w:val="008C6BA2"/>
    <w:rsid w:val="008C7CAE"/>
    <w:rsid w:val="008D0EC6"/>
    <w:rsid w:val="008D13C7"/>
    <w:rsid w:val="008D1884"/>
    <w:rsid w:val="008D21E0"/>
    <w:rsid w:val="008D2BE3"/>
    <w:rsid w:val="008D2C0E"/>
    <w:rsid w:val="008D4064"/>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99A"/>
    <w:rsid w:val="008E4E74"/>
    <w:rsid w:val="008E5818"/>
    <w:rsid w:val="008E64FC"/>
    <w:rsid w:val="008E6B25"/>
    <w:rsid w:val="008E70A4"/>
    <w:rsid w:val="008E70F2"/>
    <w:rsid w:val="008E765B"/>
    <w:rsid w:val="008E7D03"/>
    <w:rsid w:val="008F0196"/>
    <w:rsid w:val="008F144F"/>
    <w:rsid w:val="008F1BDE"/>
    <w:rsid w:val="008F21B5"/>
    <w:rsid w:val="008F26B8"/>
    <w:rsid w:val="008F2F99"/>
    <w:rsid w:val="008F41E3"/>
    <w:rsid w:val="008F634C"/>
    <w:rsid w:val="008F63C1"/>
    <w:rsid w:val="008F6635"/>
    <w:rsid w:val="008F6835"/>
    <w:rsid w:val="008F6D3D"/>
    <w:rsid w:val="008F6F5C"/>
    <w:rsid w:val="008F7305"/>
    <w:rsid w:val="008F79AC"/>
    <w:rsid w:val="008F7B73"/>
    <w:rsid w:val="008F7C46"/>
    <w:rsid w:val="0090048F"/>
    <w:rsid w:val="00900C75"/>
    <w:rsid w:val="00900D54"/>
    <w:rsid w:val="0090192D"/>
    <w:rsid w:val="00901985"/>
    <w:rsid w:val="0090347E"/>
    <w:rsid w:val="00903773"/>
    <w:rsid w:val="0090546C"/>
    <w:rsid w:val="00905E1B"/>
    <w:rsid w:val="0090794B"/>
    <w:rsid w:val="00907D8C"/>
    <w:rsid w:val="0091021B"/>
    <w:rsid w:val="009102AC"/>
    <w:rsid w:val="00912E4E"/>
    <w:rsid w:val="00913CFC"/>
    <w:rsid w:val="00914899"/>
    <w:rsid w:val="00914D7A"/>
    <w:rsid w:val="009163F6"/>
    <w:rsid w:val="009167C8"/>
    <w:rsid w:val="00917CDC"/>
    <w:rsid w:val="00920092"/>
    <w:rsid w:val="0092037B"/>
    <w:rsid w:val="00921E0A"/>
    <w:rsid w:val="0092288B"/>
    <w:rsid w:val="00923541"/>
    <w:rsid w:val="00923BB8"/>
    <w:rsid w:val="00923C78"/>
    <w:rsid w:val="00923D6A"/>
    <w:rsid w:val="00926584"/>
    <w:rsid w:val="00926B4C"/>
    <w:rsid w:val="00926D6E"/>
    <w:rsid w:val="00927471"/>
    <w:rsid w:val="009278CA"/>
    <w:rsid w:val="00927C81"/>
    <w:rsid w:val="00927E08"/>
    <w:rsid w:val="00927E3C"/>
    <w:rsid w:val="009304CE"/>
    <w:rsid w:val="00930E81"/>
    <w:rsid w:val="00931259"/>
    <w:rsid w:val="00932775"/>
    <w:rsid w:val="00932AB0"/>
    <w:rsid w:val="00932D35"/>
    <w:rsid w:val="00933C49"/>
    <w:rsid w:val="009342F8"/>
    <w:rsid w:val="00934BB4"/>
    <w:rsid w:val="00934CE9"/>
    <w:rsid w:val="00934CF7"/>
    <w:rsid w:val="00934E0A"/>
    <w:rsid w:val="00935554"/>
    <w:rsid w:val="00935F1B"/>
    <w:rsid w:val="0093604D"/>
    <w:rsid w:val="009360BF"/>
    <w:rsid w:val="00936183"/>
    <w:rsid w:val="00936CE7"/>
    <w:rsid w:val="00937CAA"/>
    <w:rsid w:val="00937E5F"/>
    <w:rsid w:val="00940086"/>
    <w:rsid w:val="00940C5B"/>
    <w:rsid w:val="00940D33"/>
    <w:rsid w:val="009417C1"/>
    <w:rsid w:val="00941BD7"/>
    <w:rsid w:val="00943F60"/>
    <w:rsid w:val="0094551A"/>
    <w:rsid w:val="00946178"/>
    <w:rsid w:val="00946E58"/>
    <w:rsid w:val="00947B1B"/>
    <w:rsid w:val="00950EAD"/>
    <w:rsid w:val="00953180"/>
    <w:rsid w:val="009532AD"/>
    <w:rsid w:val="0095337B"/>
    <w:rsid w:val="00954032"/>
    <w:rsid w:val="009547F7"/>
    <w:rsid w:val="0095496F"/>
    <w:rsid w:val="00955D9A"/>
    <w:rsid w:val="0095658E"/>
    <w:rsid w:val="00957529"/>
    <w:rsid w:val="00957EED"/>
    <w:rsid w:val="00960799"/>
    <w:rsid w:val="00960B4A"/>
    <w:rsid w:val="00961E0F"/>
    <w:rsid w:val="00962477"/>
    <w:rsid w:val="0096259B"/>
    <w:rsid w:val="00963390"/>
    <w:rsid w:val="0096422A"/>
    <w:rsid w:val="00964B96"/>
    <w:rsid w:val="00964E4F"/>
    <w:rsid w:val="009660BF"/>
    <w:rsid w:val="00966250"/>
    <w:rsid w:val="009667AE"/>
    <w:rsid w:val="00966A71"/>
    <w:rsid w:val="009670B3"/>
    <w:rsid w:val="0097067D"/>
    <w:rsid w:val="0097074C"/>
    <w:rsid w:val="00970AD2"/>
    <w:rsid w:val="00970D85"/>
    <w:rsid w:val="00970E05"/>
    <w:rsid w:val="00971B03"/>
    <w:rsid w:val="00971CF7"/>
    <w:rsid w:val="009722D2"/>
    <w:rsid w:val="00972721"/>
    <w:rsid w:val="00972914"/>
    <w:rsid w:val="0097292C"/>
    <w:rsid w:val="00973259"/>
    <w:rsid w:val="00974307"/>
    <w:rsid w:val="009749F5"/>
    <w:rsid w:val="00974D57"/>
    <w:rsid w:val="00974E9D"/>
    <w:rsid w:val="009754B1"/>
    <w:rsid w:val="009763AE"/>
    <w:rsid w:val="00976C05"/>
    <w:rsid w:val="009779AC"/>
    <w:rsid w:val="00977A84"/>
    <w:rsid w:val="0098019A"/>
    <w:rsid w:val="0098055B"/>
    <w:rsid w:val="009817AA"/>
    <w:rsid w:val="00983F49"/>
    <w:rsid w:val="0098438A"/>
    <w:rsid w:val="009852B8"/>
    <w:rsid w:val="009862C6"/>
    <w:rsid w:val="00986BB5"/>
    <w:rsid w:val="009914A7"/>
    <w:rsid w:val="00992AEE"/>
    <w:rsid w:val="00992CDC"/>
    <w:rsid w:val="00993442"/>
    <w:rsid w:val="00993C1A"/>
    <w:rsid w:val="00993F3C"/>
    <w:rsid w:val="00994945"/>
    <w:rsid w:val="00994B7E"/>
    <w:rsid w:val="00996253"/>
    <w:rsid w:val="009966A3"/>
    <w:rsid w:val="00997995"/>
    <w:rsid w:val="00997D4C"/>
    <w:rsid w:val="009A1A60"/>
    <w:rsid w:val="009A20E6"/>
    <w:rsid w:val="009A26B5"/>
    <w:rsid w:val="009A3519"/>
    <w:rsid w:val="009A3DE9"/>
    <w:rsid w:val="009A41D2"/>
    <w:rsid w:val="009A4DDF"/>
    <w:rsid w:val="009A5437"/>
    <w:rsid w:val="009A5625"/>
    <w:rsid w:val="009A73FF"/>
    <w:rsid w:val="009A7CE8"/>
    <w:rsid w:val="009A7E76"/>
    <w:rsid w:val="009B093B"/>
    <w:rsid w:val="009B0A5E"/>
    <w:rsid w:val="009B10C1"/>
    <w:rsid w:val="009B1AAD"/>
    <w:rsid w:val="009B2295"/>
    <w:rsid w:val="009B25B6"/>
    <w:rsid w:val="009B2DF5"/>
    <w:rsid w:val="009B4B16"/>
    <w:rsid w:val="009B518E"/>
    <w:rsid w:val="009B53D7"/>
    <w:rsid w:val="009B5FB5"/>
    <w:rsid w:val="009B6BA8"/>
    <w:rsid w:val="009B707D"/>
    <w:rsid w:val="009C03D8"/>
    <w:rsid w:val="009C0488"/>
    <w:rsid w:val="009C1721"/>
    <w:rsid w:val="009C23D4"/>
    <w:rsid w:val="009C2B2B"/>
    <w:rsid w:val="009C4125"/>
    <w:rsid w:val="009C4425"/>
    <w:rsid w:val="009C4AE9"/>
    <w:rsid w:val="009C62C7"/>
    <w:rsid w:val="009C651B"/>
    <w:rsid w:val="009C69EE"/>
    <w:rsid w:val="009C7B68"/>
    <w:rsid w:val="009D0290"/>
    <w:rsid w:val="009D07E1"/>
    <w:rsid w:val="009D0935"/>
    <w:rsid w:val="009D173C"/>
    <w:rsid w:val="009D2D4D"/>
    <w:rsid w:val="009D3371"/>
    <w:rsid w:val="009D3CE7"/>
    <w:rsid w:val="009D4783"/>
    <w:rsid w:val="009D4ADB"/>
    <w:rsid w:val="009D4DED"/>
    <w:rsid w:val="009D539F"/>
    <w:rsid w:val="009D5679"/>
    <w:rsid w:val="009D57C6"/>
    <w:rsid w:val="009D6322"/>
    <w:rsid w:val="009D6AAD"/>
    <w:rsid w:val="009D71FB"/>
    <w:rsid w:val="009D74C4"/>
    <w:rsid w:val="009D7A8C"/>
    <w:rsid w:val="009E03CA"/>
    <w:rsid w:val="009E0497"/>
    <w:rsid w:val="009E0FE2"/>
    <w:rsid w:val="009E19B8"/>
    <w:rsid w:val="009E1E02"/>
    <w:rsid w:val="009E2507"/>
    <w:rsid w:val="009E2739"/>
    <w:rsid w:val="009E27EC"/>
    <w:rsid w:val="009E30DF"/>
    <w:rsid w:val="009E6058"/>
    <w:rsid w:val="009E68A9"/>
    <w:rsid w:val="009E7725"/>
    <w:rsid w:val="009E7BE4"/>
    <w:rsid w:val="009E7EC2"/>
    <w:rsid w:val="009F10FF"/>
    <w:rsid w:val="009F2720"/>
    <w:rsid w:val="009F2C63"/>
    <w:rsid w:val="009F438F"/>
    <w:rsid w:val="009F549E"/>
    <w:rsid w:val="009F5CC8"/>
    <w:rsid w:val="009F62F9"/>
    <w:rsid w:val="009F6674"/>
    <w:rsid w:val="009F68F3"/>
    <w:rsid w:val="009F6D3B"/>
    <w:rsid w:val="009F7E54"/>
    <w:rsid w:val="00A0027B"/>
    <w:rsid w:val="00A00C69"/>
    <w:rsid w:val="00A0239F"/>
    <w:rsid w:val="00A027AD"/>
    <w:rsid w:val="00A027C9"/>
    <w:rsid w:val="00A02F44"/>
    <w:rsid w:val="00A03850"/>
    <w:rsid w:val="00A05109"/>
    <w:rsid w:val="00A0541B"/>
    <w:rsid w:val="00A05CB1"/>
    <w:rsid w:val="00A062CC"/>
    <w:rsid w:val="00A06B04"/>
    <w:rsid w:val="00A06D76"/>
    <w:rsid w:val="00A06E90"/>
    <w:rsid w:val="00A1089F"/>
    <w:rsid w:val="00A108A7"/>
    <w:rsid w:val="00A10BB5"/>
    <w:rsid w:val="00A11A55"/>
    <w:rsid w:val="00A1228C"/>
    <w:rsid w:val="00A12622"/>
    <w:rsid w:val="00A129F7"/>
    <w:rsid w:val="00A1330F"/>
    <w:rsid w:val="00A135AE"/>
    <w:rsid w:val="00A13928"/>
    <w:rsid w:val="00A13ABF"/>
    <w:rsid w:val="00A15818"/>
    <w:rsid w:val="00A15983"/>
    <w:rsid w:val="00A15CAB"/>
    <w:rsid w:val="00A16AE4"/>
    <w:rsid w:val="00A16E3E"/>
    <w:rsid w:val="00A17267"/>
    <w:rsid w:val="00A202E7"/>
    <w:rsid w:val="00A20E33"/>
    <w:rsid w:val="00A20FD4"/>
    <w:rsid w:val="00A21FED"/>
    <w:rsid w:val="00A25604"/>
    <w:rsid w:val="00A3067C"/>
    <w:rsid w:val="00A308CA"/>
    <w:rsid w:val="00A3090B"/>
    <w:rsid w:val="00A309E7"/>
    <w:rsid w:val="00A30A0A"/>
    <w:rsid w:val="00A316F0"/>
    <w:rsid w:val="00A321E6"/>
    <w:rsid w:val="00A3267E"/>
    <w:rsid w:val="00A33A11"/>
    <w:rsid w:val="00A349B2"/>
    <w:rsid w:val="00A353CF"/>
    <w:rsid w:val="00A3706A"/>
    <w:rsid w:val="00A37368"/>
    <w:rsid w:val="00A37646"/>
    <w:rsid w:val="00A400AC"/>
    <w:rsid w:val="00A4129D"/>
    <w:rsid w:val="00A41D25"/>
    <w:rsid w:val="00A4242C"/>
    <w:rsid w:val="00A42540"/>
    <w:rsid w:val="00A42891"/>
    <w:rsid w:val="00A42947"/>
    <w:rsid w:val="00A42F0E"/>
    <w:rsid w:val="00A436C1"/>
    <w:rsid w:val="00A43967"/>
    <w:rsid w:val="00A43E05"/>
    <w:rsid w:val="00A44590"/>
    <w:rsid w:val="00A44A7C"/>
    <w:rsid w:val="00A44CEA"/>
    <w:rsid w:val="00A45A97"/>
    <w:rsid w:val="00A45BFC"/>
    <w:rsid w:val="00A463CC"/>
    <w:rsid w:val="00A47579"/>
    <w:rsid w:val="00A47D28"/>
    <w:rsid w:val="00A50781"/>
    <w:rsid w:val="00A52978"/>
    <w:rsid w:val="00A530DD"/>
    <w:rsid w:val="00A53971"/>
    <w:rsid w:val="00A53FE9"/>
    <w:rsid w:val="00A5418C"/>
    <w:rsid w:val="00A5475B"/>
    <w:rsid w:val="00A551B5"/>
    <w:rsid w:val="00A553F8"/>
    <w:rsid w:val="00A56914"/>
    <w:rsid w:val="00A570F2"/>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4A4"/>
    <w:rsid w:val="00A73505"/>
    <w:rsid w:val="00A73762"/>
    <w:rsid w:val="00A73AE1"/>
    <w:rsid w:val="00A73C82"/>
    <w:rsid w:val="00A74603"/>
    <w:rsid w:val="00A7471A"/>
    <w:rsid w:val="00A76B47"/>
    <w:rsid w:val="00A77093"/>
    <w:rsid w:val="00A80529"/>
    <w:rsid w:val="00A8078C"/>
    <w:rsid w:val="00A807AB"/>
    <w:rsid w:val="00A808A0"/>
    <w:rsid w:val="00A81C13"/>
    <w:rsid w:val="00A82444"/>
    <w:rsid w:val="00A8324C"/>
    <w:rsid w:val="00A83A25"/>
    <w:rsid w:val="00A83ADE"/>
    <w:rsid w:val="00A83CBB"/>
    <w:rsid w:val="00A84462"/>
    <w:rsid w:val="00A849C7"/>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17F"/>
    <w:rsid w:val="00A94A05"/>
    <w:rsid w:val="00A951DF"/>
    <w:rsid w:val="00A957A2"/>
    <w:rsid w:val="00A95F1A"/>
    <w:rsid w:val="00A96629"/>
    <w:rsid w:val="00A97189"/>
    <w:rsid w:val="00A97B7F"/>
    <w:rsid w:val="00AA0496"/>
    <w:rsid w:val="00AA1112"/>
    <w:rsid w:val="00AA1897"/>
    <w:rsid w:val="00AA1CE0"/>
    <w:rsid w:val="00AA2C10"/>
    <w:rsid w:val="00AA3022"/>
    <w:rsid w:val="00AA3D7D"/>
    <w:rsid w:val="00AA53F1"/>
    <w:rsid w:val="00AA6F17"/>
    <w:rsid w:val="00AB089E"/>
    <w:rsid w:val="00AB13EF"/>
    <w:rsid w:val="00AB313B"/>
    <w:rsid w:val="00AB32F3"/>
    <w:rsid w:val="00AB4089"/>
    <w:rsid w:val="00AB5795"/>
    <w:rsid w:val="00AB6D57"/>
    <w:rsid w:val="00AB76A4"/>
    <w:rsid w:val="00AC1265"/>
    <w:rsid w:val="00AC153B"/>
    <w:rsid w:val="00AC16EF"/>
    <w:rsid w:val="00AC2309"/>
    <w:rsid w:val="00AC2F5F"/>
    <w:rsid w:val="00AC470E"/>
    <w:rsid w:val="00AC4AF6"/>
    <w:rsid w:val="00AC5826"/>
    <w:rsid w:val="00AC6B8C"/>
    <w:rsid w:val="00AC7A56"/>
    <w:rsid w:val="00AD0468"/>
    <w:rsid w:val="00AD151D"/>
    <w:rsid w:val="00AD2BB1"/>
    <w:rsid w:val="00AD4A0A"/>
    <w:rsid w:val="00AD4FBF"/>
    <w:rsid w:val="00AD5C8E"/>
    <w:rsid w:val="00AD5F68"/>
    <w:rsid w:val="00AD6821"/>
    <w:rsid w:val="00AD6A9B"/>
    <w:rsid w:val="00AE17DF"/>
    <w:rsid w:val="00AE1A55"/>
    <w:rsid w:val="00AE1FD5"/>
    <w:rsid w:val="00AE257D"/>
    <w:rsid w:val="00AE31E8"/>
    <w:rsid w:val="00AE4A83"/>
    <w:rsid w:val="00AE4A9E"/>
    <w:rsid w:val="00AE5333"/>
    <w:rsid w:val="00AE656D"/>
    <w:rsid w:val="00AE7871"/>
    <w:rsid w:val="00AE7A85"/>
    <w:rsid w:val="00AE7EC5"/>
    <w:rsid w:val="00AF07C1"/>
    <w:rsid w:val="00AF1B38"/>
    <w:rsid w:val="00AF25DB"/>
    <w:rsid w:val="00AF40C7"/>
    <w:rsid w:val="00AF466C"/>
    <w:rsid w:val="00AF4B93"/>
    <w:rsid w:val="00AF4F9E"/>
    <w:rsid w:val="00AF54DB"/>
    <w:rsid w:val="00AF57A8"/>
    <w:rsid w:val="00AF5DE5"/>
    <w:rsid w:val="00AF6A92"/>
    <w:rsid w:val="00AF79CD"/>
    <w:rsid w:val="00B004C9"/>
    <w:rsid w:val="00B00CDB"/>
    <w:rsid w:val="00B01418"/>
    <w:rsid w:val="00B03453"/>
    <w:rsid w:val="00B037CF"/>
    <w:rsid w:val="00B04F7D"/>
    <w:rsid w:val="00B053C3"/>
    <w:rsid w:val="00B054DA"/>
    <w:rsid w:val="00B0606C"/>
    <w:rsid w:val="00B0653C"/>
    <w:rsid w:val="00B07777"/>
    <w:rsid w:val="00B077C9"/>
    <w:rsid w:val="00B07B5F"/>
    <w:rsid w:val="00B10484"/>
    <w:rsid w:val="00B11862"/>
    <w:rsid w:val="00B11ACD"/>
    <w:rsid w:val="00B12470"/>
    <w:rsid w:val="00B12568"/>
    <w:rsid w:val="00B133BE"/>
    <w:rsid w:val="00B1447D"/>
    <w:rsid w:val="00B14D82"/>
    <w:rsid w:val="00B1555C"/>
    <w:rsid w:val="00B15732"/>
    <w:rsid w:val="00B15742"/>
    <w:rsid w:val="00B17BEB"/>
    <w:rsid w:val="00B17E8D"/>
    <w:rsid w:val="00B20460"/>
    <w:rsid w:val="00B20725"/>
    <w:rsid w:val="00B20959"/>
    <w:rsid w:val="00B21B68"/>
    <w:rsid w:val="00B21D53"/>
    <w:rsid w:val="00B22422"/>
    <w:rsid w:val="00B22675"/>
    <w:rsid w:val="00B22E99"/>
    <w:rsid w:val="00B23380"/>
    <w:rsid w:val="00B237C6"/>
    <w:rsid w:val="00B24B43"/>
    <w:rsid w:val="00B25109"/>
    <w:rsid w:val="00B259DF"/>
    <w:rsid w:val="00B25D3B"/>
    <w:rsid w:val="00B26FCC"/>
    <w:rsid w:val="00B27F92"/>
    <w:rsid w:val="00B30101"/>
    <w:rsid w:val="00B30162"/>
    <w:rsid w:val="00B3135A"/>
    <w:rsid w:val="00B31FDF"/>
    <w:rsid w:val="00B34450"/>
    <w:rsid w:val="00B349DD"/>
    <w:rsid w:val="00B353F1"/>
    <w:rsid w:val="00B35A5F"/>
    <w:rsid w:val="00B35A8C"/>
    <w:rsid w:val="00B35AFE"/>
    <w:rsid w:val="00B35D7C"/>
    <w:rsid w:val="00B36476"/>
    <w:rsid w:val="00B37A06"/>
    <w:rsid w:val="00B402C8"/>
    <w:rsid w:val="00B40C0D"/>
    <w:rsid w:val="00B40C20"/>
    <w:rsid w:val="00B4238E"/>
    <w:rsid w:val="00B429CC"/>
    <w:rsid w:val="00B441AC"/>
    <w:rsid w:val="00B44770"/>
    <w:rsid w:val="00B460DC"/>
    <w:rsid w:val="00B46980"/>
    <w:rsid w:val="00B46F9D"/>
    <w:rsid w:val="00B47465"/>
    <w:rsid w:val="00B50239"/>
    <w:rsid w:val="00B5068F"/>
    <w:rsid w:val="00B510EE"/>
    <w:rsid w:val="00B51329"/>
    <w:rsid w:val="00B53FBE"/>
    <w:rsid w:val="00B54E89"/>
    <w:rsid w:val="00B55312"/>
    <w:rsid w:val="00B5592B"/>
    <w:rsid w:val="00B56166"/>
    <w:rsid w:val="00B562E0"/>
    <w:rsid w:val="00B56DF2"/>
    <w:rsid w:val="00B572BA"/>
    <w:rsid w:val="00B5746E"/>
    <w:rsid w:val="00B57FC0"/>
    <w:rsid w:val="00B60003"/>
    <w:rsid w:val="00B6220F"/>
    <w:rsid w:val="00B6258F"/>
    <w:rsid w:val="00B628F3"/>
    <w:rsid w:val="00B62CEA"/>
    <w:rsid w:val="00B63009"/>
    <w:rsid w:val="00B63A9B"/>
    <w:rsid w:val="00B650E0"/>
    <w:rsid w:val="00B65556"/>
    <w:rsid w:val="00B66B55"/>
    <w:rsid w:val="00B67675"/>
    <w:rsid w:val="00B67F9F"/>
    <w:rsid w:val="00B70CB9"/>
    <w:rsid w:val="00B711BB"/>
    <w:rsid w:val="00B724F1"/>
    <w:rsid w:val="00B73DBA"/>
    <w:rsid w:val="00B762F9"/>
    <w:rsid w:val="00B776A1"/>
    <w:rsid w:val="00B801ED"/>
    <w:rsid w:val="00B8023B"/>
    <w:rsid w:val="00B8062B"/>
    <w:rsid w:val="00B80C19"/>
    <w:rsid w:val="00B832C9"/>
    <w:rsid w:val="00B8347C"/>
    <w:rsid w:val="00B83720"/>
    <w:rsid w:val="00B83A53"/>
    <w:rsid w:val="00B83B53"/>
    <w:rsid w:val="00B83F38"/>
    <w:rsid w:val="00B84729"/>
    <w:rsid w:val="00B8563B"/>
    <w:rsid w:val="00B85972"/>
    <w:rsid w:val="00B86295"/>
    <w:rsid w:val="00B865A8"/>
    <w:rsid w:val="00B875AE"/>
    <w:rsid w:val="00B9013A"/>
    <w:rsid w:val="00B90304"/>
    <w:rsid w:val="00B9030A"/>
    <w:rsid w:val="00B90AC0"/>
    <w:rsid w:val="00B90DE3"/>
    <w:rsid w:val="00B914B4"/>
    <w:rsid w:val="00B92D26"/>
    <w:rsid w:val="00B92E71"/>
    <w:rsid w:val="00B933B6"/>
    <w:rsid w:val="00B94383"/>
    <w:rsid w:val="00B94B50"/>
    <w:rsid w:val="00B94DF8"/>
    <w:rsid w:val="00B95F62"/>
    <w:rsid w:val="00B97277"/>
    <w:rsid w:val="00BA01F5"/>
    <w:rsid w:val="00BA18D2"/>
    <w:rsid w:val="00BA1CF5"/>
    <w:rsid w:val="00BA325C"/>
    <w:rsid w:val="00BA3C86"/>
    <w:rsid w:val="00BA4258"/>
    <w:rsid w:val="00BA4B72"/>
    <w:rsid w:val="00BA4CAC"/>
    <w:rsid w:val="00BA4F1A"/>
    <w:rsid w:val="00BA544D"/>
    <w:rsid w:val="00BA5DAB"/>
    <w:rsid w:val="00BA5E95"/>
    <w:rsid w:val="00BA670B"/>
    <w:rsid w:val="00BA6F32"/>
    <w:rsid w:val="00BB0398"/>
    <w:rsid w:val="00BB048D"/>
    <w:rsid w:val="00BB1C72"/>
    <w:rsid w:val="00BB2290"/>
    <w:rsid w:val="00BB2499"/>
    <w:rsid w:val="00BB34FA"/>
    <w:rsid w:val="00BB35A1"/>
    <w:rsid w:val="00BB3A26"/>
    <w:rsid w:val="00BB4E77"/>
    <w:rsid w:val="00BB707A"/>
    <w:rsid w:val="00BB7AA0"/>
    <w:rsid w:val="00BB7BB9"/>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031C"/>
    <w:rsid w:val="00BD1EC0"/>
    <w:rsid w:val="00BD3723"/>
    <w:rsid w:val="00BD3BE2"/>
    <w:rsid w:val="00BD44A3"/>
    <w:rsid w:val="00BD5550"/>
    <w:rsid w:val="00BD55C6"/>
    <w:rsid w:val="00BD55FC"/>
    <w:rsid w:val="00BD607A"/>
    <w:rsid w:val="00BD684A"/>
    <w:rsid w:val="00BD7DFF"/>
    <w:rsid w:val="00BE1DEF"/>
    <w:rsid w:val="00BE1FC9"/>
    <w:rsid w:val="00BE2399"/>
    <w:rsid w:val="00BE3214"/>
    <w:rsid w:val="00BE3364"/>
    <w:rsid w:val="00BE3BF2"/>
    <w:rsid w:val="00BE3C2E"/>
    <w:rsid w:val="00BE3F39"/>
    <w:rsid w:val="00BE4373"/>
    <w:rsid w:val="00BE4848"/>
    <w:rsid w:val="00BE579F"/>
    <w:rsid w:val="00BE5A7B"/>
    <w:rsid w:val="00BE5E2F"/>
    <w:rsid w:val="00BE6906"/>
    <w:rsid w:val="00BE753A"/>
    <w:rsid w:val="00BF0328"/>
    <w:rsid w:val="00BF06DD"/>
    <w:rsid w:val="00BF079A"/>
    <w:rsid w:val="00BF0BBB"/>
    <w:rsid w:val="00BF13FF"/>
    <w:rsid w:val="00BF16A3"/>
    <w:rsid w:val="00BF2C1F"/>
    <w:rsid w:val="00BF5A8B"/>
    <w:rsid w:val="00BF5CFE"/>
    <w:rsid w:val="00BF639A"/>
    <w:rsid w:val="00BF6F05"/>
    <w:rsid w:val="00BF7369"/>
    <w:rsid w:val="00C00C81"/>
    <w:rsid w:val="00C00D88"/>
    <w:rsid w:val="00C00F7B"/>
    <w:rsid w:val="00C0112C"/>
    <w:rsid w:val="00C02540"/>
    <w:rsid w:val="00C03145"/>
    <w:rsid w:val="00C0365C"/>
    <w:rsid w:val="00C036E7"/>
    <w:rsid w:val="00C03AD0"/>
    <w:rsid w:val="00C03C46"/>
    <w:rsid w:val="00C04083"/>
    <w:rsid w:val="00C040FB"/>
    <w:rsid w:val="00C048BC"/>
    <w:rsid w:val="00C049BA"/>
    <w:rsid w:val="00C05E75"/>
    <w:rsid w:val="00C0600B"/>
    <w:rsid w:val="00C06EE2"/>
    <w:rsid w:val="00C074FF"/>
    <w:rsid w:val="00C0754B"/>
    <w:rsid w:val="00C07C93"/>
    <w:rsid w:val="00C1078D"/>
    <w:rsid w:val="00C10D59"/>
    <w:rsid w:val="00C10DF0"/>
    <w:rsid w:val="00C11A88"/>
    <w:rsid w:val="00C129D4"/>
    <w:rsid w:val="00C12BBD"/>
    <w:rsid w:val="00C149A5"/>
    <w:rsid w:val="00C15F8B"/>
    <w:rsid w:val="00C16EF3"/>
    <w:rsid w:val="00C17BD0"/>
    <w:rsid w:val="00C17E26"/>
    <w:rsid w:val="00C201ED"/>
    <w:rsid w:val="00C21265"/>
    <w:rsid w:val="00C2209E"/>
    <w:rsid w:val="00C2530E"/>
    <w:rsid w:val="00C25831"/>
    <w:rsid w:val="00C25A1B"/>
    <w:rsid w:val="00C26CBB"/>
    <w:rsid w:val="00C26EFF"/>
    <w:rsid w:val="00C27ADC"/>
    <w:rsid w:val="00C30287"/>
    <w:rsid w:val="00C30D8D"/>
    <w:rsid w:val="00C31119"/>
    <w:rsid w:val="00C3229C"/>
    <w:rsid w:val="00C33D04"/>
    <w:rsid w:val="00C33ECE"/>
    <w:rsid w:val="00C34D57"/>
    <w:rsid w:val="00C35298"/>
    <w:rsid w:val="00C35A45"/>
    <w:rsid w:val="00C36858"/>
    <w:rsid w:val="00C368DA"/>
    <w:rsid w:val="00C36BCF"/>
    <w:rsid w:val="00C412DD"/>
    <w:rsid w:val="00C41A4C"/>
    <w:rsid w:val="00C41AD6"/>
    <w:rsid w:val="00C41C9E"/>
    <w:rsid w:val="00C42190"/>
    <w:rsid w:val="00C42B45"/>
    <w:rsid w:val="00C441CE"/>
    <w:rsid w:val="00C44C3D"/>
    <w:rsid w:val="00C45961"/>
    <w:rsid w:val="00C45DC6"/>
    <w:rsid w:val="00C46775"/>
    <w:rsid w:val="00C4690E"/>
    <w:rsid w:val="00C469AC"/>
    <w:rsid w:val="00C46B37"/>
    <w:rsid w:val="00C46E9C"/>
    <w:rsid w:val="00C47357"/>
    <w:rsid w:val="00C5111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044E"/>
    <w:rsid w:val="00C713B3"/>
    <w:rsid w:val="00C73522"/>
    <w:rsid w:val="00C74A02"/>
    <w:rsid w:val="00C752A2"/>
    <w:rsid w:val="00C758E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268"/>
    <w:rsid w:val="00C84809"/>
    <w:rsid w:val="00C856C9"/>
    <w:rsid w:val="00C85E47"/>
    <w:rsid w:val="00C862E9"/>
    <w:rsid w:val="00C864D7"/>
    <w:rsid w:val="00C86548"/>
    <w:rsid w:val="00C86DA0"/>
    <w:rsid w:val="00C87296"/>
    <w:rsid w:val="00C8780D"/>
    <w:rsid w:val="00C87A97"/>
    <w:rsid w:val="00C90A5C"/>
    <w:rsid w:val="00C90ABF"/>
    <w:rsid w:val="00C90C57"/>
    <w:rsid w:val="00C90C62"/>
    <w:rsid w:val="00C91415"/>
    <w:rsid w:val="00C9143C"/>
    <w:rsid w:val="00C91684"/>
    <w:rsid w:val="00C91B2B"/>
    <w:rsid w:val="00C91E4F"/>
    <w:rsid w:val="00C91F10"/>
    <w:rsid w:val="00C92408"/>
    <w:rsid w:val="00C92D54"/>
    <w:rsid w:val="00C94112"/>
    <w:rsid w:val="00C941B1"/>
    <w:rsid w:val="00C94B27"/>
    <w:rsid w:val="00C95431"/>
    <w:rsid w:val="00C958B9"/>
    <w:rsid w:val="00C95AE6"/>
    <w:rsid w:val="00C9662B"/>
    <w:rsid w:val="00C97A23"/>
    <w:rsid w:val="00CA1267"/>
    <w:rsid w:val="00CA1643"/>
    <w:rsid w:val="00CA1C96"/>
    <w:rsid w:val="00CA1F6B"/>
    <w:rsid w:val="00CA2541"/>
    <w:rsid w:val="00CA46FE"/>
    <w:rsid w:val="00CA5F19"/>
    <w:rsid w:val="00CA6671"/>
    <w:rsid w:val="00CA6742"/>
    <w:rsid w:val="00CA6AA2"/>
    <w:rsid w:val="00CA7C6D"/>
    <w:rsid w:val="00CB0D9C"/>
    <w:rsid w:val="00CB0E0C"/>
    <w:rsid w:val="00CB10F2"/>
    <w:rsid w:val="00CB17C8"/>
    <w:rsid w:val="00CB184A"/>
    <w:rsid w:val="00CB1945"/>
    <w:rsid w:val="00CB19D3"/>
    <w:rsid w:val="00CB2693"/>
    <w:rsid w:val="00CB36F6"/>
    <w:rsid w:val="00CB5363"/>
    <w:rsid w:val="00CB59ED"/>
    <w:rsid w:val="00CB5B80"/>
    <w:rsid w:val="00CB5C2B"/>
    <w:rsid w:val="00CB5D6F"/>
    <w:rsid w:val="00CB5F6F"/>
    <w:rsid w:val="00CB7A66"/>
    <w:rsid w:val="00CC0787"/>
    <w:rsid w:val="00CC09EE"/>
    <w:rsid w:val="00CC0D89"/>
    <w:rsid w:val="00CC1863"/>
    <w:rsid w:val="00CC196B"/>
    <w:rsid w:val="00CC1D0B"/>
    <w:rsid w:val="00CC2FFD"/>
    <w:rsid w:val="00CC3FC8"/>
    <w:rsid w:val="00CC4305"/>
    <w:rsid w:val="00CC45A4"/>
    <w:rsid w:val="00CC477B"/>
    <w:rsid w:val="00CC4F9E"/>
    <w:rsid w:val="00CC512C"/>
    <w:rsid w:val="00CC5B0A"/>
    <w:rsid w:val="00CC649E"/>
    <w:rsid w:val="00CC6F26"/>
    <w:rsid w:val="00CC6F9A"/>
    <w:rsid w:val="00CC72C7"/>
    <w:rsid w:val="00CD0632"/>
    <w:rsid w:val="00CD0EEA"/>
    <w:rsid w:val="00CD13E9"/>
    <w:rsid w:val="00CD1911"/>
    <w:rsid w:val="00CD1D48"/>
    <w:rsid w:val="00CD21A3"/>
    <w:rsid w:val="00CD225F"/>
    <w:rsid w:val="00CD40A3"/>
    <w:rsid w:val="00CD55D4"/>
    <w:rsid w:val="00CD5EB5"/>
    <w:rsid w:val="00CE0D32"/>
    <w:rsid w:val="00CE1C5B"/>
    <w:rsid w:val="00CE22C1"/>
    <w:rsid w:val="00CE374D"/>
    <w:rsid w:val="00CE3A00"/>
    <w:rsid w:val="00CE3B54"/>
    <w:rsid w:val="00CE4249"/>
    <w:rsid w:val="00CE44C4"/>
    <w:rsid w:val="00CE467E"/>
    <w:rsid w:val="00CE4C09"/>
    <w:rsid w:val="00CE7BCC"/>
    <w:rsid w:val="00CE7D22"/>
    <w:rsid w:val="00CF0A47"/>
    <w:rsid w:val="00CF0A5C"/>
    <w:rsid w:val="00CF0D83"/>
    <w:rsid w:val="00CF15A0"/>
    <w:rsid w:val="00CF2674"/>
    <w:rsid w:val="00CF26C8"/>
    <w:rsid w:val="00CF299D"/>
    <w:rsid w:val="00CF2BEB"/>
    <w:rsid w:val="00CF31BA"/>
    <w:rsid w:val="00CF4994"/>
    <w:rsid w:val="00CF4A0A"/>
    <w:rsid w:val="00CF4C5C"/>
    <w:rsid w:val="00CF4E21"/>
    <w:rsid w:val="00CF57D6"/>
    <w:rsid w:val="00CF5DD7"/>
    <w:rsid w:val="00CF62B4"/>
    <w:rsid w:val="00CF760F"/>
    <w:rsid w:val="00CF7949"/>
    <w:rsid w:val="00D00161"/>
    <w:rsid w:val="00D00F27"/>
    <w:rsid w:val="00D00FDB"/>
    <w:rsid w:val="00D015AC"/>
    <w:rsid w:val="00D017C1"/>
    <w:rsid w:val="00D029A8"/>
    <w:rsid w:val="00D02F01"/>
    <w:rsid w:val="00D036E8"/>
    <w:rsid w:val="00D03F1A"/>
    <w:rsid w:val="00D043DE"/>
    <w:rsid w:val="00D049D8"/>
    <w:rsid w:val="00D05556"/>
    <w:rsid w:val="00D05714"/>
    <w:rsid w:val="00D05FB8"/>
    <w:rsid w:val="00D07200"/>
    <w:rsid w:val="00D07C78"/>
    <w:rsid w:val="00D1058B"/>
    <w:rsid w:val="00D10598"/>
    <w:rsid w:val="00D11157"/>
    <w:rsid w:val="00D113DE"/>
    <w:rsid w:val="00D11A6D"/>
    <w:rsid w:val="00D1238B"/>
    <w:rsid w:val="00D134AD"/>
    <w:rsid w:val="00D1418E"/>
    <w:rsid w:val="00D156A8"/>
    <w:rsid w:val="00D1627A"/>
    <w:rsid w:val="00D177EC"/>
    <w:rsid w:val="00D20CC6"/>
    <w:rsid w:val="00D20DF6"/>
    <w:rsid w:val="00D21B12"/>
    <w:rsid w:val="00D22A50"/>
    <w:rsid w:val="00D2359D"/>
    <w:rsid w:val="00D236BE"/>
    <w:rsid w:val="00D23F5C"/>
    <w:rsid w:val="00D249D9"/>
    <w:rsid w:val="00D24F2F"/>
    <w:rsid w:val="00D25148"/>
    <w:rsid w:val="00D2637D"/>
    <w:rsid w:val="00D26808"/>
    <w:rsid w:val="00D277A8"/>
    <w:rsid w:val="00D30A27"/>
    <w:rsid w:val="00D30C9C"/>
    <w:rsid w:val="00D31576"/>
    <w:rsid w:val="00D31836"/>
    <w:rsid w:val="00D32C65"/>
    <w:rsid w:val="00D32D64"/>
    <w:rsid w:val="00D34562"/>
    <w:rsid w:val="00D3638E"/>
    <w:rsid w:val="00D36448"/>
    <w:rsid w:val="00D36456"/>
    <w:rsid w:val="00D36795"/>
    <w:rsid w:val="00D36F7B"/>
    <w:rsid w:val="00D37FF8"/>
    <w:rsid w:val="00D40DAD"/>
    <w:rsid w:val="00D4146E"/>
    <w:rsid w:val="00D43E28"/>
    <w:rsid w:val="00D4450D"/>
    <w:rsid w:val="00D4459B"/>
    <w:rsid w:val="00D44A70"/>
    <w:rsid w:val="00D455CC"/>
    <w:rsid w:val="00D47ED1"/>
    <w:rsid w:val="00D47FF1"/>
    <w:rsid w:val="00D50D89"/>
    <w:rsid w:val="00D510F2"/>
    <w:rsid w:val="00D51F5D"/>
    <w:rsid w:val="00D527EF"/>
    <w:rsid w:val="00D52D4C"/>
    <w:rsid w:val="00D53CB7"/>
    <w:rsid w:val="00D55724"/>
    <w:rsid w:val="00D55A69"/>
    <w:rsid w:val="00D55CEB"/>
    <w:rsid w:val="00D55E2F"/>
    <w:rsid w:val="00D55EB7"/>
    <w:rsid w:val="00D56C43"/>
    <w:rsid w:val="00D56F76"/>
    <w:rsid w:val="00D5798B"/>
    <w:rsid w:val="00D60339"/>
    <w:rsid w:val="00D61705"/>
    <w:rsid w:val="00D61BAA"/>
    <w:rsid w:val="00D6286F"/>
    <w:rsid w:val="00D62B00"/>
    <w:rsid w:val="00D631DE"/>
    <w:rsid w:val="00D6323D"/>
    <w:rsid w:val="00D632B9"/>
    <w:rsid w:val="00D6348E"/>
    <w:rsid w:val="00D64618"/>
    <w:rsid w:val="00D6513A"/>
    <w:rsid w:val="00D6514C"/>
    <w:rsid w:val="00D656C5"/>
    <w:rsid w:val="00D6599F"/>
    <w:rsid w:val="00D66F92"/>
    <w:rsid w:val="00D70C7A"/>
    <w:rsid w:val="00D71116"/>
    <w:rsid w:val="00D7194B"/>
    <w:rsid w:val="00D7248F"/>
    <w:rsid w:val="00D72546"/>
    <w:rsid w:val="00D73E63"/>
    <w:rsid w:val="00D73F07"/>
    <w:rsid w:val="00D73F4C"/>
    <w:rsid w:val="00D74186"/>
    <w:rsid w:val="00D7517B"/>
    <w:rsid w:val="00D7554C"/>
    <w:rsid w:val="00D75814"/>
    <w:rsid w:val="00D75F04"/>
    <w:rsid w:val="00D763D0"/>
    <w:rsid w:val="00D76636"/>
    <w:rsid w:val="00D76CD9"/>
    <w:rsid w:val="00D76D6E"/>
    <w:rsid w:val="00D76EDB"/>
    <w:rsid w:val="00D77856"/>
    <w:rsid w:val="00D80438"/>
    <w:rsid w:val="00D804B2"/>
    <w:rsid w:val="00D80C2A"/>
    <w:rsid w:val="00D80DA9"/>
    <w:rsid w:val="00D83865"/>
    <w:rsid w:val="00D838BE"/>
    <w:rsid w:val="00D8408D"/>
    <w:rsid w:val="00D84191"/>
    <w:rsid w:val="00D85235"/>
    <w:rsid w:val="00D861C6"/>
    <w:rsid w:val="00D86ACC"/>
    <w:rsid w:val="00D87C02"/>
    <w:rsid w:val="00D90818"/>
    <w:rsid w:val="00D91088"/>
    <w:rsid w:val="00D922E3"/>
    <w:rsid w:val="00D92BEB"/>
    <w:rsid w:val="00D938DD"/>
    <w:rsid w:val="00D94E0F"/>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180"/>
    <w:rsid w:val="00DB08A9"/>
    <w:rsid w:val="00DB0B06"/>
    <w:rsid w:val="00DB166B"/>
    <w:rsid w:val="00DB181E"/>
    <w:rsid w:val="00DB1AFC"/>
    <w:rsid w:val="00DB2B18"/>
    <w:rsid w:val="00DB4896"/>
    <w:rsid w:val="00DB49DE"/>
    <w:rsid w:val="00DB4E71"/>
    <w:rsid w:val="00DB55B8"/>
    <w:rsid w:val="00DB599C"/>
    <w:rsid w:val="00DB5FEC"/>
    <w:rsid w:val="00DB661E"/>
    <w:rsid w:val="00DC01A1"/>
    <w:rsid w:val="00DC0DD5"/>
    <w:rsid w:val="00DC1852"/>
    <w:rsid w:val="00DC19B1"/>
    <w:rsid w:val="00DC1AC6"/>
    <w:rsid w:val="00DC38A4"/>
    <w:rsid w:val="00DC3ED6"/>
    <w:rsid w:val="00DC487F"/>
    <w:rsid w:val="00DC5B32"/>
    <w:rsid w:val="00DC7071"/>
    <w:rsid w:val="00DC7690"/>
    <w:rsid w:val="00DC7AB5"/>
    <w:rsid w:val="00DD1799"/>
    <w:rsid w:val="00DD1B35"/>
    <w:rsid w:val="00DD21A4"/>
    <w:rsid w:val="00DD3250"/>
    <w:rsid w:val="00DD32CF"/>
    <w:rsid w:val="00DD3F91"/>
    <w:rsid w:val="00DD4883"/>
    <w:rsid w:val="00DD4F2D"/>
    <w:rsid w:val="00DD5561"/>
    <w:rsid w:val="00DD59ED"/>
    <w:rsid w:val="00DD5DEF"/>
    <w:rsid w:val="00DD62F6"/>
    <w:rsid w:val="00DD6858"/>
    <w:rsid w:val="00DE00B2"/>
    <w:rsid w:val="00DE024A"/>
    <w:rsid w:val="00DE0D7A"/>
    <w:rsid w:val="00DE1648"/>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40B0"/>
    <w:rsid w:val="00DF41B4"/>
    <w:rsid w:val="00DF42CB"/>
    <w:rsid w:val="00DF66ED"/>
    <w:rsid w:val="00DF67F3"/>
    <w:rsid w:val="00DF693F"/>
    <w:rsid w:val="00E007D7"/>
    <w:rsid w:val="00E019E0"/>
    <w:rsid w:val="00E01D43"/>
    <w:rsid w:val="00E0249B"/>
    <w:rsid w:val="00E02C40"/>
    <w:rsid w:val="00E02DC1"/>
    <w:rsid w:val="00E02F54"/>
    <w:rsid w:val="00E03701"/>
    <w:rsid w:val="00E040CB"/>
    <w:rsid w:val="00E04176"/>
    <w:rsid w:val="00E048B5"/>
    <w:rsid w:val="00E0557A"/>
    <w:rsid w:val="00E05E2C"/>
    <w:rsid w:val="00E066FB"/>
    <w:rsid w:val="00E07896"/>
    <w:rsid w:val="00E07A18"/>
    <w:rsid w:val="00E10D2B"/>
    <w:rsid w:val="00E114BD"/>
    <w:rsid w:val="00E124BF"/>
    <w:rsid w:val="00E1353F"/>
    <w:rsid w:val="00E13BD8"/>
    <w:rsid w:val="00E13E21"/>
    <w:rsid w:val="00E142DB"/>
    <w:rsid w:val="00E14921"/>
    <w:rsid w:val="00E14D38"/>
    <w:rsid w:val="00E15185"/>
    <w:rsid w:val="00E15977"/>
    <w:rsid w:val="00E1624E"/>
    <w:rsid w:val="00E17D11"/>
    <w:rsid w:val="00E20645"/>
    <w:rsid w:val="00E20655"/>
    <w:rsid w:val="00E2083C"/>
    <w:rsid w:val="00E215B3"/>
    <w:rsid w:val="00E21700"/>
    <w:rsid w:val="00E21792"/>
    <w:rsid w:val="00E21B0E"/>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1914"/>
    <w:rsid w:val="00E31FE6"/>
    <w:rsid w:val="00E323A0"/>
    <w:rsid w:val="00E323C2"/>
    <w:rsid w:val="00E3244A"/>
    <w:rsid w:val="00E3291E"/>
    <w:rsid w:val="00E32CD2"/>
    <w:rsid w:val="00E32E7F"/>
    <w:rsid w:val="00E35C82"/>
    <w:rsid w:val="00E366CB"/>
    <w:rsid w:val="00E372CF"/>
    <w:rsid w:val="00E37AA4"/>
    <w:rsid w:val="00E403C5"/>
    <w:rsid w:val="00E40B27"/>
    <w:rsid w:val="00E412A6"/>
    <w:rsid w:val="00E41E26"/>
    <w:rsid w:val="00E41F58"/>
    <w:rsid w:val="00E41FF3"/>
    <w:rsid w:val="00E42507"/>
    <w:rsid w:val="00E42620"/>
    <w:rsid w:val="00E4313E"/>
    <w:rsid w:val="00E43195"/>
    <w:rsid w:val="00E431B6"/>
    <w:rsid w:val="00E43341"/>
    <w:rsid w:val="00E43967"/>
    <w:rsid w:val="00E43A51"/>
    <w:rsid w:val="00E445B5"/>
    <w:rsid w:val="00E4629A"/>
    <w:rsid w:val="00E473A6"/>
    <w:rsid w:val="00E47C93"/>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888"/>
    <w:rsid w:val="00E65C37"/>
    <w:rsid w:val="00E65D65"/>
    <w:rsid w:val="00E65F9F"/>
    <w:rsid w:val="00E670A3"/>
    <w:rsid w:val="00E6774E"/>
    <w:rsid w:val="00E67DB4"/>
    <w:rsid w:val="00E71782"/>
    <w:rsid w:val="00E728F4"/>
    <w:rsid w:val="00E7306F"/>
    <w:rsid w:val="00E73611"/>
    <w:rsid w:val="00E7477E"/>
    <w:rsid w:val="00E748D0"/>
    <w:rsid w:val="00E74A6F"/>
    <w:rsid w:val="00E75773"/>
    <w:rsid w:val="00E75DDF"/>
    <w:rsid w:val="00E76349"/>
    <w:rsid w:val="00E76A99"/>
    <w:rsid w:val="00E77E01"/>
    <w:rsid w:val="00E80D57"/>
    <w:rsid w:val="00E81500"/>
    <w:rsid w:val="00E828DE"/>
    <w:rsid w:val="00E82C8E"/>
    <w:rsid w:val="00E83B8E"/>
    <w:rsid w:val="00E855E8"/>
    <w:rsid w:val="00E855F4"/>
    <w:rsid w:val="00E86948"/>
    <w:rsid w:val="00E90369"/>
    <w:rsid w:val="00E91005"/>
    <w:rsid w:val="00E92240"/>
    <w:rsid w:val="00E92450"/>
    <w:rsid w:val="00E94558"/>
    <w:rsid w:val="00E94A3E"/>
    <w:rsid w:val="00E9590D"/>
    <w:rsid w:val="00E96BA0"/>
    <w:rsid w:val="00E973B5"/>
    <w:rsid w:val="00E97856"/>
    <w:rsid w:val="00E97CD7"/>
    <w:rsid w:val="00E97FD4"/>
    <w:rsid w:val="00EA08E3"/>
    <w:rsid w:val="00EA1D55"/>
    <w:rsid w:val="00EA3907"/>
    <w:rsid w:val="00EA39FA"/>
    <w:rsid w:val="00EA455D"/>
    <w:rsid w:val="00EA68C3"/>
    <w:rsid w:val="00EA7741"/>
    <w:rsid w:val="00EA7F8C"/>
    <w:rsid w:val="00EB0028"/>
    <w:rsid w:val="00EB06A3"/>
    <w:rsid w:val="00EB0B2A"/>
    <w:rsid w:val="00EB336F"/>
    <w:rsid w:val="00EB37F8"/>
    <w:rsid w:val="00EB40AA"/>
    <w:rsid w:val="00EB439E"/>
    <w:rsid w:val="00EB4614"/>
    <w:rsid w:val="00EB4D8D"/>
    <w:rsid w:val="00EB568A"/>
    <w:rsid w:val="00EB60C1"/>
    <w:rsid w:val="00EB6346"/>
    <w:rsid w:val="00EB6960"/>
    <w:rsid w:val="00EB7310"/>
    <w:rsid w:val="00EC0FC1"/>
    <w:rsid w:val="00EC10B3"/>
    <w:rsid w:val="00EC21BA"/>
    <w:rsid w:val="00EC2958"/>
    <w:rsid w:val="00EC2EF8"/>
    <w:rsid w:val="00EC38A3"/>
    <w:rsid w:val="00EC3906"/>
    <w:rsid w:val="00EC39D2"/>
    <w:rsid w:val="00EC4820"/>
    <w:rsid w:val="00EC4E88"/>
    <w:rsid w:val="00EC571C"/>
    <w:rsid w:val="00EC5EF2"/>
    <w:rsid w:val="00EC6256"/>
    <w:rsid w:val="00EC6295"/>
    <w:rsid w:val="00EC7262"/>
    <w:rsid w:val="00EC738D"/>
    <w:rsid w:val="00EC7D45"/>
    <w:rsid w:val="00ED029B"/>
    <w:rsid w:val="00ED0382"/>
    <w:rsid w:val="00ED076A"/>
    <w:rsid w:val="00ED1B0A"/>
    <w:rsid w:val="00ED235A"/>
    <w:rsid w:val="00ED32E2"/>
    <w:rsid w:val="00ED3CB8"/>
    <w:rsid w:val="00ED3E9F"/>
    <w:rsid w:val="00ED4787"/>
    <w:rsid w:val="00ED47F2"/>
    <w:rsid w:val="00ED5607"/>
    <w:rsid w:val="00ED68B8"/>
    <w:rsid w:val="00ED6E6F"/>
    <w:rsid w:val="00ED7821"/>
    <w:rsid w:val="00ED7D95"/>
    <w:rsid w:val="00EE0536"/>
    <w:rsid w:val="00EE08BC"/>
    <w:rsid w:val="00EE3654"/>
    <w:rsid w:val="00EE3BBA"/>
    <w:rsid w:val="00EE4482"/>
    <w:rsid w:val="00EE451B"/>
    <w:rsid w:val="00EE5173"/>
    <w:rsid w:val="00EE52A2"/>
    <w:rsid w:val="00EE5B2D"/>
    <w:rsid w:val="00EE5B2F"/>
    <w:rsid w:val="00EE5EB0"/>
    <w:rsid w:val="00EE60A3"/>
    <w:rsid w:val="00EE60EB"/>
    <w:rsid w:val="00EE6C76"/>
    <w:rsid w:val="00EE776F"/>
    <w:rsid w:val="00EF0B73"/>
    <w:rsid w:val="00EF10A4"/>
    <w:rsid w:val="00EF1DBD"/>
    <w:rsid w:val="00EF1F4C"/>
    <w:rsid w:val="00EF38CF"/>
    <w:rsid w:val="00EF3EC5"/>
    <w:rsid w:val="00EF5E85"/>
    <w:rsid w:val="00EF5FB0"/>
    <w:rsid w:val="00EF61DF"/>
    <w:rsid w:val="00EF6A3B"/>
    <w:rsid w:val="00EF743D"/>
    <w:rsid w:val="00EF7B75"/>
    <w:rsid w:val="00F02796"/>
    <w:rsid w:val="00F02A0B"/>
    <w:rsid w:val="00F02C32"/>
    <w:rsid w:val="00F02ECF"/>
    <w:rsid w:val="00F04D21"/>
    <w:rsid w:val="00F0574B"/>
    <w:rsid w:val="00F058E3"/>
    <w:rsid w:val="00F05E15"/>
    <w:rsid w:val="00F0664B"/>
    <w:rsid w:val="00F069F6"/>
    <w:rsid w:val="00F070D5"/>
    <w:rsid w:val="00F070E1"/>
    <w:rsid w:val="00F07991"/>
    <w:rsid w:val="00F07F05"/>
    <w:rsid w:val="00F1043D"/>
    <w:rsid w:val="00F1050D"/>
    <w:rsid w:val="00F10D57"/>
    <w:rsid w:val="00F12882"/>
    <w:rsid w:val="00F1302E"/>
    <w:rsid w:val="00F1383A"/>
    <w:rsid w:val="00F14950"/>
    <w:rsid w:val="00F16866"/>
    <w:rsid w:val="00F170A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12C5"/>
    <w:rsid w:val="00F327D4"/>
    <w:rsid w:val="00F343B2"/>
    <w:rsid w:val="00F37811"/>
    <w:rsid w:val="00F412AC"/>
    <w:rsid w:val="00F416C9"/>
    <w:rsid w:val="00F41E8F"/>
    <w:rsid w:val="00F4678A"/>
    <w:rsid w:val="00F46B16"/>
    <w:rsid w:val="00F477CD"/>
    <w:rsid w:val="00F47CB4"/>
    <w:rsid w:val="00F47E8C"/>
    <w:rsid w:val="00F5015A"/>
    <w:rsid w:val="00F5071E"/>
    <w:rsid w:val="00F508DF"/>
    <w:rsid w:val="00F515A7"/>
    <w:rsid w:val="00F522B9"/>
    <w:rsid w:val="00F52B68"/>
    <w:rsid w:val="00F52C87"/>
    <w:rsid w:val="00F52D7F"/>
    <w:rsid w:val="00F52F8B"/>
    <w:rsid w:val="00F53749"/>
    <w:rsid w:val="00F5399A"/>
    <w:rsid w:val="00F550CE"/>
    <w:rsid w:val="00F5565E"/>
    <w:rsid w:val="00F55761"/>
    <w:rsid w:val="00F565D6"/>
    <w:rsid w:val="00F56FF9"/>
    <w:rsid w:val="00F600BE"/>
    <w:rsid w:val="00F6135D"/>
    <w:rsid w:val="00F6199E"/>
    <w:rsid w:val="00F6234B"/>
    <w:rsid w:val="00F62547"/>
    <w:rsid w:val="00F6313C"/>
    <w:rsid w:val="00F63198"/>
    <w:rsid w:val="00F634E6"/>
    <w:rsid w:val="00F63501"/>
    <w:rsid w:val="00F63724"/>
    <w:rsid w:val="00F63927"/>
    <w:rsid w:val="00F64294"/>
    <w:rsid w:val="00F647BF"/>
    <w:rsid w:val="00F655B3"/>
    <w:rsid w:val="00F65732"/>
    <w:rsid w:val="00F66CA7"/>
    <w:rsid w:val="00F67809"/>
    <w:rsid w:val="00F70C03"/>
    <w:rsid w:val="00F71900"/>
    <w:rsid w:val="00F71C29"/>
    <w:rsid w:val="00F71F1A"/>
    <w:rsid w:val="00F723FB"/>
    <w:rsid w:val="00F7381C"/>
    <w:rsid w:val="00F746F9"/>
    <w:rsid w:val="00F76315"/>
    <w:rsid w:val="00F76BA4"/>
    <w:rsid w:val="00F81084"/>
    <w:rsid w:val="00F8264C"/>
    <w:rsid w:val="00F83175"/>
    <w:rsid w:val="00F8327B"/>
    <w:rsid w:val="00F832C3"/>
    <w:rsid w:val="00F83AF4"/>
    <w:rsid w:val="00F83EF3"/>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093"/>
    <w:rsid w:val="00F961B0"/>
    <w:rsid w:val="00F963BA"/>
    <w:rsid w:val="00F96625"/>
    <w:rsid w:val="00F966CC"/>
    <w:rsid w:val="00F97DB9"/>
    <w:rsid w:val="00FA055D"/>
    <w:rsid w:val="00FA15A0"/>
    <w:rsid w:val="00FA15E6"/>
    <w:rsid w:val="00FA2664"/>
    <w:rsid w:val="00FA2D47"/>
    <w:rsid w:val="00FA3CFD"/>
    <w:rsid w:val="00FA48A7"/>
    <w:rsid w:val="00FA4AB3"/>
    <w:rsid w:val="00FA4F1F"/>
    <w:rsid w:val="00FA7883"/>
    <w:rsid w:val="00FA7FE8"/>
    <w:rsid w:val="00FB08E3"/>
    <w:rsid w:val="00FB0B9C"/>
    <w:rsid w:val="00FB1853"/>
    <w:rsid w:val="00FB1FB3"/>
    <w:rsid w:val="00FB304F"/>
    <w:rsid w:val="00FB40A0"/>
    <w:rsid w:val="00FB4143"/>
    <w:rsid w:val="00FB5BE8"/>
    <w:rsid w:val="00FB703C"/>
    <w:rsid w:val="00FB771A"/>
    <w:rsid w:val="00FB7934"/>
    <w:rsid w:val="00FC0317"/>
    <w:rsid w:val="00FC1484"/>
    <w:rsid w:val="00FC15EE"/>
    <w:rsid w:val="00FC18DA"/>
    <w:rsid w:val="00FC24C9"/>
    <w:rsid w:val="00FC2A07"/>
    <w:rsid w:val="00FC2A15"/>
    <w:rsid w:val="00FC300E"/>
    <w:rsid w:val="00FC362E"/>
    <w:rsid w:val="00FC4256"/>
    <w:rsid w:val="00FC5DDA"/>
    <w:rsid w:val="00FC7725"/>
    <w:rsid w:val="00FD059D"/>
    <w:rsid w:val="00FD06FE"/>
    <w:rsid w:val="00FD0CAC"/>
    <w:rsid w:val="00FD111A"/>
    <w:rsid w:val="00FD2987"/>
    <w:rsid w:val="00FD3BB9"/>
    <w:rsid w:val="00FD4D38"/>
    <w:rsid w:val="00FD4E5E"/>
    <w:rsid w:val="00FD5367"/>
    <w:rsid w:val="00FD6712"/>
    <w:rsid w:val="00FD6E82"/>
    <w:rsid w:val="00FD76E2"/>
    <w:rsid w:val="00FD7B37"/>
    <w:rsid w:val="00FD7BF5"/>
    <w:rsid w:val="00FE0357"/>
    <w:rsid w:val="00FE2CBB"/>
    <w:rsid w:val="00FE3D5E"/>
    <w:rsid w:val="00FE5015"/>
    <w:rsid w:val="00FE6333"/>
    <w:rsid w:val="00FE7075"/>
    <w:rsid w:val="00FE7888"/>
    <w:rsid w:val="00FF0613"/>
    <w:rsid w:val="00FF1FD1"/>
    <w:rsid w:val="00FF2449"/>
    <w:rsid w:val="00FF30AD"/>
    <w:rsid w:val="00FF3945"/>
    <w:rsid w:val="00FF474A"/>
    <w:rsid w:val="00FF4E84"/>
    <w:rsid w:val="00FF5525"/>
    <w:rsid w:val="00FF5686"/>
    <w:rsid w:val="00FF68ED"/>
    <w:rsid w:val="00FF7951"/>
    <w:rsid w:val="01356FF7"/>
    <w:rsid w:val="01445E56"/>
    <w:rsid w:val="01C04584"/>
    <w:rsid w:val="028D70F3"/>
    <w:rsid w:val="02FE753E"/>
    <w:rsid w:val="032A3071"/>
    <w:rsid w:val="03722DEF"/>
    <w:rsid w:val="039E75ED"/>
    <w:rsid w:val="03BF6FFE"/>
    <w:rsid w:val="03D2714E"/>
    <w:rsid w:val="041F1663"/>
    <w:rsid w:val="0488418C"/>
    <w:rsid w:val="04D0472C"/>
    <w:rsid w:val="04F26C4C"/>
    <w:rsid w:val="05173D32"/>
    <w:rsid w:val="05331661"/>
    <w:rsid w:val="054E1CAB"/>
    <w:rsid w:val="05FE7A46"/>
    <w:rsid w:val="06677015"/>
    <w:rsid w:val="06A71808"/>
    <w:rsid w:val="06E33CC5"/>
    <w:rsid w:val="07BD4596"/>
    <w:rsid w:val="083D0560"/>
    <w:rsid w:val="08847D7A"/>
    <w:rsid w:val="09C45CB0"/>
    <w:rsid w:val="0AA868BA"/>
    <w:rsid w:val="0AB07C37"/>
    <w:rsid w:val="0AD310EE"/>
    <w:rsid w:val="0B345D5E"/>
    <w:rsid w:val="0B3A3A7B"/>
    <w:rsid w:val="0BF54077"/>
    <w:rsid w:val="0C2D5014"/>
    <w:rsid w:val="0C3A1285"/>
    <w:rsid w:val="0C5C409F"/>
    <w:rsid w:val="0C5D5796"/>
    <w:rsid w:val="0CF21234"/>
    <w:rsid w:val="0CFB02B0"/>
    <w:rsid w:val="0D36357C"/>
    <w:rsid w:val="0D3B5E2E"/>
    <w:rsid w:val="0D50184D"/>
    <w:rsid w:val="0D662477"/>
    <w:rsid w:val="0E066764"/>
    <w:rsid w:val="0E3A7736"/>
    <w:rsid w:val="0E3F17ED"/>
    <w:rsid w:val="0E8545A1"/>
    <w:rsid w:val="0EB81736"/>
    <w:rsid w:val="0EEB42E3"/>
    <w:rsid w:val="0EFA5C62"/>
    <w:rsid w:val="0EFE7FA9"/>
    <w:rsid w:val="0F646F0A"/>
    <w:rsid w:val="0FDC2CFC"/>
    <w:rsid w:val="10D80EA2"/>
    <w:rsid w:val="11AF0294"/>
    <w:rsid w:val="13B264FC"/>
    <w:rsid w:val="14042F31"/>
    <w:rsid w:val="15260DCB"/>
    <w:rsid w:val="15392FDE"/>
    <w:rsid w:val="15F776F0"/>
    <w:rsid w:val="165C4031"/>
    <w:rsid w:val="16C178EC"/>
    <w:rsid w:val="17171F2D"/>
    <w:rsid w:val="17205C8A"/>
    <w:rsid w:val="17517DEE"/>
    <w:rsid w:val="17621691"/>
    <w:rsid w:val="18036A7A"/>
    <w:rsid w:val="183C35BB"/>
    <w:rsid w:val="1859395D"/>
    <w:rsid w:val="18E64D5A"/>
    <w:rsid w:val="1933506E"/>
    <w:rsid w:val="195255FA"/>
    <w:rsid w:val="19BF617D"/>
    <w:rsid w:val="1A1E7181"/>
    <w:rsid w:val="1A340C5A"/>
    <w:rsid w:val="1AA06C83"/>
    <w:rsid w:val="1AA2410C"/>
    <w:rsid w:val="1AAE0B85"/>
    <w:rsid w:val="1B12752D"/>
    <w:rsid w:val="1BA337AA"/>
    <w:rsid w:val="1BDA570D"/>
    <w:rsid w:val="1BF170D8"/>
    <w:rsid w:val="1C470B95"/>
    <w:rsid w:val="1C6162E5"/>
    <w:rsid w:val="1C9A5AF7"/>
    <w:rsid w:val="1D2E3180"/>
    <w:rsid w:val="1DA543D0"/>
    <w:rsid w:val="1DAD4C2F"/>
    <w:rsid w:val="1EA72574"/>
    <w:rsid w:val="1F2A63C2"/>
    <w:rsid w:val="1F2B08B4"/>
    <w:rsid w:val="1F5218DB"/>
    <w:rsid w:val="1FF1109E"/>
    <w:rsid w:val="20101E10"/>
    <w:rsid w:val="20C81035"/>
    <w:rsid w:val="20E40978"/>
    <w:rsid w:val="21045270"/>
    <w:rsid w:val="212F3079"/>
    <w:rsid w:val="222977F7"/>
    <w:rsid w:val="22385DEC"/>
    <w:rsid w:val="229A695C"/>
    <w:rsid w:val="23216D36"/>
    <w:rsid w:val="234D792A"/>
    <w:rsid w:val="23BF4C21"/>
    <w:rsid w:val="24495003"/>
    <w:rsid w:val="246C1778"/>
    <w:rsid w:val="24EE40CE"/>
    <w:rsid w:val="252D219A"/>
    <w:rsid w:val="2531791A"/>
    <w:rsid w:val="2534761B"/>
    <w:rsid w:val="255E1E10"/>
    <w:rsid w:val="256E7A96"/>
    <w:rsid w:val="25DE07B1"/>
    <w:rsid w:val="263439BB"/>
    <w:rsid w:val="269D4ADB"/>
    <w:rsid w:val="26A650F1"/>
    <w:rsid w:val="26D253E7"/>
    <w:rsid w:val="271E00BE"/>
    <w:rsid w:val="28143DFC"/>
    <w:rsid w:val="28240F30"/>
    <w:rsid w:val="283F090E"/>
    <w:rsid w:val="29282CEC"/>
    <w:rsid w:val="29657D77"/>
    <w:rsid w:val="29694D48"/>
    <w:rsid w:val="29795D3D"/>
    <w:rsid w:val="2A132CEE"/>
    <w:rsid w:val="2AD46E63"/>
    <w:rsid w:val="2ADC1A09"/>
    <w:rsid w:val="2AF219DA"/>
    <w:rsid w:val="2B4150DB"/>
    <w:rsid w:val="2B730889"/>
    <w:rsid w:val="2C274DE6"/>
    <w:rsid w:val="2C372751"/>
    <w:rsid w:val="2C551ABE"/>
    <w:rsid w:val="2D08191D"/>
    <w:rsid w:val="2D5543E9"/>
    <w:rsid w:val="2E681501"/>
    <w:rsid w:val="2F697D76"/>
    <w:rsid w:val="2FDB62D5"/>
    <w:rsid w:val="30CE607E"/>
    <w:rsid w:val="30EE6DB6"/>
    <w:rsid w:val="31563712"/>
    <w:rsid w:val="31B96A00"/>
    <w:rsid w:val="32A1186E"/>
    <w:rsid w:val="32ED5589"/>
    <w:rsid w:val="32F52BBC"/>
    <w:rsid w:val="331B3BE3"/>
    <w:rsid w:val="331B6BAB"/>
    <w:rsid w:val="33955033"/>
    <w:rsid w:val="33FE562B"/>
    <w:rsid w:val="34E3476F"/>
    <w:rsid w:val="35596273"/>
    <w:rsid w:val="35781F5F"/>
    <w:rsid w:val="35E36C3D"/>
    <w:rsid w:val="3638039B"/>
    <w:rsid w:val="36DC2A62"/>
    <w:rsid w:val="37C07AEC"/>
    <w:rsid w:val="39484327"/>
    <w:rsid w:val="394A5852"/>
    <w:rsid w:val="399758F0"/>
    <w:rsid w:val="3A2F187C"/>
    <w:rsid w:val="3A7A6C39"/>
    <w:rsid w:val="3BCD44D0"/>
    <w:rsid w:val="3BEF756B"/>
    <w:rsid w:val="3C976B3F"/>
    <w:rsid w:val="3CB654D0"/>
    <w:rsid w:val="3CD0183B"/>
    <w:rsid w:val="3DA80018"/>
    <w:rsid w:val="3EE31487"/>
    <w:rsid w:val="3F190EFC"/>
    <w:rsid w:val="40E30E94"/>
    <w:rsid w:val="41490838"/>
    <w:rsid w:val="419B3044"/>
    <w:rsid w:val="41A277C4"/>
    <w:rsid w:val="41AC7CAE"/>
    <w:rsid w:val="41B22F96"/>
    <w:rsid w:val="421843F9"/>
    <w:rsid w:val="425354D0"/>
    <w:rsid w:val="42FE0BF6"/>
    <w:rsid w:val="433C58A7"/>
    <w:rsid w:val="436D39E3"/>
    <w:rsid w:val="4381789A"/>
    <w:rsid w:val="43ED794B"/>
    <w:rsid w:val="44A740B9"/>
    <w:rsid w:val="44B3143A"/>
    <w:rsid w:val="44E638A4"/>
    <w:rsid w:val="45073BE6"/>
    <w:rsid w:val="46525394"/>
    <w:rsid w:val="46B23690"/>
    <w:rsid w:val="46C44473"/>
    <w:rsid w:val="46EF292C"/>
    <w:rsid w:val="47900EB5"/>
    <w:rsid w:val="485C656A"/>
    <w:rsid w:val="49107A31"/>
    <w:rsid w:val="49206A54"/>
    <w:rsid w:val="49712B80"/>
    <w:rsid w:val="4993732D"/>
    <w:rsid w:val="49BB6397"/>
    <w:rsid w:val="49CC695C"/>
    <w:rsid w:val="4A2D535B"/>
    <w:rsid w:val="4AA71106"/>
    <w:rsid w:val="4AAD06B2"/>
    <w:rsid w:val="4AE135EE"/>
    <w:rsid w:val="4AF34339"/>
    <w:rsid w:val="4B75732A"/>
    <w:rsid w:val="4C8E50B8"/>
    <w:rsid w:val="4D0E5017"/>
    <w:rsid w:val="4D1947F4"/>
    <w:rsid w:val="4D3E4322"/>
    <w:rsid w:val="4DC62A65"/>
    <w:rsid w:val="4EDE6AB3"/>
    <w:rsid w:val="4EE92347"/>
    <w:rsid w:val="4F842A6E"/>
    <w:rsid w:val="50456EA9"/>
    <w:rsid w:val="50E17E52"/>
    <w:rsid w:val="50E22591"/>
    <w:rsid w:val="50EC2AC5"/>
    <w:rsid w:val="513E7660"/>
    <w:rsid w:val="52277DE5"/>
    <w:rsid w:val="528C584A"/>
    <w:rsid w:val="5298230B"/>
    <w:rsid w:val="52AE6B31"/>
    <w:rsid w:val="53010694"/>
    <w:rsid w:val="532838FB"/>
    <w:rsid w:val="534E4924"/>
    <w:rsid w:val="53D92B53"/>
    <w:rsid w:val="53D944ED"/>
    <w:rsid w:val="54587F12"/>
    <w:rsid w:val="546D6BFC"/>
    <w:rsid w:val="54851574"/>
    <w:rsid w:val="549F588A"/>
    <w:rsid w:val="55955192"/>
    <w:rsid w:val="559B7670"/>
    <w:rsid w:val="568B5E01"/>
    <w:rsid w:val="56C6584F"/>
    <w:rsid w:val="57C47DC4"/>
    <w:rsid w:val="57C710B1"/>
    <w:rsid w:val="589E5381"/>
    <w:rsid w:val="58A61E60"/>
    <w:rsid w:val="58E30B2C"/>
    <w:rsid w:val="592F4560"/>
    <w:rsid w:val="594D58D5"/>
    <w:rsid w:val="59E7087A"/>
    <w:rsid w:val="5A146001"/>
    <w:rsid w:val="5A9D331C"/>
    <w:rsid w:val="5AB83464"/>
    <w:rsid w:val="5B053466"/>
    <w:rsid w:val="5C323DE8"/>
    <w:rsid w:val="5C962B40"/>
    <w:rsid w:val="5DFB5E23"/>
    <w:rsid w:val="5E281F5E"/>
    <w:rsid w:val="5F3F08F5"/>
    <w:rsid w:val="5F474936"/>
    <w:rsid w:val="5F665CCB"/>
    <w:rsid w:val="5FB50A3A"/>
    <w:rsid w:val="610C29AD"/>
    <w:rsid w:val="61B10B88"/>
    <w:rsid w:val="61FE22EC"/>
    <w:rsid w:val="63FF14A3"/>
    <w:rsid w:val="64AE32DD"/>
    <w:rsid w:val="6522075A"/>
    <w:rsid w:val="65FB3769"/>
    <w:rsid w:val="66A11DFF"/>
    <w:rsid w:val="67270029"/>
    <w:rsid w:val="67591830"/>
    <w:rsid w:val="678B6C7E"/>
    <w:rsid w:val="682420B5"/>
    <w:rsid w:val="68774808"/>
    <w:rsid w:val="693748A5"/>
    <w:rsid w:val="696105EE"/>
    <w:rsid w:val="69AF18BE"/>
    <w:rsid w:val="69E12160"/>
    <w:rsid w:val="6A8B7B12"/>
    <w:rsid w:val="6BF04F58"/>
    <w:rsid w:val="6C2C5DB3"/>
    <w:rsid w:val="6C515C9B"/>
    <w:rsid w:val="6CA61CF8"/>
    <w:rsid w:val="6D1703DD"/>
    <w:rsid w:val="6DB11D15"/>
    <w:rsid w:val="6DF77B5A"/>
    <w:rsid w:val="6E4B3B04"/>
    <w:rsid w:val="6E770B84"/>
    <w:rsid w:val="6ED20433"/>
    <w:rsid w:val="6F8B15DB"/>
    <w:rsid w:val="6FDF5379"/>
    <w:rsid w:val="70623414"/>
    <w:rsid w:val="706C3AAE"/>
    <w:rsid w:val="70760A7F"/>
    <w:rsid w:val="70875193"/>
    <w:rsid w:val="7119708E"/>
    <w:rsid w:val="714329F7"/>
    <w:rsid w:val="715D1CD9"/>
    <w:rsid w:val="72944AEC"/>
    <w:rsid w:val="72C74234"/>
    <w:rsid w:val="742B7F1F"/>
    <w:rsid w:val="744C59E1"/>
    <w:rsid w:val="75CE6171"/>
    <w:rsid w:val="75D8158F"/>
    <w:rsid w:val="760D78BA"/>
    <w:rsid w:val="768061A9"/>
    <w:rsid w:val="76CC069B"/>
    <w:rsid w:val="76DB4A74"/>
    <w:rsid w:val="775D183D"/>
    <w:rsid w:val="777A25B9"/>
    <w:rsid w:val="77B46869"/>
    <w:rsid w:val="77DB53AD"/>
    <w:rsid w:val="78262BB3"/>
    <w:rsid w:val="78A3653D"/>
    <w:rsid w:val="78BA4CA5"/>
    <w:rsid w:val="79B41424"/>
    <w:rsid w:val="79DA230D"/>
    <w:rsid w:val="79EC1D61"/>
    <w:rsid w:val="7B717DDA"/>
    <w:rsid w:val="7BD05A63"/>
    <w:rsid w:val="7C090F5F"/>
    <w:rsid w:val="7C2B163E"/>
    <w:rsid w:val="7C31213A"/>
    <w:rsid w:val="7D3C73C4"/>
    <w:rsid w:val="7D4A0435"/>
    <w:rsid w:val="7E312898"/>
    <w:rsid w:val="7E7762E5"/>
    <w:rsid w:val="7F052E8D"/>
    <w:rsid w:val="7F4E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6"/>
    <w:autoRedefine/>
    <w:qFormat/>
    <w:uiPriority w:val="0"/>
    <w:pPr>
      <w:spacing w:before="340" w:after="330" w:line="578" w:lineRule="auto"/>
      <w:outlineLvl w:val="0"/>
    </w:pPr>
    <w:rPr>
      <w:b/>
      <w:bCs/>
      <w:kern w:val="44"/>
      <w:sz w:val="44"/>
      <w:szCs w:val="44"/>
    </w:rPr>
  </w:style>
  <w:style w:type="paragraph" w:styleId="5">
    <w:name w:val="heading 2"/>
    <w:basedOn w:val="1"/>
    <w:next w:val="1"/>
    <w:link w:val="36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99"/>
    <w:autoRedefine/>
    <w:qFormat/>
    <w:uiPriority w:val="0"/>
    <w:pPr>
      <w:keepNext/>
      <w:keepLines/>
      <w:spacing w:before="120" w:after="120"/>
      <w:outlineLvl w:val="2"/>
    </w:pPr>
    <w:rPr>
      <w:sz w:val="24"/>
      <w:szCs w:val="32"/>
    </w:rPr>
  </w:style>
  <w:style w:type="paragraph" w:styleId="6">
    <w:name w:val="heading 4"/>
    <w:basedOn w:val="1"/>
    <w:next w:val="1"/>
    <w:link w:val="37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26"/>
    <w:autoRedefine/>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74"/>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72"/>
    <w:autoRedefine/>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88"/>
    <w:autoRedefine/>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358"/>
    <w:autoRedefine/>
    <w:qFormat/>
    <w:uiPriority w:val="99"/>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next w:val="15"/>
    <w:link w:val="395"/>
    <w:autoRedefine/>
    <w:qFormat/>
    <w:uiPriority w:val="0"/>
  </w:style>
  <w:style w:type="paragraph" w:styleId="15">
    <w:name w:val="Body Text"/>
    <w:basedOn w:val="1"/>
    <w:link w:val="330"/>
    <w:autoRedefine/>
    <w:qFormat/>
    <w:uiPriority w:val="1"/>
    <w:pPr>
      <w:spacing w:after="120"/>
    </w:pPr>
  </w:style>
  <w:style w:type="paragraph" w:styleId="16">
    <w:name w:val="caption"/>
    <w:basedOn w:val="1"/>
    <w:next w:val="1"/>
    <w:autoRedefine/>
    <w:qFormat/>
    <w:uiPriority w:val="0"/>
    <w:rPr>
      <w:rFonts w:ascii="Arial" w:hAnsi="Arial" w:eastAsia="黑体" w:cs="Arial"/>
      <w:sz w:val="20"/>
      <w:szCs w:val="20"/>
    </w:rPr>
  </w:style>
  <w:style w:type="paragraph" w:styleId="17">
    <w:name w:val="Document Map"/>
    <w:basedOn w:val="1"/>
    <w:link w:val="332"/>
    <w:autoRedefine/>
    <w:qFormat/>
    <w:uiPriority w:val="99"/>
    <w:rPr>
      <w:rFonts w:ascii="宋体"/>
      <w:sz w:val="18"/>
      <w:szCs w:val="18"/>
    </w:rPr>
  </w:style>
  <w:style w:type="paragraph" w:styleId="18">
    <w:name w:val="toa heading"/>
    <w:basedOn w:val="1"/>
    <w:next w:val="1"/>
    <w:autoRedefine/>
    <w:qFormat/>
    <w:uiPriority w:val="0"/>
    <w:pPr>
      <w:spacing w:before="120"/>
    </w:pPr>
    <w:rPr>
      <w:rFonts w:ascii="Arial" w:hAnsi="Arial"/>
      <w:b/>
      <w:bCs/>
    </w:rPr>
  </w:style>
  <w:style w:type="paragraph" w:styleId="19">
    <w:name w:val="annotation text"/>
    <w:basedOn w:val="1"/>
    <w:link w:val="340"/>
    <w:autoRedefine/>
    <w:qFormat/>
    <w:uiPriority w:val="0"/>
    <w:pPr>
      <w:jc w:val="left"/>
    </w:pPr>
  </w:style>
  <w:style w:type="paragraph" w:styleId="20">
    <w:name w:val="Body Text 3"/>
    <w:basedOn w:val="1"/>
    <w:link w:val="397"/>
    <w:autoRedefine/>
    <w:qFormat/>
    <w:uiPriority w:val="0"/>
    <w:rPr>
      <w:rFonts w:ascii="宋体"/>
      <w:sz w:val="24"/>
      <w:szCs w:val="20"/>
    </w:rPr>
  </w:style>
  <w:style w:type="paragraph" w:styleId="21">
    <w:name w:val="Body Text Indent"/>
    <w:basedOn w:val="1"/>
    <w:link w:val="314"/>
    <w:autoRedefine/>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68"/>
    <w:autoRedefine/>
    <w:qFormat/>
    <w:uiPriority w:val="99"/>
    <w:rPr>
      <w:sz w:val="24"/>
      <w:szCs w:val="20"/>
    </w:rPr>
  </w:style>
  <w:style w:type="paragraph" w:styleId="28">
    <w:name w:val="Body Text Indent 2"/>
    <w:basedOn w:val="1"/>
    <w:link w:val="339"/>
    <w:autoRedefine/>
    <w:qFormat/>
    <w:uiPriority w:val="0"/>
    <w:pPr>
      <w:ind w:firstLine="640"/>
    </w:pPr>
    <w:rPr>
      <w:rFonts w:eastAsia="仿宋_GB2312"/>
      <w:sz w:val="32"/>
    </w:rPr>
  </w:style>
  <w:style w:type="paragraph" w:styleId="29">
    <w:name w:val="endnote text"/>
    <w:basedOn w:val="1"/>
    <w:link w:val="329"/>
    <w:autoRedefine/>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19"/>
    <w:autoRedefine/>
    <w:qFormat/>
    <w:uiPriority w:val="99"/>
    <w:rPr>
      <w:sz w:val="18"/>
      <w:szCs w:val="18"/>
    </w:rPr>
  </w:style>
  <w:style w:type="paragraph" w:styleId="31">
    <w:name w:val="footer"/>
    <w:basedOn w:val="1"/>
    <w:link w:val="385"/>
    <w:autoRedefine/>
    <w:qFormat/>
    <w:uiPriority w:val="99"/>
    <w:pPr>
      <w:tabs>
        <w:tab w:val="center" w:pos="4153"/>
        <w:tab w:val="right" w:pos="8306"/>
      </w:tabs>
      <w:snapToGrid w:val="0"/>
      <w:jc w:val="left"/>
    </w:pPr>
    <w:rPr>
      <w:sz w:val="18"/>
      <w:szCs w:val="18"/>
    </w:rPr>
  </w:style>
  <w:style w:type="paragraph" w:styleId="32">
    <w:name w:val="header"/>
    <w:basedOn w:val="1"/>
    <w:link w:val="312"/>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47"/>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324"/>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37"/>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0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9"/>
    <w:next w:val="19"/>
    <w:link w:val="387"/>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autoRedefine/>
    <w:qFormat/>
    <w:uiPriority w:val="22"/>
    <w:rPr>
      <w:b/>
      <w:bCs/>
    </w:rPr>
  </w:style>
  <w:style w:type="character" w:styleId="53">
    <w:name w:val="page number"/>
    <w:basedOn w:val="51"/>
    <w:autoRedefine/>
    <w:qFormat/>
    <w:uiPriority w:val="0"/>
  </w:style>
  <w:style w:type="character" w:styleId="54">
    <w:name w:val="FollowedHyperlink"/>
    <w:basedOn w:val="51"/>
    <w:autoRedefine/>
    <w:unhideWhenUsed/>
    <w:qFormat/>
    <w:uiPriority w:val="99"/>
    <w:rPr>
      <w:rFonts w:hint="eastAsia" w:ascii="微软雅黑" w:hAnsi="微软雅黑" w:eastAsia="微软雅黑" w:cs="微软雅黑"/>
      <w:color w:val="02396F"/>
      <w:u w:val="single"/>
    </w:rPr>
  </w:style>
  <w:style w:type="character" w:styleId="55">
    <w:name w:val="Emphasis"/>
    <w:autoRedefine/>
    <w:qFormat/>
    <w:uiPriority w:val="20"/>
    <w:rPr>
      <w:color w:val="CC0000"/>
    </w:rPr>
  </w:style>
  <w:style w:type="character" w:styleId="56">
    <w:name w:val="Hyperlink"/>
    <w:basedOn w:val="51"/>
    <w:autoRedefine/>
    <w:qFormat/>
    <w:uiPriority w:val="99"/>
    <w:rPr>
      <w:rFonts w:hint="eastAsia" w:ascii="微软雅黑" w:hAnsi="微软雅黑" w:eastAsia="微软雅黑" w:cs="微软雅黑"/>
      <w:color w:val="02396F"/>
      <w:u w:val="single"/>
    </w:rPr>
  </w:style>
  <w:style w:type="character" w:styleId="57">
    <w:name w:val="annotation reference"/>
    <w:autoRedefine/>
    <w:qFormat/>
    <w:uiPriority w:val="99"/>
    <w:rPr>
      <w:sz w:val="21"/>
      <w:szCs w:val="21"/>
    </w:rPr>
  </w:style>
  <w:style w:type="paragraph" w:customStyle="1" w:styleId="58">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59">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60">
    <w:name w:val="目录 91"/>
    <w:basedOn w:val="1"/>
    <w:next w:val="1"/>
    <w:autoRedefine/>
    <w:qFormat/>
    <w:uiPriority w:val="39"/>
    <w:pPr>
      <w:ind w:left="3360" w:leftChars="1600"/>
    </w:pPr>
    <w:rPr>
      <w:rFonts w:ascii="Calibri" w:hAnsi="Calibri"/>
      <w:szCs w:val="22"/>
    </w:rPr>
  </w:style>
  <w:style w:type="paragraph" w:customStyle="1" w:styleId="61">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62">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63">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6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5">
    <w:name w:val="USE 3"/>
    <w:basedOn w:val="1"/>
    <w:autoRedefine/>
    <w:qFormat/>
    <w:uiPriority w:val="0"/>
    <w:pPr>
      <w:ind w:left="710" w:hanging="170"/>
      <w:jc w:val="left"/>
    </w:pPr>
    <w:rPr>
      <w:rFonts w:ascii="宋体" w:hAnsi="宋体"/>
      <w:sz w:val="24"/>
      <w:szCs w:val="20"/>
    </w:rPr>
  </w:style>
  <w:style w:type="paragraph" w:customStyle="1" w:styleId="66">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67">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68">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69">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70">
    <w:name w:val="表格 Char"/>
    <w:basedOn w:val="1"/>
    <w:link w:val="359"/>
    <w:autoRedefine/>
    <w:qFormat/>
    <w:uiPriority w:val="0"/>
    <w:pPr>
      <w:spacing w:before="100" w:beforeAutospacing="1" w:after="100" w:afterAutospacing="1"/>
      <w:jc w:val="center"/>
    </w:pPr>
    <w:rPr>
      <w:rFonts w:ascii="宋体" w:hAnsi="宋体"/>
      <w:szCs w:val="28"/>
    </w:rPr>
  </w:style>
  <w:style w:type="paragraph" w:customStyle="1" w:styleId="71">
    <w:name w:val="条文 4"/>
    <w:next w:val="1"/>
    <w:autoRedefine/>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Char Char Char"/>
    <w:basedOn w:val="1"/>
    <w:autoRedefine/>
    <w:qFormat/>
    <w:uiPriority w:val="0"/>
    <w:rPr>
      <w:rFonts w:ascii="仿宋_GB2312" w:eastAsia="仿宋_GB2312"/>
      <w:b/>
      <w:sz w:val="32"/>
      <w:szCs w:val="32"/>
    </w:rPr>
  </w:style>
  <w:style w:type="paragraph" w:customStyle="1" w:styleId="73">
    <w:name w:val="cucd-TB"/>
    <w:autoRedefine/>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74">
    <w:name w:val="合同书"/>
    <w:basedOn w:val="1"/>
    <w:autoRedefine/>
    <w:qFormat/>
    <w:uiPriority w:val="0"/>
    <w:pPr>
      <w:jc w:val="center"/>
    </w:pPr>
    <w:rPr>
      <w:b/>
      <w:sz w:val="36"/>
      <w:szCs w:val="20"/>
    </w:rPr>
  </w:style>
  <w:style w:type="paragraph" w:customStyle="1" w:styleId="75">
    <w:name w:val="USE 4"/>
    <w:basedOn w:val="1"/>
    <w:autoRedefine/>
    <w:qFormat/>
    <w:uiPriority w:val="0"/>
    <w:pPr>
      <w:ind w:left="104" w:hanging="227"/>
      <w:jc w:val="left"/>
    </w:pPr>
    <w:rPr>
      <w:rFonts w:ascii="宋体" w:hAnsi="宋体"/>
      <w:sz w:val="24"/>
      <w:szCs w:val="20"/>
    </w:rPr>
  </w:style>
  <w:style w:type="paragraph" w:customStyle="1" w:styleId="76">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77">
    <w:name w:val="Char1"/>
    <w:basedOn w:val="1"/>
    <w:autoRedefine/>
    <w:qFormat/>
    <w:uiPriority w:val="0"/>
    <w:rPr>
      <w:rFonts w:ascii="仿宋_GB2312" w:eastAsia="仿宋_GB2312"/>
      <w:b/>
      <w:sz w:val="32"/>
      <w:szCs w:val="32"/>
    </w:rPr>
  </w:style>
  <w:style w:type="paragraph" w:customStyle="1" w:styleId="78">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79">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80">
    <w:name w:val="样式 宋体 小四 首行缩进:  0.93 厘米 段前: 11.15 磅 段后: 11.15 磅1"/>
    <w:basedOn w:val="81"/>
    <w:next w:val="81"/>
    <w:autoRedefine/>
    <w:qFormat/>
    <w:uiPriority w:val="99"/>
    <w:rPr>
      <w:rFonts w:ascii="宋体"/>
      <w:color w:val="auto"/>
    </w:rPr>
  </w:style>
  <w:style w:type="paragraph" w:customStyle="1" w:styleId="81">
    <w:name w:val="Default"/>
    <w:autoRedefine/>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82">
    <w:name w:val="font7"/>
    <w:basedOn w:val="1"/>
    <w:autoRedefine/>
    <w:qFormat/>
    <w:uiPriority w:val="0"/>
    <w:pPr>
      <w:spacing w:before="100" w:beforeAutospacing="1" w:after="100" w:afterAutospacing="1"/>
      <w:jc w:val="left"/>
    </w:pPr>
    <w:rPr>
      <w:kern w:val="0"/>
      <w:sz w:val="20"/>
      <w:szCs w:val="20"/>
    </w:rPr>
  </w:style>
  <w:style w:type="paragraph" w:customStyle="1" w:styleId="83">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84">
    <w:name w:val="批注框文本 Char Char"/>
    <w:basedOn w:val="1"/>
    <w:autoRedefine/>
    <w:qFormat/>
    <w:uiPriority w:val="0"/>
    <w:rPr>
      <w:sz w:val="18"/>
      <w:szCs w:val="20"/>
    </w:rPr>
  </w:style>
  <w:style w:type="paragraph" w:customStyle="1" w:styleId="85">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87">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8">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正文首行缩进1"/>
    <w:basedOn w:val="15"/>
    <w:link w:val="321"/>
    <w:autoRedefine/>
    <w:qFormat/>
    <w:uiPriority w:val="0"/>
    <w:pPr>
      <w:ind w:firstLine="100" w:firstLineChars="100"/>
    </w:pPr>
  </w:style>
  <w:style w:type="paragraph" w:customStyle="1" w:styleId="90">
    <w:name w:val="Char Char Char Char Char Char Char Char Char Char Char Char Char1"/>
    <w:basedOn w:val="1"/>
    <w:autoRedefine/>
    <w:qFormat/>
    <w:uiPriority w:val="0"/>
    <w:rPr>
      <w:rFonts w:ascii="仿宋_GB2312" w:eastAsia="仿宋_GB2312"/>
      <w:b/>
      <w:sz w:val="32"/>
      <w:szCs w:val="32"/>
    </w:rPr>
  </w:style>
  <w:style w:type="paragraph" w:customStyle="1" w:styleId="91">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2">
    <w:name w:val="目录 11"/>
    <w:basedOn w:val="1"/>
    <w:next w:val="1"/>
    <w:autoRedefine/>
    <w:qFormat/>
    <w:uiPriority w:val="39"/>
    <w:pPr>
      <w:tabs>
        <w:tab w:val="right" w:leader="dot" w:pos="8296"/>
      </w:tabs>
      <w:ind w:left="850" w:leftChars="1" w:hanging="848" w:hangingChars="404"/>
      <w:jc w:val="center"/>
    </w:pPr>
  </w:style>
  <w:style w:type="paragraph" w:customStyle="1" w:styleId="9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94">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Char Char Char1"/>
    <w:basedOn w:val="1"/>
    <w:link w:val="296"/>
    <w:autoRedefine/>
    <w:qFormat/>
    <w:uiPriority w:val="0"/>
    <w:rPr>
      <w:rFonts w:ascii="仿宋_GB2312" w:eastAsia="仿宋_GB2312"/>
      <w:b/>
      <w:sz w:val="32"/>
      <w:szCs w:val="32"/>
    </w:rPr>
  </w:style>
  <w:style w:type="paragraph" w:customStyle="1" w:styleId="96">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Char Char Char Char"/>
    <w:basedOn w:val="1"/>
    <w:autoRedefine/>
    <w:qFormat/>
    <w:uiPriority w:val="0"/>
    <w:pPr>
      <w:tabs>
        <w:tab w:val="left" w:pos="360"/>
      </w:tabs>
    </w:pPr>
    <w:rPr>
      <w:sz w:val="24"/>
    </w:rPr>
  </w:style>
  <w:style w:type="paragraph" w:customStyle="1" w:styleId="98">
    <w:name w:val="我的目录"/>
    <w:basedOn w:val="92"/>
    <w:autoRedefine/>
    <w:qFormat/>
    <w:uiPriority w:val="0"/>
    <w:pPr>
      <w:tabs>
        <w:tab w:val="right" w:leader="dot" w:pos="8820"/>
        <w:tab w:val="clear" w:pos="8296"/>
      </w:tabs>
      <w:spacing w:before="120" w:after="120" w:line="240" w:lineRule="auto"/>
      <w:ind w:left="0" w:leftChars="0" w:firstLine="0" w:firstLineChars="0"/>
      <w:jc w:val="left"/>
    </w:pPr>
    <w:rPr>
      <w:b/>
      <w:caps/>
      <w:sz w:val="20"/>
      <w:szCs w:val="20"/>
    </w:rPr>
  </w:style>
  <w:style w:type="paragraph" w:customStyle="1" w:styleId="99">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0">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0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102">
    <w:name w:val="样式 纯文本 + 居中 行距: 最小值 9 磅"/>
    <w:basedOn w:val="2"/>
    <w:autoRedefine/>
    <w:qFormat/>
    <w:uiPriority w:val="0"/>
    <w:pPr>
      <w:spacing w:line="180" w:lineRule="atLeast"/>
      <w:jc w:val="left"/>
    </w:pPr>
    <w:rPr>
      <w:rFonts w:cs="宋体"/>
      <w:sz w:val="24"/>
      <w:szCs w:val="20"/>
    </w:rPr>
  </w:style>
  <w:style w:type="paragraph" w:customStyle="1" w:styleId="103">
    <w:name w:val="Char"/>
    <w:basedOn w:val="1"/>
    <w:autoRedefine/>
    <w:qFormat/>
    <w:uiPriority w:val="0"/>
    <w:pPr>
      <w:tabs>
        <w:tab w:val="left" w:pos="360"/>
      </w:tabs>
    </w:pPr>
    <w:rPr>
      <w:sz w:val="24"/>
    </w:rPr>
  </w:style>
  <w:style w:type="paragraph" w:customStyle="1" w:styleId="10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05">
    <w:name w:val="Char Char Char Char Char Char Char Char Char Char Char Char Char"/>
    <w:basedOn w:val="1"/>
    <w:autoRedefine/>
    <w:qFormat/>
    <w:uiPriority w:val="0"/>
    <w:rPr>
      <w:rFonts w:ascii="仿宋_GB2312" w:eastAsia="仿宋_GB2312"/>
      <w:b/>
      <w:sz w:val="32"/>
      <w:szCs w:val="32"/>
    </w:rPr>
  </w:style>
  <w:style w:type="paragraph" w:customStyle="1" w:styleId="106">
    <w:name w:val="目录 41"/>
    <w:basedOn w:val="1"/>
    <w:next w:val="1"/>
    <w:autoRedefine/>
    <w:qFormat/>
    <w:uiPriority w:val="39"/>
    <w:pPr>
      <w:ind w:left="1260" w:leftChars="600"/>
    </w:pPr>
    <w:rPr>
      <w:rFonts w:ascii="Calibri" w:hAnsi="Calibri"/>
      <w:szCs w:val="22"/>
    </w:rPr>
  </w:style>
  <w:style w:type="paragraph" w:customStyle="1" w:styleId="107">
    <w:name w:val="wuff32"/>
    <w:basedOn w:val="2"/>
    <w:autoRedefine/>
    <w:qFormat/>
    <w:uiPriority w:val="0"/>
    <w:pPr>
      <w:jc w:val="center"/>
    </w:pPr>
    <w:rPr>
      <w:rFonts w:ascii="黑体" w:eastAsia="黑体"/>
      <w:sz w:val="24"/>
      <w:szCs w:val="20"/>
    </w:rPr>
  </w:style>
  <w:style w:type="paragraph" w:customStyle="1" w:styleId="108">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9">
    <w:name w:val="PlainText"/>
    <w:basedOn w:val="1"/>
    <w:autoRedefine/>
    <w:qFormat/>
    <w:uiPriority w:val="0"/>
    <w:pPr>
      <w:textAlignment w:val="baseline"/>
    </w:pPr>
    <w:rPr>
      <w:rFonts w:ascii="宋体" w:hAnsi="Calibri"/>
      <w:szCs w:val="21"/>
    </w:rPr>
  </w:style>
  <w:style w:type="paragraph" w:customStyle="1" w:styleId="110">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111">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12">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
    <w:name w:val="_Style 112"/>
    <w:autoRedefine/>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14">
    <w:name w:val="样式 标题 2 + (西文) Times New Roman (中文) 仿宋_GB2312 居中 段前: 6 磅 段后:..."/>
    <w:basedOn w:val="5"/>
    <w:autoRedefine/>
    <w:qFormat/>
    <w:uiPriority w:val="0"/>
    <w:pPr>
      <w:spacing w:before="120" w:after="120"/>
      <w:jc w:val="left"/>
    </w:pPr>
    <w:rPr>
      <w:rFonts w:ascii="Times New Roman" w:hAnsi="Times New Roman" w:eastAsia="仿宋_GB2312" w:cs="宋体"/>
      <w:szCs w:val="20"/>
    </w:rPr>
  </w:style>
  <w:style w:type="paragraph" w:customStyle="1" w:styleId="115">
    <w:name w:val="目录 21"/>
    <w:basedOn w:val="1"/>
    <w:next w:val="1"/>
    <w:autoRedefine/>
    <w:qFormat/>
    <w:uiPriority w:val="39"/>
    <w:pPr>
      <w:tabs>
        <w:tab w:val="right" w:leader="dot" w:pos="8295"/>
      </w:tabs>
      <w:ind w:left="205" w:leftChars="205"/>
    </w:pPr>
  </w:style>
  <w:style w:type="paragraph" w:customStyle="1" w:styleId="116">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7">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18">
    <w:name w:val="样式 标题 3 + 黑色"/>
    <w:basedOn w:val="4"/>
    <w:link w:val="342"/>
    <w:autoRedefine/>
    <w:qFormat/>
    <w:uiPriority w:val="0"/>
    <w:pPr>
      <w:keepNext w:val="0"/>
      <w:keepLines w:val="0"/>
      <w:tabs>
        <w:tab w:val="left" w:pos="1200"/>
        <w:tab w:val="left" w:pos="1260"/>
      </w:tabs>
      <w:spacing w:before="0" w:after="0"/>
      <w:ind w:left="1200" w:hanging="1200" w:hangingChars="500"/>
    </w:pPr>
    <w:rPr>
      <w:b/>
      <w:bCs/>
      <w:color w:val="FF0000"/>
      <w:szCs w:val="20"/>
    </w:rPr>
  </w:style>
  <w:style w:type="paragraph" w:customStyle="1" w:styleId="11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1">
    <w:name w:val="Char2 Char Char Char"/>
    <w:basedOn w:val="1"/>
    <w:autoRedefine/>
    <w:qFormat/>
    <w:uiPriority w:val="0"/>
    <w:pPr>
      <w:spacing w:line="240" w:lineRule="exact"/>
      <w:jc w:val="left"/>
    </w:pPr>
    <w:rPr>
      <w:rFonts w:ascii="Verdana" w:hAnsi="Verdana" w:eastAsia="仿宋_GB2312"/>
      <w:kern w:val="0"/>
      <w:sz w:val="24"/>
      <w:szCs w:val="20"/>
      <w:lang w:eastAsia="en-US"/>
    </w:rPr>
  </w:style>
  <w:style w:type="paragraph" w:customStyle="1" w:styleId="122">
    <w:name w:val="Tétière"/>
    <w:basedOn w:val="1"/>
    <w:autoRedefine/>
    <w:qFormat/>
    <w:uiPriority w:val="0"/>
    <w:pPr>
      <w:spacing w:before="60" w:after="60"/>
      <w:jc w:val="center"/>
    </w:pPr>
    <w:rPr>
      <w:rFonts w:ascii="Arial" w:hAnsi="Arial"/>
      <w:b/>
      <w:kern w:val="0"/>
      <w:sz w:val="16"/>
      <w:szCs w:val="20"/>
      <w:lang w:val="en-GB"/>
    </w:rPr>
  </w:style>
  <w:style w:type="paragraph" w:customStyle="1" w:styleId="123">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
    <w:name w:val="Char Char Char Char Char Char Char Char Char Char Char Char Char Char Char Char Char Char Char Char Char Char Char Char2 Char"/>
    <w:basedOn w:val="1"/>
    <w:autoRedefine/>
    <w:qFormat/>
    <w:uiPriority w:val="0"/>
    <w:pPr>
      <w:spacing w:line="240" w:lineRule="exact"/>
      <w:jc w:val="center"/>
    </w:pPr>
    <w:rPr>
      <w:rFonts w:ascii="黑体" w:hAnsi="Verdana" w:eastAsia="黑体"/>
      <w:kern w:val="0"/>
      <w:sz w:val="32"/>
      <w:szCs w:val="32"/>
      <w:lang w:eastAsia="en-US"/>
    </w:rPr>
  </w:style>
  <w:style w:type="paragraph" w:customStyle="1" w:styleId="125">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26">
    <w:name w:val="表格文字"/>
    <w:basedOn w:val="1"/>
    <w:autoRedefine/>
    <w:qFormat/>
    <w:uiPriority w:val="0"/>
    <w:pPr>
      <w:adjustRightInd w:val="0"/>
      <w:spacing w:line="420" w:lineRule="atLeast"/>
      <w:jc w:val="left"/>
      <w:textAlignment w:val="baseline"/>
    </w:pPr>
    <w:rPr>
      <w:kern w:val="0"/>
      <w:szCs w:val="20"/>
    </w:rPr>
  </w:style>
  <w:style w:type="paragraph" w:customStyle="1" w:styleId="127">
    <w:name w:val="目录 31"/>
    <w:basedOn w:val="1"/>
    <w:next w:val="1"/>
    <w:autoRedefine/>
    <w:qFormat/>
    <w:uiPriority w:val="39"/>
    <w:pPr>
      <w:ind w:left="840" w:leftChars="400"/>
    </w:pPr>
  </w:style>
  <w:style w:type="paragraph" w:customStyle="1" w:styleId="128">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129">
    <w:name w:val="标题2"/>
    <w:basedOn w:val="3"/>
    <w:autoRedefine/>
    <w:qFormat/>
    <w:uiPriority w:val="0"/>
    <w:pPr>
      <w:spacing w:before="0" w:after="0" w:line="312" w:lineRule="auto"/>
      <w:jc w:val="center"/>
    </w:pPr>
    <w:rPr>
      <w:rFonts w:ascii="宋体"/>
      <w:bCs w:val="0"/>
      <w:sz w:val="30"/>
      <w:szCs w:val="20"/>
    </w:rPr>
  </w:style>
  <w:style w:type="paragraph" w:customStyle="1" w:styleId="130">
    <w:name w:val="条文 3"/>
    <w:next w:val="1"/>
    <w:autoRedefine/>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13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132">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3">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4">
    <w:name w:val="Char Char Char Char Char Char Char Char Char Char Char Char"/>
    <w:basedOn w:val="1"/>
    <w:autoRedefine/>
    <w:qFormat/>
    <w:uiPriority w:val="0"/>
    <w:rPr>
      <w:rFonts w:ascii="Tahoma" w:hAnsi="Tahoma"/>
      <w:sz w:val="24"/>
      <w:szCs w:val="20"/>
    </w:rPr>
  </w:style>
  <w:style w:type="paragraph" w:customStyle="1" w:styleId="135">
    <w:name w:val="文件正文"/>
    <w:basedOn w:val="1"/>
    <w:autoRedefine/>
    <w:qFormat/>
    <w:uiPriority w:val="0"/>
    <w:pPr>
      <w:ind w:firstLine="480"/>
    </w:pPr>
    <w:rPr>
      <w:rFonts w:eastAsia="仿宋_GB2312"/>
      <w:sz w:val="24"/>
      <w:szCs w:val="20"/>
    </w:rPr>
  </w:style>
  <w:style w:type="paragraph" w:customStyle="1" w:styleId="136">
    <w:name w:val="样式 (西文) 宋体 行距: 1.5 倍行距"/>
    <w:basedOn w:val="1"/>
    <w:autoRedefine/>
    <w:qFormat/>
    <w:uiPriority w:val="0"/>
    <w:rPr>
      <w:rFonts w:ascii="宋体" w:hAnsi="宋体" w:cs="宋体"/>
      <w:szCs w:val="20"/>
    </w:rPr>
  </w:style>
  <w:style w:type="paragraph" w:customStyle="1" w:styleId="137">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139">
    <w:name w:val="样式 表格 + 加粗"/>
    <w:basedOn w:val="70"/>
    <w:autoRedefine/>
    <w:qFormat/>
    <w:uiPriority w:val="0"/>
    <w:rPr>
      <w:b/>
      <w:bCs/>
    </w:rPr>
  </w:style>
  <w:style w:type="paragraph" w:customStyle="1" w:styleId="140">
    <w:name w:val="青岛标题3"/>
    <w:basedOn w:val="4"/>
    <w:autoRedefine/>
    <w:qFormat/>
    <w:uiPriority w:val="0"/>
    <w:pPr>
      <w:spacing w:line="500" w:lineRule="exact"/>
      <w:jc w:val="left"/>
      <w:outlineLvl w:val="1"/>
    </w:pPr>
  </w:style>
  <w:style w:type="paragraph" w:customStyle="1" w:styleId="141">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2">
    <w:name w:val="修订1"/>
    <w:autoRedefine/>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43">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44">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145">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46">
    <w:name w:val="Char Char Char Char Char Char Char Char Char Char Char Char1 Char"/>
    <w:basedOn w:val="17"/>
    <w:autoRedefine/>
    <w:qFormat/>
    <w:uiPriority w:val="0"/>
    <w:pPr>
      <w:shd w:val="clear" w:color="auto" w:fill="000080"/>
    </w:pPr>
    <w:rPr>
      <w:rFonts w:ascii="Times New Roman"/>
      <w:sz w:val="21"/>
      <w:szCs w:val="20"/>
    </w:rPr>
  </w:style>
  <w:style w:type="paragraph" w:customStyle="1" w:styleId="147">
    <w:name w:val="目录 61"/>
    <w:basedOn w:val="1"/>
    <w:next w:val="1"/>
    <w:autoRedefine/>
    <w:qFormat/>
    <w:uiPriority w:val="39"/>
    <w:pPr>
      <w:ind w:left="2100" w:leftChars="1000"/>
    </w:pPr>
    <w:rPr>
      <w:rFonts w:ascii="Calibri" w:hAnsi="Calibri"/>
      <w:szCs w:val="22"/>
    </w:rPr>
  </w:style>
  <w:style w:type="paragraph" w:customStyle="1" w:styleId="148">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9">
    <w:name w:val="一、"/>
    <w:next w:val="89"/>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15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51">
    <w:name w:val="Char Char Char Char Char Char Char Char Char Char"/>
    <w:basedOn w:val="1"/>
    <w:autoRedefine/>
    <w:qFormat/>
    <w:uiPriority w:val="0"/>
    <w:rPr>
      <w:rFonts w:ascii="Tahoma" w:hAnsi="Tahoma" w:cs="仿宋_GB2312"/>
      <w:sz w:val="24"/>
      <w:szCs w:val="20"/>
    </w:rPr>
  </w:style>
  <w:style w:type="paragraph" w:customStyle="1" w:styleId="152">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154">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Char Char Char Char Char1 Char"/>
    <w:basedOn w:val="1"/>
    <w:autoRedefine/>
    <w:qFormat/>
    <w:uiPriority w:val="0"/>
    <w:pPr>
      <w:adjustRightInd w:val="0"/>
    </w:pPr>
    <w:rPr>
      <w:rFonts w:eastAsia="黑体"/>
      <w:spacing w:val="20"/>
      <w:sz w:val="32"/>
      <w:szCs w:val="32"/>
    </w:rPr>
  </w:style>
  <w:style w:type="paragraph" w:customStyle="1" w:styleId="156">
    <w:name w:val="备注"/>
    <w:basedOn w:val="1"/>
    <w:autoRedefine/>
    <w:qFormat/>
    <w:uiPriority w:val="0"/>
    <w:pPr>
      <w:tabs>
        <w:tab w:val="left" w:pos="547"/>
        <w:tab w:val="left" w:pos="990"/>
        <w:tab w:val="left" w:pos="1350"/>
      </w:tabs>
      <w:spacing w:line="400" w:lineRule="atLeast"/>
    </w:pPr>
    <w:rPr>
      <w:szCs w:val="21"/>
    </w:rPr>
  </w:style>
  <w:style w:type="paragraph" w:customStyle="1" w:styleId="157">
    <w:name w:val="正文段"/>
    <w:basedOn w:val="1"/>
    <w:autoRedefine/>
    <w:qFormat/>
    <w:uiPriority w:val="0"/>
    <w:pPr>
      <w:snapToGrid w:val="0"/>
      <w:spacing w:afterLines="50"/>
    </w:pPr>
    <w:rPr>
      <w:kern w:val="0"/>
      <w:sz w:val="24"/>
      <w:szCs w:val="20"/>
    </w:rPr>
  </w:style>
  <w:style w:type="paragraph" w:customStyle="1" w:styleId="158">
    <w:name w:val="USE 5"/>
    <w:basedOn w:val="1"/>
    <w:autoRedefine/>
    <w:qFormat/>
    <w:uiPriority w:val="0"/>
    <w:pPr>
      <w:ind w:left="217" w:hanging="340"/>
      <w:jc w:val="left"/>
    </w:pPr>
    <w:rPr>
      <w:rFonts w:ascii="宋体" w:hAnsi="宋体"/>
      <w:sz w:val="24"/>
    </w:rPr>
  </w:style>
  <w:style w:type="paragraph" w:customStyle="1" w:styleId="15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60">
    <w:name w:val="条文 表"/>
    <w:next w:val="1"/>
    <w:autoRedefine/>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161">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1.1"/>
    <w:basedOn w:val="5"/>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65">
    <w:name w:val="p8"/>
    <w:basedOn w:val="1"/>
    <w:autoRedefine/>
    <w:qFormat/>
    <w:uiPriority w:val="0"/>
    <w:pPr>
      <w:spacing w:line="30" w:lineRule="atLeast"/>
      <w:jc w:val="left"/>
    </w:pPr>
    <w:rPr>
      <w:rFonts w:hint="eastAsia" w:ascii="宋体" w:hAnsi="宋体" w:cs="宋体"/>
      <w:kern w:val="0"/>
      <w:szCs w:val="21"/>
    </w:rPr>
  </w:style>
  <w:style w:type="paragraph" w:customStyle="1" w:styleId="166">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67">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68">
    <w:name w:val="附件"/>
    <w:basedOn w:val="1"/>
    <w:autoRedefine/>
    <w:qFormat/>
    <w:uiPriority w:val="0"/>
    <w:pPr>
      <w:spacing w:line="480" w:lineRule="auto"/>
    </w:pPr>
    <w:rPr>
      <w:rFonts w:ascii="黑体" w:eastAsia="黑体"/>
      <w:b/>
      <w:sz w:val="36"/>
      <w:szCs w:val="20"/>
    </w:rPr>
  </w:style>
  <w:style w:type="paragraph" w:customStyle="1" w:styleId="169">
    <w:name w:val="Report Text"/>
    <w:basedOn w:val="1"/>
    <w:link w:val="366"/>
    <w:autoRedefine/>
    <w:qFormat/>
    <w:uiPriority w:val="0"/>
    <w:pPr>
      <w:spacing w:before="240" w:after="120"/>
      <w:ind w:left="1080"/>
    </w:pPr>
    <w:rPr>
      <w:rFonts w:ascii="Arial" w:hAnsi="Arial"/>
      <w:kern w:val="28"/>
      <w:sz w:val="22"/>
      <w:szCs w:val="20"/>
    </w:rPr>
  </w:style>
  <w:style w:type="paragraph" w:customStyle="1" w:styleId="170">
    <w:name w:val="条文 5"/>
    <w:next w:val="1"/>
    <w:autoRedefine/>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171">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2">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73">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5">
    <w:name w:val="标题222"/>
    <w:basedOn w:val="1"/>
    <w:autoRedefine/>
    <w:qFormat/>
    <w:uiPriority w:val="0"/>
    <w:rPr>
      <w:rFonts w:cs="宋体"/>
      <w:b/>
      <w:bCs/>
      <w:sz w:val="30"/>
      <w:szCs w:val="20"/>
    </w:rPr>
  </w:style>
  <w:style w:type="paragraph" w:customStyle="1" w:styleId="176">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177">
    <w:name w:val="批注主题 Char Char"/>
    <w:basedOn w:val="19"/>
    <w:next w:val="19"/>
    <w:autoRedefine/>
    <w:qFormat/>
    <w:uiPriority w:val="0"/>
    <w:rPr>
      <w:b/>
      <w:szCs w:val="20"/>
    </w:rPr>
  </w:style>
  <w:style w:type="paragraph" w:customStyle="1" w:styleId="178">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7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0">
    <w:name w:val="列表框1"/>
    <w:basedOn w:val="1"/>
    <w:link w:val="345"/>
    <w:autoRedefine/>
    <w:qFormat/>
    <w:uiPriority w:val="0"/>
    <w:pPr>
      <w:tabs>
        <w:tab w:val="left" w:pos="1682"/>
      </w:tabs>
      <w:adjustRightInd w:val="0"/>
      <w:snapToGrid w:val="0"/>
      <w:ind w:left="1748" w:hanging="434"/>
    </w:pPr>
    <w:rPr>
      <w:rFonts w:ascii="宋体" w:hAnsi="宋体"/>
      <w:kern w:val="0"/>
      <w:szCs w:val="21"/>
    </w:rPr>
  </w:style>
  <w:style w:type="paragraph" w:customStyle="1" w:styleId="181">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cucd-4"/>
    <w:next w:val="1"/>
    <w:autoRedefine/>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3">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8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5">
    <w:name w:val="目录 51"/>
    <w:basedOn w:val="1"/>
    <w:next w:val="1"/>
    <w:autoRedefine/>
    <w:qFormat/>
    <w:uiPriority w:val="39"/>
    <w:pPr>
      <w:ind w:left="1680" w:leftChars="800"/>
    </w:pPr>
    <w:rPr>
      <w:rFonts w:ascii="Calibri" w:hAnsi="Calibri"/>
      <w:szCs w:val="22"/>
    </w:rPr>
  </w:style>
  <w:style w:type="paragraph" w:customStyle="1" w:styleId="186">
    <w:name w:val="纯文本1"/>
    <w:basedOn w:val="1"/>
    <w:autoRedefine/>
    <w:qFormat/>
    <w:uiPriority w:val="0"/>
    <w:rPr>
      <w:rFonts w:ascii="宋体" w:hAnsi="Courier New" w:cs="Courier New"/>
      <w:szCs w:val="21"/>
    </w:rPr>
  </w:style>
  <w:style w:type="paragraph" w:customStyle="1" w:styleId="187">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8">
    <w:name w:val="样式4"/>
    <w:basedOn w:val="32"/>
    <w:link w:val="351"/>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标题3"/>
    <w:basedOn w:val="3"/>
    <w:autoRedefine/>
    <w:qFormat/>
    <w:uiPriority w:val="0"/>
    <w:pPr>
      <w:spacing w:beforeLines="50" w:after="0" w:line="312" w:lineRule="auto"/>
      <w:jc w:val="center"/>
    </w:pPr>
    <w:rPr>
      <w:rFonts w:ascii="宋体"/>
      <w:bCs w:val="0"/>
      <w:sz w:val="24"/>
      <w:szCs w:val="20"/>
    </w:rPr>
  </w:style>
  <w:style w:type="paragraph" w:customStyle="1" w:styleId="190">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1">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92">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93">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95">
    <w:name w:val="表格文字图表文字"/>
    <w:basedOn w:val="1"/>
    <w:autoRedefine/>
    <w:qFormat/>
    <w:uiPriority w:val="0"/>
    <w:pPr>
      <w:snapToGrid w:val="0"/>
      <w:jc w:val="center"/>
    </w:pPr>
    <w:rPr>
      <w:rFonts w:cs="宋体"/>
      <w:szCs w:val="20"/>
    </w:rPr>
  </w:style>
  <w:style w:type="paragraph" w:customStyle="1" w:styleId="196">
    <w:name w:val="条文 1"/>
    <w:next w:val="1"/>
    <w:autoRedefine/>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197">
    <w:name w:val="Report Level 1"/>
    <w:basedOn w:val="1"/>
    <w:next w:val="169"/>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98">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200">
    <w:name w:val="字元 字元 Char Char Char Char Char Char Char"/>
    <w:basedOn w:val="1"/>
    <w:autoRedefine/>
    <w:qFormat/>
    <w:uiPriority w:val="0"/>
    <w:rPr>
      <w:rFonts w:ascii="Tahoma" w:hAnsi="Tahoma" w:cs="仿宋_GB2312"/>
      <w:sz w:val="24"/>
      <w:szCs w:val="20"/>
    </w:rPr>
  </w:style>
  <w:style w:type="paragraph" w:customStyle="1" w:styleId="201">
    <w:name w:val="标题 41"/>
    <w:basedOn w:val="1"/>
    <w:autoRedefine/>
    <w:qFormat/>
    <w:uiPriority w:val="1"/>
    <w:pPr>
      <w:ind w:left="522"/>
      <w:jc w:val="left"/>
      <w:outlineLvl w:val="4"/>
    </w:pPr>
    <w:rPr>
      <w:rFonts w:eastAsia="Times New Roman"/>
      <w:b/>
      <w:bCs/>
      <w:kern w:val="0"/>
      <w:szCs w:val="21"/>
      <w:lang w:eastAsia="en-US"/>
    </w:rPr>
  </w:style>
  <w:style w:type="paragraph" w:customStyle="1" w:styleId="202">
    <w:name w:val="小标题"/>
    <w:basedOn w:val="1"/>
    <w:autoRedefine/>
    <w:qFormat/>
    <w:uiPriority w:val="0"/>
    <w:pPr>
      <w:spacing w:line="440" w:lineRule="exact"/>
      <w:ind w:left="420" w:hanging="420"/>
    </w:pPr>
    <w:rPr>
      <w:sz w:val="24"/>
    </w:rPr>
  </w:style>
  <w:style w:type="paragraph" w:customStyle="1" w:styleId="203">
    <w:name w:val="列出段落1"/>
    <w:basedOn w:val="1"/>
    <w:autoRedefine/>
    <w:qFormat/>
    <w:uiPriority w:val="0"/>
    <w:pPr>
      <w:spacing w:beforeLines="50" w:after="156" w:line="240" w:lineRule="atLeast"/>
      <w:ind w:left="425"/>
    </w:pPr>
    <w:rPr>
      <w:rFonts w:eastAsia="仿宋_GB2312"/>
      <w:sz w:val="24"/>
    </w:rPr>
  </w:style>
  <w:style w:type="paragraph" w:customStyle="1" w:styleId="204">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05">
    <w:name w:val="表格"/>
    <w:basedOn w:val="1"/>
    <w:autoRedefine/>
    <w:qFormat/>
    <w:uiPriority w:val="0"/>
    <w:pPr>
      <w:jc w:val="center"/>
      <w:textAlignment w:val="center"/>
    </w:pPr>
    <w:rPr>
      <w:rFonts w:ascii="华文细黑" w:hAnsi="华文细黑"/>
      <w:kern w:val="0"/>
      <w:szCs w:val="20"/>
    </w:rPr>
  </w:style>
  <w:style w:type="paragraph" w:customStyle="1" w:styleId="206">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7">
    <w:name w:val="Report Level 3"/>
    <w:basedOn w:val="197"/>
    <w:next w:val="169"/>
    <w:autoRedefine/>
    <w:qFormat/>
    <w:uiPriority w:val="0"/>
    <w:pPr>
      <w:tabs>
        <w:tab w:val="clear" w:pos="1080"/>
      </w:tabs>
      <w:ind w:left="0" w:firstLine="0"/>
      <w:jc w:val="both"/>
      <w:outlineLvl w:val="2"/>
    </w:pPr>
    <w:rPr>
      <w:b w:val="0"/>
      <w:caps w:val="0"/>
      <w:sz w:val="22"/>
    </w:rPr>
  </w:style>
  <w:style w:type="paragraph" w:customStyle="1" w:styleId="208">
    <w:name w:val="纯文本2"/>
    <w:basedOn w:val="1"/>
    <w:autoRedefine/>
    <w:qFormat/>
    <w:uiPriority w:val="0"/>
    <w:rPr>
      <w:rFonts w:ascii="宋体" w:hAnsi="Courier New" w:cs="Courier New"/>
      <w:szCs w:val="21"/>
    </w:rPr>
  </w:style>
  <w:style w:type="paragraph" w:customStyle="1" w:styleId="209">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0">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CM255"/>
    <w:basedOn w:val="81"/>
    <w:next w:val="81"/>
    <w:qFormat/>
    <w:uiPriority w:val="0"/>
    <w:pPr>
      <w:spacing w:after="1728"/>
    </w:pPr>
    <w:rPr>
      <w:rFonts w:ascii="宋体" w:cs="宋体"/>
      <w:color w:val="auto"/>
    </w:rPr>
  </w:style>
  <w:style w:type="paragraph" w:customStyle="1" w:styleId="212">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213">
    <w:name w:val="USE 2"/>
    <w:basedOn w:val="1"/>
    <w:autoRedefine/>
    <w:qFormat/>
    <w:uiPriority w:val="0"/>
    <w:pPr>
      <w:ind w:left="4556" w:hanging="3836"/>
      <w:jc w:val="left"/>
    </w:pPr>
    <w:rPr>
      <w:rFonts w:ascii="宋体" w:hAnsi="宋体"/>
      <w:sz w:val="24"/>
      <w:szCs w:val="20"/>
    </w:rPr>
  </w:style>
  <w:style w:type="paragraph" w:customStyle="1" w:styleId="21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5">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16">
    <w:name w:val="样式 宋体 小四 黑色 左 行距: 1.5 倍行距"/>
    <w:basedOn w:val="1"/>
    <w:qFormat/>
    <w:uiPriority w:val="0"/>
    <w:pPr>
      <w:jc w:val="left"/>
    </w:pPr>
    <w:rPr>
      <w:rFonts w:ascii="宋体" w:hAnsi="宋体" w:cs="宋体"/>
      <w:color w:val="000000"/>
      <w:sz w:val="24"/>
      <w:szCs w:val="20"/>
    </w:rPr>
  </w:style>
  <w:style w:type="paragraph" w:customStyle="1" w:styleId="217">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218">
    <w:name w:val="_Style 10"/>
    <w:basedOn w:val="1"/>
    <w:next w:val="1"/>
    <w:autoRedefine/>
    <w:qFormat/>
    <w:uiPriority w:val="0"/>
  </w:style>
  <w:style w:type="paragraph" w:customStyle="1" w:styleId="219">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220">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1">
    <w:name w:val="青岛标题4"/>
    <w:basedOn w:val="6"/>
    <w:autoRedefine/>
    <w:qFormat/>
    <w:uiPriority w:val="0"/>
    <w:pPr>
      <w:spacing w:line="500" w:lineRule="atLeast"/>
      <w:jc w:val="left"/>
      <w:outlineLvl w:val="2"/>
    </w:pPr>
    <w:rPr>
      <w:rFonts w:eastAsia="宋体"/>
      <w:sz w:val="30"/>
    </w:rPr>
  </w:style>
  <w:style w:type="paragraph" w:customStyle="1" w:styleId="222">
    <w:name w:val="cucd-0"/>
    <w:autoRedefine/>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2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24">
    <w:name w:val="标题333"/>
    <w:basedOn w:val="1"/>
    <w:autoRedefine/>
    <w:qFormat/>
    <w:uiPriority w:val="0"/>
    <w:rPr>
      <w:rFonts w:ascii="宋体" w:hAnsi="宋体" w:cs="宋体"/>
      <w:b/>
      <w:bCs/>
      <w:sz w:val="24"/>
      <w:szCs w:val="20"/>
    </w:rPr>
  </w:style>
  <w:style w:type="paragraph" w:customStyle="1" w:styleId="225">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26">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2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31">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2">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33">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4">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35">
    <w:name w:val="1."/>
    <w:basedOn w:val="1"/>
    <w:qFormat/>
    <w:uiPriority w:val="0"/>
    <w:pPr>
      <w:tabs>
        <w:tab w:val="left" w:pos="425"/>
      </w:tabs>
      <w:ind w:firstLine="482"/>
    </w:pPr>
    <w:rPr>
      <w:sz w:val="28"/>
      <w:szCs w:val="20"/>
    </w:rPr>
  </w:style>
  <w:style w:type="paragraph" w:customStyle="1" w:styleId="236">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7">
    <w:name w:val="目录 81"/>
    <w:basedOn w:val="1"/>
    <w:next w:val="1"/>
    <w:qFormat/>
    <w:uiPriority w:val="39"/>
    <w:pPr>
      <w:ind w:left="2940" w:leftChars="1400"/>
    </w:pPr>
    <w:rPr>
      <w:rFonts w:ascii="Calibri" w:hAnsi="Calibri"/>
      <w:szCs w:val="22"/>
    </w:rPr>
  </w:style>
  <w:style w:type="paragraph" w:customStyle="1" w:styleId="238">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39">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240">
    <w:name w:val="p0"/>
    <w:basedOn w:val="1"/>
    <w:autoRedefine/>
    <w:qFormat/>
    <w:uiPriority w:val="0"/>
    <w:rPr>
      <w:kern w:val="0"/>
      <w:szCs w:val="21"/>
    </w:rPr>
  </w:style>
  <w:style w:type="paragraph" w:customStyle="1" w:styleId="241">
    <w:name w:val="正文首行缩进 21"/>
    <w:basedOn w:val="21"/>
    <w:link w:val="371"/>
    <w:qFormat/>
    <w:uiPriority w:val="0"/>
    <w:pPr>
      <w:adjustRightInd w:val="0"/>
      <w:spacing w:line="312" w:lineRule="atLeast"/>
      <w:textAlignment w:val="baseline"/>
    </w:pPr>
  </w:style>
  <w:style w:type="paragraph" w:customStyle="1" w:styleId="242">
    <w:name w:val="图形题注"/>
    <w:basedOn w:val="16"/>
    <w:link w:val="373"/>
    <w:qFormat/>
    <w:uiPriority w:val="0"/>
    <w:pPr>
      <w:adjustRightInd w:val="0"/>
      <w:snapToGrid w:val="0"/>
      <w:spacing w:afterLines="50"/>
      <w:jc w:val="center"/>
    </w:pPr>
    <w:rPr>
      <w:rFonts w:eastAsia="宋体" w:cs="Times New Roman"/>
      <w:kern w:val="0"/>
      <w:sz w:val="21"/>
    </w:rPr>
  </w:style>
  <w:style w:type="paragraph" w:customStyle="1" w:styleId="243">
    <w:name w:val="青岛正文"/>
    <w:basedOn w:val="1"/>
    <w:qFormat/>
    <w:uiPriority w:val="0"/>
    <w:rPr>
      <w:sz w:val="28"/>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无编号正文"/>
    <w:basedOn w:val="15"/>
    <w:next w:val="1"/>
    <w:link w:val="375"/>
    <w:autoRedefine/>
    <w:qFormat/>
    <w:uiPriority w:val="0"/>
    <w:pPr>
      <w:spacing w:after="0"/>
      <w:ind w:left="200" w:leftChars="200"/>
    </w:pPr>
    <w:rPr>
      <w:rFonts w:ascii="宋体" w:hAnsi="宋体"/>
      <w:kern w:val="0"/>
      <w:sz w:val="24"/>
    </w:rPr>
  </w:style>
  <w:style w:type="paragraph" w:customStyle="1" w:styleId="246">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247">
    <w:name w:val="样式5"/>
    <w:basedOn w:val="1"/>
    <w:qFormat/>
    <w:uiPriority w:val="0"/>
    <w:pPr>
      <w:tabs>
        <w:tab w:val="left" w:pos="547"/>
        <w:tab w:val="left" w:pos="1080"/>
      </w:tabs>
      <w:spacing w:line="480" w:lineRule="atLeast"/>
      <w:jc w:val="center"/>
    </w:pPr>
    <w:rPr>
      <w:b/>
      <w:sz w:val="24"/>
    </w:rPr>
  </w:style>
  <w:style w:type="paragraph" w:customStyle="1" w:styleId="248">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49">
    <w:name w:val="Char4"/>
    <w:basedOn w:val="1"/>
    <w:qFormat/>
    <w:uiPriority w:val="0"/>
  </w:style>
  <w:style w:type="paragraph" w:customStyle="1" w:styleId="250">
    <w:name w:val="需求书2"/>
    <w:basedOn w:val="1"/>
    <w:qFormat/>
    <w:uiPriority w:val="0"/>
    <w:pPr>
      <w:spacing w:line="500" w:lineRule="exact"/>
      <w:ind w:left="735" w:hanging="735"/>
    </w:pPr>
    <w:rPr>
      <w:rFonts w:ascii="黑体" w:eastAsia="黑体"/>
      <w:szCs w:val="20"/>
    </w:rPr>
  </w:style>
  <w:style w:type="paragraph" w:customStyle="1" w:styleId="251">
    <w:name w:val="CM226"/>
    <w:basedOn w:val="1"/>
    <w:next w:val="1"/>
    <w:autoRedefine/>
    <w:qFormat/>
    <w:uiPriority w:val="0"/>
    <w:pPr>
      <w:autoSpaceDE w:val="0"/>
      <w:autoSpaceDN w:val="0"/>
      <w:adjustRightInd w:val="0"/>
      <w:spacing w:after="2445"/>
      <w:jc w:val="left"/>
    </w:pPr>
    <w:rPr>
      <w:rFonts w:ascii="宋体"/>
      <w:kern w:val="0"/>
      <w:sz w:val="24"/>
    </w:rPr>
  </w:style>
  <w:style w:type="paragraph" w:styleId="252">
    <w:name w:val="No Spacing"/>
    <w:autoRedefine/>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253">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4">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55">
    <w:name w:val="列出段落2"/>
    <w:basedOn w:val="1"/>
    <w:link w:val="334"/>
    <w:autoRedefine/>
    <w:qFormat/>
    <w:uiPriority w:val="0"/>
    <w:rPr>
      <w:rFonts w:ascii="Calibri" w:hAnsi="Calibri"/>
      <w:szCs w:val="22"/>
    </w:rPr>
  </w:style>
  <w:style w:type="paragraph" w:customStyle="1" w:styleId="25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57">
    <w:name w:val="Char Char Char Char Char Char Char"/>
    <w:basedOn w:val="1"/>
    <w:autoRedefine/>
    <w:qFormat/>
    <w:uiPriority w:val="0"/>
    <w:rPr>
      <w:rFonts w:ascii="仿宋_GB2312" w:eastAsia="仿宋_GB2312"/>
      <w:b/>
      <w:sz w:val="32"/>
      <w:szCs w:val="32"/>
    </w:rPr>
  </w:style>
  <w:style w:type="paragraph" w:customStyle="1" w:styleId="258">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59">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60">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61">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262">
    <w:name w:val="样式 标题 3 + (中文) 黑体 小四 非加粗 段前: 7.8 磅 段后: 0 磅 行距: 固定值 20 磅"/>
    <w:basedOn w:val="4"/>
    <w:qFormat/>
    <w:uiPriority w:val="0"/>
    <w:pPr>
      <w:spacing w:before="0" w:after="0" w:line="400" w:lineRule="exact"/>
    </w:pPr>
    <w:rPr>
      <w:rFonts w:eastAsia="黑体" w:cs="宋体"/>
      <w:szCs w:val="20"/>
    </w:rPr>
  </w:style>
  <w:style w:type="paragraph" w:styleId="263">
    <w:name w:val="List Paragraph"/>
    <w:basedOn w:val="1"/>
    <w:autoRedefine/>
    <w:qFormat/>
    <w:uiPriority w:val="0"/>
    <w:pPr>
      <w:ind w:firstLine="420"/>
    </w:pPr>
  </w:style>
  <w:style w:type="paragraph" w:customStyle="1" w:styleId="264">
    <w:name w:val="列表段落1"/>
    <w:basedOn w:val="1"/>
    <w:autoRedefine/>
    <w:qFormat/>
    <w:uiPriority w:val="0"/>
  </w:style>
  <w:style w:type="paragraph" w:customStyle="1" w:styleId="26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6">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8">
    <w:name w:val="Table Paragraph"/>
    <w:basedOn w:val="1"/>
    <w:autoRedefine/>
    <w:qFormat/>
    <w:uiPriority w:val="1"/>
    <w:pPr>
      <w:jc w:val="left"/>
    </w:pPr>
    <w:rPr>
      <w:rFonts w:ascii="Calibri" w:hAnsi="Calibri"/>
      <w:kern w:val="0"/>
      <w:sz w:val="22"/>
      <w:szCs w:val="22"/>
      <w:lang w:eastAsia="en-US"/>
    </w:rPr>
  </w:style>
  <w:style w:type="paragraph" w:customStyle="1" w:styleId="269">
    <w:name w:val="图形布置"/>
    <w:basedOn w:val="242"/>
    <w:link w:val="365"/>
    <w:qFormat/>
    <w:uiPriority w:val="0"/>
  </w:style>
  <w:style w:type="paragraph" w:customStyle="1" w:styleId="270">
    <w:name w:val="USE 1"/>
    <w:basedOn w:val="1"/>
    <w:autoRedefine/>
    <w:qFormat/>
    <w:uiPriority w:val="0"/>
    <w:pPr>
      <w:spacing w:line="200" w:lineRule="atLeast"/>
      <w:jc w:val="left"/>
    </w:pPr>
    <w:rPr>
      <w:rFonts w:ascii="宋体" w:hAnsi="宋体"/>
      <w:b/>
      <w:sz w:val="24"/>
      <w:szCs w:val="28"/>
    </w:rPr>
  </w:style>
  <w:style w:type="paragraph" w:customStyle="1" w:styleId="27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7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73">
    <w:name w:val="Char Char Char Char Char Char Char1"/>
    <w:basedOn w:val="1"/>
    <w:autoRedefine/>
    <w:qFormat/>
    <w:uiPriority w:val="0"/>
    <w:pPr>
      <w:spacing w:line="240" w:lineRule="exact"/>
      <w:jc w:val="left"/>
    </w:pPr>
    <w:rPr>
      <w:rFonts w:ascii="Arial" w:hAnsi="Arial" w:eastAsia="Times New Roman" w:cs="Verdana"/>
      <w:b/>
      <w:kern w:val="0"/>
      <w:sz w:val="24"/>
      <w:lang w:eastAsia="en-US"/>
    </w:rPr>
  </w:style>
  <w:style w:type="paragraph" w:customStyle="1" w:styleId="274">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5">
    <w:name w:val="通用专用"/>
    <w:basedOn w:val="1"/>
    <w:qFormat/>
    <w:uiPriority w:val="0"/>
    <w:pPr>
      <w:jc w:val="center"/>
    </w:pPr>
    <w:rPr>
      <w:rFonts w:ascii="宋体"/>
      <w:b/>
      <w:sz w:val="36"/>
      <w:szCs w:val="20"/>
    </w:rPr>
  </w:style>
  <w:style w:type="paragraph" w:customStyle="1" w:styleId="276">
    <w:name w:val="应答文本"/>
    <w:basedOn w:val="1"/>
    <w:link w:val="355"/>
    <w:autoRedefine/>
    <w:qFormat/>
    <w:uiPriority w:val="0"/>
    <w:pPr>
      <w:adjustRightInd w:val="0"/>
      <w:snapToGrid w:val="0"/>
      <w:spacing w:afterLines="50"/>
      <w:ind w:left="200" w:leftChars="200"/>
    </w:pPr>
    <w:rPr>
      <w:kern w:val="0"/>
      <w:szCs w:val="21"/>
    </w:rPr>
  </w:style>
  <w:style w:type="paragraph" w:customStyle="1" w:styleId="277">
    <w:name w:val="目录 71"/>
    <w:basedOn w:val="1"/>
    <w:next w:val="1"/>
    <w:autoRedefine/>
    <w:qFormat/>
    <w:uiPriority w:val="39"/>
    <w:pPr>
      <w:ind w:left="2520" w:leftChars="1200"/>
    </w:pPr>
    <w:rPr>
      <w:rFonts w:ascii="Calibri" w:hAnsi="Calibri"/>
      <w:szCs w:val="22"/>
    </w:rPr>
  </w:style>
  <w:style w:type="paragraph" w:customStyle="1" w:styleId="278">
    <w:name w:val="样式 样式 标题 3 + 仿宋_GB2312 小四 段前: 0 磅 段后: 0 磅 + 段前: 0.5 行"/>
    <w:basedOn w:val="239"/>
    <w:autoRedefine/>
    <w:qFormat/>
    <w:uiPriority w:val="0"/>
    <w:pPr>
      <w:spacing w:afterLines="50"/>
      <w:jc w:val="both"/>
    </w:pPr>
    <w:rPr>
      <w:rFonts w:ascii="宋体" w:eastAsia="宋体"/>
    </w:rPr>
  </w:style>
  <w:style w:type="paragraph" w:customStyle="1" w:styleId="279">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0">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81">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2">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285">
    <w:name w:val="_Style 67"/>
    <w:basedOn w:val="1"/>
    <w:autoRedefine/>
    <w:qFormat/>
    <w:uiPriority w:val="0"/>
    <w:pPr>
      <w:spacing w:line="240" w:lineRule="exact"/>
      <w:jc w:val="left"/>
    </w:pPr>
    <w:rPr>
      <w:rFonts w:ascii="楷体_GB2312" w:hAnsi="楷体_GB2312" w:eastAsia="仿宋_GB2312" w:cs="楷体_GB2312"/>
      <w:szCs w:val="20"/>
    </w:rPr>
  </w:style>
  <w:style w:type="paragraph" w:customStyle="1" w:styleId="28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列表框2"/>
    <w:basedOn w:val="180"/>
    <w:link w:val="346"/>
    <w:autoRedefine/>
    <w:qFormat/>
    <w:uiPriority w:val="0"/>
    <w:pPr>
      <w:tabs>
        <w:tab w:val="left" w:pos="2084"/>
      </w:tabs>
      <w:ind w:left="2118" w:leftChars="808" w:hanging="420"/>
    </w:pPr>
    <w:rPr>
      <w:szCs w:val="24"/>
    </w:rPr>
  </w:style>
  <w:style w:type="paragraph" w:customStyle="1" w:styleId="288">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289">
    <w:name w:val="tableau"/>
    <w:basedOn w:val="1"/>
    <w:autoRedefine/>
    <w:qFormat/>
    <w:uiPriority w:val="0"/>
    <w:pPr>
      <w:spacing w:before="20" w:after="20"/>
      <w:jc w:val="center"/>
    </w:pPr>
    <w:rPr>
      <w:rFonts w:ascii="Arial" w:hAnsi="Arial"/>
      <w:kern w:val="0"/>
      <w:sz w:val="16"/>
      <w:szCs w:val="20"/>
      <w:lang w:val="en-GB"/>
    </w:rPr>
  </w:style>
  <w:style w:type="paragraph" w:customStyle="1" w:styleId="290">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91">
    <w:name w:val="Report Level 2"/>
    <w:basedOn w:val="197"/>
    <w:next w:val="169"/>
    <w:autoRedefine/>
    <w:qFormat/>
    <w:uiPriority w:val="0"/>
    <w:pPr>
      <w:ind w:left="0" w:firstLine="0"/>
      <w:outlineLvl w:val="1"/>
    </w:pPr>
    <w:rPr>
      <w:caps w:val="0"/>
    </w:rPr>
  </w:style>
  <w:style w:type="paragraph" w:customStyle="1" w:styleId="292">
    <w:name w:val="Body text 1"/>
    <w:basedOn w:val="258"/>
    <w:autoRedefine/>
    <w:qFormat/>
    <w:uiPriority w:val="0"/>
    <w:pPr>
      <w:tabs>
        <w:tab w:val="left" w:pos="1134"/>
      </w:tabs>
      <w:ind w:hanging="1134"/>
    </w:pPr>
  </w:style>
  <w:style w:type="character" w:customStyle="1" w:styleId="293">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294">
    <w:name w:val="Char Char1"/>
    <w:autoRedefine/>
    <w:qFormat/>
    <w:uiPriority w:val="0"/>
    <w:rPr>
      <w:rFonts w:eastAsia="宋体"/>
      <w:szCs w:val="24"/>
      <w:lang w:bidi="ar-SA"/>
    </w:rPr>
  </w:style>
  <w:style w:type="character" w:customStyle="1" w:styleId="295">
    <w:name w:val="正文文本 Char1"/>
    <w:autoRedefine/>
    <w:semiHidden/>
    <w:qFormat/>
    <w:uiPriority w:val="99"/>
    <w:rPr>
      <w:rFonts w:ascii="Times New Roman" w:hAnsi="Times New Roman" w:eastAsia="宋体" w:cs="Times New Roman"/>
      <w:kern w:val="0"/>
      <w:szCs w:val="20"/>
    </w:rPr>
  </w:style>
  <w:style w:type="character" w:customStyle="1" w:styleId="296">
    <w:name w:val="Char Char Char Char1"/>
    <w:link w:val="95"/>
    <w:autoRedefine/>
    <w:qFormat/>
    <w:uiPriority w:val="0"/>
    <w:rPr>
      <w:rFonts w:ascii="仿宋_GB2312" w:eastAsia="仿宋_GB2312"/>
      <w:b/>
      <w:kern w:val="2"/>
      <w:sz w:val="32"/>
      <w:szCs w:val="32"/>
    </w:rPr>
  </w:style>
  <w:style w:type="character" w:customStyle="1" w:styleId="297">
    <w:name w:val="prev"/>
    <w:basedOn w:val="51"/>
    <w:autoRedefine/>
    <w:qFormat/>
    <w:uiPriority w:val="0"/>
    <w:rPr>
      <w:rFonts w:hint="eastAsia" w:ascii="微软雅黑" w:hAnsi="微软雅黑" w:eastAsia="微软雅黑" w:cs="微软雅黑"/>
      <w:sz w:val="21"/>
      <w:szCs w:val="21"/>
    </w:rPr>
  </w:style>
  <w:style w:type="character" w:customStyle="1" w:styleId="298">
    <w:name w:val="Char Char12"/>
    <w:autoRedefine/>
    <w:qFormat/>
    <w:uiPriority w:val="0"/>
    <w:rPr>
      <w:rFonts w:ascii="Arial" w:hAnsi="Arial" w:eastAsia="黑体"/>
      <w:sz w:val="21"/>
      <w:szCs w:val="21"/>
      <w:lang w:val="en-US" w:eastAsia="zh-CN" w:bidi="ar-SA"/>
    </w:rPr>
  </w:style>
  <w:style w:type="character" w:customStyle="1" w:styleId="299">
    <w:name w:val="Char Char10"/>
    <w:autoRedefine/>
    <w:qFormat/>
    <w:uiPriority w:val="0"/>
    <w:rPr>
      <w:rFonts w:eastAsia="仿宋_GB2312"/>
      <w:kern w:val="2"/>
      <w:sz w:val="32"/>
      <w:szCs w:val="24"/>
      <w:lang w:val="en-US" w:eastAsia="zh-CN" w:bidi="ar-SA"/>
    </w:rPr>
  </w:style>
  <w:style w:type="character" w:customStyle="1" w:styleId="300">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1">
    <w:name w:val="redfilenumber"/>
    <w:basedOn w:val="51"/>
    <w:autoRedefine/>
    <w:qFormat/>
    <w:uiPriority w:val="0"/>
    <w:rPr>
      <w:color w:val="BA2636"/>
      <w:sz w:val="18"/>
      <w:szCs w:val="18"/>
    </w:rPr>
  </w:style>
  <w:style w:type="character" w:customStyle="1" w:styleId="302">
    <w:name w:val="明显参考1"/>
    <w:autoRedefine/>
    <w:qFormat/>
    <w:uiPriority w:val="32"/>
    <w:rPr>
      <w:b/>
      <w:bCs/>
      <w:smallCaps/>
      <w:color w:val="C0504D"/>
      <w:spacing w:val="5"/>
      <w:u w:val="single"/>
    </w:rPr>
  </w:style>
  <w:style w:type="character" w:customStyle="1" w:styleId="303">
    <w:name w:val="_Style 302"/>
    <w:unhideWhenUsed/>
    <w:qFormat/>
    <w:uiPriority w:val="99"/>
    <w:rPr>
      <w:color w:val="605E5C"/>
      <w:shd w:val="clear" w:color="auto" w:fill="E1DFDD"/>
    </w:rPr>
  </w:style>
  <w:style w:type="character" w:customStyle="1" w:styleId="304">
    <w:name w:val="正文文本缩进 3 Char1"/>
    <w:semiHidden/>
    <w:qFormat/>
    <w:uiPriority w:val="99"/>
    <w:rPr>
      <w:rFonts w:ascii="Times New Roman" w:hAnsi="Times New Roman" w:eastAsia="宋体" w:cs="Times New Roman"/>
      <w:kern w:val="0"/>
      <w:sz w:val="16"/>
      <w:szCs w:val="16"/>
    </w:rPr>
  </w:style>
  <w:style w:type="character" w:customStyle="1" w:styleId="305">
    <w:name w:val="标题 Char"/>
    <w:link w:val="47"/>
    <w:autoRedefine/>
    <w:qFormat/>
    <w:uiPriority w:val="0"/>
    <w:rPr>
      <w:rFonts w:ascii="Arial" w:hAnsi="Arial"/>
      <w:b/>
      <w:sz w:val="32"/>
    </w:rPr>
  </w:style>
  <w:style w:type="character" w:customStyle="1" w:styleId="306">
    <w:name w:val="prev1"/>
    <w:basedOn w:val="51"/>
    <w:autoRedefine/>
    <w:qFormat/>
    <w:uiPriority w:val="0"/>
    <w:rPr>
      <w:color w:val="888888"/>
    </w:rPr>
  </w:style>
  <w:style w:type="character" w:customStyle="1" w:styleId="307">
    <w:name w:val="Char Char11"/>
    <w:autoRedefine/>
    <w:qFormat/>
    <w:uiPriority w:val="0"/>
    <w:rPr>
      <w:rFonts w:eastAsia="宋体"/>
      <w:b/>
      <w:bCs/>
      <w:kern w:val="2"/>
      <w:sz w:val="21"/>
      <w:szCs w:val="24"/>
      <w:lang w:val="en-US" w:eastAsia="zh-CN" w:bidi="ar-SA"/>
    </w:rPr>
  </w:style>
  <w:style w:type="character" w:customStyle="1" w:styleId="308">
    <w:name w:val="next"/>
    <w:basedOn w:val="51"/>
    <w:autoRedefine/>
    <w:qFormat/>
    <w:uiPriority w:val="0"/>
    <w:rPr>
      <w:rFonts w:ascii="微软雅黑" w:hAnsi="微软雅黑" w:eastAsia="微软雅黑" w:cs="微软雅黑"/>
      <w:sz w:val="21"/>
      <w:szCs w:val="21"/>
    </w:rPr>
  </w:style>
  <w:style w:type="character" w:customStyle="1" w:styleId="309">
    <w:name w:val="cfdate"/>
    <w:basedOn w:val="51"/>
    <w:qFormat/>
    <w:uiPriority w:val="0"/>
    <w:rPr>
      <w:color w:val="333333"/>
      <w:sz w:val="18"/>
      <w:szCs w:val="18"/>
    </w:rPr>
  </w:style>
  <w:style w:type="character" w:customStyle="1" w:styleId="310">
    <w:name w:val="标题 5 Char"/>
    <w:link w:val="7"/>
    <w:qFormat/>
    <w:uiPriority w:val="0"/>
    <w:rPr>
      <w:b/>
      <w:bCs/>
      <w:sz w:val="28"/>
      <w:szCs w:val="28"/>
    </w:rPr>
  </w:style>
  <w:style w:type="character" w:customStyle="1" w:styleId="311">
    <w:name w:val="未处理的提及1"/>
    <w:unhideWhenUsed/>
    <w:qFormat/>
    <w:uiPriority w:val="99"/>
    <w:rPr>
      <w:color w:val="605E5C"/>
      <w:shd w:val="clear" w:color="auto" w:fill="E1DFDD"/>
    </w:rPr>
  </w:style>
  <w:style w:type="character" w:customStyle="1" w:styleId="312">
    <w:name w:val="页眉 Char"/>
    <w:link w:val="32"/>
    <w:qFormat/>
    <w:uiPriority w:val="99"/>
    <w:rPr>
      <w:kern w:val="2"/>
      <w:sz w:val="18"/>
      <w:szCs w:val="18"/>
    </w:rPr>
  </w:style>
  <w:style w:type="character" w:customStyle="1" w:styleId="313">
    <w:name w:val="标题 Char1"/>
    <w:qFormat/>
    <w:uiPriority w:val="10"/>
    <w:rPr>
      <w:rFonts w:ascii="Cambria" w:hAnsi="Cambria" w:eastAsia="宋体" w:cs="Times New Roman"/>
      <w:b/>
      <w:bCs/>
      <w:kern w:val="0"/>
      <w:sz w:val="32"/>
      <w:szCs w:val="32"/>
    </w:rPr>
  </w:style>
  <w:style w:type="character" w:customStyle="1" w:styleId="314">
    <w:name w:val="正文文本缩进 Char"/>
    <w:link w:val="21"/>
    <w:qFormat/>
    <w:uiPriority w:val="99"/>
    <w:rPr>
      <w:kern w:val="2"/>
      <w:sz w:val="21"/>
      <w:szCs w:val="24"/>
    </w:rPr>
  </w:style>
  <w:style w:type="character" w:customStyle="1" w:styleId="315">
    <w:name w:val="qxdate"/>
    <w:basedOn w:val="51"/>
    <w:qFormat/>
    <w:uiPriority w:val="0"/>
    <w:rPr>
      <w:color w:val="333333"/>
      <w:sz w:val="18"/>
      <w:szCs w:val="18"/>
    </w:rPr>
  </w:style>
  <w:style w:type="character" w:customStyle="1" w:styleId="316">
    <w:name w:val="已访问的超链接1"/>
    <w:qFormat/>
    <w:uiPriority w:val="99"/>
    <w:rPr>
      <w:color w:val="800080"/>
      <w:u w:val="single"/>
    </w:rPr>
  </w:style>
  <w:style w:type="character" w:customStyle="1" w:styleId="317">
    <w:name w:val="Char Char18"/>
    <w:qFormat/>
    <w:uiPriority w:val="0"/>
    <w:rPr>
      <w:rFonts w:eastAsia="华文细黑"/>
      <w:bCs/>
      <w:sz w:val="36"/>
      <w:szCs w:val="32"/>
      <w:lang w:val="en-US" w:eastAsia="zh-CN" w:bidi="ar-SA"/>
    </w:rPr>
  </w:style>
  <w:style w:type="character" w:customStyle="1" w:styleId="318">
    <w:name w:val="正文文本缩进 Char2"/>
    <w:semiHidden/>
    <w:qFormat/>
    <w:uiPriority w:val="99"/>
    <w:rPr>
      <w:rFonts w:ascii="Times New Roman" w:hAnsi="Times New Roman" w:eastAsia="宋体" w:cs="Times New Roman"/>
      <w:szCs w:val="24"/>
    </w:rPr>
  </w:style>
  <w:style w:type="character" w:customStyle="1" w:styleId="319">
    <w:name w:val="批注框文本 Char"/>
    <w:link w:val="30"/>
    <w:qFormat/>
    <w:uiPriority w:val="99"/>
    <w:rPr>
      <w:kern w:val="2"/>
      <w:sz w:val="18"/>
      <w:szCs w:val="18"/>
    </w:rPr>
  </w:style>
  <w:style w:type="character" w:customStyle="1" w:styleId="320">
    <w:name w:val="纯文本 Char1"/>
    <w:qFormat/>
    <w:uiPriority w:val="99"/>
    <w:rPr>
      <w:rFonts w:ascii="宋体" w:hAnsi="Courier New" w:eastAsia="宋体" w:cs="Times New Roman"/>
      <w:szCs w:val="20"/>
    </w:rPr>
  </w:style>
  <w:style w:type="character" w:customStyle="1" w:styleId="321">
    <w:name w:val="正文首行缩进 Char"/>
    <w:link w:val="89"/>
    <w:qFormat/>
    <w:uiPriority w:val="0"/>
    <w:rPr>
      <w:kern w:val="2"/>
      <w:sz w:val="21"/>
      <w:szCs w:val="24"/>
    </w:rPr>
  </w:style>
  <w:style w:type="character" w:customStyle="1" w:styleId="322">
    <w:name w:val="正文文字 Char"/>
    <w:qFormat/>
    <w:uiPriority w:val="0"/>
    <w:rPr>
      <w:rFonts w:ascii="宋体" w:eastAsia="宋体"/>
      <w:snapToGrid w:val="0"/>
      <w:color w:val="000000"/>
      <w:sz w:val="28"/>
      <w:lang w:val="en-US" w:eastAsia="zh-CN" w:bidi="ar-SA"/>
    </w:rPr>
  </w:style>
  <w:style w:type="character" w:customStyle="1" w:styleId="323">
    <w:name w:val="Char Char9"/>
    <w:qFormat/>
    <w:uiPriority w:val="0"/>
    <w:rPr>
      <w:rFonts w:ascii="宋体" w:hAnsi="宋体" w:eastAsia="宋体"/>
      <w:kern w:val="2"/>
      <w:sz w:val="24"/>
      <w:lang w:val="en-US" w:eastAsia="zh-CN" w:bidi="ar-SA"/>
    </w:rPr>
  </w:style>
  <w:style w:type="character" w:customStyle="1" w:styleId="324">
    <w:name w:val="正文文本缩进 3 Char"/>
    <w:link w:val="41"/>
    <w:qFormat/>
    <w:uiPriority w:val="0"/>
    <w:rPr>
      <w:kern w:val="2"/>
      <w:sz w:val="16"/>
      <w:szCs w:val="16"/>
    </w:rPr>
  </w:style>
  <w:style w:type="character" w:customStyle="1" w:styleId="325">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326">
    <w:name w:val="标题 6 Char"/>
    <w:link w:val="8"/>
    <w:qFormat/>
    <w:uiPriority w:val="0"/>
    <w:rPr>
      <w:rFonts w:ascii="Arial" w:hAnsi="Arial" w:eastAsia="黑体"/>
      <w:b/>
      <w:bCs/>
      <w:sz w:val="24"/>
      <w:szCs w:val="24"/>
    </w:rPr>
  </w:style>
  <w:style w:type="character" w:customStyle="1" w:styleId="327">
    <w:name w:val="日期 Char1"/>
    <w:semiHidden/>
    <w:qFormat/>
    <w:uiPriority w:val="99"/>
    <w:rPr>
      <w:rFonts w:ascii="Times New Roman" w:hAnsi="Times New Roman" w:eastAsia="宋体" w:cs="Times New Roman"/>
      <w:kern w:val="0"/>
      <w:szCs w:val="20"/>
    </w:rPr>
  </w:style>
  <w:style w:type="character" w:customStyle="1" w:styleId="328">
    <w:name w:val="Char Char6"/>
    <w:qFormat/>
    <w:uiPriority w:val="0"/>
    <w:rPr>
      <w:rFonts w:eastAsia="宋体"/>
      <w:sz w:val="18"/>
      <w:szCs w:val="18"/>
      <w:lang w:bidi="ar-SA"/>
    </w:rPr>
  </w:style>
  <w:style w:type="character" w:customStyle="1" w:styleId="329">
    <w:name w:val="尾注文本 Char"/>
    <w:link w:val="29"/>
    <w:qFormat/>
    <w:uiPriority w:val="0"/>
    <w:rPr>
      <w:rFonts w:ascii="Courier" w:hAnsi="Courier" w:eastAsia="PMingLiU"/>
      <w:snapToGrid w:val="0"/>
      <w:sz w:val="24"/>
      <w:lang w:val="en-AU" w:eastAsia="en-US"/>
    </w:rPr>
  </w:style>
  <w:style w:type="character" w:customStyle="1" w:styleId="330">
    <w:name w:val="正文文本 Char"/>
    <w:link w:val="15"/>
    <w:qFormat/>
    <w:uiPriority w:val="1"/>
    <w:rPr>
      <w:kern w:val="2"/>
      <w:sz w:val="21"/>
      <w:szCs w:val="24"/>
    </w:rPr>
  </w:style>
  <w:style w:type="character" w:customStyle="1" w:styleId="331">
    <w:name w:val="Char Char7"/>
    <w:qFormat/>
    <w:uiPriority w:val="0"/>
    <w:rPr>
      <w:rFonts w:eastAsia="宋体"/>
      <w:kern w:val="2"/>
      <w:sz w:val="18"/>
      <w:szCs w:val="18"/>
      <w:lang w:val="en-US" w:eastAsia="zh-CN" w:bidi="ar-SA"/>
    </w:rPr>
  </w:style>
  <w:style w:type="character" w:customStyle="1" w:styleId="332">
    <w:name w:val="文档结构图 Char"/>
    <w:link w:val="17"/>
    <w:qFormat/>
    <w:uiPriority w:val="99"/>
    <w:rPr>
      <w:rFonts w:ascii="宋体"/>
      <w:kern w:val="2"/>
      <w:sz w:val="18"/>
      <w:szCs w:val="18"/>
    </w:rPr>
  </w:style>
  <w:style w:type="character" w:customStyle="1" w:styleId="333">
    <w:name w:val="Char Char8"/>
    <w:qFormat/>
    <w:uiPriority w:val="0"/>
    <w:rPr>
      <w:rFonts w:ascii="宋体" w:hAnsi="宋体" w:eastAsia="宋体"/>
      <w:kern w:val="2"/>
      <w:sz w:val="21"/>
      <w:szCs w:val="24"/>
      <w:lang w:val="en-US" w:eastAsia="zh-CN" w:bidi="ar-SA"/>
    </w:rPr>
  </w:style>
  <w:style w:type="character" w:customStyle="1" w:styleId="334">
    <w:name w:val="列出段落 Char"/>
    <w:link w:val="255"/>
    <w:qFormat/>
    <w:uiPriority w:val="0"/>
    <w:rPr>
      <w:rFonts w:ascii="Calibri" w:hAnsi="Calibri"/>
      <w:kern w:val="2"/>
      <w:sz w:val="21"/>
      <w:szCs w:val="22"/>
    </w:rPr>
  </w:style>
  <w:style w:type="character" w:customStyle="1" w:styleId="335">
    <w:name w:val="尾注文本 Char1"/>
    <w:semiHidden/>
    <w:qFormat/>
    <w:uiPriority w:val="99"/>
    <w:rPr>
      <w:kern w:val="2"/>
      <w:sz w:val="21"/>
      <w:szCs w:val="24"/>
    </w:rPr>
  </w:style>
  <w:style w:type="character" w:customStyle="1" w:styleId="336">
    <w:name w:val="redfilefwwh"/>
    <w:basedOn w:val="51"/>
    <w:qFormat/>
    <w:uiPriority w:val="0"/>
    <w:rPr>
      <w:color w:val="BA2636"/>
      <w:sz w:val="18"/>
      <w:szCs w:val="18"/>
    </w:rPr>
  </w:style>
  <w:style w:type="character" w:customStyle="1" w:styleId="337">
    <w:name w:val="正文文本 2 Char"/>
    <w:link w:val="44"/>
    <w:qFormat/>
    <w:uiPriority w:val="0"/>
    <w:rPr>
      <w:rFonts w:ascii="楷体_GB2312" w:hAnsi="宋体" w:eastAsia="楷体_GB2312"/>
      <w:color w:val="000000"/>
      <w:sz w:val="21"/>
      <w:szCs w:val="21"/>
      <w:lang w:val="en-US" w:eastAsia="zh-CN"/>
    </w:rPr>
  </w:style>
  <w:style w:type="character" w:customStyle="1" w:styleId="338">
    <w:name w:val="正文文本缩进 2 Char1"/>
    <w:semiHidden/>
    <w:qFormat/>
    <w:uiPriority w:val="99"/>
    <w:rPr>
      <w:rFonts w:ascii="Times New Roman" w:hAnsi="Times New Roman" w:eastAsia="宋体" w:cs="Times New Roman"/>
      <w:kern w:val="0"/>
      <w:szCs w:val="20"/>
    </w:rPr>
  </w:style>
  <w:style w:type="character" w:customStyle="1" w:styleId="339">
    <w:name w:val="正文文本缩进 2 Char"/>
    <w:link w:val="28"/>
    <w:qFormat/>
    <w:uiPriority w:val="0"/>
    <w:rPr>
      <w:rFonts w:eastAsia="仿宋_GB2312"/>
      <w:kern w:val="2"/>
      <w:sz w:val="32"/>
      <w:szCs w:val="24"/>
    </w:rPr>
  </w:style>
  <w:style w:type="character" w:customStyle="1" w:styleId="340">
    <w:name w:val="批注文字 Char"/>
    <w:link w:val="19"/>
    <w:qFormat/>
    <w:uiPriority w:val="0"/>
    <w:rPr>
      <w:kern w:val="2"/>
      <w:sz w:val="21"/>
      <w:szCs w:val="24"/>
    </w:rPr>
  </w:style>
  <w:style w:type="character" w:customStyle="1" w:styleId="341">
    <w:name w:val="font161"/>
    <w:qFormat/>
    <w:uiPriority w:val="0"/>
    <w:rPr>
      <w:b/>
      <w:bCs/>
      <w:sz w:val="32"/>
      <w:szCs w:val="32"/>
    </w:rPr>
  </w:style>
  <w:style w:type="character" w:customStyle="1" w:styleId="342">
    <w:name w:val="样式 标题 3 + 黑色 Char"/>
    <w:link w:val="118"/>
    <w:qFormat/>
    <w:uiPriority w:val="0"/>
    <w:rPr>
      <w:color w:val="FF0000"/>
      <w:kern w:val="2"/>
      <w:sz w:val="24"/>
    </w:rPr>
  </w:style>
  <w:style w:type="character" w:customStyle="1" w:styleId="343">
    <w:name w:val="文档结构图 Char1"/>
    <w:semiHidden/>
    <w:qFormat/>
    <w:uiPriority w:val="99"/>
    <w:rPr>
      <w:rFonts w:ascii="宋体" w:hAnsi="Times New Roman" w:eastAsia="宋体" w:cs="Times New Roman"/>
      <w:kern w:val="0"/>
      <w:sz w:val="18"/>
      <w:szCs w:val="18"/>
    </w:rPr>
  </w:style>
  <w:style w:type="character" w:customStyle="1" w:styleId="344">
    <w:name w:val="批注主题 Char1"/>
    <w:semiHidden/>
    <w:qFormat/>
    <w:uiPriority w:val="99"/>
    <w:rPr>
      <w:rFonts w:ascii="Times New Roman" w:hAnsi="Times New Roman" w:eastAsia="宋体" w:cs="Times New Roman"/>
      <w:b/>
      <w:bCs/>
      <w:kern w:val="0"/>
      <w:sz w:val="21"/>
      <w:szCs w:val="20"/>
    </w:rPr>
  </w:style>
  <w:style w:type="character" w:customStyle="1" w:styleId="345">
    <w:name w:val="列表框1 Char Char"/>
    <w:link w:val="180"/>
    <w:qFormat/>
    <w:uiPriority w:val="0"/>
    <w:rPr>
      <w:rFonts w:ascii="宋体" w:hAnsi="宋体"/>
      <w:sz w:val="21"/>
      <w:szCs w:val="21"/>
    </w:rPr>
  </w:style>
  <w:style w:type="character" w:customStyle="1" w:styleId="346">
    <w:name w:val="列表框2 Char"/>
    <w:link w:val="287"/>
    <w:qFormat/>
    <w:uiPriority w:val="0"/>
    <w:rPr>
      <w:rFonts w:ascii="宋体" w:hAnsi="宋体"/>
      <w:sz w:val="21"/>
      <w:szCs w:val="24"/>
    </w:rPr>
  </w:style>
  <w:style w:type="character" w:customStyle="1" w:styleId="347">
    <w:name w:val="脚注文本 Char"/>
    <w:link w:val="38"/>
    <w:qFormat/>
    <w:uiPriority w:val="0"/>
    <w:rPr>
      <w:rFonts w:ascii="Courier" w:hAnsi="Courier" w:eastAsia="PMingLiU"/>
      <w:snapToGrid w:val="0"/>
      <w:sz w:val="24"/>
      <w:lang w:val="en-AU" w:eastAsia="en-US"/>
    </w:rPr>
  </w:style>
  <w:style w:type="character" w:customStyle="1" w:styleId="348">
    <w:name w:val="批注框文本 Char1"/>
    <w:semiHidden/>
    <w:qFormat/>
    <w:uiPriority w:val="99"/>
    <w:rPr>
      <w:rFonts w:ascii="Times New Roman" w:hAnsi="Times New Roman" w:eastAsia="宋体" w:cs="Times New Roman"/>
      <w:kern w:val="0"/>
      <w:sz w:val="18"/>
      <w:szCs w:val="18"/>
    </w:rPr>
  </w:style>
  <w:style w:type="character" w:customStyle="1" w:styleId="349">
    <w:name w:val="页脚 Char1"/>
    <w:semiHidden/>
    <w:qFormat/>
    <w:uiPriority w:val="99"/>
    <w:rPr>
      <w:rFonts w:ascii="Times New Roman" w:hAnsi="Times New Roman" w:eastAsia="宋体" w:cs="Times New Roman"/>
      <w:kern w:val="0"/>
      <w:sz w:val="18"/>
      <w:szCs w:val="18"/>
    </w:rPr>
  </w:style>
  <w:style w:type="character" w:customStyle="1" w:styleId="350">
    <w:name w:val="脚注文本 Char1"/>
    <w:semiHidden/>
    <w:qFormat/>
    <w:uiPriority w:val="99"/>
    <w:rPr>
      <w:kern w:val="2"/>
      <w:sz w:val="18"/>
      <w:szCs w:val="18"/>
    </w:rPr>
  </w:style>
  <w:style w:type="character" w:customStyle="1" w:styleId="351">
    <w:name w:val="样式4 Char"/>
    <w:link w:val="188"/>
    <w:qFormat/>
    <w:uiPriority w:val="0"/>
    <w:rPr>
      <w:rFonts w:ascii="宋体"/>
      <w:kern w:val="2"/>
      <w:sz w:val="18"/>
      <w:szCs w:val="18"/>
    </w:rPr>
  </w:style>
  <w:style w:type="character" w:customStyle="1" w:styleId="352">
    <w:name w:val="正文首行缩进 Char1"/>
    <w:semiHidden/>
    <w:qFormat/>
    <w:uiPriority w:val="99"/>
    <w:rPr>
      <w:rFonts w:ascii="Times New Roman" w:hAnsi="Times New Roman" w:eastAsia="宋体" w:cs="Times New Roman"/>
      <w:kern w:val="0"/>
      <w:szCs w:val="20"/>
    </w:rPr>
  </w:style>
  <w:style w:type="character" w:customStyle="1" w:styleId="353">
    <w:name w:val="Char Char17"/>
    <w:qFormat/>
    <w:uiPriority w:val="0"/>
    <w:rPr>
      <w:rFonts w:ascii="Arial" w:hAnsi="Arial" w:eastAsia="黑体"/>
      <w:b/>
      <w:bCs/>
      <w:sz w:val="28"/>
      <w:szCs w:val="28"/>
      <w:lang w:val="en-US" w:eastAsia="zh-CN" w:bidi="ar-SA"/>
    </w:rPr>
  </w:style>
  <w:style w:type="character" w:customStyle="1" w:styleId="354">
    <w:name w:val="标题 3 Char1"/>
    <w:qFormat/>
    <w:uiPriority w:val="0"/>
    <w:rPr>
      <w:b/>
      <w:bCs/>
      <w:sz w:val="32"/>
      <w:szCs w:val="32"/>
    </w:rPr>
  </w:style>
  <w:style w:type="character" w:customStyle="1" w:styleId="355">
    <w:name w:val="应答文本 Char Char"/>
    <w:link w:val="276"/>
    <w:qFormat/>
    <w:uiPriority w:val="0"/>
    <w:rPr>
      <w:sz w:val="21"/>
      <w:szCs w:val="21"/>
    </w:rPr>
  </w:style>
  <w:style w:type="character" w:customStyle="1" w:styleId="356">
    <w:name w:val="Char Char19"/>
    <w:qFormat/>
    <w:uiPriority w:val="0"/>
    <w:rPr>
      <w:rFonts w:ascii="华文细黑" w:hAnsi="Arial" w:eastAsia="华文细黑"/>
      <w:b/>
      <w:bCs/>
      <w:sz w:val="44"/>
      <w:szCs w:val="32"/>
      <w:lang w:val="en-US" w:eastAsia="zh-CN" w:bidi="ar-SA"/>
    </w:rPr>
  </w:style>
  <w:style w:type="character" w:customStyle="1" w:styleId="357">
    <w:name w:val="正文文本 2 Char1"/>
    <w:semiHidden/>
    <w:qFormat/>
    <w:uiPriority w:val="99"/>
    <w:rPr>
      <w:rFonts w:ascii="Times New Roman" w:hAnsi="Times New Roman" w:eastAsia="宋体" w:cs="Times New Roman"/>
      <w:kern w:val="0"/>
      <w:szCs w:val="20"/>
    </w:rPr>
  </w:style>
  <w:style w:type="character" w:customStyle="1" w:styleId="358">
    <w:name w:val="纯文本 Char"/>
    <w:link w:val="2"/>
    <w:qFormat/>
    <w:uiPriority w:val="0"/>
    <w:rPr>
      <w:rFonts w:ascii="宋体" w:hAnsi="Courier New" w:cs="Courier New"/>
      <w:kern w:val="2"/>
      <w:sz w:val="21"/>
      <w:szCs w:val="21"/>
    </w:rPr>
  </w:style>
  <w:style w:type="character" w:customStyle="1" w:styleId="359">
    <w:name w:val="表格 Char Char"/>
    <w:link w:val="70"/>
    <w:qFormat/>
    <w:uiPriority w:val="0"/>
    <w:rPr>
      <w:rFonts w:ascii="宋体" w:hAnsi="宋体"/>
      <w:kern w:val="2"/>
      <w:sz w:val="21"/>
      <w:szCs w:val="28"/>
    </w:rPr>
  </w:style>
  <w:style w:type="character" w:customStyle="1" w:styleId="360">
    <w:name w:val="批注文字 Char2"/>
    <w:qFormat/>
    <w:uiPriority w:val="0"/>
    <w:rPr>
      <w:kern w:val="2"/>
      <w:sz w:val="21"/>
      <w:szCs w:val="24"/>
    </w:rPr>
  </w:style>
  <w:style w:type="character" w:customStyle="1" w:styleId="361">
    <w:name w:val="正文文本 3 Char1"/>
    <w:semiHidden/>
    <w:qFormat/>
    <w:uiPriority w:val="99"/>
    <w:rPr>
      <w:rFonts w:ascii="Times New Roman" w:hAnsi="Times New Roman" w:eastAsia="宋体" w:cs="Times New Roman"/>
      <w:kern w:val="0"/>
      <w:sz w:val="16"/>
      <w:szCs w:val="16"/>
    </w:rPr>
  </w:style>
  <w:style w:type="character" w:customStyle="1" w:styleId="362">
    <w:name w:val="正文首行缩进 2 Char1"/>
    <w:semiHidden/>
    <w:qFormat/>
    <w:uiPriority w:val="99"/>
    <w:rPr>
      <w:kern w:val="2"/>
      <w:sz w:val="21"/>
      <w:szCs w:val="24"/>
    </w:rPr>
  </w:style>
  <w:style w:type="character" w:customStyle="1" w:styleId="363">
    <w:name w:val="标题 1 Char"/>
    <w:link w:val="3"/>
    <w:autoRedefine/>
    <w:qFormat/>
    <w:uiPriority w:val="0"/>
    <w:rPr>
      <w:b/>
      <w:bCs/>
      <w:kern w:val="44"/>
      <w:sz w:val="44"/>
      <w:szCs w:val="44"/>
    </w:rPr>
  </w:style>
  <w:style w:type="character" w:customStyle="1" w:styleId="364">
    <w:name w:val="纯文本 Char2"/>
    <w:qFormat/>
    <w:uiPriority w:val="0"/>
    <w:rPr>
      <w:rFonts w:ascii="宋体" w:hAnsi="Courier New" w:eastAsia="宋体"/>
      <w:kern w:val="2"/>
      <w:sz w:val="21"/>
      <w:lang w:val="en-US" w:eastAsia="zh-CN"/>
    </w:rPr>
  </w:style>
  <w:style w:type="character" w:customStyle="1" w:styleId="365">
    <w:name w:val="图形布置 Char"/>
    <w:link w:val="269"/>
    <w:qFormat/>
    <w:uiPriority w:val="0"/>
    <w:rPr>
      <w:rFonts w:ascii="Arial" w:hAnsi="Arial" w:cs="Arial"/>
      <w:sz w:val="21"/>
    </w:rPr>
  </w:style>
  <w:style w:type="character" w:customStyle="1" w:styleId="366">
    <w:name w:val="Report Text Char"/>
    <w:link w:val="169"/>
    <w:qFormat/>
    <w:uiPriority w:val="0"/>
    <w:rPr>
      <w:rFonts w:ascii="Arial" w:hAnsi="Arial"/>
      <w:kern w:val="28"/>
      <w:sz w:val="22"/>
    </w:rPr>
  </w:style>
  <w:style w:type="character" w:customStyle="1" w:styleId="367">
    <w:name w:val="标题 2 Char"/>
    <w:link w:val="5"/>
    <w:qFormat/>
    <w:uiPriority w:val="0"/>
    <w:rPr>
      <w:rFonts w:ascii="Arial" w:hAnsi="Arial" w:eastAsia="黑体"/>
      <w:b/>
      <w:bCs/>
      <w:kern w:val="2"/>
      <w:sz w:val="32"/>
      <w:szCs w:val="32"/>
    </w:rPr>
  </w:style>
  <w:style w:type="character" w:customStyle="1" w:styleId="368">
    <w:name w:val="日期 Char"/>
    <w:link w:val="27"/>
    <w:qFormat/>
    <w:uiPriority w:val="99"/>
    <w:rPr>
      <w:kern w:val="2"/>
      <w:sz w:val="24"/>
    </w:rPr>
  </w:style>
  <w:style w:type="character" w:customStyle="1" w:styleId="369">
    <w:name w:val="Char Char14"/>
    <w:qFormat/>
    <w:uiPriority w:val="0"/>
    <w:rPr>
      <w:rFonts w:eastAsia="宋体"/>
      <w:b/>
      <w:bCs/>
      <w:sz w:val="24"/>
      <w:szCs w:val="24"/>
      <w:lang w:val="en-US" w:eastAsia="zh-CN" w:bidi="ar-SA"/>
    </w:rPr>
  </w:style>
  <w:style w:type="character" w:customStyle="1" w:styleId="370">
    <w:name w:val="标题 4 Char"/>
    <w:link w:val="6"/>
    <w:qFormat/>
    <w:uiPriority w:val="0"/>
    <w:rPr>
      <w:rFonts w:ascii="Arial" w:hAnsi="Arial" w:eastAsia="黑体"/>
      <w:b/>
      <w:bCs/>
      <w:kern w:val="2"/>
      <w:sz w:val="28"/>
      <w:szCs w:val="28"/>
    </w:rPr>
  </w:style>
  <w:style w:type="character" w:customStyle="1" w:styleId="371">
    <w:name w:val="正文首行缩进 2 Char"/>
    <w:link w:val="241"/>
    <w:qFormat/>
    <w:uiPriority w:val="0"/>
    <w:rPr>
      <w:kern w:val="2"/>
      <w:sz w:val="21"/>
      <w:szCs w:val="24"/>
    </w:rPr>
  </w:style>
  <w:style w:type="character" w:customStyle="1" w:styleId="372">
    <w:name w:val="标题 8 Char"/>
    <w:link w:val="10"/>
    <w:qFormat/>
    <w:uiPriority w:val="0"/>
    <w:rPr>
      <w:rFonts w:ascii="Arial" w:hAnsi="Arial" w:eastAsia="黑体"/>
      <w:sz w:val="24"/>
      <w:szCs w:val="24"/>
    </w:rPr>
  </w:style>
  <w:style w:type="character" w:customStyle="1" w:styleId="373">
    <w:name w:val="图形题注 Char"/>
    <w:link w:val="242"/>
    <w:qFormat/>
    <w:uiPriority w:val="0"/>
    <w:rPr>
      <w:rFonts w:ascii="Arial" w:hAnsi="Arial" w:cs="Arial"/>
      <w:sz w:val="21"/>
    </w:rPr>
  </w:style>
  <w:style w:type="character" w:customStyle="1" w:styleId="374">
    <w:name w:val="标题 7 Char"/>
    <w:link w:val="9"/>
    <w:qFormat/>
    <w:uiPriority w:val="0"/>
    <w:rPr>
      <w:b/>
      <w:bCs/>
      <w:sz w:val="24"/>
      <w:szCs w:val="24"/>
    </w:rPr>
  </w:style>
  <w:style w:type="character" w:customStyle="1" w:styleId="375">
    <w:name w:val="无编号正文 Char"/>
    <w:link w:val="245"/>
    <w:qFormat/>
    <w:uiPriority w:val="0"/>
    <w:rPr>
      <w:rFonts w:ascii="宋体" w:hAnsi="宋体"/>
      <w:sz w:val="24"/>
      <w:szCs w:val="24"/>
    </w:rPr>
  </w:style>
  <w:style w:type="character" w:customStyle="1" w:styleId="376">
    <w:name w:val="Char Char13"/>
    <w:qFormat/>
    <w:uiPriority w:val="0"/>
    <w:rPr>
      <w:rFonts w:ascii="Arial" w:hAnsi="Arial" w:eastAsia="黑体"/>
      <w:sz w:val="24"/>
      <w:szCs w:val="24"/>
      <w:lang w:val="en-US" w:eastAsia="zh-CN" w:bidi="ar-SA"/>
    </w:rPr>
  </w:style>
  <w:style w:type="character" w:customStyle="1" w:styleId="377">
    <w:name w:val="批注文字 Char1"/>
    <w:autoRedefine/>
    <w:semiHidden/>
    <w:qFormat/>
    <w:locked/>
    <w:uiPriority w:val="0"/>
    <w:rPr>
      <w:kern w:val="2"/>
      <w:sz w:val="21"/>
      <w:szCs w:val="24"/>
    </w:rPr>
  </w:style>
  <w:style w:type="character" w:customStyle="1" w:styleId="378">
    <w:name w:val="Char Char20"/>
    <w:qFormat/>
    <w:uiPriority w:val="0"/>
    <w:rPr>
      <w:rFonts w:ascii="华文细黑" w:eastAsia="华文细黑"/>
      <w:b/>
      <w:bCs/>
      <w:snapToGrid w:val="0"/>
      <w:sz w:val="52"/>
      <w:szCs w:val="44"/>
      <w:lang w:val="en-US" w:eastAsia="zh-CN" w:bidi="ar-SA"/>
    </w:rPr>
  </w:style>
  <w:style w:type="character" w:customStyle="1" w:styleId="379">
    <w:name w:val="text"/>
    <w:qFormat/>
    <w:uiPriority w:val="0"/>
    <w:rPr>
      <w:rFonts w:ascii="仿宋_GB2312" w:eastAsia="仿宋_GB2312"/>
      <w:b/>
      <w:kern w:val="2"/>
      <w:sz w:val="32"/>
      <w:szCs w:val="32"/>
      <w:lang w:val="en-US" w:eastAsia="zh-CN" w:bidi="ar-SA"/>
    </w:rPr>
  </w:style>
  <w:style w:type="character" w:customStyle="1" w:styleId="380">
    <w:name w:val="样式 超链接 + 仿宋_GB2312 小四 加粗"/>
    <w:autoRedefine/>
    <w:qFormat/>
    <w:uiPriority w:val="0"/>
    <w:rPr>
      <w:rFonts w:ascii="仿宋_GB2312" w:hAnsi="仿宋_GB2312" w:eastAsia="黑体"/>
      <w:b/>
      <w:bCs/>
      <w:color w:val="auto"/>
      <w:sz w:val="24"/>
      <w:u w:val="none"/>
    </w:rPr>
  </w:style>
  <w:style w:type="character" w:customStyle="1" w:styleId="381">
    <w:name w:val="正文缩进 Char1"/>
    <w:qFormat/>
    <w:uiPriority w:val="0"/>
    <w:rPr>
      <w:kern w:val="2"/>
      <w:sz w:val="21"/>
    </w:rPr>
  </w:style>
  <w:style w:type="character" w:customStyle="1" w:styleId="382">
    <w:name w:val="gjfg"/>
    <w:basedOn w:val="51"/>
    <w:qFormat/>
    <w:uiPriority w:val="0"/>
  </w:style>
  <w:style w:type="character" w:customStyle="1" w:styleId="383">
    <w:name w:val="样式 表内文字"/>
    <w:autoRedefine/>
    <w:qFormat/>
    <w:uiPriority w:val="0"/>
    <w:rPr>
      <w:rFonts w:eastAsia="宋体"/>
      <w:snapToGrid/>
      <w:color w:val="000000"/>
      <w:spacing w:val="0"/>
      <w:kern w:val="0"/>
      <w:position w:val="0"/>
      <w:sz w:val="20"/>
      <w:szCs w:val="20"/>
      <w:u w:val="none"/>
    </w:rPr>
  </w:style>
  <w:style w:type="character" w:customStyle="1" w:styleId="384">
    <w:name w:val="正文文本缩进 Char1"/>
    <w:semiHidden/>
    <w:qFormat/>
    <w:uiPriority w:val="99"/>
    <w:rPr>
      <w:rFonts w:ascii="Times New Roman" w:hAnsi="Times New Roman" w:eastAsia="宋体" w:cs="Times New Roman"/>
      <w:kern w:val="0"/>
      <w:szCs w:val="20"/>
    </w:rPr>
  </w:style>
  <w:style w:type="character" w:customStyle="1" w:styleId="385">
    <w:name w:val="页脚 Char"/>
    <w:link w:val="31"/>
    <w:qFormat/>
    <w:uiPriority w:val="99"/>
    <w:rPr>
      <w:kern w:val="2"/>
      <w:sz w:val="18"/>
      <w:szCs w:val="18"/>
    </w:rPr>
  </w:style>
  <w:style w:type="character" w:customStyle="1" w:styleId="386">
    <w:name w:val="标题 1 Char1"/>
    <w:link w:val="3"/>
    <w:qFormat/>
    <w:uiPriority w:val="0"/>
    <w:rPr>
      <w:rFonts w:ascii="Times New Roman" w:hAnsi="Times New Roman" w:eastAsia="宋体" w:cs="Times New Roman"/>
      <w:b/>
      <w:bCs/>
      <w:kern w:val="44"/>
      <w:sz w:val="44"/>
      <w:szCs w:val="44"/>
    </w:rPr>
  </w:style>
  <w:style w:type="character" w:customStyle="1" w:styleId="387">
    <w:name w:val="批注主题 Char"/>
    <w:link w:val="48"/>
    <w:qFormat/>
    <w:uiPriority w:val="99"/>
    <w:rPr>
      <w:kern w:val="2"/>
      <w:sz w:val="21"/>
      <w:szCs w:val="24"/>
    </w:rPr>
  </w:style>
  <w:style w:type="character" w:customStyle="1" w:styleId="388">
    <w:name w:val="标题 9 Char"/>
    <w:link w:val="11"/>
    <w:qFormat/>
    <w:uiPriority w:val="0"/>
    <w:rPr>
      <w:rFonts w:ascii="Arial" w:hAnsi="Arial" w:eastAsia="黑体"/>
      <w:sz w:val="21"/>
      <w:szCs w:val="21"/>
    </w:rPr>
  </w:style>
  <w:style w:type="character" w:customStyle="1" w:styleId="389">
    <w:name w:val="next1"/>
    <w:basedOn w:val="51"/>
    <w:qFormat/>
    <w:uiPriority w:val="0"/>
    <w:rPr>
      <w:color w:val="888888"/>
    </w:rPr>
  </w:style>
  <w:style w:type="character" w:customStyle="1" w:styleId="390">
    <w:name w:val="页眉 Char1"/>
    <w:semiHidden/>
    <w:qFormat/>
    <w:uiPriority w:val="99"/>
    <w:rPr>
      <w:rFonts w:ascii="Times New Roman" w:hAnsi="Times New Roman" w:eastAsia="宋体" w:cs="Times New Roman"/>
      <w:kern w:val="0"/>
      <w:sz w:val="18"/>
      <w:szCs w:val="18"/>
    </w:rPr>
  </w:style>
  <w:style w:type="character" w:customStyle="1" w:styleId="391">
    <w:name w:val="displayarti"/>
    <w:basedOn w:val="51"/>
    <w:qFormat/>
    <w:uiPriority w:val="0"/>
    <w:rPr>
      <w:color w:val="FFFFFF"/>
      <w:shd w:val="clear" w:color="auto" w:fill="A00000"/>
    </w:rPr>
  </w:style>
  <w:style w:type="character" w:customStyle="1" w:styleId="392">
    <w:name w:val="Char Char16"/>
    <w:qFormat/>
    <w:uiPriority w:val="0"/>
    <w:rPr>
      <w:rFonts w:eastAsia="宋体"/>
      <w:b/>
      <w:bCs/>
      <w:sz w:val="28"/>
      <w:szCs w:val="28"/>
      <w:lang w:val="en-US" w:eastAsia="zh-CN" w:bidi="ar-SA"/>
    </w:rPr>
  </w:style>
  <w:style w:type="character" w:customStyle="1" w:styleId="393">
    <w:name w:val="三级标题康"/>
    <w:qFormat/>
    <w:uiPriority w:val="0"/>
    <w:rPr>
      <w:rFonts w:ascii="Arial" w:hAnsi="Arial" w:eastAsia="宋体" w:cs="Times New Roman"/>
      <w:b/>
      <w:bCs/>
      <w:sz w:val="21"/>
      <w:szCs w:val="32"/>
    </w:rPr>
  </w:style>
  <w:style w:type="character" w:customStyle="1" w:styleId="394">
    <w:name w:val="标题 3 字符"/>
    <w:qFormat/>
    <w:uiPriority w:val="0"/>
    <w:rPr>
      <w:rFonts w:ascii="Times New Roman" w:hAnsi="Times New Roman" w:eastAsia="宋体" w:cs="Times New Roman"/>
      <w:b/>
      <w:bCs/>
      <w:sz w:val="32"/>
      <w:szCs w:val="32"/>
    </w:rPr>
  </w:style>
  <w:style w:type="character" w:customStyle="1" w:styleId="395">
    <w:name w:val="正文缩进 Char"/>
    <w:link w:val="14"/>
    <w:qFormat/>
    <w:uiPriority w:val="0"/>
    <w:rPr>
      <w:kern w:val="2"/>
      <w:sz w:val="21"/>
      <w:szCs w:val="24"/>
    </w:rPr>
  </w:style>
  <w:style w:type="character" w:customStyle="1" w:styleId="396">
    <w:name w:val="Char Char15"/>
    <w:qFormat/>
    <w:uiPriority w:val="0"/>
    <w:rPr>
      <w:rFonts w:ascii="Arial" w:hAnsi="Arial" w:eastAsia="黑体"/>
      <w:b/>
      <w:bCs/>
      <w:sz w:val="24"/>
      <w:szCs w:val="24"/>
      <w:lang w:val="en-US" w:eastAsia="zh-CN" w:bidi="ar-SA"/>
    </w:rPr>
  </w:style>
  <w:style w:type="character" w:customStyle="1" w:styleId="397">
    <w:name w:val="正文文本 3 Char"/>
    <w:link w:val="20"/>
    <w:qFormat/>
    <w:uiPriority w:val="0"/>
    <w:rPr>
      <w:rFonts w:ascii="宋体"/>
      <w:kern w:val="2"/>
      <w:sz w:val="24"/>
    </w:rPr>
  </w:style>
  <w:style w:type="character" w:customStyle="1" w:styleId="398">
    <w:name w:val="Char Char2"/>
    <w:qFormat/>
    <w:uiPriority w:val="0"/>
    <w:rPr>
      <w:rFonts w:ascii="楷体_GB2312" w:hAnsi="宋体" w:eastAsia="楷体_GB2312"/>
      <w:color w:val="000000"/>
      <w:sz w:val="21"/>
      <w:szCs w:val="21"/>
      <w:lang w:val="en-US" w:eastAsia="zh-CN" w:bidi="ar-SA"/>
    </w:rPr>
  </w:style>
  <w:style w:type="character" w:customStyle="1" w:styleId="399">
    <w:name w:val="标题 3 Char"/>
    <w:link w:val="4"/>
    <w:qFormat/>
    <w:uiPriority w:val="0"/>
    <w:rPr>
      <w:b/>
      <w:bCs/>
      <w:kern w:val="2"/>
      <w:sz w:val="24"/>
      <w:szCs w:val="32"/>
    </w:rPr>
  </w:style>
  <w:style w:type="table" w:customStyle="1" w:styleId="400">
    <w:name w:val="Table Normal_0"/>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character" w:customStyle="1" w:styleId="401">
    <w:name w:val="fielderror"/>
    <w:basedOn w:val="51"/>
    <w:qFormat/>
    <w:uiPriority w:val="0"/>
    <w:rPr>
      <w:color w:val="800000"/>
    </w:rPr>
  </w:style>
  <w:style w:type="character" w:customStyle="1" w:styleId="402">
    <w:name w:val="hilite6"/>
    <w:basedOn w:val="51"/>
    <w:qFormat/>
    <w:uiPriority w:val="0"/>
    <w:rPr>
      <w:color w:val="000000"/>
    </w:rPr>
  </w:style>
  <w:style w:type="character" w:customStyle="1" w:styleId="403">
    <w:name w:val="active6"/>
    <w:basedOn w:val="51"/>
    <w:qFormat/>
    <w:uiPriority w:val="0"/>
    <w:rPr>
      <w:color w:val="FFFFFF"/>
    </w:rPr>
  </w:style>
  <w:style w:type="character" w:customStyle="1" w:styleId="404">
    <w:name w:val="hilite"/>
    <w:basedOn w:val="51"/>
    <w:qFormat/>
    <w:uiPriority w:val="0"/>
    <w:rPr>
      <w:color w:val="000000"/>
    </w:rPr>
  </w:style>
  <w:style w:type="character" w:customStyle="1" w:styleId="405">
    <w:name w:val="active"/>
    <w:basedOn w:val="51"/>
    <w:qFormat/>
    <w:uiPriority w:val="0"/>
    <w:rPr>
      <w:color w:val="FFFFFF"/>
    </w:rPr>
  </w:style>
  <w:style w:type="paragraph" w:customStyle="1" w:styleId="406">
    <w:name w:val="Normal_2_0"/>
    <w:qFormat/>
    <w:uiPriority w:val="0"/>
    <w:pPr>
      <w:widowControl w:val="0"/>
      <w:jc w:val="both"/>
    </w:pPr>
    <w:rPr>
      <w:rFonts w:ascii="Calibri" w:hAnsi="Calibri" w:eastAsia="等线" w:cs="Calibri"/>
      <w:kern w:val="2"/>
      <w:sz w:val="21"/>
      <w:lang w:val="en-US" w:eastAsia="zh-CN" w:bidi="ar-SA"/>
    </w:rPr>
  </w:style>
  <w:style w:type="paragraph" w:customStyle="1" w:styleId="407">
    <w:name w:val="Normal_4"/>
    <w:next w:val="408"/>
    <w:qFormat/>
    <w:uiPriority w:val="0"/>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408">
    <w:name w:val="Body Text First Indent 2_4"/>
    <w:basedOn w:val="409"/>
    <w:semiHidden/>
    <w:qFormat/>
    <w:uiPriority w:val="0"/>
    <w:pPr>
      <w:ind w:firstLine="420"/>
    </w:pPr>
  </w:style>
  <w:style w:type="paragraph" w:customStyle="1" w:styleId="409">
    <w:name w:val="Body Text Indent_4"/>
    <w:basedOn w:val="407"/>
    <w:unhideWhenUsed/>
    <w:qFormat/>
    <w:uiPriority w:val="99"/>
    <w:pPr>
      <w:spacing w:after="120"/>
      <w:ind w:left="420" w:leftChars="200"/>
    </w:pPr>
  </w:style>
  <w:style w:type="paragraph" w:customStyle="1" w:styleId="410">
    <w:name w:val="Normal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11">
    <w:name w:val="NormalCharacter"/>
    <w:semiHidden/>
    <w:qFormat/>
    <w:uiPriority w:val="0"/>
    <w:rPr>
      <w:kern w:val="2"/>
      <w:sz w:val="21"/>
      <w:szCs w:val="21"/>
      <w:lang w:val="en-US" w:eastAsia="zh-CN" w:bidi="ar-SA"/>
    </w:rPr>
  </w:style>
  <w:style w:type="character" w:customStyle="1" w:styleId="412">
    <w:name w:val="font21"/>
    <w:basedOn w:val="51"/>
    <w:qFormat/>
    <w:uiPriority w:val="0"/>
    <w:rPr>
      <w:rFonts w:hint="eastAsia" w:ascii="宋体" w:hAnsi="宋体" w:eastAsia="宋体" w:cs="宋体"/>
      <w:color w:val="000000"/>
      <w:sz w:val="24"/>
      <w:szCs w:val="24"/>
      <w:u w:val="none"/>
    </w:rPr>
  </w:style>
  <w:style w:type="character" w:customStyle="1" w:styleId="413">
    <w:name w:val="font01"/>
    <w:basedOn w:val="51"/>
    <w:qFormat/>
    <w:uiPriority w:val="0"/>
    <w:rPr>
      <w:rFonts w:hint="eastAsia" w:ascii="宋体" w:hAnsi="宋体" w:eastAsia="宋体" w:cs="宋体"/>
      <w:color w:val="FF0000"/>
      <w:sz w:val="24"/>
      <w:szCs w:val="24"/>
      <w:u w:val="none"/>
    </w:rPr>
  </w:style>
  <w:style w:type="character" w:customStyle="1" w:styleId="414">
    <w:name w:val="font41"/>
    <w:basedOn w:val="51"/>
    <w:qFormat/>
    <w:uiPriority w:val="0"/>
    <w:rPr>
      <w:rFonts w:hint="eastAsia" w:ascii="宋体" w:hAnsi="宋体" w:eastAsia="宋体" w:cs="宋体"/>
      <w:color w:val="000000"/>
      <w:sz w:val="18"/>
      <w:szCs w:val="18"/>
      <w:u w:val="none"/>
    </w:rPr>
  </w:style>
  <w:style w:type="character" w:customStyle="1" w:styleId="415">
    <w:name w:val="font61"/>
    <w:basedOn w:val="51"/>
    <w:autoRedefine/>
    <w:qFormat/>
    <w:uiPriority w:val="0"/>
    <w:rPr>
      <w:rFonts w:hint="eastAsia" w:ascii="宋体" w:hAnsi="宋体" w:eastAsia="宋体" w:cs="宋体"/>
      <w:b/>
      <w:color w:val="000000"/>
      <w:sz w:val="18"/>
      <w:szCs w:val="18"/>
      <w:u w:val="none"/>
    </w:rPr>
  </w:style>
  <w:style w:type="paragraph" w:customStyle="1" w:styleId="416">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570E2-9058-4D0E-A2A6-0ADB983321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4390</Words>
  <Characters>25023</Characters>
  <Lines>208</Lines>
  <Paragraphs>58</Paragraphs>
  <TotalTime>2</TotalTime>
  <ScaleCrop>false</ScaleCrop>
  <LinksUpToDate>false</LinksUpToDate>
  <CharactersWithSpaces>29355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2020-11-24T09:04:00Z</dcterms:created>
  <dc:creator>1</dc:creator>
  <cp:lastModifiedBy>李雷</cp:lastModifiedBy>
  <cp:lastPrinted>2023-12-19T06:59:00Z</cp:lastPrinted>
  <dcterms:modified xsi:type="dcterms:W3CDTF">2024-01-09T09:25:09Z</dcterms:modified>
  <dc:title>中华人民共和国</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AE8CAD696CCF44F4A074D13F440C331B</vt:lpwstr>
  </property>
</Properties>
</file>