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_GB2312" w:eastAsia="方正小标宋简体" w:cs="仿宋_GB2312"/>
          <w:sz w:val="44"/>
          <w:szCs w:val="44"/>
          <w:highlight w:val="none"/>
        </w:rPr>
      </w:pPr>
      <w:r>
        <w:rPr>
          <w:rFonts w:hint="eastAsia" w:ascii="仿宋_GB2312" w:hAnsi="仿宋_GB2312" w:eastAsia="仿宋_GB2312" w:cs="仿宋_GB2312"/>
          <w:kern w:val="0"/>
          <w:sz w:val="32"/>
          <w:szCs w:val="32"/>
          <w:highlight w:val="none"/>
        </w:rPr>
        <w:t xml:space="preserve">  </w:t>
      </w:r>
      <w:r>
        <w:rPr>
          <w:rFonts w:hint="eastAsia" w:ascii="方正小标宋简体" w:hAnsi="仿宋_GB2312" w:eastAsia="方正小标宋简体" w:cs="仿宋_GB2312"/>
          <w:sz w:val="44"/>
          <w:szCs w:val="44"/>
          <w:highlight w:val="none"/>
        </w:rPr>
        <w:t>三轮纯电动高压清洗机采购项目</w:t>
      </w:r>
    </w:p>
    <w:p>
      <w:pPr>
        <w:spacing w:line="560" w:lineRule="exact"/>
        <w:jc w:val="center"/>
        <w:rPr>
          <w:rFonts w:hint="eastAsia" w:ascii="方正小标宋简体" w:hAnsi="仿宋_GB2312" w:eastAsia="方正小标宋简体" w:cs="仿宋_GB2312"/>
          <w:sz w:val="44"/>
          <w:szCs w:val="44"/>
          <w:highlight w:val="none"/>
        </w:rPr>
      </w:pPr>
      <w:r>
        <w:rPr>
          <w:rFonts w:hint="eastAsia" w:ascii="方正小标宋简体" w:hAnsi="仿宋_GB2312" w:eastAsia="方正小标宋简体" w:cs="仿宋_GB2312"/>
          <w:sz w:val="44"/>
          <w:szCs w:val="44"/>
          <w:highlight w:val="none"/>
        </w:rPr>
        <w:t>遴选招标文件</w:t>
      </w:r>
    </w:p>
    <w:p>
      <w:pPr>
        <w:spacing w:line="560" w:lineRule="exact"/>
        <w:jc w:val="center"/>
        <w:rPr>
          <w:rFonts w:hint="eastAsia" w:ascii="方正小标宋简体" w:hAnsi="仿宋_GB2312" w:eastAsia="方正小标宋简体" w:cs="仿宋_GB2312"/>
          <w:sz w:val="44"/>
          <w:szCs w:val="44"/>
          <w:highlight w:val="none"/>
        </w:rPr>
      </w:pPr>
    </w:p>
    <w:tbl>
      <w:tblPr>
        <w:tblStyle w:val="12"/>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00"/>
        <w:gridCol w:w="7200"/>
      </w:tblGrid>
      <w:tr>
        <w:trPr>
          <w:trHeight w:val="510" w:hRule="atLeast"/>
          <w:tblHeader/>
          <w:jc w:val="center"/>
        </w:trPr>
        <w:tc>
          <w:tcPr>
            <w:tcW w:w="795"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序号</w:t>
            </w:r>
          </w:p>
        </w:tc>
        <w:tc>
          <w:tcPr>
            <w:tcW w:w="1500"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项目</w:t>
            </w:r>
          </w:p>
        </w:tc>
        <w:tc>
          <w:tcPr>
            <w:tcW w:w="7200" w:type="dxa"/>
            <w:tcBorders>
              <w:tl2br w:val="nil"/>
              <w:tr2bl w:val="nil"/>
            </w:tcBorders>
            <w:vAlign w:val="center"/>
          </w:tcPr>
          <w:p>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内容摘要说明</w:t>
            </w:r>
          </w:p>
        </w:tc>
      </w:tr>
      <w:tr>
        <w:trPr>
          <w:trHeight w:val="731"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项目名称</w:t>
            </w:r>
          </w:p>
        </w:tc>
        <w:tc>
          <w:tcPr>
            <w:tcW w:w="7200" w:type="dxa"/>
            <w:tcBorders>
              <w:tl2br w:val="nil"/>
              <w:tr2bl w:val="nil"/>
            </w:tcBorders>
            <w:vAlign w:val="center"/>
          </w:tcPr>
          <w:p>
            <w:pPr>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三轮纯电动高压清洗机采购项目</w:t>
            </w:r>
          </w:p>
        </w:tc>
      </w:tr>
      <w:tr>
        <w:trPr>
          <w:trHeight w:val="1932"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2</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项目概况</w:t>
            </w:r>
          </w:p>
        </w:tc>
        <w:tc>
          <w:tcPr>
            <w:tcW w:w="7200" w:type="dxa"/>
            <w:tcBorders>
              <w:tl2br w:val="nil"/>
              <w:tr2bl w:val="nil"/>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 w:val="left" w:pos="8820"/>
                <w:tab w:val="left" w:pos="9240"/>
              </w:tabs>
              <w:spacing w:line="400" w:lineRule="exact"/>
              <w:ind w:firstLine="0" w:firstLineChars="0"/>
              <w:rPr>
                <w:rFonts w:ascii="仿宋_GB2312" w:hAnsi="仿宋_GB2312" w:eastAsia="仿宋_GB2312" w:cs="仿宋_GB2312"/>
                <w:snapToGrid w:val="0"/>
                <w:sz w:val="24"/>
                <w:highlight w:val="none"/>
              </w:rPr>
            </w:pPr>
            <w:r>
              <w:rPr>
                <w:rFonts w:hint="eastAsia" w:ascii="仿宋_GB2312" w:hAnsi="仿宋_GB2312" w:eastAsia="仿宋_GB2312" w:cs="仿宋_GB2312"/>
                <w:bCs/>
                <w:snapToGrid w:val="0"/>
                <w:sz w:val="24"/>
                <w:highlight w:val="none"/>
              </w:rPr>
              <w:t>深圳市龙华环境有限公司（以下简称环境公司）主要经营城市道路清扫、保洁、垃圾</w:t>
            </w:r>
            <w:bookmarkStart w:id="0" w:name="_GoBack"/>
            <w:bookmarkEnd w:id="0"/>
            <w:r>
              <w:rPr>
                <w:rFonts w:hint="eastAsia" w:ascii="仿宋_GB2312" w:hAnsi="仿宋_GB2312" w:eastAsia="仿宋_GB2312" w:cs="仿宋_GB2312"/>
                <w:bCs/>
                <w:snapToGrid w:val="0"/>
                <w:sz w:val="24"/>
                <w:highlight w:val="none"/>
              </w:rPr>
              <w:t>收集分类、运输、处理及固体废物的治理；绿地养护、污水处理、环境监测及治理等环卫业务。根据</w:t>
            </w:r>
            <w:r>
              <w:rPr>
                <w:rFonts w:hint="eastAsia" w:ascii="仿宋_GB2312" w:hAnsi="仿宋_GB2312" w:eastAsia="仿宋_GB2312" w:cs="仿宋_GB2312"/>
                <w:bCs/>
                <w:snapToGrid w:val="0"/>
                <w:sz w:val="24"/>
                <w:highlight w:val="none"/>
                <w:lang w:val="en-US" w:eastAsia="zh-CN"/>
              </w:rPr>
              <w:t>公司相关业务</w:t>
            </w:r>
            <w:r>
              <w:rPr>
                <w:rFonts w:hint="eastAsia" w:ascii="仿宋_GB2312" w:hAnsi="仿宋_GB2312" w:eastAsia="仿宋_GB2312" w:cs="仿宋_GB2312"/>
                <w:bCs/>
                <w:snapToGrid w:val="0"/>
                <w:sz w:val="24"/>
                <w:highlight w:val="none"/>
              </w:rPr>
              <w:t>要求，环境公司拟采购20台三轮纯电动高压清洗机。</w:t>
            </w:r>
          </w:p>
        </w:tc>
      </w:tr>
      <w:tr>
        <w:trPr>
          <w:trHeight w:val="1637"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3</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招标内容</w:t>
            </w:r>
          </w:p>
        </w:tc>
        <w:tc>
          <w:tcPr>
            <w:tcW w:w="7200" w:type="dxa"/>
            <w:tcBorders>
              <w:tl2br w:val="nil"/>
              <w:tr2bl w:val="nil"/>
            </w:tcBorders>
            <w:vAlign w:val="center"/>
          </w:tcPr>
          <w:p>
            <w:pPr>
              <w:spacing w:line="40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拟确定一家满足条件的供应商，提供20台三轮纯电动高压清洗机；招标完成后，与中标单位签订采购合同，</w:t>
            </w:r>
            <w:r>
              <w:rPr>
                <w:rFonts w:hint="eastAsia" w:ascii="仿宋_GB2312" w:hAnsi="仿宋_GB2312" w:eastAsia="仿宋_GB2312" w:cs="仿宋_GB2312"/>
                <w:sz w:val="24"/>
                <w:highlight w:val="none"/>
                <w:lang w:eastAsia="zh-CN"/>
              </w:rPr>
              <w:t>2</w:t>
            </w:r>
            <w:r>
              <w:rPr>
                <w:rFonts w:hint="eastAsia" w:ascii="仿宋_GB2312" w:hAnsi="仿宋_GB2312" w:eastAsia="仿宋_GB2312" w:cs="仿宋_GB2312"/>
                <w:sz w:val="24"/>
                <w:highlight w:val="none"/>
                <w:lang w:val="en-US" w:eastAsia="zh-CN"/>
              </w:rPr>
              <w:t>0天供货</w:t>
            </w:r>
            <w:r>
              <w:rPr>
                <w:rFonts w:hint="eastAsia" w:ascii="仿宋_GB2312" w:hAnsi="仿宋_GB2312" w:eastAsia="仿宋_GB2312" w:cs="仿宋_GB2312"/>
                <w:sz w:val="24"/>
                <w:highlight w:val="none"/>
              </w:rPr>
              <w:t>完成，中标人按合同要求履约。</w:t>
            </w:r>
          </w:p>
        </w:tc>
      </w:tr>
      <w:tr>
        <w:trPr>
          <w:trHeight w:val="745"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4</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计价方式</w:t>
            </w:r>
          </w:p>
        </w:tc>
        <w:tc>
          <w:tcPr>
            <w:tcW w:w="72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z w:val="24"/>
                <w:highlight w:val="none"/>
              </w:rPr>
              <w:t>据实结算，但支付总价不高于合同价。</w:t>
            </w:r>
          </w:p>
        </w:tc>
      </w:tr>
      <w:tr>
        <w:trPr>
          <w:trHeight w:val="745"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5</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招标控制价</w:t>
            </w:r>
          </w:p>
        </w:tc>
        <w:tc>
          <w:tcPr>
            <w:tcW w:w="7200" w:type="dxa"/>
            <w:tcBorders>
              <w:tl2br w:val="nil"/>
              <w:tr2bl w:val="nil"/>
            </w:tcBorders>
            <w:vAlign w:val="center"/>
          </w:tcPr>
          <w:p>
            <w:pPr>
              <w:spacing w:line="40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招标控制价为 </w:t>
            </w:r>
            <w:r>
              <w:rPr>
                <w:rFonts w:hint="eastAsia" w:ascii="仿宋_GB2312" w:hAnsi="仿宋_GB2312" w:eastAsia="仿宋_GB2312" w:cs="仿宋_GB2312"/>
                <w:sz w:val="24"/>
                <w:highlight w:val="none"/>
                <w:lang w:val="en-US" w:eastAsia="zh-CN"/>
              </w:rPr>
              <w:t>65万</w:t>
            </w:r>
            <w:r>
              <w:rPr>
                <w:rFonts w:hint="eastAsia" w:ascii="仿宋_GB2312" w:hAnsi="仿宋_GB2312" w:eastAsia="仿宋_GB2312" w:cs="仿宋_GB2312"/>
                <w:sz w:val="24"/>
                <w:highlight w:val="none"/>
              </w:rPr>
              <w:t>元。总价超出投标控制价将导致投标无效。</w:t>
            </w:r>
          </w:p>
        </w:tc>
      </w:tr>
      <w:tr>
        <w:trPr>
          <w:trHeight w:val="616"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6</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招标方式</w:t>
            </w:r>
          </w:p>
        </w:tc>
        <w:tc>
          <w:tcPr>
            <w:tcW w:w="7200" w:type="dxa"/>
            <w:tcBorders>
              <w:tl2br w:val="nil"/>
              <w:tr2bl w:val="nil"/>
            </w:tcBorders>
            <w:vAlign w:val="center"/>
          </w:tcPr>
          <w:p>
            <w:pPr>
              <w:pStyle w:val="10"/>
              <w:widowControl/>
              <w:spacing w:line="400" w:lineRule="exact"/>
              <w:rPr>
                <w:rFonts w:ascii="仿宋_GB2312" w:hAnsi="仿宋_GB2312" w:eastAsia="仿宋_GB2312" w:cs="仿宋_GB2312"/>
                <w:snapToGrid w:val="0"/>
                <w:kern w:val="2"/>
                <w:szCs w:val="24"/>
                <w:highlight w:val="none"/>
              </w:rPr>
            </w:pPr>
            <w:r>
              <w:rPr>
                <w:rFonts w:hint="eastAsia" w:ascii="仿宋_GB2312" w:hAnsi="仿宋_GB2312" w:eastAsia="仿宋_GB2312" w:cs="仿宋_GB2312"/>
                <w:snapToGrid w:val="0"/>
                <w:kern w:val="2"/>
                <w:szCs w:val="24"/>
                <w:highlight w:val="none"/>
              </w:rPr>
              <w:t>公开招标</w:t>
            </w:r>
            <w:r>
              <w:rPr>
                <w:rFonts w:hint="eastAsia" w:ascii="仿宋_GB2312" w:hAnsi="仿宋_GB2312" w:eastAsia="仿宋_GB2312" w:cs="仿宋_GB2312"/>
                <w:kern w:val="2"/>
                <w:szCs w:val="24"/>
                <w:highlight w:val="none"/>
              </w:rPr>
              <w:t>（深圳市龙华建设发展集团有限公司</w:t>
            </w:r>
            <w:r>
              <w:rPr>
                <w:rFonts w:hint="eastAsia" w:ascii="仿宋_GB2312" w:hAnsi="仿宋_GB2312" w:eastAsia="仿宋_GB2312" w:cs="仿宋_GB2312"/>
                <w:kern w:val="2"/>
                <w:szCs w:val="24"/>
                <w:highlight w:val="none"/>
                <w:lang w:val="en-US" w:eastAsia="zh-CN"/>
              </w:rPr>
              <w:t>官网挂招标公告，有深圳市龙华环境有限公司招标小组公开遴选完成</w:t>
            </w:r>
            <w:r>
              <w:rPr>
                <w:rFonts w:hint="eastAsia" w:ascii="仿宋_GB2312" w:hAnsi="仿宋_GB2312" w:eastAsia="仿宋_GB2312" w:cs="仿宋_GB2312"/>
                <w:kern w:val="2"/>
                <w:szCs w:val="24"/>
                <w:highlight w:val="none"/>
              </w:rPr>
              <w:t>）</w:t>
            </w:r>
          </w:p>
        </w:tc>
      </w:tr>
      <w:tr>
        <w:trPr>
          <w:trHeight w:val="580"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7</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资格审查方式</w:t>
            </w:r>
          </w:p>
        </w:tc>
        <w:tc>
          <w:tcPr>
            <w:tcW w:w="72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sym w:font="Wingdings 2" w:char="00A3"/>
            </w:r>
            <w:r>
              <w:rPr>
                <w:rFonts w:hint="eastAsia" w:ascii="仿宋_GB2312" w:hAnsi="仿宋_GB2312" w:eastAsia="仿宋_GB2312" w:cs="仿宋_GB2312"/>
                <w:snapToGrid w:val="0"/>
                <w:sz w:val="24"/>
                <w:highlight w:val="none"/>
              </w:rPr>
              <w:t xml:space="preserve">投标报名    </w:t>
            </w:r>
            <w:r>
              <w:rPr>
                <w:rFonts w:hint="eastAsia" w:ascii="仿宋_GB2312" w:hAnsi="仿宋_GB2312" w:eastAsia="仿宋_GB2312" w:cs="仿宋_GB2312"/>
                <w:snapToGrid w:val="0"/>
                <w:sz w:val="24"/>
                <w:highlight w:val="none"/>
              </w:rPr>
              <w:sym w:font="Wingdings 2" w:char="00A3"/>
            </w:r>
            <w:r>
              <w:rPr>
                <w:rFonts w:hint="eastAsia" w:ascii="仿宋_GB2312" w:hAnsi="仿宋_GB2312" w:eastAsia="仿宋_GB2312" w:cs="仿宋_GB2312"/>
                <w:snapToGrid w:val="0"/>
                <w:sz w:val="24"/>
                <w:highlight w:val="none"/>
              </w:rPr>
              <w:t xml:space="preserve">资格预审     </w:t>
            </w:r>
            <w:r>
              <w:rPr>
                <w:rFonts w:hint="eastAsia" w:ascii="仿宋_GB2312" w:hAnsi="仿宋_GB2312" w:eastAsia="仿宋_GB2312" w:cs="仿宋_GB2312"/>
                <w:snapToGrid w:val="0"/>
                <w:sz w:val="24"/>
                <w:highlight w:val="none"/>
              </w:rPr>
              <w:sym w:font="Wingdings 2" w:char="0052"/>
            </w:r>
            <w:r>
              <w:rPr>
                <w:rFonts w:hint="eastAsia" w:ascii="仿宋_GB2312" w:hAnsi="仿宋_GB2312" w:eastAsia="仿宋_GB2312" w:cs="仿宋_GB2312"/>
                <w:snapToGrid w:val="0"/>
                <w:sz w:val="24"/>
                <w:highlight w:val="none"/>
              </w:rPr>
              <w:t>资格后审</w:t>
            </w:r>
          </w:p>
        </w:tc>
      </w:tr>
      <w:tr>
        <w:trPr>
          <w:trHeight w:val="517"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8</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投标人资格要求</w:t>
            </w:r>
          </w:p>
        </w:tc>
        <w:tc>
          <w:tcPr>
            <w:tcW w:w="7200" w:type="dxa"/>
            <w:tcBorders>
              <w:tl2br w:val="nil"/>
              <w:tr2bl w:val="nil"/>
            </w:tcBorders>
            <w:vAlign w:val="center"/>
          </w:tcPr>
          <w:p>
            <w:pPr>
              <w:pStyle w:val="6"/>
              <w:rPr>
                <w:rFonts w:hint="eastAsia" w:ascii="仿宋_GB2312" w:hAnsi="仿宋_GB2312" w:eastAsia="仿宋_GB2312" w:cs="仿宋_GB2312"/>
                <w:bCs/>
                <w:snapToGrid w:val="0"/>
                <w:sz w:val="24"/>
                <w:highlight w:val="none"/>
                <w:u w:val="none"/>
                <w:lang w:val="en-US" w:eastAsia="zh-CN"/>
              </w:rPr>
            </w:pPr>
            <w:r>
              <w:rPr>
                <w:rFonts w:hint="eastAsia" w:ascii="仿宋_GB2312" w:hAnsi="仿宋_GB2312" w:eastAsia="仿宋_GB2312" w:cs="仿宋_GB2312"/>
                <w:bCs/>
                <w:snapToGrid w:val="0"/>
                <w:sz w:val="24"/>
                <w:highlight w:val="none"/>
              </w:rPr>
              <w:t>1.投标人必须</w:t>
            </w:r>
            <w:r>
              <w:rPr>
                <w:rFonts w:hint="eastAsia" w:ascii="仿宋_GB2312" w:hAnsi="仿宋_GB2312" w:eastAsia="仿宋_GB2312" w:cs="仿宋_GB2312"/>
                <w:bCs/>
                <w:snapToGrid w:val="0"/>
                <w:sz w:val="24"/>
                <w:highlight w:val="none"/>
                <w:lang w:val="en-US" w:eastAsia="zh-CN"/>
              </w:rPr>
              <w:t>是中华人民共和国境内注册的独立法人机构，</w:t>
            </w:r>
          </w:p>
          <w:p>
            <w:pPr>
              <w:pStyle w:val="6"/>
              <w:rPr>
                <w:rFonts w:hint="eastAsia"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rPr>
              <w:t>需提供《营业执照》复印件等。</w:t>
            </w:r>
          </w:p>
          <w:p>
            <w:pPr>
              <w:numPr>
                <w:ilvl w:val="0"/>
                <w:numId w:val="1"/>
              </w:numPr>
              <w:spacing w:line="400" w:lineRule="exact"/>
              <w:jc w:val="left"/>
              <w:rPr>
                <w:rFonts w:hint="eastAsia" w:ascii="仿宋_GB2312" w:hAnsi="仿宋_GB2312" w:eastAsia="仿宋_GB2312" w:cs="仿宋_GB2312"/>
                <w:bCs/>
                <w:snapToGrid w:val="0"/>
                <w:sz w:val="24"/>
                <w:highlight w:val="none"/>
              </w:rPr>
            </w:pPr>
            <w:r>
              <w:rPr>
                <w:rFonts w:hint="eastAsia" w:ascii="仿宋_GB2312" w:hAnsi="仿宋_GB2312" w:eastAsia="仿宋_GB2312" w:cs="仿宋_GB2312"/>
                <w:bCs/>
                <w:snapToGrid w:val="0"/>
                <w:sz w:val="24"/>
                <w:highlight w:val="none"/>
              </w:rPr>
              <w:t>同一公司总公司只能有一家分支机构参与投标，且总公司不能与下属的分支机构同时参与投标。                                                                     3.本项目不接受联合体投标，不接受转包分包。</w:t>
            </w:r>
          </w:p>
          <w:p>
            <w:pPr>
              <w:pStyle w:val="2"/>
              <w:numPr>
                <w:ilvl w:val="-1"/>
                <w:numId w:val="0"/>
              </w:numPr>
              <w:rPr>
                <w:rFonts w:hint="default" w:ascii="仿宋_GB2312" w:hAnsi="仿宋_GB2312" w:eastAsia="仿宋_GB2312" w:cs="仿宋_GB2312"/>
                <w:bCs/>
                <w:snapToGrid w:val="0"/>
                <w:sz w:val="24"/>
                <w:highlight w:val="none"/>
                <w:lang w:val="en-US" w:eastAsia="zh-CN"/>
              </w:rPr>
            </w:pPr>
            <w:r>
              <w:rPr>
                <w:rFonts w:hint="eastAsia" w:ascii="仿宋_GB2312" w:hAnsi="仿宋_GB2312" w:eastAsia="仿宋_GB2312" w:cs="仿宋_GB2312"/>
                <w:bCs/>
                <w:snapToGrid w:val="0"/>
                <w:sz w:val="24"/>
                <w:highlight w:val="none"/>
                <w:lang w:val="en-US" w:eastAsia="zh-CN"/>
              </w:rPr>
              <w:t>4、投标人在参与政府采购活动中出现诚信相关问题且在相关主管部门处理措施期限内的不得参与投标。投标人须提供相关证明材料扫描件并加盖投标人公章。</w:t>
            </w:r>
          </w:p>
        </w:tc>
      </w:tr>
      <w:tr>
        <w:trPr>
          <w:trHeight w:val="203"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9</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p>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资格后审方式</w:t>
            </w:r>
          </w:p>
        </w:tc>
        <w:tc>
          <w:tcPr>
            <w:tcW w:w="7200" w:type="dxa"/>
            <w:tcBorders>
              <w:tl2br w:val="nil"/>
              <w:tr2bl w:val="nil"/>
            </w:tcBorders>
            <w:vAlign w:val="center"/>
          </w:tcPr>
          <w:p>
            <w:pPr>
              <w:pStyle w:val="10"/>
              <w:widowControl/>
              <w:spacing w:line="400" w:lineRule="exact"/>
              <w:rPr>
                <w:rFonts w:ascii="仿宋_GB2312" w:hAnsi="仿宋_GB2312" w:eastAsia="仿宋_GB2312" w:cs="仿宋_GB2312"/>
                <w:b/>
                <w:snapToGrid w:val="0"/>
                <w:kern w:val="2"/>
                <w:szCs w:val="24"/>
                <w:highlight w:val="none"/>
              </w:rPr>
            </w:pPr>
            <w:r>
              <w:rPr>
                <w:rFonts w:hint="eastAsia" w:ascii="仿宋_GB2312" w:hAnsi="仿宋_GB2312" w:eastAsia="仿宋_GB2312" w:cs="仿宋_GB2312"/>
                <w:bCs/>
                <w:snapToGrid w:val="0"/>
                <w:kern w:val="2"/>
                <w:szCs w:val="24"/>
                <w:highlight w:val="none"/>
              </w:rPr>
              <w:t>组建评审委员会对投标单位按照《资格审查表》和《符合性审查表》部分进行审查，评审委员会对投标单位打√为通过审查，打×为未通过审查。</w:t>
            </w:r>
          </w:p>
        </w:tc>
      </w:tr>
      <w:tr>
        <w:trPr>
          <w:trHeight w:val="954"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10</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评定标方式</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评标方法为综合评分法</w:t>
            </w:r>
          </w:p>
        </w:tc>
      </w:tr>
      <w:tr>
        <w:trPr>
          <w:trHeight w:val="645" w:hRule="atLeast"/>
          <w:jc w:val="center"/>
        </w:trPr>
        <w:tc>
          <w:tcPr>
            <w:tcW w:w="795" w:type="dxa"/>
            <w:tcBorders>
              <w:tl2br w:val="nil"/>
              <w:tr2bl w:val="nil"/>
            </w:tcBorders>
            <w:vAlign w:val="center"/>
          </w:tcPr>
          <w:p>
            <w:pPr>
              <w:spacing w:line="400" w:lineRule="exact"/>
              <w:ind w:firstLine="120" w:firstLineChars="50"/>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11</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投标担保</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不提供</w:t>
            </w:r>
          </w:p>
        </w:tc>
      </w:tr>
      <w:tr>
        <w:trPr>
          <w:trHeight w:val="740"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12</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履约担保</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不提供</w:t>
            </w:r>
          </w:p>
        </w:tc>
      </w:tr>
      <w:tr>
        <w:trPr>
          <w:trHeight w:val="90"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13</w:t>
            </w:r>
          </w:p>
        </w:tc>
        <w:tc>
          <w:tcPr>
            <w:tcW w:w="15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合同款支付</w:t>
            </w:r>
          </w:p>
        </w:tc>
        <w:tc>
          <w:tcPr>
            <w:tcW w:w="7200" w:type="dxa"/>
            <w:tcBorders>
              <w:tl2br w:val="nil"/>
              <w:tr2bl w:val="nil"/>
            </w:tcBorders>
            <w:vAlign w:val="center"/>
          </w:tcPr>
          <w:p>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bCs/>
                <w:snapToGrid w:val="0"/>
                <w:sz w:val="24"/>
                <w:highlight w:val="none"/>
              </w:rPr>
              <w:t>合同签订生效后，按</w:t>
            </w:r>
            <w:r>
              <w:rPr>
                <w:rFonts w:hint="eastAsia" w:ascii="仿宋_GB2312" w:hAnsi="仿宋_GB2312" w:eastAsia="仿宋_GB2312" w:cs="仿宋_GB2312"/>
                <w:bCs/>
                <w:snapToGrid w:val="0"/>
                <w:sz w:val="24"/>
                <w:highlight w:val="none"/>
                <w:lang w:val="en-US" w:eastAsia="zh-CN"/>
              </w:rPr>
              <w:t>深圳市城管局的要求进行喷绘</w:t>
            </w:r>
            <w:r>
              <w:rPr>
                <w:rFonts w:hint="eastAsia" w:ascii="仿宋_GB2312" w:hAnsi="仿宋_GB2312" w:eastAsia="仿宋_GB2312" w:cs="仿宋_GB2312"/>
                <w:bCs/>
                <w:snapToGrid w:val="0"/>
                <w:sz w:val="24"/>
                <w:highlight w:val="none"/>
              </w:rPr>
              <w:t>，</w:t>
            </w:r>
            <w:r>
              <w:rPr>
                <w:rFonts w:hint="eastAsia" w:ascii="仿宋_GB2312" w:hAnsi="仿宋_GB2312" w:eastAsia="仿宋_GB2312" w:cs="仿宋_GB2312"/>
                <w:bCs/>
                <w:snapToGrid w:val="0"/>
                <w:sz w:val="24"/>
                <w:highlight w:val="none"/>
                <w:lang w:val="en-US" w:eastAsia="zh-CN"/>
              </w:rPr>
              <w:t>合同款</w:t>
            </w:r>
            <w:r>
              <w:rPr>
                <w:rFonts w:hint="eastAsia" w:ascii="仿宋_GB2312" w:hAnsi="仿宋_GB2312" w:eastAsia="仿宋_GB2312" w:cs="仿宋_GB2312"/>
                <w:bCs/>
                <w:snapToGrid w:val="0"/>
                <w:sz w:val="24"/>
                <w:highlight w:val="none"/>
              </w:rPr>
              <w:t>按合同约定进行支付。</w:t>
            </w:r>
          </w:p>
        </w:tc>
      </w:tr>
      <w:tr>
        <w:trPr>
          <w:trHeight w:val="682" w:hRule="atLeast"/>
          <w:jc w:val="center"/>
        </w:trPr>
        <w:tc>
          <w:tcPr>
            <w:tcW w:w="795"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14</w:t>
            </w:r>
          </w:p>
        </w:tc>
        <w:tc>
          <w:tcPr>
            <w:tcW w:w="1500" w:type="dxa"/>
            <w:tcBorders>
              <w:tl2br w:val="nil"/>
              <w:tr2bl w:val="nil"/>
            </w:tcBorders>
            <w:vAlign w:val="center"/>
          </w:tcPr>
          <w:p>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评标细则</w:t>
            </w:r>
          </w:p>
        </w:tc>
        <w:tc>
          <w:tcPr>
            <w:tcW w:w="7200" w:type="dxa"/>
            <w:tcBorders>
              <w:tl2br w:val="nil"/>
              <w:tr2bl w:val="nil"/>
            </w:tcBorders>
            <w:vAlign w:val="center"/>
          </w:tcPr>
          <w:p>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详见下表（评分细则）</w:t>
            </w:r>
          </w:p>
        </w:tc>
      </w:tr>
    </w:tbl>
    <w:p>
      <w:pPr>
        <w:rPr>
          <w:highlight w:val="none"/>
        </w:rPr>
      </w:pPr>
    </w:p>
    <w:tbl>
      <w:tblPr>
        <w:tblStyle w:val="12"/>
        <w:tblpPr w:leftFromText="180" w:rightFromText="180" w:vertAnchor="text" w:horzAnchor="page" w:tblpXSpec="center" w:tblpY="301"/>
        <w:tblOverlap w:val="never"/>
        <w:tblW w:w="95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04"/>
        <w:gridCol w:w="757"/>
        <w:gridCol w:w="5035"/>
        <w:gridCol w:w="1736"/>
      </w:tblGrid>
      <w:tr>
        <w:trPr>
          <w:trHeight w:val="590" w:hRule="atLeast"/>
          <w:tblHeader/>
          <w:tblCellSpacing w:w="0" w:type="dxa"/>
          <w:jc w:val="center"/>
        </w:trPr>
        <w:tc>
          <w:tcPr>
            <w:tcW w:w="7783" w:type="dxa"/>
            <w:gridSpan w:val="4"/>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评分项及评分规则</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权重</w:t>
            </w:r>
          </w:p>
        </w:tc>
      </w:tr>
      <w:tr>
        <w:trPr>
          <w:trHeight w:val="522" w:hRule="atLeast"/>
          <w:tblCellSpacing w:w="0" w:type="dxa"/>
          <w:jc w:val="center"/>
        </w:trPr>
        <w:tc>
          <w:tcPr>
            <w:tcW w:w="7783" w:type="dxa"/>
            <w:gridSpan w:val="4"/>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一、价格部分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rPr>
              <w:t>40分</w:t>
            </w:r>
          </w:p>
        </w:tc>
      </w:tr>
      <w:tr>
        <w:trPr>
          <w:trHeight w:val="1351" w:hRule="atLeast"/>
          <w:tblCellSpacing w:w="0" w:type="dxa"/>
          <w:jc w:val="center"/>
        </w:trPr>
        <w:tc>
          <w:tcPr>
            <w:tcW w:w="7783" w:type="dxa"/>
            <w:gridSpan w:val="4"/>
            <w:vAlign w:val="center"/>
          </w:tcPr>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采用低价优先法计算,即满足招标文件要求且投标价格最低的有效投标报价为评标基准价,其价格分为满分。其他投标人的价格分统一按照下列公式计算：</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价格分=[1-（投标报价-最低价）/最低价]×价格权重×100，当价格分＜0 时，取 0。</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按公式计算</w:t>
            </w:r>
          </w:p>
        </w:tc>
      </w:tr>
      <w:tr>
        <w:trPr>
          <w:trHeight w:val="553" w:hRule="atLeast"/>
          <w:tblCellSpacing w:w="0" w:type="dxa"/>
          <w:jc w:val="center"/>
        </w:trPr>
        <w:tc>
          <w:tcPr>
            <w:tcW w:w="7783" w:type="dxa"/>
            <w:gridSpan w:val="4"/>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lang w:val="zh-CN"/>
              </w:rPr>
              <w:t>二、</w:t>
            </w:r>
            <w:r>
              <w:rPr>
                <w:rFonts w:hint="eastAsia" w:ascii="仿宋_GB2312" w:hAnsi="仿宋_GB2312" w:eastAsia="仿宋_GB2312" w:cs="仿宋_GB2312"/>
                <w:b/>
                <w:snapToGrid w:val="0"/>
                <w:color w:val="auto"/>
                <w:sz w:val="24"/>
                <w:highlight w:val="none"/>
              </w:rPr>
              <w:t>商务</w:t>
            </w:r>
            <w:r>
              <w:rPr>
                <w:rFonts w:hint="eastAsia" w:ascii="仿宋_GB2312" w:hAnsi="仿宋_GB2312" w:eastAsia="仿宋_GB2312" w:cs="仿宋_GB2312"/>
                <w:b/>
                <w:snapToGrid w:val="0"/>
                <w:color w:val="auto"/>
                <w:sz w:val="24"/>
                <w:highlight w:val="none"/>
                <w:lang w:val="zh-CN"/>
              </w:rPr>
              <w:t>部分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rPr>
              <w:t xml:space="preserve">  35分</w:t>
            </w:r>
          </w:p>
        </w:tc>
      </w:tr>
      <w:tr>
        <w:trPr>
          <w:trHeight w:val="720"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序号</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内容</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权重</w:t>
            </w:r>
          </w:p>
        </w:tc>
        <w:tc>
          <w:tcPr>
            <w:tcW w:w="5035"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评分规则</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综合评分法</w:t>
            </w:r>
          </w:p>
        </w:tc>
      </w:tr>
      <w:tr>
        <w:trPr>
          <w:trHeight w:val="1746"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rPr>
              <w:t>1</w:t>
            </w:r>
          </w:p>
        </w:tc>
        <w:tc>
          <w:tcPr>
            <w:tcW w:w="1404" w:type="dxa"/>
            <w:vAlign w:val="center"/>
          </w:tcPr>
          <w:p>
            <w:pPr>
              <w:spacing w:line="400" w:lineRule="exact"/>
              <w:jc w:val="center"/>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企业综合实力</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5分</w:t>
            </w:r>
          </w:p>
        </w:tc>
        <w:tc>
          <w:tcPr>
            <w:tcW w:w="5035" w:type="dxa"/>
            <w:vAlign w:val="center"/>
          </w:tcPr>
          <w:p>
            <w:pPr>
              <w:numPr>
                <w:ilvl w:val="0"/>
                <w:numId w:val="2"/>
              </w:numPr>
              <w:spacing w:line="400" w:lineRule="exact"/>
              <w:rPr>
                <w:color w:val="auto"/>
                <w:highlight w:val="none"/>
              </w:rPr>
            </w:pPr>
            <w:r>
              <w:rPr>
                <w:rFonts w:hint="eastAsia" w:ascii="仿宋_GB2312" w:hAnsi="仿宋_GB2312" w:eastAsia="仿宋_GB2312" w:cs="仿宋_GB2312"/>
                <w:bCs/>
                <w:snapToGrid w:val="0"/>
                <w:color w:val="auto"/>
                <w:sz w:val="24"/>
                <w:highlight w:val="none"/>
              </w:rPr>
              <w:t>评审内容</w:t>
            </w:r>
          </w:p>
          <w:p>
            <w:pPr>
              <w:pStyle w:val="2"/>
              <w:numPr>
                <w:ilvl w:val="0"/>
                <w:numId w:val="3"/>
              </w:numPr>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投标企业通过：IOS质量管理体系认证、环境管理体系认证、职业健康安全管理体系认证，以上证书全部提供得3分；（须提供清晰扫描件附于投标文件并加盖投标人的公章，否则不得分）</w:t>
            </w:r>
          </w:p>
          <w:p>
            <w:pPr>
              <w:pStyle w:val="2"/>
              <w:numPr>
                <w:ilvl w:val="0"/>
                <w:numId w:val="3"/>
              </w:numPr>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投标企业具有工信部新能源专用车生产资质的得2分；（须提供工信部公告截图及名单截图附于招标文件并加盖投标人的公章，否则不得分）</w:t>
            </w:r>
          </w:p>
          <w:p>
            <w:pPr>
              <w:pStyle w:val="2"/>
              <w:numPr>
                <w:ilvl w:val="0"/>
                <w:numId w:val="3"/>
              </w:numPr>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投标人具有有效的五星级售后服务认证证书得2分，没有不得分。（须提供清晰扫描件附于投标文件并加盖投标人的公章，否则不得分）</w:t>
            </w:r>
          </w:p>
          <w:p>
            <w:pPr>
              <w:pStyle w:val="2"/>
              <w:numPr>
                <w:ilvl w:val="0"/>
                <w:numId w:val="3"/>
              </w:numP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以上三项可同时得分，最高得5分，未提供不得分。</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（二）评分依据</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投标人须提供带公章的证明文件。</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trPr>
          <w:trHeight w:val="2926" w:hRule="atLeast"/>
          <w:tblCellSpacing w:w="0" w:type="dxa"/>
          <w:jc w:val="center"/>
        </w:trPr>
        <w:tc>
          <w:tcPr>
            <w:tcW w:w="587" w:type="dxa"/>
            <w:vAlign w:val="center"/>
          </w:tcPr>
          <w:p>
            <w:pPr>
              <w:spacing w:line="400" w:lineRule="exact"/>
              <w:jc w:val="center"/>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2</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同类</w:t>
            </w:r>
            <w:r>
              <w:rPr>
                <w:rFonts w:hint="eastAsia" w:ascii="仿宋_GB2312" w:hAnsi="仿宋_GB2312" w:eastAsia="仿宋_GB2312" w:cs="仿宋_GB2312"/>
                <w:bCs/>
                <w:snapToGrid w:val="0"/>
                <w:color w:val="auto"/>
                <w:sz w:val="24"/>
                <w:highlight w:val="none"/>
              </w:rPr>
              <w:t>业绩</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10分</w:t>
            </w:r>
          </w:p>
        </w:tc>
        <w:tc>
          <w:tcPr>
            <w:tcW w:w="5035" w:type="dxa"/>
          </w:tcPr>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（一）评审内容</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考察投标人公司202</w:t>
            </w:r>
            <w:r>
              <w:rPr>
                <w:rFonts w:hint="eastAsia" w:ascii="仿宋_GB2312" w:hAnsi="仿宋_GB2312" w:eastAsia="仿宋_GB2312" w:cs="仿宋_GB2312"/>
                <w:bCs/>
                <w:snapToGrid w:val="0"/>
                <w:color w:val="auto"/>
                <w:sz w:val="24"/>
                <w:highlight w:val="none"/>
                <w:lang w:val="en-US" w:eastAsia="zh-CN"/>
              </w:rPr>
              <w:t>1</w:t>
            </w:r>
            <w:r>
              <w:rPr>
                <w:rFonts w:hint="eastAsia" w:ascii="仿宋_GB2312" w:hAnsi="仿宋_GB2312" w:eastAsia="仿宋_GB2312" w:cs="仿宋_GB2312"/>
                <w:bCs/>
                <w:snapToGrid w:val="0"/>
                <w:color w:val="auto"/>
                <w:sz w:val="24"/>
                <w:highlight w:val="none"/>
              </w:rPr>
              <w:t>年1月1日至本项目投标截止之日止（以合同签订时间为准），投标人</w:t>
            </w:r>
            <w:r>
              <w:rPr>
                <w:rFonts w:hint="eastAsia" w:ascii="仿宋_GB2312" w:hAnsi="仿宋_GB2312" w:eastAsia="仿宋_GB2312" w:cs="仿宋_GB2312"/>
                <w:bCs/>
                <w:snapToGrid w:val="0"/>
                <w:color w:val="auto"/>
                <w:sz w:val="24"/>
                <w:highlight w:val="none"/>
                <w:lang w:val="en-US" w:eastAsia="zh-CN"/>
              </w:rPr>
              <w:t>有同类纯电动三轮高压清洗机项目业绩的</w:t>
            </w:r>
            <w:r>
              <w:rPr>
                <w:rFonts w:hint="eastAsia" w:ascii="仿宋_GB2312" w:hAnsi="仿宋_GB2312" w:eastAsia="仿宋_GB2312" w:cs="仿宋_GB2312"/>
                <w:bCs/>
                <w:snapToGrid w:val="0"/>
                <w:color w:val="auto"/>
                <w:sz w:val="24"/>
                <w:highlight w:val="none"/>
              </w:rPr>
              <w:t>，每提供1个项目得1分，最高得10分。</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证明材料：</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合同关键页（需体现采购的内容、合同签订时间、甲乙双方盖章页）；</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（二）评分依据：</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提供项目合同关键页和发票扫描件。同一项目续签合同的不重复计分。未提供或提供不清晰导致专家无法判断的不得分。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评委打分</w:t>
            </w:r>
          </w:p>
        </w:tc>
      </w:tr>
      <w:tr>
        <w:trPr>
          <w:trHeight w:val="1052"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3</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售后服务网点</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 xml:space="preserve"> 10分</w:t>
            </w:r>
          </w:p>
        </w:tc>
        <w:tc>
          <w:tcPr>
            <w:tcW w:w="5035" w:type="dxa"/>
          </w:tcPr>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（一）评审内容</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1、投标人在深圳</w:t>
            </w:r>
            <w:r>
              <w:rPr>
                <w:rFonts w:hint="eastAsia" w:ascii="仿宋_GB2312" w:hAnsi="仿宋_GB2312" w:eastAsia="仿宋_GB2312" w:cs="仿宋_GB2312"/>
                <w:bCs/>
                <w:snapToGrid w:val="0"/>
                <w:color w:val="auto"/>
                <w:sz w:val="24"/>
                <w:highlight w:val="none"/>
                <w:lang w:val="en-US" w:eastAsia="zh-CN"/>
              </w:rPr>
              <w:t>市龙华区大浪街道</w:t>
            </w:r>
            <w:r>
              <w:rPr>
                <w:rFonts w:hint="eastAsia" w:ascii="仿宋_GB2312" w:hAnsi="仿宋_GB2312" w:eastAsia="仿宋_GB2312" w:cs="仿宋_GB2312"/>
                <w:bCs/>
                <w:snapToGrid w:val="0"/>
                <w:color w:val="auto"/>
                <w:sz w:val="24"/>
                <w:highlight w:val="none"/>
              </w:rPr>
              <w:t>范围内设有能提供本项目售后服务</w:t>
            </w:r>
            <w:r>
              <w:rPr>
                <w:rFonts w:hint="eastAsia" w:ascii="仿宋_GB2312" w:hAnsi="仿宋_GB2312" w:eastAsia="仿宋_GB2312" w:cs="仿宋_GB2312"/>
                <w:bCs/>
                <w:snapToGrid w:val="0"/>
                <w:color w:val="auto"/>
                <w:sz w:val="24"/>
                <w:highlight w:val="none"/>
                <w:lang w:val="en-US" w:eastAsia="zh-CN"/>
              </w:rPr>
              <w:t>的网点或者</w:t>
            </w:r>
            <w:r>
              <w:rPr>
                <w:rFonts w:hint="eastAsia" w:ascii="仿宋_GB2312" w:hAnsi="仿宋_GB2312" w:eastAsia="仿宋_GB2312" w:cs="仿宋_GB2312"/>
                <w:bCs/>
                <w:snapToGrid w:val="0"/>
                <w:color w:val="auto"/>
                <w:sz w:val="24"/>
                <w:highlight w:val="none"/>
              </w:rPr>
              <w:t>分公司等合法注册的分支机构）的，得10分；</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2、投标人注册地在</w:t>
            </w:r>
            <w:r>
              <w:rPr>
                <w:rFonts w:hint="eastAsia" w:ascii="仿宋_GB2312" w:hAnsi="仿宋_GB2312" w:eastAsia="仿宋_GB2312" w:cs="仿宋_GB2312"/>
                <w:bCs/>
                <w:snapToGrid w:val="0"/>
                <w:color w:val="auto"/>
                <w:sz w:val="24"/>
                <w:highlight w:val="none"/>
                <w:lang w:val="en-US" w:eastAsia="zh-CN"/>
              </w:rPr>
              <w:t>龙华区内</w:t>
            </w:r>
            <w:r>
              <w:rPr>
                <w:rFonts w:hint="eastAsia" w:ascii="仿宋_GB2312" w:hAnsi="仿宋_GB2312" w:eastAsia="仿宋_GB2312" w:cs="仿宋_GB2312"/>
                <w:bCs/>
                <w:snapToGrid w:val="0"/>
                <w:color w:val="auto"/>
                <w:sz w:val="24"/>
                <w:highlight w:val="none"/>
              </w:rPr>
              <w:t>或在</w:t>
            </w:r>
            <w:r>
              <w:rPr>
                <w:rFonts w:hint="eastAsia" w:ascii="仿宋_GB2312" w:hAnsi="仿宋_GB2312" w:eastAsia="仿宋_GB2312" w:cs="仿宋_GB2312"/>
                <w:bCs/>
                <w:snapToGrid w:val="0"/>
                <w:color w:val="auto"/>
                <w:sz w:val="24"/>
                <w:highlight w:val="none"/>
                <w:lang w:val="en-US" w:eastAsia="zh-CN"/>
              </w:rPr>
              <w:t>龙华区</w:t>
            </w:r>
            <w:r>
              <w:rPr>
                <w:rFonts w:hint="eastAsia" w:ascii="仿宋_GB2312" w:hAnsi="仿宋_GB2312" w:eastAsia="仿宋_GB2312" w:cs="仿宋_GB2312"/>
                <w:bCs/>
                <w:snapToGrid w:val="0"/>
                <w:color w:val="auto"/>
                <w:sz w:val="24"/>
                <w:highlight w:val="none"/>
              </w:rPr>
              <w:t>范围内设有能提供本项目售后服务的分公司等合法注册的分支机构的，得5分；</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3、投标人</w:t>
            </w:r>
            <w:r>
              <w:rPr>
                <w:rFonts w:hint="eastAsia" w:ascii="仿宋_GB2312" w:hAnsi="仿宋_GB2312" w:eastAsia="仿宋_GB2312" w:cs="仿宋_GB2312"/>
                <w:bCs/>
                <w:snapToGrid w:val="0"/>
                <w:color w:val="auto"/>
                <w:sz w:val="24"/>
                <w:highlight w:val="none"/>
                <w:lang w:val="en-US" w:eastAsia="zh-CN"/>
              </w:rPr>
              <w:t>在龙华区外有维修服务点的</w:t>
            </w:r>
            <w:r>
              <w:rPr>
                <w:rFonts w:hint="eastAsia" w:ascii="仿宋_GB2312" w:hAnsi="仿宋_GB2312" w:eastAsia="仿宋_GB2312" w:cs="仿宋_GB2312"/>
                <w:bCs/>
                <w:snapToGrid w:val="0"/>
                <w:color w:val="auto"/>
                <w:sz w:val="24"/>
                <w:highlight w:val="none"/>
              </w:rPr>
              <w:t>，得3分。</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4.其他不得分。</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不可累计得分，本项最高得10分</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（二）评分依据：</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投标人如果是自有的服务场所，需提供自有产权证明；投标人如果是租赁的服务场所，需提供租赁凭证。承诺中标后在深圳市内设立服务场所，需提供符合评分内容要求的承诺函，不提供或提供不清晰导致专家无法判断的不得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trPr>
          <w:trHeight w:val="603"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4</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ascii="仿宋_GB2312" w:hAnsi="仿宋_GB2312" w:eastAsia="仿宋_GB2312" w:cs="仿宋_GB2312"/>
                <w:bCs/>
                <w:snapToGrid w:val="0"/>
                <w:color w:val="auto"/>
                <w:sz w:val="24"/>
                <w:highlight w:val="none"/>
              </w:rPr>
              <w:t>技术规格偏离情况</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10分</w:t>
            </w:r>
          </w:p>
        </w:tc>
        <w:tc>
          <w:tcPr>
            <w:tcW w:w="5035" w:type="dxa"/>
          </w:tcPr>
          <w:p>
            <w:pPr>
              <w:numPr>
                <w:ilvl w:val="0"/>
                <w:numId w:val="4"/>
              </w:num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评审内容：</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尺寸：≤2900*1150*1800mm</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★蓄电池：60V/240AH 锂电池</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充电时长：≤6小时</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续航里程：≥20km</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电机：额度输出功率≥1.2kw，额定电压60V</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电动机转速：≥1600r/min</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★水箱容量：≥500L</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水箱材质：304不锈钢</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外壳材质：304不锈钢</w:t>
            </w:r>
          </w:p>
          <w:p>
            <w:pPr>
              <w:spacing w:line="400" w:lineRule="exac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rPr>
              <w:t>★</w:t>
            </w:r>
            <w:r>
              <w:rPr>
                <w:rFonts w:hint="eastAsia" w:ascii="仿宋_GB2312" w:hAnsi="仿宋_GB2312" w:eastAsia="仿宋_GB2312" w:cs="仿宋_GB2312"/>
                <w:bCs/>
                <w:snapToGrid w:val="0"/>
                <w:color w:val="auto"/>
                <w:sz w:val="24"/>
                <w:highlight w:val="none"/>
                <w:lang w:val="en-US" w:eastAsia="zh-CN"/>
              </w:rPr>
              <w:t>水</w:t>
            </w:r>
            <w:r>
              <w:rPr>
                <w:rFonts w:hint="eastAsia" w:ascii="仿宋_GB2312" w:hAnsi="仿宋_GB2312" w:eastAsia="仿宋_GB2312" w:cs="仿宋_GB2312"/>
                <w:bCs/>
                <w:snapToGrid w:val="0"/>
                <w:color w:val="auto"/>
                <w:sz w:val="24"/>
                <w:highlight w:val="none"/>
              </w:rPr>
              <w:t>泵：</w:t>
            </w:r>
            <w:r>
              <w:rPr>
                <w:rFonts w:hint="eastAsia" w:ascii="仿宋_GB2312" w:hAnsi="仿宋_GB2312" w:eastAsia="仿宋_GB2312" w:cs="仿宋_GB2312"/>
                <w:bCs/>
                <w:snapToGrid w:val="0"/>
                <w:color w:val="auto"/>
                <w:sz w:val="24"/>
                <w:highlight w:val="none"/>
                <w:lang w:val="en-US" w:eastAsia="zh-CN"/>
              </w:rPr>
              <w:t>≥3000W</w:t>
            </w:r>
          </w:p>
          <w:p>
            <w:pPr>
              <w:pStyle w:val="2"/>
              <w:rPr>
                <w:rFonts w:hint="default"/>
                <w:color w:val="auto"/>
                <w:highlight w:val="none"/>
                <w:lang w:val="en-US" w:eastAsia="zh-CN"/>
              </w:rPr>
            </w:pPr>
            <w:r>
              <w:rPr>
                <w:rFonts w:hint="eastAsia" w:ascii="仿宋_GB2312" w:hAnsi="仿宋_GB2312" w:eastAsia="仿宋_GB2312" w:cs="仿宋_GB2312"/>
                <w:bCs/>
                <w:snapToGrid w:val="0"/>
                <w:color w:val="auto"/>
                <w:sz w:val="24"/>
                <w:highlight w:val="none"/>
              </w:rPr>
              <w:t>★</w:t>
            </w:r>
            <w:r>
              <w:rPr>
                <w:rFonts w:hint="eastAsia" w:ascii="仿宋_GB2312" w:hAnsi="仿宋_GB2312" w:eastAsia="仿宋_GB2312" w:cs="仿宋_GB2312"/>
                <w:bCs/>
                <w:snapToGrid w:val="0"/>
                <w:color w:val="auto"/>
                <w:sz w:val="24"/>
                <w:highlight w:val="none"/>
                <w:lang w:val="en-US" w:eastAsia="zh-CN"/>
              </w:rPr>
              <w:t>连续作业时间：≥5小时</w:t>
            </w:r>
          </w:p>
          <w:p>
            <w:pPr>
              <w:spacing w:line="400" w:lineRule="exac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★需配置出厂整车加装雨棚、喷漆。</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（二）评分依据：</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要求对项目具体技术要求进行逐条响应，评审委员会根据响应情况进行打分，一般参数每负偏离一项扣1分，扣完为止，正偏离不加分</w:t>
            </w:r>
            <w:r>
              <w:rPr>
                <w:rFonts w:hint="eastAsia" w:ascii="仿宋_GB2312" w:hAnsi="仿宋_GB2312" w:eastAsia="仿宋_GB2312" w:cs="仿宋_GB2312"/>
                <w:bCs/>
                <w:snapToGrid w:val="0"/>
                <w:color w:val="auto"/>
                <w:sz w:val="24"/>
                <w:highlight w:val="none"/>
                <w:lang w:val="en-US" w:eastAsia="zh-CN"/>
              </w:rPr>
              <w:t>带</w:t>
            </w:r>
            <w:r>
              <w:rPr>
                <w:rFonts w:hint="eastAsia" w:ascii="仿宋_GB2312" w:hAnsi="仿宋_GB2312" w:eastAsia="仿宋_GB2312" w:cs="仿宋_GB2312"/>
                <w:bCs/>
                <w:snapToGrid w:val="0"/>
                <w:color w:val="auto"/>
                <w:sz w:val="24"/>
                <w:highlight w:val="none"/>
              </w:rPr>
              <w:t>★</w:t>
            </w:r>
            <w:r>
              <w:rPr>
                <w:rFonts w:hint="eastAsia" w:ascii="仿宋_GB2312" w:hAnsi="仿宋_GB2312" w:eastAsia="仿宋_GB2312" w:cs="仿宋_GB2312"/>
                <w:bCs/>
                <w:snapToGrid w:val="0"/>
                <w:color w:val="auto"/>
                <w:sz w:val="24"/>
                <w:highlight w:val="none"/>
                <w:lang w:val="en-US" w:eastAsia="zh-CN"/>
              </w:rPr>
              <w:t>的为必须满足的偏离项，有一项不满足的得0分。</w:t>
            </w:r>
            <w:r>
              <w:rPr>
                <w:rFonts w:hint="eastAsia" w:ascii="仿宋_GB2312" w:hAnsi="仿宋_GB2312" w:eastAsia="仿宋_GB2312" w:cs="仿宋_GB2312"/>
                <w:bCs/>
                <w:snapToGrid w:val="0"/>
                <w:color w:val="auto"/>
                <w:sz w:val="24"/>
                <w:highlight w:val="none"/>
              </w:rPr>
              <w:t>各项要求全部满足的得10分。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trPr>
          <w:trHeight w:val="440" w:hRule="atLeast"/>
          <w:tblCellSpacing w:w="0" w:type="dxa"/>
          <w:jc w:val="center"/>
        </w:trPr>
        <w:tc>
          <w:tcPr>
            <w:tcW w:w="7783" w:type="dxa"/>
            <w:gridSpan w:val="4"/>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lang w:val="zh-CN"/>
              </w:rPr>
              <w:t>三、</w:t>
            </w:r>
            <w:r>
              <w:rPr>
                <w:rFonts w:hint="eastAsia" w:ascii="仿宋_GB2312" w:hAnsi="仿宋_GB2312" w:eastAsia="仿宋_GB2312" w:cs="仿宋_GB2312"/>
                <w:b/>
                <w:snapToGrid w:val="0"/>
                <w:color w:val="auto"/>
                <w:sz w:val="24"/>
                <w:highlight w:val="none"/>
              </w:rPr>
              <w:t>技术</w:t>
            </w:r>
            <w:r>
              <w:rPr>
                <w:rFonts w:hint="eastAsia" w:ascii="仿宋_GB2312" w:hAnsi="仿宋_GB2312" w:eastAsia="仿宋_GB2312" w:cs="仿宋_GB2312"/>
                <w:b/>
                <w:snapToGrid w:val="0"/>
                <w:color w:val="auto"/>
                <w:sz w:val="24"/>
                <w:highlight w:val="none"/>
                <w:lang w:val="zh-CN"/>
              </w:rPr>
              <w:t>部分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rPr>
              <w:t>25分</w:t>
            </w:r>
          </w:p>
        </w:tc>
      </w:tr>
      <w:tr>
        <w:trPr>
          <w:trHeight w:val="1561"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w:t>
            </w:r>
          </w:p>
        </w:tc>
        <w:tc>
          <w:tcPr>
            <w:tcW w:w="1404"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总体服务方案</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12分</w:t>
            </w:r>
          </w:p>
        </w:tc>
        <w:tc>
          <w:tcPr>
            <w:tcW w:w="5035" w:type="dxa"/>
            <w:vAlign w:val="center"/>
          </w:tcPr>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（一）评审内容</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投标人针对本项目制订的项目实施方案包括但不限于：</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1.供货</w:t>
            </w:r>
            <w:r>
              <w:rPr>
                <w:rFonts w:hint="eastAsia" w:ascii="仿宋_GB2312" w:hAnsi="仿宋_GB2312" w:eastAsia="仿宋_GB2312" w:cs="仿宋_GB2312"/>
                <w:bCs/>
                <w:snapToGrid w:val="0"/>
                <w:color w:val="auto"/>
                <w:sz w:val="24"/>
                <w:highlight w:val="none"/>
                <w:lang w:val="en-US" w:eastAsia="zh-CN"/>
              </w:rPr>
              <w:t>配送计划时间安排</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rPr>
              <w:t>.</w:t>
            </w:r>
            <w:r>
              <w:rPr>
                <w:rFonts w:hint="eastAsia" w:ascii="仿宋_GB2312" w:hAnsi="仿宋_GB2312" w:eastAsia="仿宋_GB2312" w:cs="仿宋_GB2312"/>
                <w:bCs/>
                <w:snapToGrid w:val="0"/>
                <w:color w:val="auto"/>
                <w:sz w:val="24"/>
                <w:highlight w:val="none"/>
                <w:lang w:val="en-US" w:eastAsia="zh-CN"/>
              </w:rPr>
              <w:t>配送及售后</w:t>
            </w:r>
            <w:r>
              <w:rPr>
                <w:rFonts w:hint="eastAsia" w:ascii="仿宋_GB2312" w:hAnsi="仿宋_GB2312" w:eastAsia="仿宋_GB2312" w:cs="仿宋_GB2312"/>
                <w:bCs/>
                <w:snapToGrid w:val="0"/>
                <w:color w:val="auto"/>
                <w:sz w:val="24"/>
                <w:highlight w:val="none"/>
              </w:rPr>
              <w:t>人员安排</w:t>
            </w:r>
          </w:p>
          <w:p>
            <w:pPr>
              <w:pStyle w:val="2"/>
              <w:rPr>
                <w:color w:val="auto"/>
                <w:highlight w:val="none"/>
              </w:rPr>
            </w:pPr>
            <w:r>
              <w:rPr>
                <w:rFonts w:hint="eastAsia" w:ascii="仿宋_GB2312" w:hAnsi="仿宋_GB2312" w:eastAsia="仿宋_GB2312" w:cs="仿宋_GB2312"/>
                <w:bCs/>
                <w:snapToGrid w:val="0"/>
                <w:color w:val="auto"/>
                <w:sz w:val="24"/>
                <w:highlight w:val="none"/>
                <w:lang w:val="en-US" w:eastAsia="zh-CN"/>
              </w:rPr>
              <w:t>3</w:t>
            </w:r>
            <w:r>
              <w:rPr>
                <w:rFonts w:hint="eastAsia" w:ascii="仿宋_GB2312" w:hAnsi="仿宋_GB2312" w:eastAsia="仿宋_GB2312" w:cs="仿宋_GB2312"/>
                <w:bCs/>
                <w:snapToGrid w:val="0"/>
                <w:color w:val="auto"/>
                <w:sz w:val="24"/>
                <w:highlight w:val="none"/>
              </w:rPr>
              <w:t>.</w:t>
            </w:r>
            <w:r>
              <w:rPr>
                <w:rFonts w:hint="eastAsia" w:ascii="仿宋_GB2312" w:hAnsi="仿宋_GB2312" w:eastAsia="仿宋_GB2312" w:cs="仿宋_GB2312"/>
                <w:bCs/>
                <w:snapToGrid w:val="0"/>
                <w:color w:val="auto"/>
                <w:sz w:val="24"/>
                <w:highlight w:val="none"/>
                <w:lang w:val="en-US" w:eastAsia="zh-CN"/>
              </w:rPr>
              <w:t>供货安全及质量保障措施</w:t>
            </w:r>
          </w:p>
          <w:p>
            <w:pPr>
              <w:spacing w:line="400" w:lineRule="exact"/>
              <w:jc w:val="left"/>
              <w:rPr>
                <w:rFonts w:hint="eastAsia" w:ascii="仿宋_GB2312" w:hAnsi="仿宋_GB2312" w:eastAsia="仿宋_GB2312" w:cs="仿宋_GB2312"/>
                <w:bCs/>
                <w:snapToGrid w:val="0"/>
                <w:color w:val="auto"/>
                <w:sz w:val="24"/>
                <w:highlight w:val="none"/>
              </w:rPr>
            </w:pP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优良中差评分标准：</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（1）投标文件响应内容全面；</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（2）投标文件响应内容具体；</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（3）投标文件响应内容针对性强；</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（二）评分依据</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满足以上三项要求的评价为优，得12分。</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满足以上二项要求的评价为良，得8分。</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满足以上一项要求的评价为中，得</w:t>
            </w:r>
            <w:r>
              <w:rPr>
                <w:rFonts w:hint="eastAsia" w:ascii="仿宋_GB2312" w:hAnsi="仿宋_GB2312" w:eastAsia="仿宋_GB2312" w:cs="仿宋_GB2312"/>
                <w:bCs/>
                <w:snapToGrid w:val="0"/>
                <w:color w:val="auto"/>
                <w:sz w:val="24"/>
                <w:highlight w:val="none"/>
                <w:lang w:val="en-US" w:eastAsia="zh-CN"/>
              </w:rPr>
              <w:t>4</w:t>
            </w:r>
            <w:r>
              <w:rPr>
                <w:rFonts w:hint="eastAsia" w:ascii="仿宋_GB2312" w:hAnsi="仿宋_GB2312" w:eastAsia="仿宋_GB2312" w:cs="仿宋_GB2312"/>
                <w:bCs/>
                <w:snapToGrid w:val="0"/>
                <w:color w:val="auto"/>
                <w:sz w:val="24"/>
                <w:highlight w:val="none"/>
              </w:rPr>
              <w:t>分。</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其它情况的评价为差，不得分。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trPr>
          <w:trHeight w:val="3556"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2</w:t>
            </w:r>
          </w:p>
        </w:tc>
        <w:tc>
          <w:tcPr>
            <w:tcW w:w="1404" w:type="dxa"/>
            <w:vAlign w:val="center"/>
          </w:tcPr>
          <w:p>
            <w:pPr>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售后服务方案</w:t>
            </w:r>
          </w:p>
        </w:tc>
        <w:tc>
          <w:tcPr>
            <w:tcW w:w="757" w:type="dxa"/>
            <w:vAlign w:val="center"/>
          </w:tcPr>
          <w:p>
            <w:pPr>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8分</w:t>
            </w:r>
          </w:p>
        </w:tc>
        <w:tc>
          <w:tcPr>
            <w:tcW w:w="5035" w:type="dxa"/>
            <w:vAlign w:val="center"/>
          </w:tcPr>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（一）评审标准</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投标人针对本项目制订的售后服务包含但不限于售后服务实施方案、应急处理方案。</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1.有售后服务承诺书；</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2.技术培训方案、售后服务内容、售前售中售后服务方案内容详细；</w:t>
            </w:r>
          </w:p>
          <w:p>
            <w:pPr>
              <w:spacing w:line="400" w:lineRule="exact"/>
              <w:jc w:val="lef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3.质保期内外售后优惠条件详细可行；</w:t>
            </w:r>
          </w:p>
          <w:p>
            <w:pPr>
              <w:pStyle w:val="2"/>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4.产品退换货流程；</w:t>
            </w:r>
          </w:p>
          <w:p>
            <w:pPr>
              <w:pStyle w:val="2"/>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5</w:t>
            </w:r>
            <w:r>
              <w:rPr>
                <w:rFonts w:hint="eastAsia" w:ascii="仿宋_GB2312" w:hAnsi="仿宋_GB2312" w:eastAsia="仿宋_GB2312" w:cs="仿宋_GB2312"/>
                <w:bCs/>
                <w:snapToGrid w:val="0"/>
                <w:color w:val="auto"/>
                <w:sz w:val="24"/>
                <w:highlight w:val="none"/>
              </w:rPr>
              <w:t>.售后服务流程、售后服务规范；</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6</w:t>
            </w:r>
            <w:r>
              <w:rPr>
                <w:rFonts w:hint="eastAsia" w:ascii="仿宋_GB2312" w:hAnsi="仿宋_GB2312" w:eastAsia="仿宋_GB2312" w:cs="仿宋_GB2312"/>
                <w:bCs/>
                <w:snapToGrid w:val="0"/>
                <w:color w:val="auto"/>
                <w:sz w:val="24"/>
                <w:highlight w:val="none"/>
              </w:rPr>
              <w:t>.设备在使用过程中，若发生故障或损坏等问题，厂方维修人员在接到通知时起，能够30分钟内做出响应，24小时内产品问题解决</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（二）评分依据</w:t>
            </w:r>
          </w:p>
          <w:p>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根据投标人提供的售后服务方案进行分档评分，满足以上</w:t>
            </w:r>
            <w:r>
              <w:rPr>
                <w:rFonts w:hint="eastAsia" w:ascii="仿宋_GB2312" w:hAnsi="仿宋_GB2312" w:eastAsia="仿宋_GB2312" w:cs="仿宋_GB2312"/>
                <w:bCs/>
                <w:snapToGrid w:val="0"/>
                <w:color w:val="auto"/>
                <w:sz w:val="24"/>
                <w:highlight w:val="none"/>
                <w:lang w:val="en-US" w:eastAsia="zh-CN"/>
              </w:rPr>
              <w:t>六</w:t>
            </w:r>
            <w:r>
              <w:rPr>
                <w:rFonts w:hint="eastAsia" w:ascii="仿宋_GB2312" w:hAnsi="仿宋_GB2312" w:eastAsia="仿宋_GB2312" w:cs="仿宋_GB2312"/>
                <w:bCs/>
                <w:snapToGrid w:val="0"/>
                <w:color w:val="auto"/>
                <w:sz w:val="24"/>
                <w:highlight w:val="none"/>
              </w:rPr>
              <w:t>项得8分，满足以上四项得 6分，满足以上三项得4分，其他不得分。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评委打分</w:t>
            </w:r>
          </w:p>
        </w:tc>
      </w:tr>
      <w:tr>
        <w:trPr>
          <w:trHeight w:val="765" w:hRule="atLeast"/>
          <w:tblCellSpacing w:w="0" w:type="dxa"/>
          <w:jc w:val="center"/>
        </w:trPr>
        <w:tc>
          <w:tcPr>
            <w:tcW w:w="58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3</w:t>
            </w:r>
          </w:p>
        </w:tc>
        <w:tc>
          <w:tcPr>
            <w:tcW w:w="1404" w:type="dxa"/>
            <w:vAlign w:val="center"/>
          </w:tcPr>
          <w:p>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企业类型</w:t>
            </w:r>
          </w:p>
        </w:tc>
        <w:tc>
          <w:tcPr>
            <w:tcW w:w="757" w:type="dxa"/>
            <w:vAlign w:val="center"/>
          </w:tcPr>
          <w:p>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5分</w:t>
            </w:r>
          </w:p>
        </w:tc>
        <w:tc>
          <w:tcPr>
            <w:tcW w:w="5035" w:type="dxa"/>
            <w:vAlign w:val="center"/>
          </w:tcPr>
          <w:p>
            <w:pPr>
              <w:spacing w:line="400" w:lineRule="exact"/>
              <w:ind w:left="480" w:hanging="480" w:hangingChars="200"/>
              <w:jc w:val="lef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企业为生产制造商的</w:t>
            </w:r>
            <w:r>
              <w:rPr>
                <w:rFonts w:hint="eastAsia" w:ascii="仿宋_GB2312" w:hAnsi="仿宋_GB2312" w:eastAsia="仿宋_GB2312" w:cs="仿宋_GB2312"/>
                <w:bCs/>
                <w:snapToGrid w:val="0"/>
                <w:color w:val="auto"/>
                <w:sz w:val="24"/>
                <w:highlight w:val="none"/>
              </w:rPr>
              <w:t>，得5分</w:t>
            </w:r>
            <w:r>
              <w:rPr>
                <w:rFonts w:hint="eastAsia" w:ascii="仿宋_GB2312" w:hAnsi="仿宋_GB2312" w:eastAsia="仿宋_GB2312" w:cs="仿宋_GB2312"/>
                <w:bCs/>
                <w:snapToGrid w:val="0"/>
                <w:color w:val="auto"/>
                <w:sz w:val="24"/>
                <w:highlight w:val="none"/>
                <w:lang w:eastAsia="zh-CN"/>
              </w:rPr>
              <w:t>；</w:t>
            </w:r>
          </w:p>
          <w:p>
            <w:pPr>
              <w:spacing w:line="400" w:lineRule="exact"/>
              <w:ind w:left="480" w:hanging="480" w:hanging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企业为代理经销商的，得2分。</w:t>
            </w:r>
          </w:p>
        </w:tc>
        <w:tc>
          <w:tcPr>
            <w:tcW w:w="1736" w:type="dxa"/>
            <w:vAlign w:val="center"/>
          </w:tcPr>
          <w:p>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bl>
    <w:p>
      <w:pPr>
        <w:jc w:val="center"/>
        <w:rPr>
          <w:rFonts w:ascii="方正小标宋简体" w:hAnsi="仿宋_GB2312" w:eastAsia="方正小标宋简体" w:cs="仿宋_GB2312"/>
          <w:sz w:val="44"/>
          <w:szCs w:val="4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panose1 w:val="020B0503020204020204"/>
    <w:charset w:val="86"/>
    <w:family w:val="auto"/>
    <w:pitch w:val="default"/>
    <w:sig w:usb0="80000287" w:usb1="2A0F3C52"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3698D"/>
    <w:multiLevelType w:val="singleLevel"/>
    <w:tmpl w:val="9F33698D"/>
    <w:lvl w:ilvl="0" w:tentative="0">
      <w:start w:val="2"/>
      <w:numFmt w:val="decimal"/>
      <w:lvlText w:val="%1."/>
      <w:lvlJc w:val="left"/>
      <w:pPr>
        <w:tabs>
          <w:tab w:val="left" w:pos="312"/>
        </w:tabs>
      </w:pPr>
    </w:lvl>
  </w:abstractNum>
  <w:abstractNum w:abstractNumId="1">
    <w:nsid w:val="A0D9B417"/>
    <w:multiLevelType w:val="singleLevel"/>
    <w:tmpl w:val="A0D9B417"/>
    <w:lvl w:ilvl="0" w:tentative="0">
      <w:start w:val="1"/>
      <w:numFmt w:val="chineseCounting"/>
      <w:suff w:val="nothing"/>
      <w:lvlText w:val="（%1）"/>
      <w:lvlJc w:val="left"/>
      <w:rPr>
        <w:rFonts w:hint="eastAsia"/>
      </w:rPr>
    </w:lvl>
  </w:abstractNum>
  <w:abstractNum w:abstractNumId="2">
    <w:nsid w:val="C6428C4A"/>
    <w:multiLevelType w:val="singleLevel"/>
    <w:tmpl w:val="C6428C4A"/>
    <w:lvl w:ilvl="0" w:tentative="0">
      <w:start w:val="1"/>
      <w:numFmt w:val="decimal"/>
      <w:suff w:val="nothing"/>
      <w:lvlText w:val="%1、"/>
      <w:lvlJc w:val="left"/>
    </w:lvl>
  </w:abstractNum>
  <w:abstractNum w:abstractNumId="3">
    <w:nsid w:val="50BBC186"/>
    <w:multiLevelType w:val="singleLevel"/>
    <w:tmpl w:val="50BBC186"/>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removePersonalInformation/>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4OTIxZDhjNzdkODA0NjcyNGE0NDM1ZDM1YzIwMTMifQ=="/>
  </w:docVars>
  <w:rsids>
    <w:rsidRoot w:val="03DA5FD8"/>
    <w:rsid w:val="00065A75"/>
    <w:rsid w:val="000816E2"/>
    <w:rsid w:val="00122C85"/>
    <w:rsid w:val="001C3B62"/>
    <w:rsid w:val="002A735A"/>
    <w:rsid w:val="006038F2"/>
    <w:rsid w:val="007C02E4"/>
    <w:rsid w:val="00B26E33"/>
    <w:rsid w:val="00CE4013"/>
    <w:rsid w:val="00EB507E"/>
    <w:rsid w:val="00F3728A"/>
    <w:rsid w:val="00FE3D39"/>
    <w:rsid w:val="03DA5FD8"/>
    <w:rsid w:val="06936826"/>
    <w:rsid w:val="07FB4E2D"/>
    <w:rsid w:val="16B94831"/>
    <w:rsid w:val="19F50CA1"/>
    <w:rsid w:val="1F3E4310"/>
    <w:rsid w:val="269B6219"/>
    <w:rsid w:val="285E0D94"/>
    <w:rsid w:val="292F72C5"/>
    <w:rsid w:val="2AC450FA"/>
    <w:rsid w:val="2C0C6D59"/>
    <w:rsid w:val="2FFC7808"/>
    <w:rsid w:val="39455658"/>
    <w:rsid w:val="3C284C42"/>
    <w:rsid w:val="411B1238"/>
    <w:rsid w:val="411C3143"/>
    <w:rsid w:val="4B1A6391"/>
    <w:rsid w:val="4D453A21"/>
    <w:rsid w:val="4D9C5D37"/>
    <w:rsid w:val="505C355C"/>
    <w:rsid w:val="532D2ADB"/>
    <w:rsid w:val="556F6555"/>
    <w:rsid w:val="5DBB2822"/>
    <w:rsid w:val="5E132C94"/>
    <w:rsid w:val="5E3727A3"/>
    <w:rsid w:val="6B2E74D5"/>
    <w:rsid w:val="6CE34991"/>
    <w:rsid w:val="6E2A65EF"/>
    <w:rsid w:val="72EF7716"/>
    <w:rsid w:val="786646C8"/>
    <w:rsid w:val="7BFE1978"/>
    <w:rsid w:val="FFF5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jc w:val="center"/>
      <w:outlineLvl w:val="0"/>
    </w:pPr>
    <w:rPr>
      <w:rFonts w:eastAsia="黑体"/>
      <w:bCs/>
      <w:kern w:val="44"/>
      <w:sz w:val="36"/>
      <w:szCs w:val="36"/>
    </w:rPr>
  </w:style>
  <w:style w:type="paragraph" w:styleId="4">
    <w:name w:val="heading 3"/>
    <w:basedOn w:val="5"/>
    <w:next w:val="1"/>
    <w:unhideWhenUsed/>
    <w:qFormat/>
    <w:uiPriority w:val="0"/>
    <w:pPr>
      <w:outlineLvl w:val="2"/>
    </w:pPr>
    <w:rPr>
      <w:rFonts w:ascii="Calibri" w:hAnsi="Calibri" w:eastAsia="宋体"/>
      <w:sz w:val="32"/>
    </w:rPr>
  </w:style>
  <w:style w:type="paragraph" w:styleId="5">
    <w:name w:val="heading 4"/>
    <w:basedOn w:val="1"/>
    <w:next w:val="1"/>
    <w:unhideWhenUsed/>
    <w:qFormat/>
    <w:uiPriority w:val="0"/>
    <w:pPr>
      <w:keepNext/>
      <w:keepLines/>
      <w:outlineLvl w:val="3"/>
    </w:pPr>
    <w:rPr>
      <w:rFonts w:ascii="Arial" w:hAnsi="Arial" w:eastAsia="黑体" w:cs="Times New Roman"/>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18"/>
    <w:qFormat/>
    <w:uiPriority w:val="0"/>
    <w:pPr>
      <w:jc w:val="left"/>
    </w:pPr>
  </w:style>
  <w:style w:type="paragraph" w:styleId="7">
    <w:name w:val="Balloon Text"/>
    <w:basedOn w:val="1"/>
    <w:semiHidden/>
    <w:qFormat/>
    <w:uiPriority w:val="99"/>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kern w:val="0"/>
      <w:sz w:val="24"/>
      <w:szCs w:val="20"/>
    </w:rPr>
  </w:style>
  <w:style w:type="paragraph" w:styleId="11">
    <w:name w:val="annotation subject"/>
    <w:basedOn w:val="6"/>
    <w:next w:val="6"/>
    <w:link w:val="19"/>
    <w:qFormat/>
    <w:uiPriority w:val="0"/>
    <w:rPr>
      <w:b/>
      <w:bCs/>
    </w:rPr>
  </w:style>
  <w:style w:type="character" w:styleId="14">
    <w:name w:val="annotation reference"/>
    <w:basedOn w:val="13"/>
    <w:qFormat/>
    <w:uiPriority w:val="0"/>
    <w:rPr>
      <w:sz w:val="21"/>
      <w:szCs w:val="21"/>
    </w:rPr>
  </w:style>
  <w:style w:type="character" w:customStyle="1" w:styleId="15">
    <w:name w:val="页眉 字符"/>
    <w:basedOn w:val="13"/>
    <w:link w:val="9"/>
    <w:qFormat/>
    <w:uiPriority w:val="0"/>
    <w:rPr>
      <w:kern w:val="2"/>
      <w:sz w:val="18"/>
      <w:szCs w:val="18"/>
    </w:rPr>
  </w:style>
  <w:style w:type="character" w:customStyle="1" w:styleId="16">
    <w:name w:val="页脚 字符"/>
    <w:basedOn w:val="13"/>
    <w:link w:val="8"/>
    <w:qFormat/>
    <w:uiPriority w:val="0"/>
    <w:rPr>
      <w:kern w:val="2"/>
      <w:sz w:val="18"/>
      <w:szCs w:val="18"/>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3"/>
    <w:link w:val="6"/>
    <w:qFormat/>
    <w:uiPriority w:val="0"/>
    <w:rPr>
      <w:kern w:val="2"/>
      <w:sz w:val="21"/>
      <w:szCs w:val="24"/>
    </w:rPr>
  </w:style>
  <w:style w:type="character" w:customStyle="1" w:styleId="19">
    <w:name w:val="批注主题 字符"/>
    <w:basedOn w:val="18"/>
    <w:link w:val="11"/>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395</Words>
  <Characters>2257</Characters>
  <Lines>18</Lines>
  <Paragraphs>5</Paragraphs>
  <TotalTime>1131</TotalTime>
  <ScaleCrop>false</ScaleCrop>
  <LinksUpToDate>false</LinksUpToDate>
  <CharactersWithSpaces>2647</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2023-12-25T10:57:00Z</dcterms:created>
  <cp:lastPrinted>2023-12-26T15:45:00Z</cp:lastPrinted>
  <dcterms:modified xsi:type="dcterms:W3CDTF">2024-01-17T18:36:23Z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CCCF130545BA4BA2B5624E861F80B638_13</vt:lpwstr>
  </property>
</Properties>
</file>