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数创中心C栋36层“数字阅读区”配套用</w:t>
      </w:r>
    </w:p>
    <w:p>
      <w:pPr>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咖啡吧供应商须知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履约条件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（一）在租赁合同签订后五个工作日内缴纳的租赁保证金（合计“二押一租”，即：整体租赁成交价×3个月），由中标机构转至出租方指定账户。合同签署后租金按月提前支付。</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 xml:space="preserve">（二）本项目允许承租方对现有规划出租面积内的场地进行调整，比如装修，隔离，但需要满足消防防火、建筑结构安全； </w:t>
      </w:r>
      <w:bookmarkStart w:id="0" w:name="_GoBack"/>
      <w:bookmarkEnd w:id="0"/>
      <w:r>
        <w:rPr>
          <w:rFonts w:hint="eastAsia" w:ascii="仿宋_GB2312" w:hAnsi="仿宋_GB2312" w:eastAsia="仿宋_GB2312" w:cs="仿宋_GB2312"/>
          <w:bCs w:val="0"/>
          <w:kern w:val="2"/>
          <w:sz w:val="32"/>
          <w:szCs w:val="32"/>
          <w:lang w:val="en-US" w:eastAsia="zh-CN" w:bidi="ar-SA"/>
        </w:rPr>
        <w:t>（三）本项目整体租赁承租方应对租赁区域内的所有经营行为负责；</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四）出租方对本项目房屋及其配套设施按竣工现状移交给承租方。承租方如经营所需，须对房屋及其配套设施进行装修、改造、升级或增容等，需提前至少10个工作日向出租方书面申请，并须依法按章办理报建、报批手续，一切费用和责任由承租方承担，并于装修前，将装修设计方案报出租方审定；</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（五）本项目用房如需增设空气调节系统的，须由承租方从技术等方面另行综合考虑并合理设置，费用由承租方自行承担；</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（六）本项目用房如没有设置排油烟管道的，须由承租方从技术等方面另行综合考虑后报出租方审核，不得经营重油烟餐饮项目（安装净化设备且符合环保排放标准的除外）；</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（七）本项目电容量为独立计量，水表需承租方自行前往水务局申请报装后交由物业统一管理。水电未达到承租方的需求，须由承租方自行承担费用、自行办理相关手续；</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（八）本项目规划用途为咖啡吧，必须按规划用途使用；</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（九）本项目承租方不得违反租赁合同约定将本项目的租赁和经营权整体转让他人；</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（十）承租方应按时缴纳租金等各项费用；</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（十一）物业使用前，承租方自费、自行办理好相关政府要求的物业用途、消防、经营等证照和批文；</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（十二）最终承租方承租本物业，其从事的经营活动必须符合国家和地方相关法律法规、龙华区产业政策和发展规划要求；</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（十三）费用：按物业公司实际收取，具体合同另行约定；（包括但不限于：水电费、卫生费、空调费等运营杂费；）；</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（十四）到期退租，承租方应按时缴清租金及各项费用；</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kern w:val="2"/>
          <w:sz w:val="32"/>
          <w:szCs w:val="32"/>
          <w:lang w:val="en-US" w:eastAsia="zh-CN" w:bidi="ar-SA"/>
        </w:rPr>
        <w:t>（十五）所经营项目如需有关部门审批的，须获得审批；</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（十六）物业禁止危化行业及对环境影响大的行业使用；</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（十七）精装交付，租约到期后，若不续租，</w:t>
      </w:r>
      <w:r>
        <w:rPr>
          <w:rFonts w:hint="eastAsia" w:ascii="仿宋_GB2312" w:hAnsi="仿宋_GB2312" w:eastAsia="仿宋_GB2312" w:cs="仿宋_GB2312"/>
          <w:bCs w:val="0"/>
          <w:sz w:val="32"/>
          <w:szCs w:val="32"/>
          <w:lang w:val="en-US" w:eastAsia="zh-CN"/>
        </w:rPr>
        <w:t>如涉及改变原状的</w:t>
      </w:r>
      <w:r>
        <w:rPr>
          <w:rFonts w:hint="eastAsia" w:ascii="仿宋_GB2312" w:hAnsi="仿宋_GB2312" w:eastAsia="仿宋_GB2312" w:cs="仿宋_GB2312"/>
          <w:bCs w:val="0"/>
          <w:kern w:val="2"/>
          <w:sz w:val="32"/>
          <w:szCs w:val="32"/>
          <w:lang w:val="en-US" w:eastAsia="zh-CN" w:bidi="ar-SA"/>
        </w:rPr>
        <w:t>需恢复至原状；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（十八）以本招租文件约定面积招租，不再进行面积调差。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其它需要说明事项</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一）意向承租方报名前应充分了解物业本身及周边的相关情况，并认真研阅招租信息的全部内容以及龙华区当地的政策，意向承租方自愿报名参加物业承租的，视为已对物业查验、知悉并且了解物业瑕疵，并同意承担该瑕疵带来的全部风险。</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二）承租方必须遵守中华人民共和国的政策、法律、法规，依法纳税，必须以承租方的名义按本招租信息内容为准办理工商税务注册登记，办妥各项审批手续。获准营业时，将营业执照、消防、环保、卫生等相关审批验收文件复印件提交给出租方及受托招租方。</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（三）如需装修及改建的报批、验收等手续及有关费用由承租方自行负责，承租方装修及改建必须达到政府或出租方标准或要求，并及时将消防等相关部门的审批，验收合格文件复印给出租方及受托招租方。</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（四）水电设施等以现状移交，承租方不得以水电设施不齐全、未能满足其使用等为由，向出租方提出赔偿（补偿）。</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（五）意向承租供应商中标后，在公示完后30天内需与招选人签订正式租赁合同（含补充协议及承诺函等），逾期则视为违约，招选人有解除其成功中选的权利。</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（六）其他条款见留存在招标代理机构的租赁合同版本，出租方有权在签订租赁合同之前对不影响租赁合同实质性条款作适当的调整。</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（七）“数字阅读区”配套用咖啡吧实际经营场所在 36层，以 37 层前厅接待区域为注册地址；36层“数字阅读区”配套用咖啡吧需具备图书展示、展览、阅读交流等服务能力，为“数字阅读区”提供咖啡服务。</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（八）不接受联合体招租；</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（九）自规定的响应文件递交截止期限起90天内，响应文件均保持有效；</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（十）意向承租供应商中标后，在公示完后30天内需与招选人签订正式租赁合同（含补充协议及承诺函等），逾期则视为违约，招选人有解除其成功中选的权利；</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（十一）</w:t>
      </w:r>
      <w:r>
        <w:rPr>
          <w:rFonts w:hint="default" w:ascii="仿宋_GB2312" w:hAnsi="仿宋_GB2312" w:eastAsia="仿宋_GB2312" w:cs="仿宋_GB2312"/>
          <w:bCs w:val="0"/>
          <w:kern w:val="2"/>
          <w:sz w:val="32"/>
          <w:szCs w:val="32"/>
          <w:lang w:val="en-US" w:eastAsia="zh-CN" w:bidi="ar-SA"/>
        </w:rPr>
        <w:t>无招租补偿</w:t>
      </w:r>
      <w:r>
        <w:rPr>
          <w:rFonts w:hint="eastAsia" w:ascii="仿宋_GB2312" w:hAnsi="仿宋_GB2312" w:eastAsia="仿宋_GB2312" w:cs="仿宋_GB2312"/>
          <w:bCs w:val="0"/>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（十二）本项目采取固定租金模式公开招租；</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（十三）承租商自行承担水电费、空调费等运营杂费。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招租文件内容</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（一）招租文</w:t>
      </w:r>
      <w:r>
        <w:rPr>
          <w:rFonts w:hint="default" w:ascii="仿宋_GB2312" w:hAnsi="仿宋_GB2312" w:eastAsia="仿宋_GB2312" w:cs="仿宋_GB2312"/>
          <w:bCs w:val="0"/>
          <w:kern w:val="2"/>
          <w:sz w:val="32"/>
          <w:szCs w:val="32"/>
          <w:lang w:val="en-US" w:eastAsia="zh-CN" w:bidi="ar-SA"/>
        </w:rPr>
        <w:t>件由招租竞价邀请书、供应商须知、采购需求和响应文件格式要求四部分组成。</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（二）招标方</w:t>
      </w:r>
      <w:r>
        <w:rPr>
          <w:rFonts w:hint="default" w:ascii="仿宋_GB2312" w:hAnsi="仿宋_GB2312" w:eastAsia="仿宋_GB2312" w:cs="仿宋_GB2312"/>
          <w:bCs w:val="0"/>
          <w:kern w:val="2"/>
          <w:sz w:val="32"/>
          <w:szCs w:val="32"/>
          <w:lang w:val="en-US" w:eastAsia="zh-CN" w:bidi="ar-SA"/>
        </w:rPr>
        <w:t>所作的一切有效的书面通知、修改及补充，都是</w:t>
      </w:r>
      <w:r>
        <w:rPr>
          <w:rFonts w:hint="eastAsia" w:ascii="仿宋_GB2312" w:hAnsi="仿宋_GB2312" w:eastAsia="仿宋_GB2312" w:cs="仿宋_GB2312"/>
          <w:bCs w:val="0"/>
          <w:kern w:val="2"/>
          <w:sz w:val="32"/>
          <w:szCs w:val="32"/>
          <w:lang w:val="en-US" w:eastAsia="zh-CN" w:bidi="ar-SA"/>
        </w:rPr>
        <w:t>招租文</w:t>
      </w:r>
      <w:r>
        <w:rPr>
          <w:rFonts w:hint="default" w:ascii="仿宋_GB2312" w:hAnsi="仿宋_GB2312" w:eastAsia="仿宋_GB2312" w:cs="仿宋_GB2312"/>
          <w:bCs w:val="0"/>
          <w:kern w:val="2"/>
          <w:sz w:val="32"/>
          <w:szCs w:val="32"/>
          <w:lang w:val="en-US" w:eastAsia="zh-CN" w:bidi="ar-SA"/>
        </w:rPr>
        <w:t xml:space="preserve">件不可分割的部分。 </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（三）</w:t>
      </w:r>
      <w:r>
        <w:rPr>
          <w:rFonts w:hint="default" w:ascii="仿宋_GB2312" w:hAnsi="仿宋_GB2312" w:eastAsia="仿宋_GB2312" w:cs="仿宋_GB2312"/>
          <w:bCs w:val="0"/>
          <w:kern w:val="2"/>
          <w:sz w:val="32"/>
          <w:szCs w:val="32"/>
          <w:lang w:val="en-US" w:eastAsia="zh-CN" w:bidi="ar-SA"/>
        </w:rPr>
        <w:t>招租竞价文件的解释。供应商如对招租竞价文件有疑问，必须以书面形式在询价文件公示时间内向</w:t>
      </w:r>
      <w:r>
        <w:rPr>
          <w:rFonts w:hint="eastAsia" w:ascii="仿宋_GB2312" w:hAnsi="仿宋_GB2312" w:eastAsia="仿宋_GB2312" w:cs="仿宋_GB2312"/>
          <w:bCs w:val="0"/>
          <w:kern w:val="2"/>
          <w:sz w:val="32"/>
          <w:szCs w:val="32"/>
          <w:lang w:val="en-US" w:eastAsia="zh-CN" w:bidi="ar-SA"/>
        </w:rPr>
        <w:t>招标方</w:t>
      </w:r>
      <w:r>
        <w:rPr>
          <w:rFonts w:hint="default" w:ascii="仿宋_GB2312" w:hAnsi="仿宋_GB2312" w:eastAsia="仿宋_GB2312" w:cs="仿宋_GB2312"/>
          <w:bCs w:val="0"/>
          <w:kern w:val="2"/>
          <w:sz w:val="32"/>
          <w:szCs w:val="32"/>
          <w:lang w:val="en-US" w:eastAsia="zh-CN" w:bidi="ar-SA"/>
        </w:rPr>
        <w:t>澄清，</w:t>
      </w:r>
      <w:r>
        <w:rPr>
          <w:rFonts w:hint="eastAsia" w:ascii="仿宋_GB2312" w:hAnsi="仿宋_GB2312" w:eastAsia="仿宋_GB2312" w:cs="仿宋_GB2312"/>
          <w:bCs w:val="0"/>
          <w:kern w:val="2"/>
          <w:sz w:val="32"/>
          <w:szCs w:val="32"/>
          <w:lang w:val="en-US" w:eastAsia="zh-CN" w:bidi="ar-SA"/>
        </w:rPr>
        <w:t>出租方</w:t>
      </w:r>
      <w:r>
        <w:rPr>
          <w:rFonts w:hint="default" w:ascii="仿宋_GB2312" w:hAnsi="仿宋_GB2312" w:eastAsia="仿宋_GB2312" w:cs="仿宋_GB2312"/>
          <w:bCs w:val="0"/>
          <w:kern w:val="2"/>
          <w:sz w:val="32"/>
          <w:szCs w:val="32"/>
          <w:lang w:val="en-US" w:eastAsia="zh-CN" w:bidi="ar-SA"/>
        </w:rPr>
        <w:t>可视具体情况做出处理或答复。如供应商未提出疑问，视为完全理解并同意本招租竞价文件。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（四）</w:t>
      </w:r>
      <w:r>
        <w:rPr>
          <w:rFonts w:hint="default" w:ascii="仿宋_GB2312" w:hAnsi="仿宋_GB2312" w:eastAsia="仿宋_GB2312" w:cs="仿宋_GB2312"/>
          <w:bCs w:val="0"/>
          <w:kern w:val="2"/>
          <w:sz w:val="32"/>
          <w:szCs w:val="32"/>
          <w:lang w:val="en-US" w:eastAsia="zh-CN" w:bidi="ar-SA"/>
        </w:rPr>
        <w:t>响应文件一式两份及电子文档一份，响应文件一正一副，提交后不退还。</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（五）</w:t>
      </w:r>
      <w:r>
        <w:rPr>
          <w:rFonts w:hint="default" w:ascii="仿宋_GB2312" w:hAnsi="仿宋_GB2312" w:eastAsia="仿宋_GB2312" w:cs="仿宋_GB2312"/>
          <w:bCs w:val="0"/>
          <w:kern w:val="2"/>
          <w:sz w:val="32"/>
          <w:szCs w:val="32"/>
          <w:lang w:val="en-US" w:eastAsia="zh-CN" w:bidi="ar-SA"/>
        </w:rPr>
        <w:t>询价程序</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val="0"/>
          <w:kern w:val="2"/>
          <w:sz w:val="32"/>
          <w:szCs w:val="32"/>
          <w:lang w:val="en-US" w:eastAsia="zh-CN" w:bidi="ar-SA"/>
        </w:rPr>
      </w:pPr>
      <w:r>
        <w:rPr>
          <w:rFonts w:hint="default" w:ascii="仿宋_GB2312" w:hAnsi="仿宋_GB2312" w:eastAsia="仿宋_GB2312" w:cs="仿宋_GB2312"/>
          <w:bCs w:val="0"/>
          <w:kern w:val="2"/>
          <w:sz w:val="32"/>
          <w:szCs w:val="32"/>
          <w:lang w:val="en-US" w:eastAsia="zh-CN" w:bidi="ar-SA"/>
        </w:rPr>
        <w:t>1.供应商在</w:t>
      </w:r>
      <w:r>
        <w:rPr>
          <w:rFonts w:hint="eastAsia" w:ascii="仿宋_GB2312" w:hAnsi="仿宋_GB2312" w:eastAsia="仿宋_GB2312" w:cs="仿宋_GB2312"/>
          <w:bCs w:val="0"/>
          <w:kern w:val="2"/>
          <w:sz w:val="32"/>
          <w:szCs w:val="32"/>
          <w:lang w:val="en-US" w:eastAsia="zh-CN" w:bidi="ar-SA"/>
        </w:rPr>
        <w:t>招标方</w:t>
      </w:r>
      <w:r>
        <w:rPr>
          <w:rFonts w:hint="default" w:ascii="仿宋_GB2312" w:hAnsi="仿宋_GB2312" w:eastAsia="仿宋_GB2312" w:cs="仿宋_GB2312"/>
          <w:bCs w:val="0"/>
          <w:kern w:val="2"/>
          <w:sz w:val="32"/>
          <w:szCs w:val="32"/>
          <w:lang w:val="en-US" w:eastAsia="zh-CN" w:bidi="ar-SA"/>
        </w:rPr>
        <w:t>指定的时间、地点提交招租竞价文件。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val="0"/>
          <w:kern w:val="2"/>
          <w:sz w:val="32"/>
          <w:szCs w:val="32"/>
          <w:lang w:val="en-US" w:eastAsia="zh-CN" w:bidi="ar-SA"/>
        </w:rPr>
      </w:pPr>
      <w:r>
        <w:rPr>
          <w:rFonts w:hint="default" w:ascii="仿宋_GB2312" w:hAnsi="仿宋_GB2312" w:eastAsia="仿宋_GB2312" w:cs="仿宋_GB2312"/>
          <w:bCs w:val="0"/>
          <w:kern w:val="2"/>
          <w:sz w:val="32"/>
          <w:szCs w:val="32"/>
          <w:lang w:val="en-US" w:eastAsia="zh-CN" w:bidi="ar-SA"/>
        </w:rPr>
        <w:t>2.</w:t>
      </w:r>
      <w:r>
        <w:rPr>
          <w:rFonts w:hint="eastAsia" w:ascii="仿宋_GB2312" w:hAnsi="仿宋_GB2312" w:eastAsia="仿宋_GB2312" w:cs="仿宋_GB2312"/>
          <w:bCs w:val="0"/>
          <w:kern w:val="2"/>
          <w:sz w:val="32"/>
          <w:szCs w:val="32"/>
          <w:lang w:val="en-US" w:eastAsia="zh-CN" w:bidi="ar-SA"/>
        </w:rPr>
        <w:t>招标方</w:t>
      </w:r>
      <w:r>
        <w:rPr>
          <w:rFonts w:hint="default" w:ascii="仿宋_GB2312" w:hAnsi="仿宋_GB2312" w:eastAsia="仿宋_GB2312" w:cs="仿宋_GB2312"/>
          <w:bCs w:val="0"/>
          <w:kern w:val="2"/>
          <w:sz w:val="32"/>
          <w:szCs w:val="32"/>
          <w:lang w:val="en-US" w:eastAsia="zh-CN" w:bidi="ar-SA"/>
        </w:rPr>
        <w:t>对供应商响应文件进行评判和记录，选择成交供应商。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val="0"/>
          <w:kern w:val="2"/>
          <w:sz w:val="32"/>
          <w:szCs w:val="32"/>
          <w:lang w:val="en-US" w:eastAsia="zh-CN" w:bidi="ar-SA"/>
        </w:rPr>
      </w:pPr>
      <w:r>
        <w:rPr>
          <w:rFonts w:hint="default" w:ascii="仿宋_GB2312" w:hAnsi="仿宋_GB2312" w:eastAsia="仿宋_GB2312" w:cs="仿宋_GB2312"/>
          <w:bCs w:val="0"/>
          <w:kern w:val="2"/>
          <w:sz w:val="32"/>
          <w:szCs w:val="32"/>
          <w:lang w:val="en-US" w:eastAsia="zh-CN" w:bidi="ar-SA"/>
        </w:rPr>
        <w:t>3.</w:t>
      </w:r>
      <w:r>
        <w:rPr>
          <w:rFonts w:hint="eastAsia" w:ascii="仿宋_GB2312" w:hAnsi="仿宋_GB2312" w:eastAsia="仿宋_GB2312" w:cs="仿宋_GB2312"/>
          <w:bCs w:val="0"/>
          <w:kern w:val="2"/>
          <w:sz w:val="32"/>
          <w:szCs w:val="32"/>
          <w:lang w:val="en-US" w:eastAsia="zh-CN" w:bidi="ar-SA"/>
        </w:rPr>
        <w:t>招标</w:t>
      </w:r>
      <w:r>
        <w:rPr>
          <w:rFonts w:hint="default" w:ascii="仿宋_GB2312" w:hAnsi="仿宋_GB2312" w:eastAsia="仿宋_GB2312" w:cs="仿宋_GB2312"/>
          <w:bCs w:val="0"/>
          <w:kern w:val="2"/>
          <w:sz w:val="32"/>
          <w:szCs w:val="32"/>
          <w:lang w:val="en-US" w:eastAsia="zh-CN" w:bidi="ar-SA"/>
        </w:rPr>
        <w:t>结果经过</w:t>
      </w:r>
      <w:r>
        <w:rPr>
          <w:rFonts w:hint="eastAsia" w:ascii="仿宋_GB2312" w:hAnsi="仿宋_GB2312" w:eastAsia="仿宋_GB2312" w:cs="仿宋_GB2312"/>
          <w:bCs w:val="0"/>
          <w:kern w:val="2"/>
          <w:sz w:val="32"/>
          <w:szCs w:val="32"/>
          <w:lang w:val="en-US" w:eastAsia="zh-CN" w:bidi="ar-SA"/>
        </w:rPr>
        <w:t>招标方</w:t>
      </w:r>
      <w:r>
        <w:rPr>
          <w:rFonts w:hint="default" w:ascii="仿宋_GB2312" w:hAnsi="仿宋_GB2312" w:eastAsia="仿宋_GB2312" w:cs="仿宋_GB2312"/>
          <w:bCs w:val="0"/>
          <w:kern w:val="2"/>
          <w:sz w:val="32"/>
          <w:szCs w:val="32"/>
          <w:lang w:val="en-US" w:eastAsia="zh-CN" w:bidi="ar-SA"/>
        </w:rPr>
        <w:t>确认后，向成交供应商发出成交通知书。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评审办法 </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（一）评审标准</w:t>
      </w:r>
    </w:p>
    <w:p>
      <w:pPr>
        <w:keepNext w:val="0"/>
        <w:keepLines w:val="0"/>
        <w:pageBreakBefore w:val="0"/>
        <w:widowControl/>
        <w:kinsoku/>
        <w:wordWrap/>
        <w:overflowPunct/>
        <w:topLinePunct w:val="0"/>
        <w:autoSpaceDE/>
        <w:autoSpaceDN/>
        <w:bidi w:val="0"/>
        <w:adjustRightInd/>
        <w:snapToGrid w:val="0"/>
        <w:spacing w:line="560" w:lineRule="exact"/>
        <w:ind w:firstLine="56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本项目供应商响应文件不得有任一项应答低于</w:t>
      </w:r>
      <w:r>
        <w:rPr>
          <w:rFonts w:hint="eastAsia" w:ascii="仿宋_GB2312" w:hAnsi="仿宋_GB2312" w:eastAsia="仿宋_GB2312" w:cs="仿宋_GB2312"/>
          <w:kern w:val="0"/>
          <w:sz w:val="32"/>
          <w:szCs w:val="32"/>
          <w:lang w:eastAsia="zh-CN"/>
        </w:rPr>
        <w:t>招租竞价</w:t>
      </w:r>
      <w:r>
        <w:rPr>
          <w:rFonts w:hint="eastAsia" w:ascii="仿宋_GB2312" w:hAnsi="仿宋_GB2312" w:eastAsia="仿宋_GB2312" w:cs="仿宋_GB2312"/>
          <w:kern w:val="0"/>
          <w:sz w:val="32"/>
          <w:szCs w:val="32"/>
        </w:rPr>
        <w:t>文件要求，否则报价将为无效报价。</w:t>
      </w:r>
    </w:p>
    <w:p>
      <w:pPr>
        <w:keepNext w:val="0"/>
        <w:keepLines w:val="0"/>
        <w:pageBreakBefore w:val="0"/>
        <w:widowControl/>
        <w:kinsoku/>
        <w:wordWrap/>
        <w:overflowPunct/>
        <w:topLinePunct w:val="0"/>
        <w:autoSpaceDE/>
        <w:autoSpaceDN/>
        <w:bidi w:val="0"/>
        <w:adjustRightInd/>
        <w:snapToGrid w:val="0"/>
        <w:spacing w:line="560" w:lineRule="exact"/>
        <w:ind w:firstLine="56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（二）成交原则</w:t>
      </w:r>
    </w:p>
    <w:p>
      <w:pPr>
        <w:pStyle w:val="4"/>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bCs/>
          <w:color w:val="FF0000"/>
          <w:kern w:val="0"/>
          <w:sz w:val="32"/>
          <w:szCs w:val="32"/>
          <w:highlight w:val="none"/>
        </w:rPr>
      </w:pPr>
      <w:r>
        <w:rPr>
          <w:rFonts w:hint="eastAsia" w:ascii="仿宋_GB2312" w:hAnsi="仿宋_GB2312" w:eastAsia="仿宋_GB2312" w:cs="仿宋_GB2312"/>
          <w:kern w:val="0"/>
          <w:sz w:val="32"/>
          <w:szCs w:val="32"/>
          <w:highlight w:val="none"/>
        </w:rPr>
        <w:t>当有效应答供应商满足两家或以上时：供应商所报总价为有效报价，采购人在符合采购需求、质量的基础上，</w:t>
      </w:r>
      <w:r>
        <w:rPr>
          <w:rFonts w:hint="eastAsia" w:ascii="仿宋_GB2312" w:hAnsi="仿宋_GB2312" w:eastAsia="仿宋_GB2312" w:cs="仿宋_GB2312"/>
          <w:b/>
          <w:bCs/>
          <w:color w:val="FF0000"/>
          <w:kern w:val="0"/>
          <w:sz w:val="32"/>
          <w:szCs w:val="32"/>
          <w:highlight w:val="none"/>
          <w:lang w:eastAsia="zh-CN"/>
        </w:rPr>
        <w:t>按照</w:t>
      </w:r>
      <w:r>
        <w:rPr>
          <w:rFonts w:hint="eastAsia" w:ascii="仿宋_GB2312" w:hAnsi="仿宋_GB2312" w:eastAsia="仿宋_GB2312" w:cs="仿宋_GB2312"/>
          <w:b/>
          <w:bCs/>
          <w:color w:val="FF0000"/>
          <w:kern w:val="0"/>
          <w:sz w:val="32"/>
          <w:szCs w:val="32"/>
          <w:highlight w:val="none"/>
        </w:rPr>
        <w:t>一轮报价并按报价最高的原则确定中标方。</w:t>
      </w:r>
      <w:r>
        <w:rPr>
          <w:rFonts w:hint="eastAsia" w:ascii="仿宋_GB2312" w:hAnsi="仿宋_GB2312" w:eastAsia="仿宋_GB2312" w:cs="仿宋_GB2312"/>
          <w:color w:val="000000"/>
          <w:kern w:val="0"/>
          <w:sz w:val="32"/>
          <w:szCs w:val="32"/>
        </w:rPr>
        <w:t>如公开招租只有一个符合条件的报名者，</w:t>
      </w:r>
      <w:r>
        <w:rPr>
          <w:rFonts w:hint="eastAsia" w:ascii="仿宋_GB2312" w:hAnsi="仿宋_GB2312" w:eastAsia="仿宋_GB2312" w:cs="仿宋_GB2312"/>
          <w:color w:val="000000"/>
          <w:kern w:val="0"/>
          <w:sz w:val="32"/>
          <w:szCs w:val="32"/>
          <w:lang w:val="en-US" w:eastAsia="zh-CN"/>
        </w:rPr>
        <w:t>将</w:t>
      </w:r>
      <w:r>
        <w:rPr>
          <w:rFonts w:hint="eastAsia" w:ascii="仿宋_GB2312" w:hAnsi="仿宋_GB2312" w:eastAsia="仿宋_GB2312" w:cs="仿宋_GB2312"/>
          <w:color w:val="000000"/>
          <w:kern w:val="0"/>
          <w:sz w:val="32"/>
          <w:szCs w:val="32"/>
        </w:rPr>
        <w:t>采取协议租赁方式，公示3个工作日后无异议</w:t>
      </w:r>
      <w:r>
        <w:rPr>
          <w:rFonts w:hint="eastAsia" w:ascii="仿宋_GB2312" w:hAnsi="仿宋_GB2312" w:eastAsia="仿宋_GB2312" w:cs="仿宋_GB2312"/>
          <w:color w:val="000000"/>
          <w:kern w:val="0"/>
          <w:sz w:val="32"/>
          <w:szCs w:val="32"/>
          <w:lang w:val="en-US" w:eastAsia="zh-CN"/>
        </w:rPr>
        <w:t>方</w:t>
      </w:r>
      <w:r>
        <w:rPr>
          <w:rFonts w:hint="eastAsia" w:ascii="仿宋_GB2312" w:hAnsi="仿宋_GB2312" w:eastAsia="仿宋_GB2312" w:cs="仿宋_GB2312"/>
          <w:color w:val="000000"/>
          <w:kern w:val="0"/>
          <w:sz w:val="32"/>
          <w:szCs w:val="32"/>
        </w:rPr>
        <w:t>实施，但租金标准仍不得低于原招租底价。无</w:t>
      </w:r>
      <w:r>
        <w:rPr>
          <w:rFonts w:hint="eastAsia" w:ascii="仿宋_GB2312" w:hAnsi="仿宋_GB2312" w:eastAsia="仿宋_GB2312" w:cs="仿宋_GB2312"/>
          <w:color w:val="000000"/>
          <w:kern w:val="0"/>
          <w:sz w:val="32"/>
          <w:szCs w:val="32"/>
          <w:lang w:val="en-US" w:eastAsia="zh-CN"/>
        </w:rPr>
        <w:t>有效</w:t>
      </w:r>
      <w:r>
        <w:rPr>
          <w:rFonts w:hint="eastAsia" w:ascii="仿宋_GB2312" w:hAnsi="仿宋_GB2312" w:eastAsia="仿宋_GB2312" w:cs="仿宋_GB2312"/>
          <w:color w:val="000000"/>
          <w:kern w:val="0"/>
          <w:sz w:val="32"/>
          <w:szCs w:val="32"/>
        </w:rPr>
        <w:t>报名者，延长一个</w:t>
      </w:r>
      <w:r>
        <w:rPr>
          <w:rFonts w:hint="eastAsia" w:ascii="仿宋_GB2312" w:hAnsi="仿宋_GB2312" w:eastAsia="仿宋_GB2312" w:cs="仿宋_GB2312"/>
          <w:color w:val="000000"/>
          <w:kern w:val="0"/>
          <w:sz w:val="32"/>
          <w:szCs w:val="32"/>
          <w:lang w:val="en-US" w:eastAsia="zh-CN"/>
        </w:rPr>
        <w:t>遴选</w:t>
      </w:r>
      <w:r>
        <w:rPr>
          <w:rFonts w:hint="eastAsia" w:ascii="仿宋_GB2312" w:hAnsi="仿宋_GB2312" w:eastAsia="仿宋_GB2312" w:cs="仿宋_GB2312"/>
          <w:color w:val="000000"/>
          <w:kern w:val="0"/>
          <w:sz w:val="32"/>
          <w:szCs w:val="32"/>
        </w:rPr>
        <w:t>公告期，若仍无报名者，经原决策机构批准，可按不低于出租底价 90%的价格重新公开招租。</w:t>
      </w:r>
    </w:p>
    <w:p>
      <w:pPr>
        <w:pStyle w:val="4"/>
        <w:keepNext w:val="0"/>
        <w:keepLines w:val="0"/>
        <w:pageBreakBefore w:val="0"/>
        <w:kinsoku/>
        <w:wordWrap/>
        <w:overflowPunct/>
        <w:topLinePunct w:val="0"/>
        <w:autoSpaceDE/>
        <w:autoSpaceDN/>
        <w:bidi w:val="0"/>
        <w:adjustRightInd/>
        <w:spacing w:line="560" w:lineRule="exact"/>
        <w:ind w:firstLineChars="200"/>
        <w:jc w:val="both"/>
        <w:textAlignment w:val="auto"/>
        <w:rPr>
          <w:rFonts w:hint="eastAsia" w:ascii="仿宋_GB2312" w:hAnsi="仿宋_GB2312" w:eastAsia="仿宋_GB2312" w:cs="仿宋_GB2312"/>
          <w:b/>
          <w:color w:val="FF0000"/>
          <w:kern w:val="0"/>
          <w:sz w:val="32"/>
          <w:szCs w:val="32"/>
        </w:rPr>
      </w:pPr>
      <w:r>
        <w:rPr>
          <w:rFonts w:hint="eastAsia" w:ascii="仿宋_GB2312" w:hAnsi="仿宋_GB2312" w:eastAsia="仿宋_GB2312" w:cs="仿宋_GB2312"/>
          <w:kern w:val="0"/>
          <w:sz w:val="32"/>
          <w:szCs w:val="32"/>
        </w:rPr>
        <w:t>（三）供应商或其响应文件发生以下条款情况之一者，</w:t>
      </w:r>
      <w:r>
        <w:rPr>
          <w:rFonts w:hint="eastAsia" w:ascii="仿宋_GB2312" w:hAnsi="仿宋_GB2312" w:eastAsia="仿宋_GB2312" w:cs="仿宋_GB2312"/>
          <w:b/>
          <w:color w:val="FF0000"/>
          <w:kern w:val="0"/>
          <w:sz w:val="32"/>
          <w:szCs w:val="32"/>
        </w:rPr>
        <w:t>视为无效报价：</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1.资质证明文件不符合要求；</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2.响应文件不按规定的格式、内容填写或不按规定签字、盖章；</w:t>
      </w:r>
    </w:p>
    <w:p>
      <w:pPr>
        <w:keepNext w:val="0"/>
        <w:keepLines w:val="0"/>
        <w:pageBreakBefore w:val="0"/>
        <w:widowControl/>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color w:val="FF0000"/>
          <w:kern w:val="0"/>
          <w:sz w:val="32"/>
          <w:szCs w:val="32"/>
        </w:rPr>
      </w:pPr>
      <w:r>
        <w:rPr>
          <w:rFonts w:hint="eastAsia" w:ascii="仿宋_GB2312" w:hAnsi="仿宋_GB2312" w:eastAsia="仿宋_GB2312" w:cs="仿宋_GB2312"/>
          <w:b/>
          <w:color w:val="FF0000"/>
          <w:kern w:val="0"/>
          <w:sz w:val="32"/>
          <w:szCs w:val="32"/>
        </w:rPr>
        <w:t>3.供应商的报价低于规定的最低租金；</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4.出现多个报价；</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5.响应文件含有与国家现行法律法规相违背的内容，或附有采购人无法接受的条件；</w:t>
      </w:r>
    </w:p>
    <w:p>
      <w:pPr>
        <w:keepNext w:val="0"/>
        <w:keepLines w:val="0"/>
        <w:pageBreakBefore w:val="0"/>
        <w:widowControl/>
        <w:kinsoku/>
        <w:wordWrap/>
        <w:overflowPunct/>
        <w:topLinePunct w:val="0"/>
        <w:autoSpaceDE/>
        <w:autoSpaceDN/>
        <w:bidi w:val="0"/>
        <w:adjustRightInd/>
        <w:snapToGrid w:val="0"/>
        <w:spacing w:line="560" w:lineRule="exact"/>
        <w:ind w:firstLine="56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（四）出现以下情况之一的，作为采购失败，应重新组织采购： </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1.出现影响采购公正的违法、违规行为的;</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2.供应商的报价均低于规定的最低租金； </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3.有效报价不足</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家的；</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4.因不可抗力导致重大变故,采购任务取消的。</w:t>
      </w:r>
    </w:p>
    <w:p>
      <w:pPr>
        <w:pStyle w:val="2"/>
        <w:rPr>
          <w:rFonts w:hint="default"/>
          <w:lang w:val="en-US" w:eastAsia="zh-CN"/>
        </w:rPr>
      </w:pPr>
    </w:p>
    <w:sectPr>
      <w:pgSz w:w="11906" w:h="16838"/>
      <w:pgMar w:top="2098" w:right="141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0B6F9CD-4133-4777-9B15-A40132F2A4EE}"/>
  </w:font>
  <w:font w:name="方正小标宋简体">
    <w:panose1 w:val="02000000000000000000"/>
    <w:charset w:val="86"/>
    <w:family w:val="auto"/>
    <w:pitch w:val="default"/>
    <w:sig w:usb0="00000001" w:usb1="080E0000" w:usb2="00000000" w:usb3="00000000" w:csb0="00040000" w:csb1="00000000"/>
    <w:embedRegular r:id="rId2" w:fontKey="{0FEB9AC6-EA4D-4C97-A797-678A35E636AD}"/>
  </w:font>
  <w:font w:name="仿宋_GB2312">
    <w:panose1 w:val="02010609030101010101"/>
    <w:charset w:val="86"/>
    <w:family w:val="auto"/>
    <w:pitch w:val="default"/>
    <w:sig w:usb0="00000001" w:usb1="080E0000" w:usb2="00000000" w:usb3="00000000" w:csb0="00040000" w:csb1="00000000"/>
    <w:embedRegular r:id="rId3" w:fontKey="{8D7CA191-6102-4C2D-9537-639E723303C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3C143"/>
    <w:multiLevelType w:val="singleLevel"/>
    <w:tmpl w:val="B0A3C1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ZDMxMmU1ZTE3ZDMzYjUyN2Y4ZjUyZmQxMGIyMDQifQ=="/>
  </w:docVars>
  <w:rsids>
    <w:rsidRoot w:val="6F3E7293"/>
    <w:rsid w:val="0CEC4365"/>
    <w:rsid w:val="0CF17A76"/>
    <w:rsid w:val="174C6B6D"/>
    <w:rsid w:val="1DD64A26"/>
    <w:rsid w:val="325D0EAB"/>
    <w:rsid w:val="411348C4"/>
    <w:rsid w:val="444834DF"/>
    <w:rsid w:val="5870229A"/>
    <w:rsid w:val="65F5033C"/>
    <w:rsid w:val="68745F3E"/>
    <w:rsid w:val="6F3E7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tabs>
        <w:tab w:val="left" w:pos="562"/>
        <w:tab w:val="left" w:pos="3372"/>
        <w:tab w:val="left" w:pos="3653"/>
      </w:tabs>
    </w:pPr>
    <w:rPr>
      <w:sz w:val="24"/>
    </w:rPr>
  </w:style>
  <w:style w:type="paragraph" w:styleId="3">
    <w:name w:val="annotation text"/>
    <w:basedOn w:val="1"/>
    <w:autoRedefine/>
    <w:unhideWhenUsed/>
    <w:qFormat/>
    <w:uiPriority w:val="99"/>
    <w:pPr>
      <w:jc w:val="left"/>
    </w:pPr>
  </w:style>
  <w:style w:type="paragraph" w:styleId="4">
    <w:name w:val="Plain Text"/>
    <w:basedOn w:val="1"/>
    <w:autoRedefine/>
    <w:qFormat/>
    <w:uiPriority w:val="0"/>
    <w:rPr>
      <w:rFonts w:ascii="宋体" w:hAnsi="Courier New"/>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2024-02-28T08:53:00Z</dcterms:created>
  <dc:creator>MXC</dc:creator>
  <cp:lastModifiedBy>MXC</cp:lastModifiedBy>
  <dcterms:modified xsi:type="dcterms:W3CDTF">2024-03-05T09:36:00Z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5E95100E4FA8481783FED261AE872D14_11</vt:lpwstr>
  </property>
</Properties>
</file>