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Unicode MS" w:hAnsi="仿宋_GB2312" w:eastAsia="Arial Unicode MS" w:cs="仿宋_GB2312"/>
          <w:sz w:val="44"/>
          <w:szCs w:val="44"/>
          <w:highlight w:val="none"/>
        </w:rPr>
      </w:pPr>
      <w:bookmarkStart w:id="0" w:name="_GoBack"/>
      <w:bookmarkEnd w:id="0"/>
      <w:r>
        <w:rPr>
          <w:rFonts w:hint="eastAsia" w:ascii="Arial Unicode MS" w:hAnsi="仿宋_GB2312" w:eastAsia="Arial Unicode MS" w:cs="仿宋_GB2312"/>
          <w:sz w:val="44"/>
          <w:szCs w:val="44"/>
          <w:highlight w:val="none"/>
          <w:lang w:val="en-US" w:eastAsia="zh-CN"/>
        </w:rPr>
        <w:t>纯电动</w:t>
      </w:r>
      <w:r>
        <w:rPr>
          <w:rFonts w:hint="eastAsia" w:ascii="Arial Unicode MS" w:hAnsi="仿宋_GB2312" w:eastAsia="Arial Unicode MS" w:cs="仿宋_GB2312"/>
          <w:sz w:val="44"/>
          <w:szCs w:val="44"/>
          <w:highlight w:val="none"/>
        </w:rPr>
        <w:t>自装卸式垃圾车采购项目</w:t>
      </w:r>
    </w:p>
    <w:p>
      <w:pPr>
        <w:jc w:val="center"/>
        <w:rPr>
          <w:rFonts w:hint="default" w:ascii="Arial Unicode MS" w:hAnsi="仿宋_GB2312" w:eastAsia="Arial Unicode MS" w:cs="仿宋_GB2312"/>
          <w:sz w:val="44"/>
          <w:szCs w:val="44"/>
          <w:highlight w:val="none"/>
          <w:lang w:val="en-US" w:eastAsia="zh-CN"/>
        </w:rPr>
      </w:pPr>
      <w:r>
        <w:rPr>
          <w:rFonts w:hint="eastAsia" w:ascii="Arial Unicode MS" w:hAnsi="仿宋_GB2312" w:eastAsia="Arial Unicode MS" w:cs="仿宋_GB2312"/>
          <w:sz w:val="44"/>
          <w:szCs w:val="44"/>
          <w:highlight w:val="none"/>
          <w:lang w:val="en-US" w:eastAsia="zh-CN"/>
        </w:rPr>
        <w:t>遴选方案</w:t>
      </w:r>
    </w:p>
    <w:tbl>
      <w:tblPr>
        <w:tblStyle w:val="12"/>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0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95" w:type="dxa"/>
            <w:tcBorders>
              <w:tl2br w:val="nil"/>
              <w:tr2bl w:val="nil"/>
            </w:tcBorders>
            <w:vAlign w:val="center"/>
          </w:tcPr>
          <w:p>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序号</w:t>
            </w:r>
          </w:p>
        </w:tc>
        <w:tc>
          <w:tcPr>
            <w:tcW w:w="1500" w:type="dxa"/>
            <w:tcBorders>
              <w:tl2br w:val="nil"/>
              <w:tr2bl w:val="nil"/>
            </w:tcBorders>
            <w:vAlign w:val="center"/>
          </w:tcPr>
          <w:p>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项目</w:t>
            </w:r>
          </w:p>
        </w:tc>
        <w:tc>
          <w:tcPr>
            <w:tcW w:w="7200" w:type="dxa"/>
            <w:tcBorders>
              <w:tl2br w:val="nil"/>
              <w:tr2bl w:val="nil"/>
            </w:tcBorders>
            <w:vAlign w:val="center"/>
          </w:tcPr>
          <w:p>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内容摘要说明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项目名称</w:t>
            </w:r>
          </w:p>
        </w:tc>
        <w:tc>
          <w:tcPr>
            <w:tcW w:w="7200" w:type="dxa"/>
            <w:tcBorders>
              <w:tl2br w:val="nil"/>
              <w:tr2bl w:val="nil"/>
            </w:tcBorders>
            <w:vAlign w:val="center"/>
          </w:tcPr>
          <w:p>
            <w:pPr>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纯电动</w:t>
            </w:r>
            <w:r>
              <w:rPr>
                <w:rFonts w:hint="eastAsia" w:ascii="仿宋_GB2312" w:hAnsi="仿宋_GB2312" w:eastAsia="仿宋_GB2312" w:cs="仿宋_GB2312"/>
                <w:sz w:val="24"/>
                <w:highlight w:val="none"/>
              </w:rPr>
              <w:t>自装卸式垃圾车采购项目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2</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项目概况</w:t>
            </w:r>
          </w:p>
        </w:tc>
        <w:tc>
          <w:tcPr>
            <w:tcW w:w="7200" w:type="dxa"/>
            <w:tcBorders>
              <w:tl2br w:val="nil"/>
              <w:tr2bl w:val="nil"/>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 w:val="left" w:pos="8820"/>
                <w:tab w:val="left" w:pos="9240"/>
              </w:tabs>
              <w:spacing w:line="400" w:lineRule="exact"/>
              <w:ind w:firstLine="480" w:firstLineChars="200"/>
              <w:rPr>
                <w:rFonts w:hint="default" w:ascii="仿宋_GB2312" w:hAnsi="仿宋_GB2312" w:eastAsia="仿宋_GB2312" w:cs="仿宋_GB2312"/>
                <w:snapToGrid w:val="0"/>
                <w:sz w:val="24"/>
                <w:highlight w:val="none"/>
                <w:lang w:val="en-US" w:eastAsia="zh-CN"/>
              </w:rPr>
            </w:pPr>
            <w:r>
              <w:rPr>
                <w:rFonts w:hint="eastAsia" w:ascii="仿宋_GB2312" w:hAnsi="仿宋_GB2312" w:eastAsia="仿宋_GB2312" w:cs="仿宋_GB2312"/>
                <w:bCs/>
                <w:snapToGrid w:val="0"/>
                <w:sz w:val="24"/>
                <w:highlight w:val="none"/>
              </w:rPr>
              <w:t>深圳市龙华环境有限公司（以下简称环境公司）主要经营城市道路清扫、保洁、垃圾收集分类、运输、处理及固体废物的治理；绿地养护、污水处理、环境监测及治理等环卫业务。根据环境</w:t>
            </w:r>
            <w:r>
              <w:rPr>
                <w:rFonts w:hint="eastAsia" w:ascii="仿宋_GB2312" w:hAnsi="仿宋_GB2312" w:eastAsia="仿宋_GB2312" w:cs="仿宋_GB2312"/>
                <w:bCs/>
                <w:snapToGrid w:val="0"/>
                <w:sz w:val="24"/>
                <w:highlight w:val="none"/>
                <w:lang w:val="en-US" w:eastAsia="zh-CN"/>
              </w:rPr>
              <w:t>公司相关业务</w:t>
            </w:r>
            <w:r>
              <w:rPr>
                <w:rFonts w:hint="eastAsia" w:ascii="仿宋_GB2312" w:hAnsi="仿宋_GB2312" w:eastAsia="仿宋_GB2312" w:cs="仿宋_GB2312"/>
                <w:bCs/>
                <w:snapToGrid w:val="0"/>
                <w:sz w:val="24"/>
                <w:highlight w:val="none"/>
              </w:rPr>
              <w:t>要求，本项目为</w:t>
            </w:r>
            <w:r>
              <w:rPr>
                <w:rFonts w:hint="eastAsia" w:ascii="仿宋_GB2312" w:hAnsi="仿宋_GB2312" w:eastAsia="仿宋_GB2312" w:cs="仿宋_GB2312"/>
                <w:bCs/>
                <w:snapToGrid w:val="0"/>
                <w:sz w:val="24"/>
                <w:highlight w:val="none"/>
                <w:lang w:val="en-US" w:eastAsia="zh-CN"/>
              </w:rPr>
              <w:t>纯电动</w:t>
            </w:r>
            <w:r>
              <w:rPr>
                <w:rFonts w:hint="eastAsia" w:ascii="仿宋_GB2312" w:hAnsi="仿宋_GB2312" w:eastAsia="仿宋_GB2312" w:cs="仿宋_GB2312"/>
                <w:bCs/>
                <w:snapToGrid w:val="0"/>
                <w:sz w:val="24"/>
                <w:highlight w:val="none"/>
              </w:rPr>
              <w:t>自装卸式垃圾车</w:t>
            </w:r>
            <w:r>
              <w:rPr>
                <w:rFonts w:hint="eastAsia" w:ascii="仿宋_GB2312" w:hAnsi="仿宋_GB2312" w:eastAsia="仿宋_GB2312" w:cs="仿宋_GB2312"/>
                <w:bCs/>
                <w:snapToGrid w:val="0"/>
                <w:sz w:val="24"/>
                <w:highlight w:val="none"/>
                <w:lang w:val="en-US" w:eastAsia="zh-CN"/>
              </w:rPr>
              <w:t>采购项目，采购数量为5辆，总质量为4.5T。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3</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招标内容</w:t>
            </w:r>
          </w:p>
        </w:tc>
        <w:tc>
          <w:tcPr>
            <w:tcW w:w="7200" w:type="dxa"/>
            <w:tcBorders>
              <w:tl2br w:val="nil"/>
              <w:tr2bl w:val="nil"/>
            </w:tcBorders>
            <w:vAlign w:val="center"/>
          </w:tcPr>
          <w:p>
            <w:pPr>
              <w:spacing w:line="40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拟确定一家满足条件的供应商，提供</w:t>
            </w:r>
            <w:r>
              <w:rPr>
                <w:rFonts w:hint="eastAsia" w:ascii="仿宋_GB2312" w:hAnsi="仿宋_GB2312" w:eastAsia="仿宋_GB2312" w:cs="仿宋_GB2312"/>
                <w:bCs/>
                <w:snapToGrid w:val="0"/>
                <w:sz w:val="24"/>
                <w:highlight w:val="none"/>
              </w:rPr>
              <w:t>5辆4</w:t>
            </w:r>
            <w:r>
              <w:rPr>
                <w:rFonts w:hint="eastAsia" w:ascii="仿宋_GB2312" w:hAnsi="仿宋_GB2312" w:eastAsia="仿宋_GB2312" w:cs="仿宋_GB2312"/>
                <w:bCs/>
                <w:snapToGrid w:val="0"/>
                <w:sz w:val="24"/>
                <w:highlight w:val="none"/>
                <w:lang w:val="en-US" w:eastAsia="zh-CN"/>
              </w:rPr>
              <w:t>.</w:t>
            </w:r>
            <w:r>
              <w:rPr>
                <w:rFonts w:hint="eastAsia" w:ascii="仿宋_GB2312" w:hAnsi="仿宋_GB2312" w:eastAsia="仿宋_GB2312" w:cs="仿宋_GB2312"/>
                <w:bCs/>
                <w:snapToGrid w:val="0"/>
                <w:sz w:val="24"/>
                <w:highlight w:val="none"/>
              </w:rPr>
              <w:t>5T</w:t>
            </w:r>
            <w:r>
              <w:rPr>
                <w:rFonts w:hint="eastAsia" w:ascii="仿宋_GB2312" w:hAnsi="仿宋_GB2312" w:eastAsia="仿宋_GB2312" w:cs="仿宋_GB2312"/>
                <w:bCs/>
                <w:snapToGrid w:val="0"/>
                <w:sz w:val="24"/>
                <w:highlight w:val="none"/>
                <w:lang w:val="en-US" w:eastAsia="zh-CN"/>
              </w:rPr>
              <w:t>纯电动</w:t>
            </w:r>
            <w:r>
              <w:rPr>
                <w:rFonts w:hint="eastAsia" w:ascii="仿宋_GB2312" w:hAnsi="仿宋_GB2312" w:eastAsia="仿宋_GB2312" w:cs="仿宋_GB2312"/>
                <w:bCs/>
                <w:snapToGrid w:val="0"/>
                <w:sz w:val="24"/>
                <w:highlight w:val="none"/>
              </w:rPr>
              <w:t>自装卸式垃圾车</w:t>
            </w:r>
            <w:r>
              <w:rPr>
                <w:rFonts w:hint="eastAsia" w:ascii="仿宋_GB2312" w:hAnsi="仿宋_GB2312" w:eastAsia="仿宋_GB2312" w:cs="仿宋_GB2312"/>
                <w:sz w:val="24"/>
                <w:highlight w:val="none"/>
              </w:rPr>
              <w:t>；招标完成后，与中标单位签订采购合同，</w:t>
            </w:r>
            <w:r>
              <w:rPr>
                <w:rFonts w:hint="eastAsia" w:ascii="仿宋_GB2312" w:hAnsi="仿宋_GB2312" w:eastAsia="仿宋_GB2312" w:cs="仿宋_GB2312"/>
                <w:sz w:val="24"/>
                <w:highlight w:val="none"/>
                <w:lang w:eastAsia="zh-CN"/>
              </w:rPr>
              <w:t>2</w:t>
            </w:r>
            <w:r>
              <w:rPr>
                <w:rFonts w:hint="eastAsia" w:ascii="仿宋_GB2312" w:hAnsi="仿宋_GB2312" w:eastAsia="仿宋_GB2312" w:cs="仿宋_GB2312"/>
                <w:sz w:val="24"/>
                <w:highlight w:val="none"/>
                <w:lang w:val="en-US" w:eastAsia="zh-CN"/>
              </w:rPr>
              <w:t>0天供货</w:t>
            </w:r>
            <w:r>
              <w:rPr>
                <w:rFonts w:hint="eastAsia" w:ascii="仿宋_GB2312" w:hAnsi="仿宋_GB2312" w:eastAsia="仿宋_GB2312" w:cs="仿宋_GB2312"/>
                <w:sz w:val="24"/>
                <w:highlight w:val="none"/>
              </w:rPr>
              <w:t>完成，中标人按合同要求履约。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4</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计价方式</w:t>
            </w:r>
          </w:p>
        </w:tc>
        <w:tc>
          <w:tcPr>
            <w:tcW w:w="7200" w:type="dxa"/>
            <w:tcBorders>
              <w:tl2br w:val="nil"/>
              <w:tr2bl w:val="nil"/>
            </w:tcBorders>
            <w:vAlign w:val="center"/>
          </w:tcPr>
          <w:p>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z w:val="24"/>
                <w:highlight w:val="none"/>
              </w:rPr>
              <w:t>据实结算，但支付总价不高于合同价。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5</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招标控制价</w:t>
            </w:r>
          </w:p>
        </w:tc>
        <w:tc>
          <w:tcPr>
            <w:tcW w:w="7200" w:type="dxa"/>
            <w:tcBorders>
              <w:tl2br w:val="nil"/>
              <w:tr2bl w:val="nil"/>
            </w:tcBorders>
            <w:vAlign w:val="center"/>
          </w:tcPr>
          <w:p>
            <w:pPr>
              <w:spacing w:line="40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招标控制价为 </w:t>
            </w:r>
            <w:r>
              <w:rPr>
                <w:rFonts w:hint="eastAsia" w:ascii="仿宋_GB2312" w:hAnsi="仿宋_GB2312" w:eastAsia="仿宋_GB2312" w:cs="仿宋_GB2312"/>
                <w:sz w:val="24"/>
                <w:highlight w:val="none"/>
                <w:lang w:val="en-US" w:eastAsia="zh-CN"/>
              </w:rPr>
              <w:t>150万</w:t>
            </w:r>
            <w:r>
              <w:rPr>
                <w:rFonts w:hint="eastAsia" w:ascii="仿宋_GB2312" w:hAnsi="仿宋_GB2312" w:eastAsia="仿宋_GB2312" w:cs="仿宋_GB2312"/>
                <w:sz w:val="24"/>
                <w:highlight w:val="none"/>
              </w:rPr>
              <w:t>元。总价超出投标控制价将导致投标无效。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6</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招标方式</w:t>
            </w:r>
          </w:p>
        </w:tc>
        <w:tc>
          <w:tcPr>
            <w:tcW w:w="7200" w:type="dxa"/>
            <w:tcBorders>
              <w:tl2br w:val="nil"/>
              <w:tr2bl w:val="nil"/>
            </w:tcBorders>
            <w:vAlign w:val="center"/>
          </w:tcPr>
          <w:p>
            <w:pPr>
              <w:pStyle w:val="10"/>
              <w:widowControl/>
              <w:spacing w:line="400" w:lineRule="exact"/>
              <w:rPr>
                <w:rFonts w:ascii="仿宋_GB2312" w:hAnsi="仿宋_GB2312" w:eastAsia="仿宋_GB2312" w:cs="仿宋_GB2312"/>
                <w:snapToGrid w:val="0"/>
                <w:kern w:val="2"/>
                <w:szCs w:val="24"/>
                <w:highlight w:val="none"/>
              </w:rPr>
            </w:pPr>
            <w:r>
              <w:rPr>
                <w:rFonts w:hint="eastAsia" w:ascii="仿宋_GB2312" w:hAnsi="仿宋_GB2312" w:eastAsia="仿宋_GB2312" w:cs="仿宋_GB2312"/>
                <w:snapToGrid w:val="0"/>
                <w:kern w:val="2"/>
                <w:szCs w:val="24"/>
                <w:highlight w:val="none"/>
                <w:lang w:val="en-US" w:eastAsia="zh-CN"/>
              </w:rPr>
              <w:t>遴选招标。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7</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资格审查方式</w:t>
            </w:r>
          </w:p>
        </w:tc>
        <w:tc>
          <w:tcPr>
            <w:tcW w:w="7200" w:type="dxa"/>
            <w:tcBorders>
              <w:tl2br w:val="nil"/>
              <w:tr2bl w:val="nil"/>
            </w:tcBorders>
            <w:vAlign w:val="center"/>
          </w:tcPr>
          <w:p>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sym w:font="Wingdings 2" w:char="00A3"/>
            </w:r>
            <w:r>
              <w:rPr>
                <w:rFonts w:hint="eastAsia" w:ascii="仿宋_GB2312" w:hAnsi="仿宋_GB2312" w:eastAsia="仿宋_GB2312" w:cs="仿宋_GB2312"/>
                <w:snapToGrid w:val="0"/>
                <w:sz w:val="24"/>
                <w:highlight w:val="none"/>
              </w:rPr>
              <w:t xml:space="preserve">投标报名    </w:t>
            </w:r>
            <w:r>
              <w:rPr>
                <w:rFonts w:hint="eastAsia" w:ascii="仿宋_GB2312" w:hAnsi="仿宋_GB2312" w:eastAsia="仿宋_GB2312" w:cs="仿宋_GB2312"/>
                <w:snapToGrid w:val="0"/>
                <w:sz w:val="24"/>
                <w:highlight w:val="none"/>
              </w:rPr>
              <w:sym w:font="Wingdings 2" w:char="00A3"/>
            </w:r>
            <w:r>
              <w:rPr>
                <w:rFonts w:hint="eastAsia" w:ascii="仿宋_GB2312" w:hAnsi="仿宋_GB2312" w:eastAsia="仿宋_GB2312" w:cs="仿宋_GB2312"/>
                <w:snapToGrid w:val="0"/>
                <w:sz w:val="24"/>
                <w:highlight w:val="none"/>
              </w:rPr>
              <w:t xml:space="preserve">资格预审     </w:t>
            </w:r>
            <w:r>
              <w:rPr>
                <w:rFonts w:hint="eastAsia" w:ascii="仿宋_GB2312" w:hAnsi="仿宋_GB2312" w:eastAsia="仿宋_GB2312" w:cs="仿宋_GB2312"/>
                <w:snapToGrid w:val="0"/>
                <w:sz w:val="24"/>
                <w:highlight w:val="none"/>
              </w:rPr>
              <w:sym w:font="Wingdings 2" w:char="0052"/>
            </w:r>
            <w:r>
              <w:rPr>
                <w:rFonts w:hint="eastAsia" w:ascii="仿宋_GB2312" w:hAnsi="仿宋_GB2312" w:eastAsia="仿宋_GB2312" w:cs="仿宋_GB2312"/>
                <w:snapToGrid w:val="0"/>
                <w:sz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8</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投标人资格要求</w:t>
            </w:r>
          </w:p>
        </w:tc>
        <w:tc>
          <w:tcPr>
            <w:tcW w:w="7200" w:type="dxa"/>
            <w:tcBorders>
              <w:tl2br w:val="nil"/>
              <w:tr2bl w:val="nil"/>
            </w:tcBorders>
            <w:vAlign w:val="center"/>
          </w:tcPr>
          <w:p>
            <w:pPr>
              <w:pStyle w:val="5"/>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bCs/>
                <w:snapToGrid w:val="0"/>
                <w:sz w:val="24"/>
                <w:highlight w:val="none"/>
              </w:rPr>
              <w:t>1</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投标人须是产品制造商，</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必须</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是中华人民共和国境内注册的独立法人机构，</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需提供《营业执照》复印件等。</w:t>
            </w:r>
          </w:p>
          <w:p>
            <w:pPr>
              <w:numPr>
                <w:ilvl w:val="0"/>
                <w:numId w:val="1"/>
              </w:numPr>
              <w:spacing w:line="400" w:lineRule="exact"/>
              <w:jc w:val="left"/>
              <w:rPr>
                <w:rFonts w:hint="eastAsia" w:ascii="仿宋_GB2312" w:hAnsi="仿宋_GB2312" w:eastAsia="仿宋_GB2312" w:cs="仿宋_GB2312"/>
                <w:bCs/>
                <w:snapToGrid w:val="0"/>
                <w:sz w:val="24"/>
                <w:highlight w:val="none"/>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同一公司</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子</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公司只能有一家分支机构参与投标，且总公司不能与下属的分支机构同时参与投标。</w:t>
            </w:r>
            <w:r>
              <w:rPr>
                <w:rFonts w:hint="eastAsia" w:ascii="仿宋_GB2312" w:hAnsi="仿宋_GB2312" w:eastAsia="仿宋_GB2312" w:cs="仿宋_GB2312"/>
                <w:bCs/>
                <w:snapToGrid w:val="0"/>
                <w:sz w:val="24"/>
                <w:highlight w:val="none"/>
              </w:rPr>
              <w:t xml:space="preserve">                                                                     3.本项目不接受联合体投标，不接受转包分包。</w:t>
            </w:r>
          </w:p>
          <w:p>
            <w:pPr>
              <w:pStyle w:val="6"/>
              <w:numPr>
                <w:ilvl w:val="-1"/>
                <w:numId w:val="0"/>
              </w:numPr>
              <w:rPr>
                <w:rFonts w:hint="default"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napToGrid w:val="0"/>
                <w:sz w:val="24"/>
                <w:highlight w:val="none"/>
                <w:lang w:val="en-US" w:eastAsia="zh-CN"/>
              </w:rPr>
              <w:t>4、投标人在参与政府采购活动中出现诚信相关问题且在相关主管部门处理措施期限内的不得参与投标。投标人须提供相关证明材料扫描件并加盖投标人公章。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9</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p>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资格后审方式</w:t>
            </w:r>
          </w:p>
        </w:tc>
        <w:tc>
          <w:tcPr>
            <w:tcW w:w="7200" w:type="dxa"/>
            <w:tcBorders>
              <w:tl2br w:val="nil"/>
              <w:tr2bl w:val="nil"/>
            </w:tcBorders>
            <w:vAlign w:val="center"/>
          </w:tcPr>
          <w:p>
            <w:pPr>
              <w:pStyle w:val="10"/>
              <w:widowControl/>
              <w:spacing w:line="400" w:lineRule="exact"/>
              <w:rPr>
                <w:rFonts w:ascii="仿宋_GB2312" w:hAnsi="仿宋_GB2312" w:eastAsia="仿宋_GB2312" w:cs="仿宋_GB2312"/>
                <w:b/>
                <w:snapToGrid w:val="0"/>
                <w:kern w:val="2"/>
                <w:szCs w:val="24"/>
                <w:highlight w:val="none"/>
              </w:rPr>
            </w:pPr>
            <w:r>
              <w:rPr>
                <w:rFonts w:hint="eastAsia" w:ascii="仿宋_GB2312" w:hAnsi="仿宋_GB2312" w:eastAsia="仿宋_GB2312" w:cs="仿宋_GB2312"/>
                <w:bCs/>
                <w:snapToGrid w:val="0"/>
                <w:kern w:val="2"/>
                <w:szCs w:val="24"/>
                <w:highlight w:val="none"/>
              </w:rPr>
              <w:t>组建评审委员会对投标单位按照《资格审查表》和《符合性审查表》部分进行审查，评审委员会对投标单位打√为通过审查，打×为未通过审查。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10</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评定标方式</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评标方法为综合评分法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95" w:type="dxa"/>
            <w:tcBorders>
              <w:tl2br w:val="nil"/>
              <w:tr2bl w:val="nil"/>
            </w:tcBorders>
            <w:vAlign w:val="center"/>
          </w:tcPr>
          <w:p>
            <w:pPr>
              <w:spacing w:line="400" w:lineRule="exact"/>
              <w:ind w:firstLine="120" w:firstLineChars="50"/>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11</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投标担保</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12</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履约担保</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13</w:t>
            </w:r>
          </w:p>
        </w:tc>
        <w:tc>
          <w:tcPr>
            <w:tcW w:w="1500" w:type="dxa"/>
            <w:tcBorders>
              <w:tl2br w:val="nil"/>
              <w:tr2bl w:val="nil"/>
            </w:tcBorders>
            <w:vAlign w:val="center"/>
          </w:tcPr>
          <w:p>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合同款支付</w:t>
            </w:r>
          </w:p>
        </w:tc>
        <w:tc>
          <w:tcPr>
            <w:tcW w:w="7200" w:type="dxa"/>
            <w:tcBorders>
              <w:tl2br w:val="nil"/>
              <w:tr2bl w:val="nil"/>
            </w:tcBorders>
            <w:vAlign w:val="center"/>
          </w:tcPr>
          <w:p>
            <w:pPr>
              <w:spacing w:line="400" w:lineRule="exact"/>
              <w:jc w:val="left"/>
              <w:rPr>
                <w:rFonts w:hint="default" w:ascii="仿宋_GB2312" w:hAnsi="仿宋_GB2312" w:eastAsia="仿宋_GB2312" w:cs="仿宋_GB2312"/>
                <w:snapToGrid w:val="0"/>
                <w:sz w:val="24"/>
                <w:highlight w:val="none"/>
                <w:lang w:val="en-US" w:eastAsia="zh-CN"/>
              </w:rPr>
            </w:pPr>
            <w:r>
              <w:rPr>
                <w:rFonts w:hint="eastAsia" w:ascii="仿宋_GB2312" w:hAnsi="仿宋_GB2312" w:eastAsia="仿宋_GB2312" w:cs="仿宋_GB2312"/>
                <w:bCs/>
                <w:snapToGrid w:val="0"/>
                <w:sz w:val="24"/>
                <w:highlight w:val="none"/>
              </w:rPr>
              <w:t>合同签订生效后，按深圳市城管局相关要求进行喷涂，按照合同约定进行支付</w:t>
            </w:r>
            <w:r>
              <w:rPr>
                <w:rFonts w:hint="eastAsia" w:ascii="仿宋_GB2312" w:hAnsi="仿宋_GB2312" w:eastAsia="仿宋_GB2312" w:cs="仿宋_GB2312"/>
                <w:bCs/>
                <w:snapToGrid w:val="0"/>
                <w:sz w:val="24"/>
                <w:highlight w:val="none"/>
                <w:lang w:eastAsia="zh-CN"/>
              </w:rPr>
              <w:t>，</w:t>
            </w:r>
            <w:r>
              <w:rPr>
                <w:rFonts w:hint="eastAsia" w:ascii="仿宋_GB2312" w:hAnsi="仿宋_GB2312" w:eastAsia="仿宋_GB2312" w:cs="仿宋_GB2312"/>
                <w:bCs/>
                <w:snapToGrid w:val="0"/>
                <w:sz w:val="24"/>
                <w:highlight w:val="none"/>
                <w:lang w:val="en-US" w:eastAsia="zh-CN"/>
              </w:rPr>
              <w:t>要求中标单位购买车辆首年全保车险。合同签订并验收合格后付合同价的95%，剩余款项为质保金，质保期满后支付。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14</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评标细则</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详见下表（评分细则）</w:t>
            </w:r>
          </w:p>
        </w:tc>
      </w:tr>
    </w:tbl>
    <w:p>
      <w:pPr>
        <w:keepNext w:val="0"/>
        <w:keepLines w:val="0"/>
        <w:pageBreakBefore w:val="0"/>
        <w:widowControl/>
        <w:kinsoku/>
        <w:wordWrap/>
        <w:overflowPunct/>
        <w:topLinePunct w:val="0"/>
        <w:autoSpaceDE/>
        <w:autoSpaceDN/>
        <w:bidi w:val="0"/>
        <w:adjustRightInd/>
        <w:snapToGrid w:val="0"/>
        <w:spacing w:line="600" w:lineRule="exact"/>
        <w:ind w:firstLine="840" w:firstLineChars="300"/>
        <w:jc w:val="left"/>
        <w:textAlignment w:val="auto"/>
        <w:rPr>
          <w:rFonts w:hint="eastAsia" w:ascii="宋体" w:hAnsi="宋体"/>
          <w:color w:val="auto"/>
          <w:kern w:val="0"/>
          <w:sz w:val="28"/>
          <w:szCs w:val="28"/>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center"/>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center"/>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center"/>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center"/>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center"/>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center"/>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center"/>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both"/>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both"/>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both"/>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both"/>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both"/>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964" w:firstLineChars="300"/>
        <w:jc w:val="both"/>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bCs/>
          <w:snapToGrid w:val="0"/>
          <w:sz w:val="32"/>
          <w:szCs w:val="32"/>
          <w:highlight w:val="none"/>
        </w:rPr>
      </w:pP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宋体" w:hAnsi="宋体"/>
          <w:b/>
          <w:bCs/>
          <w:color w:val="auto"/>
          <w:kern w:val="0"/>
          <w:sz w:val="36"/>
          <w:szCs w:val="36"/>
          <w:highlight w:val="none"/>
        </w:rPr>
      </w:pPr>
      <w:r>
        <w:rPr>
          <w:rFonts w:hint="eastAsia" w:ascii="仿宋_GB2312" w:hAnsi="仿宋_GB2312" w:eastAsia="仿宋_GB2312" w:cs="仿宋_GB2312"/>
          <w:b/>
          <w:bCs/>
          <w:snapToGrid w:val="0"/>
          <w:sz w:val="32"/>
          <w:szCs w:val="32"/>
          <w:highlight w:val="none"/>
        </w:rPr>
        <w:t>评标细则</w:t>
      </w:r>
    </w:p>
    <w:p>
      <w:pPr>
        <w:keepNext w:val="0"/>
        <w:keepLines w:val="0"/>
        <w:pageBreakBefore w:val="0"/>
        <w:widowControl/>
        <w:kinsoku/>
        <w:wordWrap/>
        <w:overflowPunct/>
        <w:topLinePunct w:val="0"/>
        <w:autoSpaceDE/>
        <w:autoSpaceDN/>
        <w:bidi w:val="0"/>
        <w:adjustRightInd/>
        <w:snapToGrid w:val="0"/>
        <w:spacing w:line="600" w:lineRule="exact"/>
        <w:ind w:firstLine="720" w:firstLineChars="300"/>
        <w:jc w:val="left"/>
        <w:textAlignment w:val="auto"/>
        <w:rPr>
          <w:rFonts w:hint="eastAsia"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本项目采用综合评</w:t>
      </w:r>
      <w:r>
        <w:rPr>
          <w:rFonts w:hint="eastAsia" w:ascii="仿宋_GB2312" w:hAnsi="仿宋_GB2312" w:eastAsia="仿宋_GB2312" w:cs="仿宋_GB2312"/>
          <w:snapToGrid w:val="0"/>
          <w:sz w:val="24"/>
          <w:highlight w:val="none"/>
          <w:lang w:val="en-US" w:eastAsia="zh-CN"/>
        </w:rPr>
        <w:t>分</w:t>
      </w:r>
      <w:r>
        <w:rPr>
          <w:rFonts w:hint="eastAsia" w:ascii="仿宋_GB2312" w:hAnsi="仿宋_GB2312" w:eastAsia="仿宋_GB2312" w:cs="仿宋_GB2312"/>
          <w:snapToGrid w:val="0"/>
          <w:sz w:val="24"/>
          <w:highlight w:val="none"/>
        </w:rPr>
        <w:t>法，是指在最大限度地满足招标文件实质性要求前提下，按照招标文件规定的评审标准进行评审，按评审因素的量化指标评审，</w:t>
      </w:r>
      <w:r>
        <w:rPr>
          <w:rFonts w:hint="eastAsia" w:ascii="仿宋_GB2312" w:hAnsi="仿宋_GB2312" w:eastAsia="仿宋_GB2312" w:cs="仿宋_GB2312"/>
          <w:snapToGrid w:val="0"/>
          <w:sz w:val="24"/>
          <w:highlight w:val="none"/>
          <w:lang w:val="en-US" w:eastAsia="zh-CN"/>
        </w:rPr>
        <w:t>得分最高的投标供应商</w:t>
      </w:r>
      <w:r>
        <w:rPr>
          <w:rFonts w:hint="eastAsia" w:ascii="仿宋_GB2312" w:hAnsi="仿宋_GB2312" w:eastAsia="仿宋_GB2312" w:cs="仿宋_GB2312"/>
          <w:snapToGrid w:val="0"/>
          <w:sz w:val="24"/>
          <w:highlight w:val="none"/>
        </w:rPr>
        <w:t>推荐为中标候选人。</w:t>
      </w:r>
    </w:p>
    <w:p>
      <w:pPr>
        <w:keepNext w:val="0"/>
        <w:keepLines w:val="0"/>
        <w:pageBreakBefore w:val="0"/>
        <w:widowControl/>
        <w:kinsoku/>
        <w:wordWrap/>
        <w:overflowPunct/>
        <w:topLinePunct w:val="0"/>
        <w:autoSpaceDE/>
        <w:autoSpaceDN/>
        <w:bidi w:val="0"/>
        <w:adjustRightInd/>
        <w:snapToGrid w:val="0"/>
        <w:spacing w:line="600" w:lineRule="exact"/>
        <w:ind w:firstLine="720" w:firstLineChars="300"/>
        <w:jc w:val="left"/>
        <w:textAlignment w:val="auto"/>
        <w:rPr>
          <w:rFonts w:hint="eastAsia" w:ascii="仿宋_GB2312" w:hAnsi="仿宋_GB2312" w:eastAsia="仿宋_GB2312" w:cs="仿宋_GB2312"/>
          <w:snapToGrid w:val="0"/>
          <w:sz w:val="24"/>
          <w:highlight w:val="none"/>
          <w:lang w:val="en-US" w:eastAsia="zh-CN"/>
        </w:rPr>
      </w:pPr>
    </w:p>
    <w:tbl>
      <w:tblPr>
        <w:tblStyle w:val="12"/>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2158"/>
        <w:gridCol w:w="2159"/>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52" w:type="dxa"/>
            <w:gridSpan w:val="4"/>
            <w:shd w:val="clear" w:color="auto" w:fill="D9E2F3"/>
            <w:vAlign w:val="center"/>
          </w:tcPr>
          <w:p>
            <w:pPr>
              <w:widowControl w:val="0"/>
              <w:autoSpaceDE w:val="0"/>
              <w:autoSpaceDN w:val="0"/>
              <w:adjustRightInd w:val="0"/>
              <w:snapToGrid w:val="0"/>
              <w:ind w:firstLine="0" w:firstLineChars="0"/>
              <w:jc w:val="center"/>
              <w:rPr>
                <w:rFonts w:ascii="仿宋_GB2312" w:hAnsi="仿宋_GB2312"/>
                <w:b/>
                <w:sz w:val="32"/>
                <w:szCs w:val="32"/>
              </w:rPr>
            </w:pPr>
            <w:r>
              <w:rPr>
                <w:rFonts w:hint="eastAsia" w:ascii="仿宋_GB2312" w:hAnsi="仿宋_GB2312"/>
                <w:b/>
                <w:sz w:val="28"/>
                <w:szCs w:val="28"/>
              </w:rPr>
              <w:t>《商务标、技术标、价格标综合得分汇总》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76" w:type="dxa"/>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名称</w:t>
            </w:r>
          </w:p>
        </w:tc>
        <w:tc>
          <w:tcPr>
            <w:tcW w:w="2158" w:type="dxa"/>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商务标</w:t>
            </w:r>
          </w:p>
        </w:tc>
        <w:tc>
          <w:tcPr>
            <w:tcW w:w="2159" w:type="dxa"/>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技术标</w:t>
            </w:r>
          </w:p>
        </w:tc>
        <w:tc>
          <w:tcPr>
            <w:tcW w:w="2159" w:type="dxa"/>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价格标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76" w:type="dxa"/>
            <w:vAlign w:val="top"/>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得分</w:t>
            </w:r>
          </w:p>
        </w:tc>
        <w:tc>
          <w:tcPr>
            <w:tcW w:w="2158" w:type="dxa"/>
            <w:vAlign w:val="top"/>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仿宋_GB2312" w:hAnsi="仿宋_GB2312" w:eastAsia="仿宋_GB2312" w:cs="仿宋_GB2312"/>
                <w:snapToGrid w:val="0"/>
                <w:sz w:val="24"/>
                <w:highlight w:val="none"/>
                <w:lang w:val="en-US" w:eastAsia="zh-CN"/>
              </w:rPr>
            </w:pPr>
            <w:r>
              <w:rPr>
                <w:rFonts w:hint="eastAsia" w:ascii="仿宋_GB2312" w:hAnsi="仿宋_GB2312" w:eastAsia="仿宋_GB2312" w:cs="仿宋_GB2312"/>
                <w:snapToGrid w:val="0"/>
                <w:sz w:val="24"/>
                <w:highlight w:val="none"/>
                <w:lang w:val="en-US" w:eastAsia="zh-CN"/>
              </w:rPr>
              <w:t>24</w:t>
            </w:r>
          </w:p>
        </w:tc>
        <w:tc>
          <w:tcPr>
            <w:tcW w:w="2159" w:type="dxa"/>
            <w:vAlign w:val="top"/>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仿宋_GB2312" w:hAnsi="仿宋_GB2312" w:eastAsia="仿宋_GB2312" w:cs="仿宋_GB2312"/>
                <w:snapToGrid w:val="0"/>
                <w:sz w:val="24"/>
                <w:highlight w:val="none"/>
                <w:lang w:val="en-US" w:eastAsia="zh-CN"/>
              </w:rPr>
            </w:pPr>
            <w:r>
              <w:rPr>
                <w:rFonts w:hint="eastAsia" w:ascii="仿宋_GB2312" w:hAnsi="仿宋_GB2312" w:eastAsia="仿宋_GB2312" w:cs="仿宋_GB2312"/>
                <w:snapToGrid w:val="0"/>
                <w:sz w:val="24"/>
                <w:highlight w:val="none"/>
                <w:lang w:val="en-US" w:eastAsia="zh-CN"/>
              </w:rPr>
              <w:t>46</w:t>
            </w:r>
          </w:p>
        </w:tc>
        <w:tc>
          <w:tcPr>
            <w:tcW w:w="2159" w:type="dxa"/>
            <w:vAlign w:val="top"/>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仿宋_GB2312" w:hAnsi="仿宋_GB2312" w:eastAsia="仿宋_GB2312" w:cs="仿宋_GB2312"/>
                <w:snapToGrid w:val="0"/>
                <w:sz w:val="24"/>
                <w:highlight w:val="none"/>
                <w:lang w:val="en-US" w:eastAsia="zh-CN"/>
              </w:rPr>
            </w:pPr>
            <w:r>
              <w:rPr>
                <w:rFonts w:hint="eastAsia" w:ascii="仿宋_GB2312" w:hAnsi="仿宋_GB2312" w:eastAsia="仿宋_GB2312" w:cs="仿宋_GB2312"/>
                <w:snapToGrid w:val="0"/>
                <w:sz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76" w:type="dxa"/>
            <w:vAlign w:val="top"/>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投标人综合得分</w:t>
            </w:r>
          </w:p>
        </w:tc>
        <w:tc>
          <w:tcPr>
            <w:tcW w:w="6476" w:type="dxa"/>
            <w:gridSpan w:val="3"/>
            <w:vAlign w:val="top"/>
          </w:tcPr>
          <w:p>
            <w:pPr>
              <w:keepNext w:val="0"/>
              <w:keepLines w:val="0"/>
              <w:pageBreakBefore w:val="0"/>
              <w:widowControl/>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商务标得分+技术标得分+价格标得分=100</w:t>
            </w:r>
          </w:p>
        </w:tc>
      </w:tr>
    </w:tbl>
    <w:p>
      <w:pPr>
        <w:pStyle w:val="6"/>
      </w:pPr>
    </w:p>
    <w:p>
      <w:pPr>
        <w:pStyle w:val="6"/>
      </w:pPr>
    </w:p>
    <w:tbl>
      <w:tblPr>
        <w:tblStyle w:val="12"/>
        <w:tblW w:w="0" w:type="auto"/>
        <w:jc w:val="center"/>
        <w:tblBorders>
          <w:top w:val="thinThickSmallGap" w:color="auto" w:sz="12" w:space="0"/>
          <w:left w:val="thinThickSmallGap" w:color="auto" w:sz="12" w:space="0"/>
          <w:bottom w:val="thickThinSmallGap" w:color="auto" w:sz="12" w:space="0"/>
          <w:right w:val="thickThinSmallGap" w:color="auto" w:sz="12" w:space="0"/>
          <w:insideH w:val="none" w:color="auto" w:sz="0" w:space="0"/>
          <w:insideV w:val="none" w:color="auto" w:sz="0" w:space="0"/>
        </w:tblBorders>
        <w:tblLayout w:type="fixed"/>
        <w:tblCellMar>
          <w:top w:w="0" w:type="dxa"/>
          <w:left w:w="108" w:type="dxa"/>
          <w:bottom w:w="0" w:type="dxa"/>
          <w:right w:w="108" w:type="dxa"/>
        </w:tblCellMar>
      </w:tblPr>
      <w:tblGrid>
        <w:gridCol w:w="9180"/>
      </w:tblGrid>
      <w:tr>
        <w:tblPrEx>
          <w:tblBorders>
            <w:top w:val="thinThickSmallGap" w:color="auto" w:sz="12" w:space="0"/>
            <w:left w:val="thinThickSmallGap" w:color="auto" w:sz="12" w:space="0"/>
            <w:bottom w:val="thickThinSmallGap" w:color="auto" w:sz="12" w:space="0"/>
            <w:right w:val="thickThinSmallGap"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9180" w:type="dxa"/>
            <w:tcBorders>
              <w:top w:val="single" w:color="auto" w:sz="6" w:space="0"/>
              <w:left w:val="thinThickSmallGap" w:color="auto" w:sz="18" w:space="0"/>
              <w:bottom w:val="single" w:color="auto" w:sz="6" w:space="0"/>
              <w:right w:val="thinThickSmallGap" w:color="auto" w:sz="18" w:space="0"/>
            </w:tcBorders>
          </w:tcPr>
          <w:p>
            <w:pPr>
              <w:widowControl/>
              <w:snapToGrid w:val="0"/>
              <w:spacing w:line="40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一</w:t>
            </w:r>
            <w:r>
              <w:rPr>
                <w:rFonts w:hint="eastAsia" w:ascii="方正仿宋_GB2312" w:hAnsi="方正仿宋_GB2312" w:eastAsia="方正仿宋_GB2312" w:cs="方正仿宋_GB2312"/>
                <w:color w:val="auto"/>
                <w:kern w:val="0"/>
                <w:sz w:val="24"/>
                <w:szCs w:val="24"/>
                <w:highlight w:val="none"/>
              </w:rPr>
              <w:t>、评标标准：</w:t>
            </w:r>
          </w:p>
          <w:p>
            <w:pPr>
              <w:widowControl/>
              <w:snapToGrid w:val="0"/>
              <w:spacing w:line="40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首先按照评标程序的规定对各投标人的资格性以及符合性做出评审，只有资格性检查和符合性检查合格的投标文件才能进入综合评分。评标委员会各位评委依据评分标准以及各项权重，就每个合格投标人的投标文件及其对招标文件要求的响应情况进行综合比较和评价，统计每个通过审核的投标人的技术、商务、价格得分。</w:t>
            </w:r>
          </w:p>
          <w:p>
            <w:pPr>
              <w:widowControl/>
              <w:snapToGrid w:val="0"/>
              <w:spacing w:line="40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（一）具体的评标标准。</w:t>
            </w:r>
          </w:p>
          <w:tbl>
            <w:tblPr>
              <w:tblStyle w:val="12"/>
              <w:tblpPr w:leftFromText="180" w:rightFromText="180" w:vertAnchor="text" w:horzAnchor="page" w:tblpX="-26" w:tblpY="1378"/>
              <w:tblOverlap w:val="never"/>
              <w:tblW w:w="966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450"/>
              <w:gridCol w:w="719"/>
              <w:gridCol w:w="7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6" w:hRule="atLeast"/>
                <w:tblHeader/>
              </w:trPr>
              <w:tc>
                <w:tcPr>
                  <w:tcW w:w="779" w:type="dxa"/>
                  <w:vAlign w:val="center"/>
                </w:tcPr>
                <w:p>
                  <w:pPr>
                    <w:tabs>
                      <w:tab w:val="left" w:pos="900"/>
                      <w:tab w:val="left" w:pos="1080"/>
                    </w:tabs>
                    <w:spacing w:line="440" w:lineRule="exact"/>
                    <w:ind w:left="0" w:leftChars="0" w:firstLine="0" w:firstLineChars="0"/>
                    <w:jc w:val="both"/>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序号</w:t>
                  </w:r>
                </w:p>
              </w:tc>
              <w:tc>
                <w:tcPr>
                  <w:tcW w:w="7450" w:type="dxa"/>
                  <w:vAlign w:val="center"/>
                </w:tcPr>
                <w:p>
                  <w:pPr>
                    <w:tabs>
                      <w:tab w:val="left" w:pos="900"/>
                      <w:tab w:val="left" w:pos="1080"/>
                    </w:tabs>
                    <w:spacing w:line="440" w:lineRule="exact"/>
                    <w:ind w:firstLine="442" w:firstLineChars="200"/>
                    <w:jc w:val="center"/>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 xml:space="preserve">评分界定 </w:t>
                  </w:r>
                </w:p>
              </w:tc>
              <w:tc>
                <w:tcPr>
                  <w:tcW w:w="719" w:type="dxa"/>
                  <w:vAlign w:val="center"/>
                </w:tcPr>
                <w:p>
                  <w:pPr>
                    <w:tabs>
                      <w:tab w:val="left" w:pos="900"/>
                      <w:tab w:val="left" w:pos="1080"/>
                    </w:tabs>
                    <w:spacing w:line="440" w:lineRule="exact"/>
                    <w:ind w:left="0" w:leftChars="0" w:firstLine="0" w:firstLineChars="0"/>
                    <w:jc w:val="both"/>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分值</w:t>
                  </w:r>
                </w:p>
              </w:tc>
              <w:tc>
                <w:tcPr>
                  <w:tcW w:w="719" w:type="dxa"/>
                  <w:vAlign w:val="center"/>
                </w:tcPr>
                <w:p>
                  <w:pPr>
                    <w:tabs>
                      <w:tab w:val="left" w:pos="900"/>
                      <w:tab w:val="left" w:pos="1080"/>
                    </w:tabs>
                    <w:spacing w:line="440" w:lineRule="exact"/>
                    <w:ind w:left="0" w:leftChars="0" w:firstLine="0" w:firstLineChars="0"/>
                    <w:jc w:val="both"/>
                    <w:rPr>
                      <w:rFonts w:hint="eastAsia" w:ascii="方正仿宋_GB2312" w:hAnsi="方正仿宋_GB2312" w:eastAsia="方正仿宋_GB2312" w:cs="方正仿宋_GB2312"/>
                      <w:b/>
                      <w:color w:val="auto"/>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8948" w:type="dxa"/>
                  <w:gridSpan w:val="3"/>
                  <w:vAlign w:val="center"/>
                </w:tcPr>
                <w:p>
                  <w:pPr>
                    <w:spacing w:line="440" w:lineRule="exact"/>
                    <w:jc w:val="center"/>
                    <w:rPr>
                      <w:rFonts w:hint="eastAsia" w:ascii="方正仿宋_GB2312" w:hAnsi="方正仿宋_GB2312" w:eastAsia="方正仿宋_GB2312" w:cs="方正仿宋_GB2312"/>
                      <w:bCs/>
                      <w:color w:val="auto"/>
                      <w:sz w:val="22"/>
                      <w:szCs w:val="22"/>
                      <w:highlight w:val="none"/>
                    </w:rPr>
                  </w:pPr>
                  <w:r>
                    <w:rPr>
                      <w:rFonts w:hint="eastAsia" w:ascii="方正仿宋_GB2312" w:hAnsi="方正仿宋_GB2312" w:eastAsia="方正仿宋_GB2312" w:cs="方正仿宋_GB2312"/>
                      <w:b/>
                      <w:color w:val="auto"/>
                      <w:sz w:val="24"/>
                      <w:szCs w:val="24"/>
                      <w:highlight w:val="none"/>
                    </w:rPr>
                    <w:t>1、技术因素（满分</w:t>
                  </w:r>
                  <w:r>
                    <w:rPr>
                      <w:rFonts w:hint="eastAsia" w:ascii="方正仿宋_GB2312" w:hAnsi="方正仿宋_GB2312" w:eastAsia="方正仿宋_GB2312" w:cs="方正仿宋_GB2312"/>
                      <w:b/>
                      <w:color w:val="auto"/>
                      <w:sz w:val="24"/>
                      <w:szCs w:val="24"/>
                      <w:highlight w:val="none"/>
                      <w:lang w:val="en-US" w:eastAsia="zh-CN"/>
                    </w:rPr>
                    <w:t>46</w:t>
                  </w:r>
                  <w:r>
                    <w:rPr>
                      <w:rFonts w:hint="eastAsia" w:ascii="方正仿宋_GB2312" w:hAnsi="方正仿宋_GB2312" w:eastAsia="方正仿宋_GB2312" w:cs="方正仿宋_GB2312"/>
                      <w:b/>
                      <w:color w:val="auto"/>
                      <w:sz w:val="24"/>
                      <w:szCs w:val="24"/>
                      <w:highlight w:val="none"/>
                    </w:rPr>
                    <w:t>分）</w:t>
                  </w:r>
                </w:p>
              </w:tc>
              <w:tc>
                <w:tcPr>
                  <w:tcW w:w="719" w:type="dxa"/>
                  <w:vAlign w:val="center"/>
                </w:tcPr>
                <w:p>
                  <w:pPr>
                    <w:spacing w:line="440" w:lineRule="exact"/>
                    <w:jc w:val="center"/>
                    <w:rPr>
                      <w:rFonts w:hint="eastAsia" w:ascii="方正仿宋_GB2312" w:hAnsi="方正仿宋_GB2312" w:eastAsia="方正仿宋_GB2312" w:cs="方正仿宋_GB2312"/>
                      <w:b/>
                      <w:color w:val="auto"/>
                      <w:sz w:val="22"/>
                      <w:szCs w:val="22"/>
                      <w:highlight w:val="gree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779" w:type="dxa"/>
                  <w:vAlign w:val="center"/>
                </w:tcPr>
                <w:p>
                  <w:pPr>
                    <w:spacing w:line="440" w:lineRule="exact"/>
                    <w:ind w:left="0" w:leftChars="0" w:firstLine="0" w:firstLineChars="0"/>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1-1</w:t>
                  </w:r>
                </w:p>
              </w:tc>
              <w:tc>
                <w:tcPr>
                  <w:tcW w:w="7450" w:type="dxa"/>
                  <w:vAlign w:val="center"/>
                </w:tcPr>
                <w:p>
                  <w:pPr>
                    <w:pStyle w:val="20"/>
                    <w:keepNext w:val="0"/>
                    <w:keepLines w:val="0"/>
                    <w:suppressLineNumbers w:val="0"/>
                    <w:spacing w:before="50" w:beforeAutospacing="0" w:afterAutospacing="0" w:line="285" w:lineRule="auto"/>
                    <w:ind w:left="0" w:leftChars="0" w:right="-15" w:firstLine="0" w:firstLineChars="0"/>
                    <w:rPr>
                      <w:rFonts w:hint="eastAsia" w:ascii="方正仿宋_GB2312" w:hAnsi="方正仿宋_GB2312" w:eastAsia="方正仿宋_GB2312" w:cs="方正仿宋_GB2312"/>
                      <w:b w:val="0"/>
                      <w:bCs w:val="0"/>
                      <w:color w:val="auto"/>
                      <w:kern w:val="2"/>
                      <w:sz w:val="24"/>
                      <w:szCs w:val="24"/>
                      <w:highlight w:val="none"/>
                      <w:lang w:val="en-US" w:eastAsia="zh-CN"/>
                    </w:rPr>
                  </w:pPr>
                  <w:r>
                    <w:rPr>
                      <w:rFonts w:hint="eastAsia" w:ascii="方正仿宋_GB2312" w:hAnsi="方正仿宋_GB2312" w:eastAsia="方正仿宋_GB2312" w:cs="方正仿宋_GB2312"/>
                      <w:b w:val="0"/>
                      <w:bCs w:val="0"/>
                      <w:color w:val="auto"/>
                      <w:kern w:val="2"/>
                      <w:sz w:val="24"/>
                      <w:szCs w:val="24"/>
                      <w:highlight w:val="none"/>
                      <w:lang w:val="en-US" w:eastAsia="zh-CN"/>
                    </w:rPr>
                    <w:t>投标人技术规格符合招标文件要求，能完全满足使用要求的得46分。设备参数及技术规格低于或不满足招标文件要求即为负偏离。</w:t>
                  </w:r>
                </w:p>
                <w:p>
                  <w:pPr>
                    <w:widowControl/>
                    <w:spacing w:line="440" w:lineRule="exact"/>
                    <w:ind w:left="0" w:leftChars="0" w:firstLine="0" w:firstLineChars="0"/>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val="0"/>
                      <w:bCs w:val="0"/>
                      <w:color w:val="auto"/>
                      <w:kern w:val="2"/>
                      <w:sz w:val="24"/>
                      <w:szCs w:val="24"/>
                      <w:highlight w:val="none"/>
                      <w:lang w:val="en-US" w:eastAsia="zh-CN"/>
                    </w:rPr>
                    <w:t xml:space="preserve">注：根据投标货物的技术参数指标，以工信部公告参数为准，否则评委视为不满足。   </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底盘电机额定功率(</w:t>
                  </w:r>
                  <w:r>
                    <w:rPr>
                      <w:rFonts w:hint="eastAsia" w:ascii="方正仿宋_GB2312" w:hAnsi="方正仿宋_GB2312" w:eastAsia="方正仿宋_GB2312" w:cs="方正仿宋_GB2312"/>
                      <w:bCs/>
                      <w:sz w:val="24"/>
                      <w:szCs w:val="24"/>
                    </w:rPr>
                    <w:t>kW</w:t>
                  </w: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rPr>
                    <w:t>,以工信部的汽车产品公告参数页数据为准</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底盘电机类型:永磁同步电机</w:t>
                  </w:r>
                  <w:r>
                    <w:rPr>
                      <w:rFonts w:hint="eastAsia" w:ascii="方正仿宋_GB2312" w:hAnsi="方正仿宋_GB2312" w:eastAsia="方正仿宋_GB2312" w:cs="方正仿宋_GB2312"/>
                      <w:sz w:val="24"/>
                      <w:szCs w:val="24"/>
                      <w:lang w:val="en-US" w:eastAsia="zh-CN"/>
                    </w:rPr>
                    <w:t>或优于</w:t>
                  </w:r>
                  <w:r>
                    <w:rPr>
                      <w:rFonts w:hint="eastAsia" w:ascii="方正仿宋_GB2312" w:hAnsi="方正仿宋_GB2312" w:eastAsia="方正仿宋_GB2312" w:cs="方正仿宋_GB2312"/>
                      <w:sz w:val="24"/>
                    </w:rPr>
                    <w:t>,以工信部的汽车产品公告参数页数据为准</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总质量(kg)≤4500</w:t>
                  </w:r>
                  <w:r>
                    <w:rPr>
                      <w:rFonts w:hint="eastAsia" w:ascii="方正仿宋_GB2312" w:hAnsi="方正仿宋_GB2312" w:eastAsia="方正仿宋_GB2312" w:cs="方正仿宋_GB2312"/>
                      <w:sz w:val="24"/>
                    </w:rPr>
                    <w:t>,以工信部的汽车产品公告参数页数据为准</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4分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额定载质量(kg)≥10</w:t>
                  </w:r>
                  <w:r>
                    <w:rPr>
                      <w:rFonts w:hint="eastAsia" w:ascii="方正仿宋_GB2312" w:hAnsi="方正仿宋_GB2312" w:eastAsia="方正仿宋_GB2312" w:cs="方正仿宋_GB2312"/>
                      <w:sz w:val="24"/>
                      <w:szCs w:val="24"/>
                      <w:lang w:val="en-US" w:eastAsia="zh-CN"/>
                    </w:rPr>
                    <w:t>0</w:t>
                  </w:r>
                  <w:r>
                    <w:rPr>
                      <w:rFonts w:hint="eastAsia" w:ascii="方正仿宋_GB2312" w:hAnsi="方正仿宋_GB2312" w:eastAsia="方正仿宋_GB2312" w:cs="方正仿宋_GB2312"/>
                      <w:sz w:val="24"/>
                      <w:szCs w:val="24"/>
                    </w:rPr>
                    <w:t>0</w:t>
                  </w:r>
                  <w:r>
                    <w:rPr>
                      <w:rFonts w:hint="eastAsia" w:ascii="方正仿宋_GB2312" w:hAnsi="方正仿宋_GB2312" w:eastAsia="方正仿宋_GB2312" w:cs="方正仿宋_GB2312"/>
                      <w:sz w:val="24"/>
                    </w:rPr>
                    <w:t>,以工信部的汽车产品公告参数页数据为准</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4分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电池种类:磷酸铁锂或优于</w:t>
                  </w:r>
                  <w:r>
                    <w:rPr>
                      <w:rFonts w:hint="eastAsia" w:ascii="方正仿宋_GB2312" w:hAnsi="方正仿宋_GB2312" w:eastAsia="方正仿宋_GB2312" w:cs="方正仿宋_GB2312"/>
                      <w:sz w:val="24"/>
                    </w:rPr>
                    <w:t>,以工信部的汽车产品公告参数页数据为准</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szCs w:val="24"/>
                    </w:rPr>
                    <w:t>轴距(mm)≤2900</w:t>
                  </w:r>
                  <w:r>
                    <w:rPr>
                      <w:rFonts w:hint="eastAsia" w:ascii="方正仿宋_GB2312" w:hAnsi="方正仿宋_GB2312" w:eastAsia="方正仿宋_GB2312" w:cs="方正仿宋_GB2312"/>
                      <w:sz w:val="24"/>
                    </w:rPr>
                    <w:t>,以工信部的汽车产品公告参数页数据为准</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翻桶作业循环时间(s)≤20</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卸料作业循环时间(s)≤</w:t>
                  </w:r>
                  <w:r>
                    <w:rPr>
                      <w:rFonts w:hint="eastAsia" w:ascii="方正仿宋_GB2312" w:hAnsi="方正仿宋_GB2312" w:eastAsia="方正仿宋_GB2312" w:cs="方正仿宋_GB2312"/>
                      <w:sz w:val="24"/>
                      <w:szCs w:val="24"/>
                      <w:lang w:val="en-US" w:eastAsia="zh-CN"/>
                    </w:rPr>
                    <w:t>60</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垃圾箱容积(m³)≥4.5</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电池总储电量(kwh)≥50</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4分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配套使用垃圾桶(L)：120,240,660</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4分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垃圾箱需采用船型密闭设计</w:t>
                  </w:r>
                  <w:r>
                    <w:rPr>
                      <w:rFonts w:hint="eastAsia" w:ascii="方正仿宋_GB2312" w:hAnsi="方正仿宋_GB2312" w:eastAsia="方正仿宋_GB2312" w:cs="方正仿宋_GB2312"/>
                      <w:sz w:val="24"/>
                    </w:rPr>
                    <w:t>（需提供实物图片证明）</w:t>
                  </w:r>
                  <w:r>
                    <w:rPr>
                      <w:rFonts w:hint="eastAsia" w:ascii="方正仿宋_GB2312" w:hAnsi="方正仿宋_GB2312" w:eastAsia="方正仿宋_GB2312" w:cs="方正仿宋_GB2312"/>
                      <w:sz w:val="24"/>
                      <w:szCs w:val="24"/>
                    </w:rPr>
                    <w:t>，可有效防止二次污染。</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4分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上料机构需设置于垃圾箱尾部，可同时装载两个120L/240L垃圾桶或单个660L垃圾桶。</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4分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垃圾箱上需设置有压填机构，并配有刮板和滑板，可将松散垃圾进行压缩和遮盖的装置。</w:t>
                  </w:r>
                  <w:r>
                    <w:rPr>
                      <w:rFonts w:hint="eastAsia" w:ascii="方正仿宋_GB2312" w:hAnsi="方正仿宋_GB2312" w:eastAsia="方正仿宋_GB2312" w:cs="方正仿宋_GB2312"/>
                      <w:sz w:val="24"/>
                    </w:rPr>
                    <w:t>（需提供实物图片证明）</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在车辆的车辆尾部右侧需设置有操作面板，用于控制垃圾箱的上料、卸料、压填循环等动作。</w:t>
                  </w:r>
                  <w:r>
                    <w:rPr>
                      <w:rFonts w:hint="eastAsia" w:ascii="方正仿宋_GB2312" w:hAnsi="方正仿宋_GB2312" w:eastAsia="方正仿宋_GB2312" w:cs="方正仿宋_GB2312"/>
                      <w:sz w:val="24"/>
                    </w:rPr>
                    <w:t>（需提供实物图片证明）</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需具有遥控器，可用于控制上料、卸料及压填循环等动作。</w:t>
                  </w:r>
                  <w:r>
                    <w:rPr>
                      <w:rFonts w:hint="eastAsia" w:ascii="方正仿宋_GB2312" w:hAnsi="方正仿宋_GB2312" w:eastAsia="方正仿宋_GB2312" w:cs="方正仿宋_GB2312"/>
                      <w:sz w:val="24"/>
                    </w:rPr>
                    <w:t>（需提供实物图片证明）</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p>
                  <w:pPr>
                    <w:pStyle w:val="21"/>
                    <w:numPr>
                      <w:ilvl w:val="0"/>
                      <w:numId w:val="2"/>
                    </w:numPr>
                    <w:spacing w:after="156" w:afterLines="50" w:line="240" w:lineRule="auto"/>
                    <w:ind w:firstLineChars="0"/>
                    <w:rPr>
                      <w:rFonts w:hint="eastAsia" w:ascii="方正仿宋_GB2312" w:hAnsi="方正仿宋_GB2312" w:eastAsia="方正仿宋_GB2312" w:cs="方正仿宋_GB2312"/>
                      <w:color w:val="auto"/>
                      <w:kern w:val="0"/>
                      <w:sz w:val="22"/>
                      <w:szCs w:val="22"/>
                      <w:highlight w:val="none"/>
                      <w:lang w:val="en-US" w:eastAsia="zh-CN"/>
                    </w:rPr>
                  </w:pPr>
                  <w:r>
                    <w:rPr>
                      <w:rFonts w:hint="eastAsia" w:ascii="方正仿宋_GB2312" w:hAnsi="方正仿宋_GB2312" w:eastAsia="方正仿宋_GB2312" w:cs="方正仿宋_GB2312"/>
                      <w:sz w:val="24"/>
                      <w:szCs w:val="24"/>
                    </w:rPr>
                    <w:t>需配备蜂鸣器报警系统，能在卸料作业时，蜂鸣器发出报警声音。</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2分</w:t>
                  </w:r>
                  <w:r>
                    <w:rPr>
                      <w:rFonts w:hint="eastAsia" w:ascii="方正仿宋_GB2312" w:hAnsi="方正仿宋_GB2312" w:eastAsia="方正仿宋_GB2312" w:cs="方正仿宋_GB2312"/>
                      <w:sz w:val="24"/>
                      <w:lang w:eastAsia="zh-CN"/>
                    </w:rPr>
                    <w:t>）</w:t>
                  </w:r>
                </w:p>
              </w:tc>
              <w:tc>
                <w:tcPr>
                  <w:tcW w:w="719" w:type="dxa"/>
                  <w:vAlign w:val="center"/>
                </w:tcPr>
                <w:p>
                  <w:pPr>
                    <w:widowControl/>
                    <w:spacing w:line="440" w:lineRule="exact"/>
                    <w:ind w:left="0" w:leftChars="0" w:firstLine="0" w:firstLineChars="0"/>
                    <w:jc w:val="both"/>
                    <w:rPr>
                      <w:rFonts w:hint="eastAsia" w:ascii="方正仿宋_GB2312" w:hAnsi="方正仿宋_GB2312" w:eastAsia="方正仿宋_GB2312" w:cs="方正仿宋_GB2312"/>
                      <w:bCs/>
                      <w:color w:val="auto"/>
                      <w:kern w:val="0"/>
                      <w:sz w:val="22"/>
                      <w:szCs w:val="22"/>
                      <w:highlight w:val="none"/>
                    </w:rPr>
                  </w:pPr>
                  <w:r>
                    <w:rPr>
                      <w:rFonts w:hint="eastAsia" w:ascii="方正仿宋_GB2312" w:hAnsi="方正仿宋_GB2312" w:eastAsia="方正仿宋_GB2312" w:cs="方正仿宋_GB2312"/>
                      <w:bCs/>
                      <w:color w:val="auto"/>
                      <w:kern w:val="0"/>
                      <w:sz w:val="22"/>
                      <w:szCs w:val="22"/>
                      <w:highlight w:val="none"/>
                      <w:lang w:val="en-US" w:eastAsia="zh-CN"/>
                    </w:rPr>
                    <w:t>46</w:t>
                  </w:r>
                  <w:r>
                    <w:rPr>
                      <w:rFonts w:hint="eastAsia" w:ascii="方正仿宋_GB2312" w:hAnsi="方正仿宋_GB2312" w:eastAsia="方正仿宋_GB2312" w:cs="方正仿宋_GB2312"/>
                      <w:bCs/>
                      <w:color w:val="auto"/>
                      <w:kern w:val="0"/>
                      <w:sz w:val="22"/>
                      <w:szCs w:val="22"/>
                      <w:highlight w:val="none"/>
                    </w:rPr>
                    <w:t>分</w:t>
                  </w:r>
                </w:p>
              </w:tc>
              <w:tc>
                <w:tcPr>
                  <w:tcW w:w="719" w:type="dxa"/>
                  <w:vAlign w:val="center"/>
                </w:tcPr>
                <w:p>
                  <w:pPr>
                    <w:widowControl/>
                    <w:spacing w:line="440" w:lineRule="exact"/>
                    <w:ind w:left="0" w:leftChars="0" w:firstLine="0" w:firstLineChars="0"/>
                    <w:jc w:val="both"/>
                    <w:rPr>
                      <w:rFonts w:hint="eastAsia" w:ascii="方正仿宋_GB2312" w:hAnsi="方正仿宋_GB2312" w:eastAsia="方正仿宋_GB2312" w:cs="方正仿宋_GB2312"/>
                      <w:bCs/>
                      <w:color w:val="auto"/>
                      <w:kern w:val="0"/>
                      <w:sz w:val="22"/>
                      <w:szCs w:val="22"/>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8948" w:type="dxa"/>
                  <w:gridSpan w:val="3"/>
                  <w:vAlign w:val="center"/>
                </w:tcPr>
                <w:p>
                  <w:pPr>
                    <w:spacing w:line="440" w:lineRule="exact"/>
                    <w:jc w:val="center"/>
                    <w:rPr>
                      <w:rFonts w:hint="eastAsia" w:ascii="方正仿宋_GB2312" w:hAnsi="方正仿宋_GB2312" w:eastAsia="方正仿宋_GB2312" w:cs="方正仿宋_GB2312"/>
                      <w:bCs/>
                      <w:color w:val="auto"/>
                      <w:sz w:val="22"/>
                      <w:szCs w:val="22"/>
                      <w:highlight w:val="none"/>
                    </w:rPr>
                  </w:pPr>
                  <w:r>
                    <w:rPr>
                      <w:rFonts w:hint="eastAsia" w:ascii="方正仿宋_GB2312" w:hAnsi="方正仿宋_GB2312" w:eastAsia="方正仿宋_GB2312" w:cs="方正仿宋_GB2312"/>
                      <w:b/>
                      <w:color w:val="auto"/>
                      <w:sz w:val="24"/>
                      <w:szCs w:val="24"/>
                      <w:highlight w:val="none"/>
                    </w:rPr>
                    <w:t>2、商务因素（满分</w:t>
                  </w:r>
                  <w:r>
                    <w:rPr>
                      <w:rFonts w:hint="eastAsia" w:ascii="方正仿宋_GB2312" w:hAnsi="方正仿宋_GB2312" w:eastAsia="方正仿宋_GB2312" w:cs="方正仿宋_GB2312"/>
                      <w:b/>
                      <w:color w:val="auto"/>
                      <w:sz w:val="24"/>
                      <w:szCs w:val="24"/>
                      <w:highlight w:val="none"/>
                      <w:lang w:val="en-US" w:eastAsia="zh-CN"/>
                    </w:rPr>
                    <w:t>24</w:t>
                  </w:r>
                  <w:r>
                    <w:rPr>
                      <w:rFonts w:hint="eastAsia" w:ascii="方正仿宋_GB2312" w:hAnsi="方正仿宋_GB2312" w:eastAsia="方正仿宋_GB2312" w:cs="方正仿宋_GB2312"/>
                      <w:b/>
                      <w:color w:val="auto"/>
                      <w:sz w:val="24"/>
                      <w:szCs w:val="24"/>
                      <w:highlight w:val="none"/>
                    </w:rPr>
                    <w:t>分）</w:t>
                  </w:r>
                </w:p>
              </w:tc>
              <w:tc>
                <w:tcPr>
                  <w:tcW w:w="719" w:type="dxa"/>
                  <w:vAlign w:val="center"/>
                </w:tcPr>
                <w:p>
                  <w:pPr>
                    <w:spacing w:line="440" w:lineRule="exact"/>
                    <w:jc w:val="center"/>
                    <w:rPr>
                      <w:rFonts w:hint="eastAsia" w:ascii="方正仿宋_GB2312" w:hAnsi="方正仿宋_GB2312" w:eastAsia="方正仿宋_GB2312" w:cs="方正仿宋_GB2312"/>
                      <w:b/>
                      <w:color w:val="auto"/>
                      <w:sz w:val="22"/>
                      <w:szCs w:val="22"/>
                      <w:highlight w:val="gree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 w:hRule="atLeast"/>
              </w:trPr>
              <w:tc>
                <w:tcPr>
                  <w:tcW w:w="77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w:t>
                  </w:r>
                </w:p>
              </w:tc>
              <w:tc>
                <w:tcPr>
                  <w:tcW w:w="7450" w:type="dxa"/>
                  <w:vAlign w:val="center"/>
                </w:tcPr>
                <w:p>
                  <w:pPr>
                    <w:tabs>
                      <w:tab w:val="left" w:pos="2041"/>
                      <w:tab w:val="left" w:pos="5907"/>
                      <w:tab w:val="left" w:pos="9344"/>
                    </w:tabs>
                    <w:spacing w:line="440" w:lineRule="exac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投标产品制造商</w:t>
                  </w:r>
                  <w:r>
                    <w:rPr>
                      <w:rFonts w:hint="eastAsia" w:ascii="方正仿宋_GB2312" w:hAnsi="方正仿宋_GB2312" w:eastAsia="方正仿宋_GB2312" w:cs="方正仿宋_GB2312"/>
                      <w:b w:val="0"/>
                      <w:bCs w:val="0"/>
                      <w:color w:val="auto"/>
                      <w:kern w:val="2"/>
                      <w:sz w:val="24"/>
                      <w:szCs w:val="24"/>
                      <w:highlight w:val="none"/>
                      <w:lang w:val="en-US" w:eastAsia="zh-CN"/>
                    </w:rPr>
                    <w:t>获得质量管理体系认证证书、环境管理体系认证证书，职业健康体系认证证书每提供1个得1分，总分3分。（以上证书须提供国家市场监督管理总局信息中心“全国认证认可信息公共服务平台”（网址：www.cx.cnca.cn）查询截图，并在有效期内，截图须含网址，否则不得分）</w:t>
                  </w:r>
                </w:p>
              </w:tc>
              <w:tc>
                <w:tcPr>
                  <w:tcW w:w="719" w:type="dxa"/>
                  <w:vAlign w:val="center"/>
                </w:tcPr>
                <w:p>
                  <w:pPr>
                    <w:spacing w:line="440" w:lineRule="exact"/>
                    <w:ind w:left="0" w:leftChars="0" w:right="-78" w:rightChars="-37" w:firstLine="0" w:firstLineChars="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分</w:t>
                  </w:r>
                </w:p>
              </w:tc>
              <w:tc>
                <w:tcPr>
                  <w:tcW w:w="719" w:type="dxa"/>
                  <w:vAlign w:val="center"/>
                </w:tcPr>
                <w:p>
                  <w:pPr>
                    <w:spacing w:line="440" w:lineRule="exact"/>
                    <w:ind w:left="0" w:leftChars="0" w:right="-78" w:rightChars="-37" w:firstLine="0" w:firstLineChars="0"/>
                    <w:jc w:val="both"/>
                    <w:rPr>
                      <w:rFonts w:hint="eastAsia" w:ascii="方正仿宋_GB2312" w:hAnsi="方正仿宋_GB2312" w:eastAsia="方正仿宋_GB2312" w:cs="方正仿宋_GB2312"/>
                      <w:color w:val="auto"/>
                      <w:sz w:val="22"/>
                      <w:szCs w:val="22"/>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7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2</w:t>
                  </w:r>
                </w:p>
              </w:tc>
              <w:tc>
                <w:tcPr>
                  <w:tcW w:w="7450" w:type="dxa"/>
                  <w:vAlign w:val="center"/>
                </w:tcPr>
                <w:p>
                  <w:pPr>
                    <w:tabs>
                      <w:tab w:val="left" w:pos="2041"/>
                      <w:tab w:val="left" w:pos="5907"/>
                      <w:tab w:val="left" w:pos="9344"/>
                    </w:tabs>
                    <w:spacing w:line="440" w:lineRule="exac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投标产品制造商</w:t>
                  </w:r>
                  <w:r>
                    <w:rPr>
                      <w:rFonts w:hint="eastAsia" w:ascii="方正仿宋_GB2312" w:hAnsi="方正仿宋_GB2312" w:eastAsia="方正仿宋_GB2312" w:cs="方正仿宋_GB2312"/>
                      <w:b w:val="0"/>
                      <w:bCs w:val="0"/>
                      <w:color w:val="auto"/>
                      <w:kern w:val="2"/>
                      <w:sz w:val="24"/>
                      <w:szCs w:val="24"/>
                      <w:highlight w:val="none"/>
                      <w:lang w:val="en-US" w:eastAsia="zh-CN"/>
                    </w:rPr>
                    <w:t xml:space="preserve">建立的商品售后服务管理体系符合 </w:t>
                  </w:r>
                  <w:r>
                    <w:rPr>
                      <w:rFonts w:hint="eastAsia" w:ascii="方正仿宋_GB2312" w:hAnsi="方正仿宋_GB2312" w:eastAsia="方正仿宋_GB2312" w:cs="方正仿宋_GB2312"/>
                      <w:sz w:val="24"/>
                      <w:szCs w:val="24"/>
                      <w:highlight w:val="none"/>
                    </w:rPr>
                    <w:t>CTEAS</w:t>
                  </w:r>
                  <w:r>
                    <w:rPr>
                      <w:rFonts w:hint="eastAsia" w:ascii="方正仿宋_GB2312" w:hAnsi="方正仿宋_GB2312" w:eastAsia="方正仿宋_GB2312" w:cs="方正仿宋_GB2312"/>
                      <w:b w:val="0"/>
                      <w:bCs w:val="0"/>
                      <w:color w:val="auto"/>
                      <w:kern w:val="2"/>
                      <w:sz w:val="24"/>
                      <w:szCs w:val="24"/>
                      <w:highlight w:val="none"/>
                      <w:lang w:val="en-US" w:eastAsia="zh-CN"/>
                    </w:rPr>
                    <w:t>或GB/T27922-2011标准：获得五星级及以下得2分，获得六——十一星级的得4分；获得十二星级的得6分；（提供查询网址，未提供的、提供不全、超过有效期的或不可查询的得 0分）。</w:t>
                  </w:r>
                </w:p>
              </w:tc>
              <w:tc>
                <w:tcPr>
                  <w:tcW w:w="71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kern w:val="10"/>
                      <w:sz w:val="24"/>
                      <w:szCs w:val="24"/>
                      <w:highlight w:val="none"/>
                    </w:rPr>
                  </w:pPr>
                  <w:r>
                    <w:rPr>
                      <w:rFonts w:hint="eastAsia" w:ascii="方正仿宋_GB2312" w:hAnsi="方正仿宋_GB2312" w:eastAsia="方正仿宋_GB2312" w:cs="方正仿宋_GB2312"/>
                      <w:color w:val="auto"/>
                      <w:kern w:val="10"/>
                      <w:sz w:val="24"/>
                      <w:szCs w:val="24"/>
                      <w:highlight w:val="none"/>
                      <w:lang w:val="en-US" w:eastAsia="zh-CN"/>
                    </w:rPr>
                    <w:t>6</w:t>
                  </w:r>
                  <w:r>
                    <w:rPr>
                      <w:rFonts w:hint="eastAsia" w:ascii="方正仿宋_GB2312" w:hAnsi="方正仿宋_GB2312" w:eastAsia="方正仿宋_GB2312" w:cs="方正仿宋_GB2312"/>
                      <w:color w:val="auto"/>
                      <w:kern w:val="10"/>
                      <w:sz w:val="24"/>
                      <w:szCs w:val="24"/>
                      <w:highlight w:val="none"/>
                    </w:rPr>
                    <w:t>分</w:t>
                  </w:r>
                </w:p>
              </w:tc>
              <w:tc>
                <w:tcPr>
                  <w:tcW w:w="71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kern w:val="10"/>
                      <w:sz w:val="22"/>
                      <w:szCs w:val="22"/>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7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3</w:t>
                  </w:r>
                </w:p>
              </w:tc>
              <w:tc>
                <w:tcPr>
                  <w:tcW w:w="7450" w:type="dxa"/>
                  <w:vAlign w:val="center"/>
                </w:tcPr>
                <w:p>
                  <w:pPr>
                    <w:spacing w:line="440" w:lineRule="exact"/>
                    <w:jc w:val="left"/>
                    <w:rPr>
                      <w:rFonts w:hint="eastAsia" w:ascii="方正仿宋_GB2312" w:hAnsi="方正仿宋_GB2312" w:eastAsia="方正仿宋_GB2312" w:cs="方正仿宋_GB2312"/>
                      <w:color w:val="auto"/>
                      <w:kern w:val="10"/>
                      <w:sz w:val="24"/>
                      <w:szCs w:val="24"/>
                      <w:highlight w:val="none"/>
                      <w:lang w:eastAsia="zh-CN"/>
                    </w:rPr>
                  </w:pPr>
                  <w:r>
                    <w:rPr>
                      <w:rFonts w:hint="eastAsia" w:ascii="方正仿宋_GB2312" w:hAnsi="方正仿宋_GB2312" w:eastAsia="方正仿宋_GB2312" w:cs="方正仿宋_GB2312"/>
                      <w:color w:val="auto"/>
                      <w:kern w:val="10"/>
                      <w:sz w:val="24"/>
                      <w:szCs w:val="24"/>
                      <w:highlight w:val="none"/>
                    </w:rPr>
                    <w:t>投标产品制造商提供数字化售后服务平台，具备“1.故障报修；2.维修进度跟踪；3.服务</w:t>
                  </w:r>
                  <w:r>
                    <w:rPr>
                      <w:rFonts w:hint="eastAsia" w:ascii="方正仿宋_GB2312" w:hAnsi="方正仿宋_GB2312" w:eastAsia="方正仿宋_GB2312" w:cs="方正仿宋_GB2312"/>
                      <w:color w:val="auto"/>
                      <w:kern w:val="10"/>
                      <w:sz w:val="24"/>
                      <w:szCs w:val="24"/>
                      <w:highlight w:val="none"/>
                      <w:lang w:val="en-US" w:eastAsia="zh-CN"/>
                    </w:rPr>
                    <w:t>档案</w:t>
                  </w:r>
                  <w:r>
                    <w:rPr>
                      <w:rFonts w:hint="eastAsia" w:ascii="方正仿宋_GB2312" w:hAnsi="方正仿宋_GB2312" w:eastAsia="方正仿宋_GB2312" w:cs="方正仿宋_GB2312"/>
                      <w:color w:val="auto"/>
                      <w:kern w:val="10"/>
                      <w:sz w:val="24"/>
                      <w:szCs w:val="24"/>
                      <w:highlight w:val="none"/>
                    </w:rPr>
                    <w:t>”功能，上述三项功能，每有一项功能得</w:t>
                  </w:r>
                  <w:r>
                    <w:rPr>
                      <w:rFonts w:hint="eastAsia" w:ascii="方正仿宋_GB2312" w:hAnsi="方正仿宋_GB2312" w:eastAsia="方正仿宋_GB2312" w:cs="方正仿宋_GB2312"/>
                      <w:color w:val="auto"/>
                      <w:kern w:val="10"/>
                      <w:sz w:val="24"/>
                      <w:szCs w:val="24"/>
                      <w:highlight w:val="none"/>
                      <w:lang w:val="en-US" w:eastAsia="zh-CN"/>
                    </w:rPr>
                    <w:t>2</w:t>
                  </w:r>
                  <w:r>
                    <w:rPr>
                      <w:rFonts w:hint="eastAsia" w:ascii="方正仿宋_GB2312" w:hAnsi="方正仿宋_GB2312" w:eastAsia="方正仿宋_GB2312" w:cs="方正仿宋_GB2312"/>
                      <w:color w:val="auto"/>
                      <w:kern w:val="10"/>
                      <w:sz w:val="24"/>
                      <w:szCs w:val="24"/>
                      <w:highlight w:val="none"/>
                    </w:rPr>
                    <w:t>分，满分</w:t>
                  </w:r>
                  <w:r>
                    <w:rPr>
                      <w:rFonts w:hint="eastAsia" w:ascii="方正仿宋_GB2312" w:hAnsi="方正仿宋_GB2312" w:eastAsia="方正仿宋_GB2312" w:cs="方正仿宋_GB2312"/>
                      <w:color w:val="auto"/>
                      <w:kern w:val="10"/>
                      <w:sz w:val="24"/>
                      <w:szCs w:val="24"/>
                      <w:highlight w:val="none"/>
                      <w:lang w:val="en-US" w:eastAsia="zh-CN"/>
                    </w:rPr>
                    <w:t>6</w:t>
                  </w:r>
                  <w:r>
                    <w:rPr>
                      <w:rFonts w:hint="eastAsia" w:ascii="方正仿宋_GB2312" w:hAnsi="方正仿宋_GB2312" w:eastAsia="方正仿宋_GB2312" w:cs="方正仿宋_GB2312"/>
                      <w:color w:val="auto"/>
                      <w:kern w:val="10"/>
                      <w:sz w:val="24"/>
                      <w:szCs w:val="24"/>
                      <w:highlight w:val="none"/>
                    </w:rPr>
                    <w:t>分。须提供上述功能用户端相关功能截图佐证，否则不得分</w:t>
                  </w:r>
                  <w:r>
                    <w:rPr>
                      <w:rFonts w:hint="eastAsia" w:ascii="方正仿宋_GB2312" w:hAnsi="方正仿宋_GB2312" w:eastAsia="方正仿宋_GB2312" w:cs="方正仿宋_GB2312"/>
                      <w:color w:val="auto"/>
                      <w:kern w:val="10"/>
                      <w:sz w:val="24"/>
                      <w:szCs w:val="24"/>
                      <w:highlight w:val="none"/>
                      <w:lang w:eastAsia="zh-CN"/>
                    </w:rPr>
                    <w:t>。</w:t>
                  </w:r>
                </w:p>
              </w:tc>
              <w:tc>
                <w:tcPr>
                  <w:tcW w:w="71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kern w:val="10"/>
                      <w:sz w:val="24"/>
                      <w:szCs w:val="24"/>
                      <w:highlight w:val="none"/>
                    </w:rPr>
                  </w:pPr>
                  <w:r>
                    <w:rPr>
                      <w:rFonts w:hint="eastAsia" w:ascii="方正仿宋_GB2312" w:hAnsi="方正仿宋_GB2312" w:eastAsia="方正仿宋_GB2312" w:cs="方正仿宋_GB2312"/>
                      <w:color w:val="auto"/>
                      <w:kern w:val="10"/>
                      <w:sz w:val="24"/>
                      <w:szCs w:val="24"/>
                      <w:highlight w:val="none"/>
                      <w:lang w:val="en-US" w:eastAsia="zh-CN"/>
                    </w:rPr>
                    <w:t>6</w:t>
                  </w:r>
                  <w:r>
                    <w:rPr>
                      <w:rFonts w:hint="eastAsia" w:ascii="方正仿宋_GB2312" w:hAnsi="方正仿宋_GB2312" w:eastAsia="方正仿宋_GB2312" w:cs="方正仿宋_GB2312"/>
                      <w:color w:val="auto"/>
                      <w:kern w:val="10"/>
                      <w:sz w:val="24"/>
                      <w:szCs w:val="24"/>
                      <w:highlight w:val="none"/>
                    </w:rPr>
                    <w:t>分</w:t>
                  </w:r>
                </w:p>
              </w:tc>
              <w:tc>
                <w:tcPr>
                  <w:tcW w:w="71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kern w:val="10"/>
                      <w:sz w:val="22"/>
                      <w:szCs w:val="22"/>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7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4</w:t>
                  </w:r>
                </w:p>
              </w:tc>
              <w:tc>
                <w:tcPr>
                  <w:tcW w:w="7450" w:type="dxa"/>
                  <w:vAlign w:val="center"/>
                </w:tcPr>
                <w:p>
                  <w:pPr>
                    <w:spacing w:line="360" w:lineRule="auto"/>
                    <w:jc w:val="left"/>
                    <w:rPr>
                      <w:rFonts w:hint="eastAsia" w:ascii="方正仿宋_GB2312" w:hAnsi="方正仿宋_GB2312" w:eastAsia="方正仿宋_GB2312" w:cs="方正仿宋_GB2312"/>
                      <w:b w:val="0"/>
                      <w:bCs w:val="0"/>
                      <w:color w:val="auto"/>
                      <w:kern w:val="2"/>
                      <w:sz w:val="24"/>
                      <w:szCs w:val="24"/>
                      <w:highlight w:val="none"/>
                      <w:lang w:val="en-US" w:eastAsia="zh-CN" w:bidi="zh-CN"/>
                    </w:rPr>
                  </w:pPr>
                  <w:r>
                    <w:rPr>
                      <w:rFonts w:hint="eastAsia" w:ascii="方正仿宋_GB2312" w:hAnsi="方正仿宋_GB2312" w:eastAsia="方正仿宋_GB2312" w:cs="方正仿宋_GB2312"/>
                      <w:b w:val="0"/>
                      <w:bCs w:val="0"/>
                      <w:color w:val="auto"/>
                      <w:kern w:val="2"/>
                      <w:sz w:val="24"/>
                      <w:szCs w:val="24"/>
                      <w:highlight w:val="none"/>
                      <w:lang w:val="en-US" w:eastAsia="zh-CN" w:bidi="zh-CN"/>
                    </w:rPr>
                    <w:t>投标产品制造商售后服务体系、响应时间、服务人员、配件供应、培训方案等5项方面综合评分。满分5分，每缺一项或每有一项不满足的减1分。</w:t>
                  </w:r>
                </w:p>
                <w:p>
                  <w:pPr>
                    <w:spacing w:line="360" w:lineRule="auto"/>
                    <w:jc w:val="left"/>
                    <w:rPr>
                      <w:rFonts w:hint="eastAsia" w:ascii="方正仿宋_GB2312" w:hAnsi="方正仿宋_GB2312" w:eastAsia="方正仿宋_GB2312" w:cs="方正仿宋_GB2312"/>
                      <w:color w:val="auto"/>
                      <w:kern w:val="10"/>
                      <w:sz w:val="24"/>
                      <w:szCs w:val="24"/>
                      <w:highlight w:val="none"/>
                      <w:lang w:val="en-US"/>
                    </w:rPr>
                  </w:pPr>
                  <w:r>
                    <w:rPr>
                      <w:rFonts w:hint="eastAsia" w:ascii="方正仿宋_GB2312" w:hAnsi="方正仿宋_GB2312" w:eastAsia="方正仿宋_GB2312" w:cs="方正仿宋_GB2312"/>
                      <w:b w:val="0"/>
                      <w:bCs w:val="0"/>
                      <w:color w:val="auto"/>
                      <w:kern w:val="2"/>
                      <w:sz w:val="24"/>
                      <w:szCs w:val="24"/>
                      <w:highlight w:val="none"/>
                      <w:lang w:val="en-US" w:eastAsia="zh-CN" w:bidi="zh-CN"/>
                    </w:rPr>
                    <w:t>注：不满足是指不具备实施的可能性或引用科学原理错误或前后内容相互矛盾或存在与本项目无关内容或只有单纯的文字描述或前后内容无法连贯。</w:t>
                  </w:r>
                </w:p>
              </w:tc>
              <w:tc>
                <w:tcPr>
                  <w:tcW w:w="71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kern w:val="10"/>
                      <w:sz w:val="24"/>
                      <w:szCs w:val="24"/>
                      <w:highlight w:val="none"/>
                      <w:lang w:val="en-US" w:eastAsia="zh-CN"/>
                    </w:rPr>
                  </w:pPr>
                  <w:r>
                    <w:rPr>
                      <w:rFonts w:hint="eastAsia" w:ascii="方正仿宋_GB2312" w:hAnsi="方正仿宋_GB2312" w:eastAsia="方正仿宋_GB2312" w:cs="方正仿宋_GB2312"/>
                      <w:color w:val="auto"/>
                      <w:kern w:val="10"/>
                      <w:sz w:val="24"/>
                      <w:szCs w:val="24"/>
                      <w:highlight w:val="none"/>
                      <w:lang w:val="en-US" w:eastAsia="zh-CN"/>
                    </w:rPr>
                    <w:t>5分</w:t>
                  </w:r>
                </w:p>
              </w:tc>
              <w:tc>
                <w:tcPr>
                  <w:tcW w:w="71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kern w:val="10"/>
                      <w:sz w:val="22"/>
                      <w:szCs w:val="22"/>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7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5</w:t>
                  </w:r>
                </w:p>
              </w:tc>
              <w:tc>
                <w:tcPr>
                  <w:tcW w:w="7450" w:type="dxa"/>
                  <w:vAlign w:val="center"/>
                </w:tcPr>
                <w:p>
                  <w:pPr>
                    <w:adjustRightInd w:val="0"/>
                    <w:spacing w:line="276"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根据车辆制造商20</w:t>
                  </w:r>
                  <w:r>
                    <w:rPr>
                      <w:rFonts w:hint="eastAsia" w:ascii="方正仿宋_GB2312" w:hAnsi="方正仿宋_GB2312" w:eastAsia="方正仿宋_GB2312" w:cs="方正仿宋_GB2312"/>
                      <w:color w:val="auto"/>
                      <w:sz w:val="24"/>
                      <w:szCs w:val="24"/>
                      <w:highlight w:val="none"/>
                      <w:lang w:val="en-US" w:eastAsia="zh-CN"/>
                    </w:rPr>
                    <w:t>21</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月1日（以合同签订时间为准）以来的类似业绩进行评价：每个业绩得1分，满分</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分。</w:t>
                  </w:r>
                </w:p>
                <w:p>
                  <w:pPr>
                    <w:adjustRightInd w:val="0"/>
                    <w:spacing w:line="276"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注：（1）类似业绩是指：</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u w:val="single"/>
                      <w:lang w:val="en-US" w:eastAsia="zh-CN"/>
                    </w:rPr>
                    <w:t>投标人</w:t>
                  </w:r>
                  <w:r>
                    <w:rPr>
                      <w:rFonts w:hint="eastAsia" w:ascii="方正仿宋_GB2312" w:hAnsi="方正仿宋_GB2312" w:eastAsia="方正仿宋_GB2312" w:cs="方正仿宋_GB2312"/>
                      <w:color w:val="auto"/>
                      <w:sz w:val="24"/>
                      <w:szCs w:val="24"/>
                      <w:highlight w:val="none"/>
                      <w:u w:val="single"/>
                    </w:rPr>
                    <w:t>销售</w:t>
                  </w:r>
                  <w:r>
                    <w:rPr>
                      <w:rFonts w:hint="eastAsia" w:ascii="方正仿宋_GB2312" w:hAnsi="方正仿宋_GB2312" w:eastAsia="方正仿宋_GB2312" w:cs="方正仿宋_GB2312"/>
                      <w:color w:val="auto"/>
                      <w:sz w:val="24"/>
                      <w:szCs w:val="24"/>
                      <w:highlight w:val="none"/>
                      <w:u w:val="single"/>
                      <w:lang w:val="en-US" w:eastAsia="zh-CN"/>
                    </w:rPr>
                    <w:t>纯电动自装卸式垃圾车</w:t>
                  </w:r>
                  <w:r>
                    <w:rPr>
                      <w:rFonts w:hint="eastAsia" w:ascii="方正仿宋_GB2312" w:hAnsi="方正仿宋_GB2312" w:eastAsia="方正仿宋_GB2312" w:cs="方正仿宋_GB2312"/>
                      <w:color w:val="auto"/>
                      <w:sz w:val="24"/>
                      <w:szCs w:val="24"/>
                      <w:highlight w:val="none"/>
                      <w:u w:val="single"/>
                    </w:rPr>
                    <w:t xml:space="preserve">的项目 </w:t>
                  </w:r>
                  <w:r>
                    <w:rPr>
                      <w:rFonts w:hint="eastAsia" w:ascii="方正仿宋_GB2312" w:hAnsi="方正仿宋_GB2312" w:eastAsia="方正仿宋_GB2312" w:cs="方正仿宋_GB2312"/>
                      <w:color w:val="auto"/>
                      <w:sz w:val="24"/>
                      <w:szCs w:val="24"/>
                      <w:highlight w:val="none"/>
                    </w:rPr>
                    <w:t>。</w:t>
                  </w:r>
                </w:p>
                <w:p>
                  <w:pPr>
                    <w:adjustRightInd w:val="0"/>
                    <w:spacing w:line="276"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（2）投标人需提供业绩的以下证明材料，否则不计分：</w:t>
                  </w:r>
                </w:p>
                <w:p>
                  <w:pPr>
                    <w:adjustRightInd w:val="0"/>
                    <w:spacing w:line="276"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rPr>
                    <w:t>采购合同文本；</w:t>
                  </w:r>
                </w:p>
                <w:p>
                  <w:pPr>
                    <w:spacing w:line="440" w:lineRule="exact"/>
                    <w:jc w:val="left"/>
                    <w:rPr>
                      <w:rFonts w:hint="eastAsia" w:ascii="方正仿宋_GB2312" w:hAnsi="方正仿宋_GB2312" w:eastAsia="方正仿宋_GB2312" w:cs="方正仿宋_GB2312"/>
                      <w:color w:val="auto"/>
                      <w:kern w:val="10"/>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②</w:t>
                  </w:r>
                  <w:r>
                    <w:rPr>
                      <w:rFonts w:hint="eastAsia" w:ascii="方正仿宋_GB2312" w:hAnsi="方正仿宋_GB2312" w:eastAsia="方正仿宋_GB2312" w:cs="方正仿宋_GB2312"/>
                      <w:color w:val="auto"/>
                      <w:sz w:val="24"/>
                      <w:szCs w:val="24"/>
                      <w:highlight w:val="none"/>
                    </w:rPr>
                    <w:t>能够证明该业绩项目已经采购人验收合格的相关证明材料。</w:t>
                  </w:r>
                </w:p>
              </w:tc>
              <w:tc>
                <w:tcPr>
                  <w:tcW w:w="71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kern w:val="10"/>
                      <w:sz w:val="24"/>
                      <w:szCs w:val="24"/>
                      <w:highlight w:val="none"/>
                    </w:rPr>
                  </w:pPr>
                  <w:r>
                    <w:rPr>
                      <w:rFonts w:hint="eastAsia" w:ascii="方正仿宋_GB2312" w:hAnsi="方正仿宋_GB2312" w:eastAsia="方正仿宋_GB2312" w:cs="方正仿宋_GB2312"/>
                      <w:color w:val="auto"/>
                      <w:kern w:val="10"/>
                      <w:sz w:val="24"/>
                      <w:szCs w:val="24"/>
                      <w:highlight w:val="none"/>
                      <w:lang w:val="en-US" w:eastAsia="zh-CN"/>
                    </w:rPr>
                    <w:t>4</w:t>
                  </w:r>
                  <w:r>
                    <w:rPr>
                      <w:rFonts w:hint="eastAsia" w:ascii="方正仿宋_GB2312" w:hAnsi="方正仿宋_GB2312" w:eastAsia="方正仿宋_GB2312" w:cs="方正仿宋_GB2312"/>
                      <w:color w:val="auto"/>
                      <w:kern w:val="10"/>
                      <w:sz w:val="24"/>
                      <w:szCs w:val="24"/>
                      <w:highlight w:val="none"/>
                    </w:rPr>
                    <w:t>分</w:t>
                  </w:r>
                </w:p>
              </w:tc>
              <w:tc>
                <w:tcPr>
                  <w:tcW w:w="71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kern w:val="10"/>
                      <w:sz w:val="22"/>
                      <w:szCs w:val="22"/>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8948" w:type="dxa"/>
                  <w:gridSpan w:val="3"/>
                  <w:vAlign w:val="center"/>
                </w:tcPr>
                <w:p>
                  <w:pPr>
                    <w:spacing w:line="440" w:lineRule="exact"/>
                    <w:ind w:right="-78" w:rightChars="-37"/>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kern w:val="10"/>
                      <w:sz w:val="24"/>
                      <w:szCs w:val="24"/>
                      <w:highlight w:val="none"/>
                    </w:rPr>
                    <w:t>3、</w:t>
                  </w:r>
                  <w:r>
                    <w:rPr>
                      <w:rFonts w:hint="eastAsia" w:ascii="方正仿宋_GB2312" w:hAnsi="方正仿宋_GB2312" w:eastAsia="方正仿宋_GB2312" w:cs="方正仿宋_GB2312"/>
                      <w:b/>
                      <w:color w:val="auto"/>
                      <w:sz w:val="24"/>
                      <w:szCs w:val="24"/>
                      <w:highlight w:val="none"/>
                    </w:rPr>
                    <w:t>价格因素</w:t>
                  </w:r>
                  <w:r>
                    <w:rPr>
                      <w:rFonts w:hint="eastAsia" w:ascii="方正仿宋_GB2312" w:hAnsi="方正仿宋_GB2312" w:eastAsia="方正仿宋_GB2312" w:cs="方正仿宋_GB2312"/>
                      <w:b/>
                      <w:color w:val="auto"/>
                      <w:kern w:val="10"/>
                      <w:sz w:val="24"/>
                      <w:szCs w:val="24"/>
                      <w:highlight w:val="none"/>
                    </w:rPr>
                    <w:t>（满分</w:t>
                  </w:r>
                  <w:r>
                    <w:rPr>
                      <w:rFonts w:hint="eastAsia" w:ascii="方正仿宋_GB2312" w:hAnsi="方正仿宋_GB2312" w:eastAsia="方正仿宋_GB2312" w:cs="方正仿宋_GB2312"/>
                      <w:b/>
                      <w:color w:val="auto"/>
                      <w:kern w:val="10"/>
                      <w:sz w:val="24"/>
                      <w:szCs w:val="24"/>
                      <w:highlight w:val="none"/>
                      <w:u w:val="single"/>
                      <w:lang w:val="en-US" w:eastAsia="zh-CN"/>
                    </w:rPr>
                    <w:t>30</w:t>
                  </w:r>
                  <w:r>
                    <w:rPr>
                      <w:rFonts w:hint="eastAsia" w:ascii="方正仿宋_GB2312" w:hAnsi="方正仿宋_GB2312" w:eastAsia="方正仿宋_GB2312" w:cs="方正仿宋_GB2312"/>
                      <w:b/>
                      <w:color w:val="auto"/>
                      <w:kern w:val="10"/>
                      <w:sz w:val="24"/>
                      <w:szCs w:val="24"/>
                      <w:highlight w:val="none"/>
                    </w:rPr>
                    <w:t>分）</w:t>
                  </w:r>
                </w:p>
              </w:tc>
              <w:tc>
                <w:tcPr>
                  <w:tcW w:w="719" w:type="dxa"/>
                  <w:vAlign w:val="center"/>
                </w:tcPr>
                <w:p>
                  <w:pPr>
                    <w:spacing w:line="440" w:lineRule="exact"/>
                    <w:ind w:right="-78" w:rightChars="-37"/>
                    <w:jc w:val="center"/>
                    <w:rPr>
                      <w:rFonts w:hint="eastAsia" w:ascii="方正仿宋_GB2312" w:hAnsi="方正仿宋_GB2312" w:eastAsia="方正仿宋_GB2312" w:cs="方正仿宋_GB2312"/>
                      <w:b/>
                      <w:color w:val="auto"/>
                      <w:kern w:val="10"/>
                      <w:sz w:val="22"/>
                      <w:szCs w:val="22"/>
                      <w:highlight w:val="gree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79" w:type="dxa"/>
                  <w:vAlign w:val="center"/>
                </w:tcPr>
                <w:p>
                  <w:pPr>
                    <w:spacing w:line="440" w:lineRule="exact"/>
                    <w:ind w:left="0" w:leftChars="0" w:firstLine="0" w:firstLineChars="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3-1</w:t>
                  </w:r>
                </w:p>
              </w:tc>
              <w:tc>
                <w:tcPr>
                  <w:tcW w:w="7450" w:type="dxa"/>
                  <w:vAlign w:val="center"/>
                </w:tcPr>
                <w:p>
                  <w:pPr>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有效报价得分 =3</w:t>
                  </w:r>
                  <w:r>
                    <w:rPr>
                      <w:rFonts w:hint="eastAsia" w:ascii="方正仿宋_GB2312" w:hAnsi="方正仿宋_GB2312" w:eastAsia="方正仿宋_GB2312" w:cs="方正仿宋_GB2312"/>
                      <w:color w:val="auto"/>
                      <w:sz w:val="24"/>
                      <w:szCs w:val="24"/>
                      <w:highlight w:val="none"/>
                      <w:lang w:val="en-US" w:eastAsia="zh-CN"/>
                    </w:rPr>
                    <w:t>0</w:t>
                  </w:r>
                  <w:r>
                    <w:rPr>
                      <w:rFonts w:hint="eastAsia" w:ascii="方正仿宋_GB2312" w:hAnsi="方正仿宋_GB2312" w:eastAsia="方正仿宋_GB2312" w:cs="方正仿宋_GB2312"/>
                      <w:color w:val="auto"/>
                      <w:sz w:val="24"/>
                      <w:szCs w:val="24"/>
                      <w:highlight w:val="none"/>
                    </w:rPr>
                    <w:t>×（最低有效报价÷有效投标人报价）</w:t>
                  </w:r>
                </w:p>
              </w:tc>
              <w:tc>
                <w:tcPr>
                  <w:tcW w:w="719" w:type="dxa"/>
                  <w:vAlign w:val="center"/>
                </w:tcPr>
                <w:p>
                  <w:pPr>
                    <w:spacing w:line="440" w:lineRule="exact"/>
                    <w:ind w:left="0" w:leftChars="0" w:right="-78" w:rightChars="-37" w:firstLine="0" w:firstLineChars="0"/>
                    <w:jc w:val="both"/>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kern w:val="10"/>
                      <w:sz w:val="24"/>
                      <w:szCs w:val="24"/>
                      <w:highlight w:val="none"/>
                    </w:rPr>
                    <w:t>3</w:t>
                  </w:r>
                  <w:r>
                    <w:rPr>
                      <w:rFonts w:hint="eastAsia" w:ascii="方正仿宋_GB2312" w:hAnsi="方正仿宋_GB2312" w:eastAsia="方正仿宋_GB2312" w:cs="方正仿宋_GB2312"/>
                      <w:bCs/>
                      <w:color w:val="auto"/>
                      <w:kern w:val="10"/>
                      <w:sz w:val="24"/>
                      <w:szCs w:val="24"/>
                      <w:highlight w:val="none"/>
                      <w:lang w:val="en-US" w:eastAsia="zh-CN"/>
                    </w:rPr>
                    <w:t>0</w:t>
                  </w:r>
                  <w:r>
                    <w:rPr>
                      <w:rFonts w:hint="eastAsia" w:ascii="方正仿宋_GB2312" w:hAnsi="方正仿宋_GB2312" w:eastAsia="方正仿宋_GB2312" w:cs="方正仿宋_GB2312"/>
                      <w:bCs/>
                      <w:color w:val="auto"/>
                      <w:kern w:val="10"/>
                      <w:sz w:val="24"/>
                      <w:szCs w:val="24"/>
                      <w:highlight w:val="none"/>
                    </w:rPr>
                    <w:t>分</w:t>
                  </w:r>
                </w:p>
              </w:tc>
              <w:tc>
                <w:tcPr>
                  <w:tcW w:w="719" w:type="dxa"/>
                  <w:vAlign w:val="center"/>
                </w:tcPr>
                <w:p>
                  <w:pPr>
                    <w:spacing w:line="440" w:lineRule="exact"/>
                    <w:ind w:left="0" w:leftChars="0" w:right="-78" w:rightChars="-37" w:firstLine="0" w:firstLineChars="0"/>
                    <w:jc w:val="both"/>
                    <w:rPr>
                      <w:rFonts w:hint="eastAsia" w:ascii="方正仿宋_GB2312" w:hAnsi="方正仿宋_GB2312" w:eastAsia="方正仿宋_GB2312" w:cs="方正仿宋_GB2312"/>
                      <w:bCs/>
                      <w:color w:val="auto"/>
                      <w:kern w:val="1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948" w:type="dxa"/>
                  <w:gridSpan w:val="3"/>
                  <w:vAlign w:val="center"/>
                </w:tcPr>
                <w:p>
                  <w:pPr>
                    <w:spacing w:line="440" w:lineRule="exact"/>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有效投标人的综合得分＝技术因素＋商务因素＋价格因素</w:t>
                  </w:r>
                </w:p>
                <w:p>
                  <w:pPr>
                    <w:spacing w:line="440" w:lineRule="exact"/>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满足招标文件要求且有效投标人投标总报价</w:t>
                  </w:r>
                  <w:r>
                    <w:rPr>
                      <w:rFonts w:hint="eastAsia" w:ascii="方正仿宋_GB2312" w:hAnsi="方正仿宋_GB2312" w:eastAsia="方正仿宋_GB2312" w:cs="方正仿宋_GB2312"/>
                      <w:color w:val="auto"/>
                      <w:sz w:val="24"/>
                      <w:szCs w:val="24"/>
                      <w:highlight w:val="none"/>
                      <w:lang w:val="en-US" w:eastAsia="zh-CN"/>
                    </w:rPr>
                    <w:t>除以有效投标家数的平均价</w:t>
                  </w:r>
                  <w:r>
                    <w:rPr>
                      <w:rFonts w:hint="eastAsia" w:ascii="方正仿宋_GB2312" w:hAnsi="方正仿宋_GB2312" w:eastAsia="方正仿宋_GB2312" w:cs="方正仿宋_GB2312"/>
                      <w:color w:val="auto"/>
                      <w:sz w:val="24"/>
                      <w:szCs w:val="24"/>
                      <w:highlight w:val="none"/>
                    </w:rPr>
                    <w:t>为评标基准价，其价格分为3</w:t>
                  </w:r>
                  <w:r>
                    <w:rPr>
                      <w:rFonts w:hint="eastAsia" w:ascii="方正仿宋_GB2312" w:hAnsi="方正仿宋_GB2312" w:eastAsia="方正仿宋_GB2312" w:cs="方正仿宋_GB2312"/>
                      <w:color w:val="auto"/>
                      <w:sz w:val="24"/>
                      <w:szCs w:val="24"/>
                      <w:highlight w:val="none"/>
                      <w:lang w:val="en-US" w:eastAsia="zh-CN"/>
                    </w:rPr>
                    <w:t>0</w:t>
                  </w:r>
                  <w:r>
                    <w:rPr>
                      <w:rFonts w:hint="eastAsia" w:ascii="方正仿宋_GB2312" w:hAnsi="方正仿宋_GB2312" w:eastAsia="方正仿宋_GB2312" w:cs="方正仿宋_GB2312"/>
                      <w:color w:val="auto"/>
                      <w:sz w:val="24"/>
                      <w:szCs w:val="24"/>
                      <w:highlight w:val="none"/>
                    </w:rPr>
                    <w:t>分。其他投标人的价格分统一按照下列公式计算：</w:t>
                  </w:r>
                </w:p>
                <w:p>
                  <w:pPr>
                    <w:spacing w:line="440" w:lineRule="exact"/>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投标报价得分=(评标基准价／投标总报价)×3</w:t>
                  </w:r>
                  <w:r>
                    <w:rPr>
                      <w:rFonts w:hint="eastAsia" w:ascii="方正仿宋_GB2312" w:hAnsi="方正仿宋_GB2312" w:eastAsia="方正仿宋_GB2312" w:cs="方正仿宋_GB2312"/>
                      <w:color w:val="auto"/>
                      <w:sz w:val="24"/>
                      <w:szCs w:val="24"/>
                      <w:highlight w:val="none"/>
                      <w:lang w:val="en-US" w:eastAsia="zh-CN"/>
                    </w:rPr>
                    <w:t>0</w:t>
                  </w:r>
                  <w:r>
                    <w:rPr>
                      <w:rFonts w:hint="eastAsia" w:ascii="方正仿宋_GB2312" w:hAnsi="方正仿宋_GB2312" w:eastAsia="方正仿宋_GB2312" w:cs="方正仿宋_GB2312"/>
                      <w:color w:val="auto"/>
                      <w:sz w:val="24"/>
                      <w:szCs w:val="24"/>
                      <w:highlight w:val="none"/>
                    </w:rPr>
                    <w:t>（小数点后保留2位） 3</w:t>
                  </w:r>
                  <w:r>
                    <w:rPr>
                      <w:rFonts w:hint="eastAsia" w:ascii="方正仿宋_GB2312" w:hAnsi="方正仿宋_GB2312" w:eastAsia="方正仿宋_GB2312" w:cs="方正仿宋_GB2312"/>
                      <w:color w:val="auto"/>
                      <w:sz w:val="24"/>
                      <w:szCs w:val="24"/>
                      <w:highlight w:val="none"/>
                      <w:lang w:val="en-US" w:eastAsia="zh-CN"/>
                    </w:rPr>
                    <w:t>0</w:t>
                  </w:r>
                </w:p>
                <w:p>
                  <w:pPr>
                    <w:spacing w:line="440" w:lineRule="exact"/>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auto"/>
                      <w:sz w:val="24"/>
                      <w:szCs w:val="24"/>
                      <w:highlight w:val="none"/>
                    </w:rPr>
                    <w:t>注：依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719" w:type="dxa"/>
                  <w:vAlign w:val="center"/>
                </w:tcPr>
                <w:p>
                  <w:pPr>
                    <w:spacing w:line="440" w:lineRule="exact"/>
                    <w:jc w:val="left"/>
                    <w:rPr>
                      <w:rFonts w:hint="eastAsia" w:ascii="方正仿宋_GB2312" w:hAnsi="方正仿宋_GB2312" w:eastAsia="方正仿宋_GB2312" w:cs="方正仿宋_GB2312"/>
                      <w:color w:val="auto"/>
                      <w:sz w:val="22"/>
                      <w:szCs w:val="22"/>
                      <w:highlight w:val="none"/>
                    </w:rPr>
                  </w:pPr>
                </w:p>
              </w:tc>
            </w:tr>
          </w:tbl>
          <w:p>
            <w:pPr>
              <w:tabs>
                <w:tab w:val="left" w:pos="1080"/>
              </w:tabs>
              <w:spacing w:line="360" w:lineRule="auto"/>
              <w:ind w:firstLine="440" w:firstLineChars="200"/>
              <w:rPr>
                <w:rFonts w:ascii="宋体" w:hAnsi="宋体"/>
                <w:color w:val="auto"/>
                <w:sz w:val="22"/>
                <w:szCs w:val="22"/>
                <w:highlight w:val="none"/>
              </w:rPr>
            </w:pPr>
          </w:p>
        </w:tc>
      </w:tr>
    </w:tbl>
    <w:p>
      <w:pPr>
        <w:jc w:val="both"/>
        <w:rPr>
          <w:rFonts w:ascii="Arial Unicode MS" w:hAnsi="仿宋_GB2312" w:eastAsia="Arial Unicode MS" w:cs="仿宋_GB2312"/>
          <w:sz w:val="44"/>
          <w:szCs w:val="4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A4ED77E-E7E0-4A27-AFA3-C1C8F0BA5CE9}"/>
  </w:font>
  <w:font w:name="Arial Unicode MS">
    <w:panose1 w:val="020B0604020202020204"/>
    <w:charset w:val="86"/>
    <w:family w:val="auto"/>
    <w:pitch w:val="default"/>
    <w:sig w:usb0="FFFFFFFF" w:usb1="E9FFFFFF" w:usb2="0000003F" w:usb3="00000000" w:csb0="603F01FF" w:csb1="FFFF0000"/>
    <w:embedRegular r:id="rId2" w:fontKey="{5D796331-2F8F-43A7-87EE-D81CBF651576}"/>
  </w:font>
  <w:font w:name="仿宋_GB2312">
    <w:panose1 w:val="02010609030101010101"/>
    <w:charset w:val="86"/>
    <w:family w:val="auto"/>
    <w:pitch w:val="default"/>
    <w:sig w:usb0="00000001" w:usb1="080E0000" w:usb2="00000000" w:usb3="00000000" w:csb0="00040000" w:csb1="00000000"/>
    <w:embedRegular r:id="rId3" w:fontKey="{A20770C4-FCD1-4938-AE31-9C4DFD6271B0}"/>
  </w:font>
  <w:font w:name="Wingdings 2">
    <w:panose1 w:val="05020102010507070707"/>
    <w:charset w:val="02"/>
    <w:family w:val="roman"/>
    <w:pitch w:val="default"/>
    <w:sig w:usb0="00000000" w:usb1="00000000" w:usb2="00000000" w:usb3="00000000" w:csb0="80000000" w:csb1="00000000"/>
    <w:embedRegular r:id="rId4" w:fontKey="{60AE6D9B-9B71-451B-AFE7-3A31CD765BEA}"/>
  </w:font>
  <w:font w:name="方正仿宋_GB2312">
    <w:panose1 w:val="02000000000000000000"/>
    <w:charset w:val="86"/>
    <w:family w:val="auto"/>
    <w:pitch w:val="default"/>
    <w:sig w:usb0="A00002BF" w:usb1="184F6CFA" w:usb2="00000012" w:usb3="00000000" w:csb0="00040001" w:csb1="00000000"/>
    <w:embedRegular r:id="rId5" w:fontKey="{881AB8FA-8A50-4826-893F-B4D8DEF5E91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3698D"/>
    <w:multiLevelType w:val="singleLevel"/>
    <w:tmpl w:val="9F33698D"/>
    <w:lvl w:ilvl="0" w:tentative="0">
      <w:start w:val="2"/>
      <w:numFmt w:val="decimal"/>
      <w:lvlText w:val="%1."/>
      <w:lvlJc w:val="left"/>
      <w:pPr>
        <w:tabs>
          <w:tab w:val="left" w:pos="312"/>
        </w:tabs>
      </w:pPr>
    </w:lvl>
  </w:abstractNum>
  <w:abstractNum w:abstractNumId="1">
    <w:nsid w:val="2F1F71CF"/>
    <w:multiLevelType w:val="multilevel"/>
    <w:tmpl w:val="2F1F71C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4OTIxZDhjNzdkODA0NjcyNGE0NDM1ZDM1YzIwMTMifQ=="/>
  </w:docVars>
  <w:rsids>
    <w:rsidRoot w:val="03DA5FD8"/>
    <w:rsid w:val="00065A75"/>
    <w:rsid w:val="000816E2"/>
    <w:rsid w:val="00122C85"/>
    <w:rsid w:val="001C3B62"/>
    <w:rsid w:val="002A735A"/>
    <w:rsid w:val="006038F2"/>
    <w:rsid w:val="007C02E4"/>
    <w:rsid w:val="00B26E33"/>
    <w:rsid w:val="00CE4013"/>
    <w:rsid w:val="00EB507E"/>
    <w:rsid w:val="00F3728A"/>
    <w:rsid w:val="00FE3D39"/>
    <w:rsid w:val="01E95713"/>
    <w:rsid w:val="03DA5FD8"/>
    <w:rsid w:val="07FB4E2D"/>
    <w:rsid w:val="0A0478E0"/>
    <w:rsid w:val="0CA47A45"/>
    <w:rsid w:val="0CB31BDA"/>
    <w:rsid w:val="16B94831"/>
    <w:rsid w:val="1F5844BB"/>
    <w:rsid w:val="226841E8"/>
    <w:rsid w:val="269B6219"/>
    <w:rsid w:val="27174004"/>
    <w:rsid w:val="285E0D94"/>
    <w:rsid w:val="292F72C5"/>
    <w:rsid w:val="2AC450FA"/>
    <w:rsid w:val="2C0C6D59"/>
    <w:rsid w:val="39455658"/>
    <w:rsid w:val="3C284C42"/>
    <w:rsid w:val="411B1238"/>
    <w:rsid w:val="411C3143"/>
    <w:rsid w:val="41824D4F"/>
    <w:rsid w:val="4579392E"/>
    <w:rsid w:val="4D453A21"/>
    <w:rsid w:val="4D9C5D37"/>
    <w:rsid w:val="4DB346F6"/>
    <w:rsid w:val="4F084BF7"/>
    <w:rsid w:val="4F91702A"/>
    <w:rsid w:val="505C355C"/>
    <w:rsid w:val="532D2ADB"/>
    <w:rsid w:val="556F6555"/>
    <w:rsid w:val="5D9D51C8"/>
    <w:rsid w:val="5DBB2822"/>
    <w:rsid w:val="5E132C94"/>
    <w:rsid w:val="5E3727A3"/>
    <w:rsid w:val="68102E1D"/>
    <w:rsid w:val="6CE34991"/>
    <w:rsid w:val="6E1C0FB8"/>
    <w:rsid w:val="6E2A65EF"/>
    <w:rsid w:val="72EF7716"/>
    <w:rsid w:val="786646C8"/>
    <w:rsid w:val="7CCF1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autoRedefine/>
    <w:qFormat/>
    <w:uiPriority w:val="0"/>
    <w:pPr>
      <w:jc w:val="center"/>
      <w:outlineLvl w:val="0"/>
    </w:pPr>
    <w:rPr>
      <w:rFonts w:eastAsia="黑体"/>
      <w:bCs/>
      <w:kern w:val="44"/>
      <w:sz w:val="36"/>
      <w:szCs w:val="36"/>
    </w:rPr>
  </w:style>
  <w:style w:type="paragraph" w:styleId="3">
    <w:name w:val="heading 3"/>
    <w:basedOn w:val="4"/>
    <w:next w:val="1"/>
    <w:autoRedefine/>
    <w:unhideWhenUsed/>
    <w:qFormat/>
    <w:uiPriority w:val="0"/>
    <w:pPr>
      <w:outlineLvl w:val="2"/>
    </w:pPr>
    <w:rPr>
      <w:rFonts w:ascii="Calibri" w:hAnsi="Calibri" w:eastAsia="宋体"/>
      <w:sz w:val="32"/>
    </w:rPr>
  </w:style>
  <w:style w:type="paragraph" w:styleId="4">
    <w:name w:val="heading 4"/>
    <w:basedOn w:val="1"/>
    <w:next w:val="1"/>
    <w:autoRedefine/>
    <w:unhideWhenUsed/>
    <w:qFormat/>
    <w:uiPriority w:val="0"/>
    <w:pPr>
      <w:keepNext/>
      <w:keepLines/>
      <w:outlineLvl w:val="3"/>
    </w:pPr>
    <w:rPr>
      <w:rFonts w:ascii="Arial" w:hAnsi="Arial" w:eastAsia="黑体" w:cs="Times New Roman"/>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18"/>
    <w:autoRedefine/>
    <w:qFormat/>
    <w:uiPriority w:val="0"/>
    <w:pPr>
      <w:jc w:val="left"/>
    </w:pPr>
  </w:style>
  <w:style w:type="paragraph" w:styleId="6">
    <w:name w:val="Body Text"/>
    <w:basedOn w:val="1"/>
    <w:autoRedefine/>
    <w:qFormat/>
    <w:uiPriority w:val="0"/>
    <w:pPr>
      <w:spacing w:after="120"/>
    </w:pPr>
  </w:style>
  <w:style w:type="paragraph" w:styleId="7">
    <w:name w:val="Balloon Text"/>
    <w:basedOn w:val="1"/>
    <w:autoRedefine/>
    <w:semiHidden/>
    <w:qFormat/>
    <w:uiPriority w:val="99"/>
    <w:rPr>
      <w:sz w:val="18"/>
      <w:szCs w:val="18"/>
    </w:rPr>
  </w:style>
  <w:style w:type="paragraph" w:styleId="8">
    <w:name w:val="footer"/>
    <w:basedOn w:val="1"/>
    <w:link w:val="16"/>
    <w:autoRedefine/>
    <w:qFormat/>
    <w:uiPriority w:val="0"/>
    <w:pPr>
      <w:tabs>
        <w:tab w:val="center" w:pos="4153"/>
        <w:tab w:val="right" w:pos="8306"/>
      </w:tabs>
      <w:snapToGrid w:val="0"/>
      <w:jc w:val="left"/>
    </w:pPr>
    <w:rPr>
      <w:sz w:val="18"/>
      <w:szCs w:val="18"/>
    </w:rPr>
  </w:style>
  <w:style w:type="paragraph" w:styleId="9">
    <w:name w:val="header"/>
    <w:basedOn w:val="1"/>
    <w:link w:val="15"/>
    <w:autoRedefine/>
    <w:qFormat/>
    <w:uiPriority w:val="0"/>
    <w:pP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ascii="Times New Roman" w:hAnsi="Times New Roman"/>
      <w:kern w:val="0"/>
      <w:sz w:val="24"/>
      <w:szCs w:val="20"/>
    </w:rPr>
  </w:style>
  <w:style w:type="paragraph" w:styleId="11">
    <w:name w:val="annotation subject"/>
    <w:basedOn w:val="5"/>
    <w:next w:val="5"/>
    <w:link w:val="19"/>
    <w:autoRedefine/>
    <w:qFormat/>
    <w:uiPriority w:val="0"/>
    <w:rPr>
      <w:b/>
      <w:bCs/>
    </w:rPr>
  </w:style>
  <w:style w:type="character" w:styleId="14">
    <w:name w:val="annotation reference"/>
    <w:basedOn w:val="13"/>
    <w:autoRedefine/>
    <w:qFormat/>
    <w:uiPriority w:val="0"/>
    <w:rPr>
      <w:sz w:val="21"/>
      <w:szCs w:val="21"/>
    </w:rPr>
  </w:style>
  <w:style w:type="character" w:customStyle="1" w:styleId="15">
    <w:name w:val="页眉 字符"/>
    <w:basedOn w:val="13"/>
    <w:link w:val="9"/>
    <w:autoRedefine/>
    <w:qFormat/>
    <w:uiPriority w:val="0"/>
    <w:rPr>
      <w:kern w:val="2"/>
      <w:sz w:val="18"/>
      <w:szCs w:val="18"/>
    </w:rPr>
  </w:style>
  <w:style w:type="character" w:customStyle="1" w:styleId="16">
    <w:name w:val="页脚 字符"/>
    <w:basedOn w:val="13"/>
    <w:link w:val="8"/>
    <w:autoRedefine/>
    <w:qFormat/>
    <w:uiPriority w:val="0"/>
    <w:rPr>
      <w:kern w:val="2"/>
      <w:sz w:val="18"/>
      <w:szCs w:val="18"/>
    </w:rPr>
  </w:style>
  <w:style w:type="paragraph" w:customStyle="1" w:styleId="17">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3"/>
    <w:link w:val="5"/>
    <w:autoRedefine/>
    <w:qFormat/>
    <w:uiPriority w:val="0"/>
    <w:rPr>
      <w:kern w:val="2"/>
      <w:sz w:val="21"/>
      <w:szCs w:val="24"/>
    </w:rPr>
  </w:style>
  <w:style w:type="character" w:customStyle="1" w:styleId="19">
    <w:name w:val="批注主题 字符"/>
    <w:basedOn w:val="18"/>
    <w:link w:val="11"/>
    <w:autoRedefine/>
    <w:qFormat/>
    <w:uiPriority w:val="0"/>
    <w:rPr>
      <w:b/>
      <w:bCs/>
      <w:kern w:val="2"/>
      <w:sz w:val="21"/>
      <w:szCs w:val="24"/>
    </w:rPr>
  </w:style>
  <w:style w:type="paragraph" w:customStyle="1" w:styleId="20">
    <w:name w:val="Table Paragraph"/>
    <w:basedOn w:val="1"/>
    <w:autoRedefine/>
    <w:qFormat/>
    <w:uiPriority w:val="1"/>
    <w:rPr>
      <w:rFonts w:ascii="宋体" w:hAnsi="宋体" w:eastAsia="宋体" w:cs="宋体"/>
      <w:lang w:val="zh-CN" w:eastAsia="zh-CN" w:bidi="zh-CN"/>
    </w:rPr>
  </w:style>
  <w:style w:type="paragraph" w:styleId="21">
    <w:name w:val="List Paragraph"/>
    <w:basedOn w:val="1"/>
    <w:autoRedefine/>
    <w:qFormat/>
    <w:uiPriority w:val="34"/>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72C59-E33A-4B8B-B79B-7AD280F9DB2E}">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395</Words>
  <Characters>2257</Characters>
  <Lines>18</Lines>
  <Paragraphs>5</Paragraphs>
  <TotalTime>41</TotalTime>
  <ScaleCrop>false</ScaleCrop>
  <LinksUpToDate>false</LinksUpToDate>
  <CharactersWithSpaces>2647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2023-12-25T02:57:00Z</dcterms:created>
  <cp:lastPrinted>2024-03-28T08:38:00Z</cp:lastPrinted>
  <dcterms:modified xsi:type="dcterms:W3CDTF">2024-04-09T02:22:34Z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285D8787A6CB4C35BD08EFACAEFB8595_13</vt:lpwstr>
  </property>
</Properties>
</file>