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7"/>
        <w:tblpPr w:leftFromText="180" w:rightFromText="180" w:vertAnchor="page" w:horzAnchor="page" w:tblpXSpec="center" w:tblpY="2310"/>
        <w:tblOverlap w:val="never"/>
        <w:tblW w:w="0" w:type="auto"/>
        <w:jc w:val="center"/>
        <w:tblLayout w:type="autofit"/>
        <w:tblCellMar>
          <w:top w:w="0" w:type="dxa"/>
          <w:left w:w="108" w:type="dxa"/>
          <w:bottom w:w="0" w:type="dxa"/>
          <w:right w:w="108" w:type="dxa"/>
        </w:tblCellMar>
      </w:tblPr>
      <w:tblGrid>
        <w:gridCol w:w="8355"/>
      </w:tblGrid>
      <w:tr>
        <w:tblPrEx>
          <w:tblCellMar>
            <w:top w:w="0" w:type="dxa"/>
            <w:left w:w="108" w:type="dxa"/>
            <w:bottom w:w="0" w:type="dxa"/>
            <w:right w:w="108" w:type="dxa"/>
          </w:tblCellMar>
        </w:tblPrEx>
        <w:trPr>
          <w:trHeight w:val="850" w:hRule="exact"/>
          <w:jc w:val="center"/>
        </w:trPr>
        <w:tc>
          <w:tcPr>
            <w:tcW w:w="8355" w:type="dxa"/>
            <w:shd w:val="clear" w:color="auto" w:fill="auto"/>
            <w:vAlign w:val="center"/>
          </w:tcPr>
          <w:p>
            <w:pPr>
              <w:ind w:right="-720"/>
              <w:jc w:val="both"/>
              <w:rPr>
                <w:bCs/>
                <w:highlight w:val="yellow"/>
              </w:rPr>
            </w:pPr>
          </w:p>
        </w:tc>
      </w:tr>
      <w:tr>
        <w:tblPrEx>
          <w:tblCellMar>
            <w:top w:w="0" w:type="dxa"/>
            <w:left w:w="108" w:type="dxa"/>
            <w:bottom w:w="0" w:type="dxa"/>
            <w:right w:w="108" w:type="dxa"/>
          </w:tblCellMar>
        </w:tblPrEx>
        <w:trPr>
          <w:cantSplit/>
          <w:trHeight w:val="850" w:hRule="exact"/>
          <w:jc w:val="center"/>
        </w:trPr>
        <w:tc>
          <w:tcPr>
            <w:tcW w:w="8355" w:type="dxa"/>
            <w:shd w:val="clear" w:color="auto" w:fill="auto"/>
            <w:vAlign w:val="center"/>
          </w:tcPr>
          <w:p>
            <w:pPr>
              <w:jc w:val="center"/>
              <w:rPr>
                <w:rFonts w:ascii="黑体" w:hAnsi="黑体" w:eastAsia="黑体"/>
                <w:bCs/>
                <w:sz w:val="44"/>
                <w:szCs w:val="44"/>
              </w:rPr>
            </w:pPr>
            <w:r>
              <w:rPr>
                <w:rFonts w:hint="eastAsia" w:ascii="黑体" w:hAnsi="黑体" w:eastAsia="黑体"/>
                <w:bCs/>
                <w:sz w:val="44"/>
                <w:szCs w:val="44"/>
              </w:rPr>
              <w:t>龙馨家园项目底商改造工程</w:t>
            </w:r>
          </w:p>
        </w:tc>
      </w:tr>
      <w:tr>
        <w:tblPrEx>
          <w:tblCellMar>
            <w:top w:w="0" w:type="dxa"/>
            <w:left w:w="108" w:type="dxa"/>
            <w:bottom w:w="0" w:type="dxa"/>
            <w:right w:w="108" w:type="dxa"/>
          </w:tblCellMar>
        </w:tblPrEx>
        <w:trPr>
          <w:trHeight w:val="850" w:hRule="exact"/>
          <w:jc w:val="center"/>
        </w:trPr>
        <w:tc>
          <w:tcPr>
            <w:tcW w:w="8355" w:type="dxa"/>
            <w:shd w:val="clear" w:color="auto" w:fill="auto"/>
            <w:vAlign w:val="center"/>
          </w:tcPr>
          <w:p>
            <w:pPr>
              <w:adjustRightInd w:val="0"/>
              <w:spacing w:line="360" w:lineRule="auto"/>
              <w:jc w:val="center"/>
              <w:rPr>
                <w:rFonts w:ascii="Times New Roman" w:hAnsi="Times New Roman" w:cs="Times New Roman"/>
                <w:sz w:val="44"/>
                <w:szCs w:val="44"/>
              </w:rPr>
            </w:pPr>
            <w:r>
              <w:rPr>
                <w:rFonts w:hint="eastAsia" w:ascii="黑体" w:hAnsi="黑体" w:eastAsia="黑体" w:cs="黑体"/>
                <w:sz w:val="44"/>
                <w:szCs w:val="44"/>
              </w:rPr>
              <w:t>施工合同</w:t>
            </w:r>
          </w:p>
          <w:p>
            <w:pPr>
              <w:jc w:val="center"/>
              <w:rPr>
                <w:rFonts w:ascii="黑体" w:hAnsi="黑体" w:eastAsia="黑体"/>
                <w:bCs/>
                <w:sz w:val="44"/>
                <w:szCs w:val="44"/>
              </w:rPr>
            </w:pPr>
          </w:p>
        </w:tc>
      </w:tr>
      <w:tr>
        <w:tblPrEx>
          <w:tblCellMar>
            <w:top w:w="0" w:type="dxa"/>
            <w:left w:w="108" w:type="dxa"/>
            <w:bottom w:w="0" w:type="dxa"/>
            <w:right w:w="108" w:type="dxa"/>
          </w:tblCellMar>
        </w:tblPrEx>
        <w:trPr>
          <w:trHeight w:val="850" w:hRule="exact"/>
          <w:jc w:val="center"/>
        </w:trPr>
        <w:tc>
          <w:tcPr>
            <w:tcW w:w="8355" w:type="dxa"/>
            <w:shd w:val="clear" w:color="auto" w:fill="auto"/>
            <w:vAlign w:val="center"/>
          </w:tcPr>
          <w:p>
            <w:pPr>
              <w:spacing w:line="480" w:lineRule="auto"/>
            </w:pPr>
          </w:p>
          <w:p>
            <w:pPr>
              <w:autoSpaceDE w:val="0"/>
              <w:autoSpaceDN w:val="0"/>
              <w:adjustRightInd w:val="0"/>
              <w:ind w:firstLine="880" w:firstLineChars="200"/>
              <w:textAlignment w:val="baseline"/>
              <w:outlineLvl w:val="0"/>
              <w:rPr>
                <w:rFonts w:ascii="黑体" w:hAnsi="黑体" w:eastAsia="黑体"/>
                <w:bCs/>
                <w:sz w:val="44"/>
                <w:szCs w:val="44"/>
              </w:rPr>
            </w:pPr>
          </w:p>
        </w:tc>
      </w:tr>
      <w:tr>
        <w:tblPrEx>
          <w:tblCellMar>
            <w:top w:w="0" w:type="dxa"/>
            <w:left w:w="108" w:type="dxa"/>
            <w:bottom w:w="0" w:type="dxa"/>
            <w:right w:w="108" w:type="dxa"/>
          </w:tblCellMar>
        </w:tblPrEx>
        <w:trPr>
          <w:trHeight w:val="3356" w:hRule="atLeast"/>
          <w:jc w:val="center"/>
        </w:trPr>
        <w:tc>
          <w:tcPr>
            <w:tcW w:w="8355" w:type="dxa"/>
            <w:shd w:val="clear" w:color="auto" w:fill="auto"/>
            <w:vAlign w:val="center"/>
          </w:tcPr>
          <w:p>
            <w:pPr>
              <w:spacing w:line="480" w:lineRule="auto"/>
              <w:jc w:val="center"/>
              <w:rPr>
                <w:b/>
                <w:sz w:val="30"/>
                <w:szCs w:val="30"/>
              </w:rPr>
            </w:pPr>
            <w:r>
              <w:rPr>
                <w:rFonts w:hint="eastAsia"/>
                <w:b/>
                <w:sz w:val="30"/>
                <w:szCs w:val="30"/>
              </w:rPr>
              <w:t>合同编号：</w:t>
            </w:r>
          </w:p>
          <w:p>
            <w:pPr>
              <w:spacing w:line="360" w:lineRule="auto"/>
              <w:outlineLvl w:val="0"/>
              <w:rPr>
                <w:rFonts w:ascii="黑体" w:hAnsi="黑体" w:eastAsia="黑体"/>
                <w:bCs/>
                <w:sz w:val="28"/>
                <w:szCs w:val="28"/>
              </w:rPr>
            </w:pPr>
          </w:p>
        </w:tc>
      </w:tr>
      <w:tr>
        <w:tblPrEx>
          <w:tblCellMar>
            <w:top w:w="0" w:type="dxa"/>
            <w:left w:w="108" w:type="dxa"/>
            <w:bottom w:w="0" w:type="dxa"/>
            <w:right w:w="108" w:type="dxa"/>
          </w:tblCellMar>
        </w:tblPrEx>
        <w:trPr>
          <w:trHeight w:val="1561" w:hRule="exact"/>
          <w:jc w:val="center"/>
        </w:trPr>
        <w:tc>
          <w:tcPr>
            <w:tcW w:w="8355" w:type="dxa"/>
            <w:shd w:val="clear" w:color="auto" w:fill="auto"/>
            <w:vAlign w:val="center"/>
          </w:tcPr>
          <w:p>
            <w:pPr>
              <w:spacing w:line="360" w:lineRule="auto"/>
              <w:ind w:left="2560" w:hanging="2560" w:hangingChars="800"/>
              <w:rPr>
                <w:rFonts w:ascii="黑体" w:hAnsi="黑体" w:eastAsia="黑体" w:cs="黑体"/>
                <w:bCs/>
                <w:sz w:val="32"/>
                <w:szCs w:val="32"/>
              </w:rPr>
            </w:pPr>
            <w:r>
              <w:rPr>
                <w:rFonts w:hint="eastAsia" w:ascii="黑体" w:hAnsi="黑体" w:eastAsia="黑体" w:cs="黑体"/>
                <w:sz w:val="32"/>
                <w:szCs w:val="32"/>
              </w:rPr>
              <w:t>工  程  名  称：</w:t>
            </w:r>
            <w:r>
              <w:rPr>
                <w:rFonts w:hint="eastAsia" w:ascii="黑体" w:hAnsi="黑体" w:eastAsia="黑体" w:cs="黑体"/>
                <w:sz w:val="32"/>
                <w:szCs w:val="32"/>
                <w:u w:val="single"/>
              </w:rPr>
              <w:t>龙馨家园项目底商改造工程</w:t>
            </w:r>
          </w:p>
        </w:tc>
      </w:tr>
      <w:tr>
        <w:tblPrEx>
          <w:tblCellMar>
            <w:top w:w="0" w:type="dxa"/>
            <w:left w:w="108" w:type="dxa"/>
            <w:bottom w:w="0" w:type="dxa"/>
            <w:right w:w="108" w:type="dxa"/>
          </w:tblCellMar>
        </w:tblPrEx>
        <w:trPr>
          <w:trHeight w:val="1449" w:hRule="exact"/>
          <w:jc w:val="center"/>
        </w:trPr>
        <w:tc>
          <w:tcPr>
            <w:tcW w:w="8355" w:type="dxa"/>
            <w:shd w:val="clear" w:color="auto" w:fill="auto"/>
            <w:vAlign w:val="center"/>
          </w:tcPr>
          <w:p>
            <w:pPr>
              <w:spacing w:line="360" w:lineRule="auto"/>
              <w:ind w:left="2560" w:hanging="2560" w:hangingChars="800"/>
              <w:rPr>
                <w:rFonts w:hint="eastAsia" w:ascii="黑体" w:hAnsi="黑体" w:eastAsia="黑体" w:cs="黑体"/>
                <w:sz w:val="32"/>
                <w:szCs w:val="32"/>
                <w:u w:val="single"/>
              </w:rPr>
            </w:pPr>
            <w:r>
              <w:rPr>
                <w:rFonts w:hint="eastAsia" w:ascii="黑体" w:hAnsi="黑体" w:eastAsia="黑体" w:cs="黑体"/>
                <w:sz w:val="32"/>
                <w:szCs w:val="32"/>
                <w:u w:val="none"/>
              </w:rPr>
              <w:t>发包人（全称）：</w:t>
            </w:r>
            <w:r>
              <w:rPr>
                <w:rFonts w:hint="eastAsia" w:ascii="黑体" w:hAnsi="黑体" w:eastAsia="黑体" w:cs="黑体"/>
                <w:sz w:val="32"/>
                <w:szCs w:val="32"/>
                <w:u w:val="single"/>
              </w:rPr>
              <w:t>深圳市龙华高新技术产业园区</w:t>
            </w:r>
          </w:p>
          <w:p>
            <w:pPr>
              <w:spacing w:line="360" w:lineRule="auto"/>
              <w:ind w:left="2554" w:leftChars="1064" w:firstLine="640" w:firstLineChars="200"/>
              <w:rPr>
                <w:rFonts w:hint="default" w:ascii="黑体" w:hAnsi="黑体" w:eastAsia="黑体" w:cs="黑体"/>
                <w:sz w:val="32"/>
                <w:szCs w:val="32"/>
                <w:u w:val="single"/>
                <w:lang w:val="en-US" w:eastAsia="zh-CN"/>
              </w:rPr>
            </w:pPr>
            <w:r>
              <w:rPr>
                <w:rFonts w:hint="eastAsia" w:ascii="黑体" w:hAnsi="黑体" w:eastAsia="黑体" w:cs="黑体"/>
                <w:sz w:val="32"/>
                <w:szCs w:val="32"/>
                <w:u w:val="single"/>
              </w:rPr>
              <w:t>开发投资有限公司</w:t>
            </w:r>
          </w:p>
          <w:p>
            <w:pPr>
              <w:spacing w:line="360" w:lineRule="auto"/>
              <w:ind w:left="2560" w:hanging="2560" w:hangingChars="800"/>
              <w:rPr>
                <w:rFonts w:hint="eastAsia" w:ascii="黑体" w:hAnsi="黑体" w:eastAsia="黑体" w:cs="黑体"/>
                <w:sz w:val="32"/>
                <w:szCs w:val="32"/>
                <w:u w:val="single"/>
              </w:rPr>
            </w:pPr>
          </w:p>
        </w:tc>
      </w:tr>
      <w:tr>
        <w:tblPrEx>
          <w:tblCellMar>
            <w:top w:w="0" w:type="dxa"/>
            <w:left w:w="108" w:type="dxa"/>
            <w:bottom w:w="0" w:type="dxa"/>
            <w:right w:w="108" w:type="dxa"/>
          </w:tblCellMar>
        </w:tblPrEx>
        <w:trPr>
          <w:trHeight w:val="1072" w:hRule="exact"/>
          <w:jc w:val="center"/>
        </w:trPr>
        <w:tc>
          <w:tcPr>
            <w:tcW w:w="8355" w:type="dxa"/>
            <w:shd w:val="clear" w:color="auto" w:fill="auto"/>
            <w:vAlign w:val="center"/>
          </w:tcPr>
          <w:p>
            <w:pPr>
              <w:spacing w:line="240" w:lineRule="auto"/>
              <w:rPr>
                <w:rFonts w:ascii="黑体" w:hAnsi="黑体" w:eastAsia="黑体" w:cs="黑体"/>
                <w:sz w:val="32"/>
                <w:szCs w:val="32"/>
              </w:rPr>
            </w:pPr>
            <w:r>
              <w:rPr>
                <w:rFonts w:hint="eastAsia" w:ascii="黑体" w:hAnsi="黑体" w:eastAsia="黑体" w:cs="黑体"/>
                <w:sz w:val="32"/>
                <w:szCs w:val="32"/>
              </w:rPr>
              <w:t>承包人（全称）：</w:t>
            </w:r>
            <w:r>
              <w:rPr>
                <w:rFonts w:hint="eastAsia" w:ascii="黑体" w:hAnsi="黑体" w:eastAsia="黑体"/>
                <w:sz w:val="32"/>
                <w:szCs w:val="32"/>
                <w:u w:val="single"/>
              </w:rPr>
              <w:t xml:space="preserve">    </w:t>
            </w:r>
          </w:p>
        </w:tc>
      </w:tr>
      <w:tr>
        <w:tblPrEx>
          <w:tblCellMar>
            <w:top w:w="0" w:type="dxa"/>
            <w:left w:w="108" w:type="dxa"/>
            <w:bottom w:w="0" w:type="dxa"/>
            <w:right w:w="108" w:type="dxa"/>
          </w:tblCellMar>
        </w:tblPrEx>
        <w:trPr>
          <w:trHeight w:val="850" w:hRule="exact"/>
          <w:jc w:val="center"/>
        </w:trPr>
        <w:tc>
          <w:tcPr>
            <w:tcW w:w="8355" w:type="dxa"/>
            <w:shd w:val="clear" w:color="auto" w:fill="auto"/>
            <w:vAlign w:val="center"/>
          </w:tcPr>
          <w:p>
            <w:pPr>
              <w:autoSpaceDE w:val="0"/>
              <w:autoSpaceDN w:val="0"/>
              <w:adjustRightInd w:val="0"/>
              <w:textAlignment w:val="baseline"/>
              <w:rPr>
                <w:rFonts w:ascii="黑体" w:hAnsi="黑体" w:eastAsia="黑体" w:cs="黑体"/>
                <w:sz w:val="30"/>
                <w:szCs w:val="30"/>
              </w:rPr>
            </w:pPr>
            <w:r>
              <w:rPr>
                <w:rFonts w:hint="eastAsia" w:ascii="黑体" w:hAnsi="黑体" w:eastAsia="黑体" w:cs="黑体"/>
                <w:sz w:val="30"/>
                <w:szCs w:val="30"/>
              </w:rPr>
              <w:t>签订日期：</w:t>
            </w:r>
            <w:r>
              <w:rPr>
                <w:rFonts w:hint="eastAsia" w:ascii="黑体" w:hAnsi="黑体" w:eastAsia="黑体" w:cs="黑体"/>
                <w:sz w:val="30"/>
                <w:szCs w:val="30"/>
                <w:lang w:val="en-US" w:eastAsia="zh-CN"/>
              </w:rPr>
              <w:t xml:space="preserve">2024 </w:t>
            </w:r>
            <w:r>
              <w:rPr>
                <w:rFonts w:hint="eastAsia" w:ascii="黑体" w:hAnsi="黑体" w:eastAsia="黑体" w:cs="黑体"/>
                <w:sz w:val="30"/>
                <w:szCs w:val="30"/>
              </w:rPr>
              <w:t>年   月   日</w:t>
            </w:r>
          </w:p>
        </w:tc>
      </w:tr>
      <w:tr>
        <w:tblPrEx>
          <w:tblCellMar>
            <w:top w:w="0" w:type="dxa"/>
            <w:left w:w="108" w:type="dxa"/>
            <w:bottom w:w="0" w:type="dxa"/>
            <w:right w:w="108" w:type="dxa"/>
          </w:tblCellMar>
        </w:tblPrEx>
        <w:trPr>
          <w:trHeight w:val="850" w:hRule="exact"/>
          <w:jc w:val="center"/>
        </w:trPr>
        <w:tc>
          <w:tcPr>
            <w:tcW w:w="8355" w:type="dxa"/>
            <w:shd w:val="clear" w:color="auto" w:fill="auto"/>
            <w:vAlign w:val="center"/>
          </w:tcPr>
          <w:p>
            <w:pPr>
              <w:autoSpaceDE w:val="0"/>
              <w:autoSpaceDN w:val="0"/>
              <w:adjustRightInd w:val="0"/>
              <w:textAlignment w:val="baseline"/>
              <w:rPr>
                <w:rFonts w:ascii="黑体" w:hAnsi="黑体" w:eastAsia="黑体" w:cs="黑体"/>
                <w:sz w:val="30"/>
                <w:szCs w:val="30"/>
              </w:rPr>
            </w:pPr>
          </w:p>
        </w:tc>
      </w:tr>
    </w:tbl>
    <w:p>
      <w:pPr>
        <w:spacing w:line="360" w:lineRule="auto"/>
        <w:jc w:val="center"/>
        <w:rPr>
          <w:rFonts w:hint="eastAsia" w:ascii="黑体" w:eastAsia="黑体"/>
          <w:b/>
          <w:bCs/>
          <w:sz w:val="44"/>
        </w:rPr>
        <w:sectPr>
          <w:headerReference r:id="rId3" w:type="default"/>
          <w:pgSz w:w="11910" w:h="16840"/>
          <w:pgMar w:top="1440" w:right="1134" w:bottom="1440" w:left="1134" w:header="808" w:footer="720" w:gutter="0"/>
          <w:pgNumType w:fmt="numberInDash"/>
          <w:cols w:space="720" w:num="1"/>
        </w:sectPr>
      </w:pPr>
    </w:p>
    <w:p>
      <w:pPr>
        <w:spacing w:line="360" w:lineRule="auto"/>
        <w:jc w:val="center"/>
        <w:outlineLvl w:val="1"/>
        <w:rPr>
          <w:rFonts w:ascii="黑体" w:hAnsi="黑体" w:eastAsia="黑体"/>
          <w:sz w:val="32"/>
        </w:rPr>
      </w:pPr>
      <w:r>
        <w:rPr>
          <w:rFonts w:hint="eastAsia" w:ascii="黑体" w:hAnsi="黑体" w:eastAsia="黑体"/>
          <w:sz w:val="32"/>
        </w:rPr>
        <w:t>第一部分  协议书</w:t>
      </w:r>
    </w:p>
    <w:p>
      <w:pPr>
        <w:widowControl w:val="0"/>
        <w:spacing w:line="360" w:lineRule="auto"/>
        <w:ind w:firstLine="519"/>
        <w:jc w:val="both"/>
        <w:rPr>
          <w:rFonts w:hint="eastAsia" w:eastAsia="宋体"/>
          <w:b/>
          <w:bCs/>
          <w:color w:val="000000"/>
          <w:kern w:val="2"/>
          <w:szCs w:val="22"/>
          <w:lang w:eastAsia="zh-CN"/>
        </w:rPr>
      </w:pPr>
      <w:r>
        <w:rPr>
          <w:rFonts w:hint="eastAsia"/>
          <w:b/>
          <w:bCs/>
          <w:color w:val="000000"/>
          <w:kern w:val="2"/>
          <w:szCs w:val="22"/>
        </w:rPr>
        <w:t>发包人</w:t>
      </w:r>
      <w:r>
        <w:rPr>
          <w:rFonts w:hint="eastAsia"/>
          <w:bCs/>
          <w:color w:val="000000"/>
          <w:kern w:val="2"/>
          <w:szCs w:val="22"/>
        </w:rPr>
        <w:t>(甲方)：</w:t>
      </w:r>
      <w:r>
        <w:rPr>
          <w:rFonts w:hint="eastAsia"/>
          <w:kern w:val="2"/>
          <w:szCs w:val="22"/>
          <w:u w:val="single"/>
          <w:lang w:eastAsia="zh-CN"/>
        </w:rPr>
        <w:t>深圳市龙华高新技术产业园区开发投资有限公司</w:t>
      </w:r>
    </w:p>
    <w:p>
      <w:pPr>
        <w:widowControl w:val="0"/>
        <w:spacing w:line="360" w:lineRule="auto"/>
        <w:ind w:firstLine="519"/>
        <w:jc w:val="both"/>
        <w:rPr>
          <w:b/>
          <w:bCs/>
          <w:color w:val="000000"/>
          <w:kern w:val="2"/>
          <w:szCs w:val="22"/>
        </w:rPr>
      </w:pPr>
      <w:r>
        <w:rPr>
          <w:rFonts w:hint="eastAsia"/>
          <w:b/>
          <w:bCs/>
          <w:color w:val="000000"/>
          <w:kern w:val="2"/>
          <w:szCs w:val="22"/>
        </w:rPr>
        <w:t>承包人</w:t>
      </w:r>
      <w:r>
        <w:rPr>
          <w:rFonts w:hint="eastAsia"/>
          <w:bCs/>
          <w:color w:val="000000"/>
          <w:kern w:val="2"/>
          <w:szCs w:val="22"/>
        </w:rPr>
        <w:t>(乙方)</w:t>
      </w:r>
      <w:r>
        <w:rPr>
          <w:rFonts w:hint="eastAsia"/>
          <w:b/>
          <w:bCs/>
          <w:color w:val="000000"/>
          <w:kern w:val="2"/>
          <w:szCs w:val="22"/>
        </w:rPr>
        <w:t>：</w:t>
      </w:r>
      <w:r>
        <w:rPr>
          <w:rFonts w:hint="eastAsia"/>
          <w:kern w:val="2"/>
          <w:szCs w:val="22"/>
          <w:u w:val="single"/>
          <w:lang w:eastAsia="zh-CN"/>
        </w:rPr>
        <w:t>*****</w:t>
      </w:r>
      <w:r>
        <w:rPr>
          <w:rFonts w:hint="eastAsia"/>
          <w:kern w:val="2"/>
          <w:szCs w:val="22"/>
          <w:u w:val="single"/>
        </w:rPr>
        <w:t xml:space="preserve">  </w:t>
      </w:r>
    </w:p>
    <w:p>
      <w:pPr>
        <w:widowControl w:val="0"/>
        <w:spacing w:line="360" w:lineRule="auto"/>
        <w:ind w:firstLine="480"/>
        <w:jc w:val="both"/>
        <w:rPr>
          <w:color w:val="000000"/>
          <w:kern w:val="2"/>
          <w:szCs w:val="22"/>
        </w:rPr>
      </w:pPr>
      <w:r>
        <w:rPr>
          <w:rFonts w:hint="eastAsia"/>
          <w:color w:val="000000"/>
          <w:kern w:val="2"/>
          <w:szCs w:val="22"/>
        </w:rPr>
        <w:t>根据《中华人民共和国民法典》、《中华人民共和国建筑法》、《深圳经济特区建设工程施工招标投标条例》及其他有关法律、法规，并结合广东省、深圳市、龙华区的有关规定，遵循平等、自愿、公平和诚实信用的原则，发包人和承包人就本工程施工事项协商一致，订立本合同，达成协议如下：</w:t>
      </w:r>
    </w:p>
    <w:p>
      <w:pPr>
        <w:spacing w:before="120" w:beforeLines="50" w:after="120" w:afterLines="50"/>
        <w:outlineLvl w:val="0"/>
        <w:rPr>
          <w:b/>
          <w:bCs/>
          <w:snapToGrid w:val="0"/>
          <w:color w:val="000000"/>
          <w:sz w:val="30"/>
          <w:szCs w:val="44"/>
          <w:lang w:val="zh-CN"/>
        </w:rPr>
      </w:pPr>
      <w:bookmarkStart w:id="0" w:name="_Toc302635678"/>
      <w:bookmarkStart w:id="1" w:name="_Toc67418464"/>
      <w:bookmarkStart w:id="2" w:name="_Toc20779"/>
      <w:r>
        <w:rPr>
          <w:rFonts w:hint="eastAsia"/>
          <w:b/>
          <w:bCs/>
          <w:snapToGrid w:val="0"/>
          <w:color w:val="000000"/>
          <w:sz w:val="30"/>
          <w:szCs w:val="44"/>
          <w:lang w:val="zh-CN"/>
        </w:rPr>
        <w:t>一、工程概况</w:t>
      </w:r>
      <w:bookmarkEnd w:id="0"/>
      <w:bookmarkEnd w:id="1"/>
      <w:bookmarkEnd w:id="2"/>
    </w:p>
    <w:p>
      <w:pPr>
        <w:widowControl w:val="0"/>
        <w:spacing w:line="360" w:lineRule="auto"/>
        <w:ind w:firstLine="480"/>
        <w:jc w:val="both"/>
        <w:rPr>
          <w:rFonts w:hint="eastAsia" w:eastAsia="宋体"/>
          <w:kern w:val="2"/>
          <w:szCs w:val="22"/>
          <w:u w:val="single"/>
          <w:lang w:eastAsia="zh-CN"/>
        </w:rPr>
      </w:pPr>
      <w:r>
        <w:rPr>
          <w:rFonts w:hint="eastAsia"/>
          <w:color w:val="000000"/>
          <w:kern w:val="2"/>
          <w:szCs w:val="22"/>
        </w:rPr>
        <w:t>1.工程名称：</w:t>
      </w:r>
      <w:r>
        <w:rPr>
          <w:rFonts w:hint="eastAsia"/>
          <w:kern w:val="2"/>
          <w:szCs w:val="22"/>
          <w:u w:val="single"/>
          <w:lang w:eastAsia="zh-CN"/>
        </w:rPr>
        <w:t>龙馨家园项目底商改造工程</w:t>
      </w:r>
    </w:p>
    <w:p>
      <w:pPr>
        <w:widowControl w:val="0"/>
        <w:spacing w:line="360" w:lineRule="auto"/>
        <w:ind w:firstLine="480"/>
        <w:jc w:val="both"/>
        <w:rPr>
          <w:kern w:val="2"/>
          <w:szCs w:val="22"/>
          <w:u w:val="single"/>
        </w:rPr>
      </w:pPr>
      <w:r>
        <w:rPr>
          <w:rFonts w:hint="eastAsia"/>
          <w:color w:val="000000"/>
          <w:kern w:val="2"/>
          <w:szCs w:val="22"/>
        </w:rPr>
        <w:t>2.工程地点：</w:t>
      </w:r>
      <w:r>
        <w:rPr>
          <w:rFonts w:hint="eastAsia"/>
          <w:kern w:val="2"/>
          <w:szCs w:val="22"/>
          <w:u w:val="single"/>
          <w:lang w:val="en-US" w:eastAsia="zh-CN"/>
        </w:rPr>
        <w:t>观湖街道</w:t>
      </w:r>
      <w:r>
        <w:rPr>
          <w:rFonts w:hint="eastAsia"/>
          <w:kern w:val="2"/>
          <w:szCs w:val="22"/>
          <w:u w:val="single"/>
        </w:rPr>
        <w:t>观乐路与观盛三路交汇处</w:t>
      </w:r>
    </w:p>
    <w:p>
      <w:pPr>
        <w:widowControl w:val="0"/>
        <w:spacing w:line="360" w:lineRule="auto"/>
        <w:ind w:firstLine="480"/>
        <w:jc w:val="both"/>
        <w:rPr>
          <w:rFonts w:hint="default" w:eastAsia="宋体"/>
          <w:kern w:val="2"/>
          <w:szCs w:val="22"/>
          <w:u w:val="single"/>
          <w:lang w:val="en-US" w:eastAsia="zh-CN"/>
        </w:rPr>
      </w:pPr>
      <w:r>
        <w:rPr>
          <w:rFonts w:hint="eastAsia"/>
          <w:color w:val="000000"/>
          <w:kern w:val="2"/>
          <w:szCs w:val="22"/>
          <w:lang w:val="en-US" w:eastAsia="zh-CN"/>
        </w:rPr>
        <w:t>3</w:t>
      </w:r>
      <w:r>
        <w:rPr>
          <w:rFonts w:hint="eastAsia"/>
          <w:color w:val="000000"/>
          <w:kern w:val="2"/>
          <w:szCs w:val="22"/>
        </w:rPr>
        <w:t>.工程规模及特征：</w:t>
      </w:r>
      <w:r>
        <w:rPr>
          <w:rFonts w:hint="eastAsia"/>
          <w:kern w:val="2"/>
          <w:szCs w:val="22"/>
          <w:u w:val="single"/>
          <w:lang w:eastAsia="zh-CN"/>
        </w:rPr>
        <w:t>龙馨家园</w:t>
      </w:r>
      <w:r>
        <w:rPr>
          <w:rFonts w:hint="eastAsia"/>
          <w:kern w:val="2"/>
          <w:szCs w:val="22"/>
          <w:u w:val="single"/>
          <w:lang w:val="en-US" w:eastAsia="zh-CN"/>
        </w:rPr>
        <w:t>改造范围为沿街商业面积3606.07㎡，包含</w:t>
      </w:r>
      <w:r>
        <w:rPr>
          <w:rFonts w:hint="eastAsia"/>
          <w:kern w:val="2"/>
          <w:szCs w:val="22"/>
          <w:u w:val="single"/>
        </w:rPr>
        <w:t>龙馨家园一栋二单元、三单元商铺给排水、电气、暖通、燃气改造工程。</w:t>
      </w:r>
    </w:p>
    <w:p>
      <w:pPr>
        <w:widowControl w:val="0"/>
        <w:spacing w:line="360" w:lineRule="auto"/>
        <w:ind w:firstLine="480"/>
        <w:jc w:val="both"/>
        <w:rPr>
          <w:color w:val="000000"/>
          <w:kern w:val="2"/>
          <w:szCs w:val="22"/>
        </w:rPr>
      </w:pPr>
      <w:r>
        <w:rPr>
          <w:rFonts w:hint="eastAsia"/>
          <w:color w:val="000000"/>
          <w:kern w:val="2"/>
          <w:szCs w:val="22"/>
          <w:lang w:val="en-US" w:eastAsia="zh-CN"/>
        </w:rPr>
        <w:t>4</w:t>
      </w:r>
      <w:r>
        <w:rPr>
          <w:rFonts w:hint="eastAsia"/>
          <w:color w:val="000000"/>
          <w:kern w:val="2"/>
          <w:szCs w:val="22"/>
        </w:rPr>
        <w:t>.资金来源：财政投入</w:t>
      </w:r>
      <w:r>
        <w:rPr>
          <w:rFonts w:hint="eastAsia"/>
          <w:color w:val="000000"/>
          <w:kern w:val="2"/>
          <w:szCs w:val="22"/>
          <w:u w:val="single"/>
        </w:rPr>
        <w:t xml:space="preserve">     </w:t>
      </w:r>
      <w:r>
        <w:rPr>
          <w:rFonts w:hint="eastAsia"/>
          <w:color w:val="000000"/>
          <w:kern w:val="2"/>
          <w:szCs w:val="22"/>
        </w:rPr>
        <w:t>%；国有资本</w:t>
      </w:r>
      <w:r>
        <w:rPr>
          <w:rFonts w:hint="eastAsia"/>
          <w:color w:val="000000"/>
          <w:kern w:val="2"/>
          <w:szCs w:val="22"/>
          <w:u w:val="single"/>
        </w:rPr>
        <w:t>100</w:t>
      </w:r>
      <w:r>
        <w:rPr>
          <w:rFonts w:hint="eastAsia"/>
          <w:color w:val="000000"/>
          <w:kern w:val="2"/>
          <w:szCs w:val="22"/>
        </w:rPr>
        <w:t>%；集体资本</w:t>
      </w:r>
      <w:r>
        <w:rPr>
          <w:rFonts w:hint="eastAsia"/>
          <w:color w:val="000000"/>
          <w:kern w:val="2"/>
          <w:szCs w:val="22"/>
          <w:u w:val="single"/>
        </w:rPr>
        <w:t xml:space="preserve">    </w:t>
      </w:r>
      <w:r>
        <w:rPr>
          <w:rFonts w:hint="eastAsia"/>
          <w:color w:val="000000"/>
          <w:kern w:val="2"/>
          <w:szCs w:val="22"/>
        </w:rPr>
        <w:t>%；民营资本</w:t>
      </w:r>
      <w:r>
        <w:rPr>
          <w:rFonts w:hint="eastAsia"/>
          <w:color w:val="000000"/>
          <w:kern w:val="2"/>
          <w:szCs w:val="22"/>
          <w:u w:val="single"/>
        </w:rPr>
        <w:t xml:space="preserve">    </w:t>
      </w:r>
      <w:r>
        <w:rPr>
          <w:rFonts w:hint="eastAsia"/>
          <w:color w:val="000000"/>
          <w:kern w:val="2"/>
          <w:szCs w:val="22"/>
        </w:rPr>
        <w:t>%；外商投资</w:t>
      </w:r>
      <w:r>
        <w:rPr>
          <w:rFonts w:hint="eastAsia"/>
          <w:color w:val="000000"/>
          <w:kern w:val="2"/>
          <w:szCs w:val="22"/>
          <w:u w:val="single"/>
        </w:rPr>
        <w:t xml:space="preserve">    </w:t>
      </w:r>
      <w:r>
        <w:rPr>
          <w:rFonts w:hint="eastAsia"/>
          <w:color w:val="000000"/>
          <w:kern w:val="2"/>
          <w:szCs w:val="22"/>
        </w:rPr>
        <w:t>%；混合经济</w:t>
      </w:r>
      <w:r>
        <w:rPr>
          <w:rFonts w:hint="eastAsia"/>
          <w:color w:val="000000"/>
          <w:kern w:val="2"/>
          <w:szCs w:val="22"/>
          <w:u w:val="single"/>
        </w:rPr>
        <w:t xml:space="preserve">     </w:t>
      </w:r>
      <w:r>
        <w:rPr>
          <w:rFonts w:hint="eastAsia"/>
          <w:color w:val="000000"/>
          <w:kern w:val="2"/>
          <w:szCs w:val="22"/>
        </w:rPr>
        <w:t>%； 其他</w:t>
      </w:r>
      <w:r>
        <w:rPr>
          <w:rFonts w:hint="eastAsia"/>
          <w:color w:val="000000"/>
          <w:kern w:val="2"/>
          <w:szCs w:val="22"/>
          <w:u w:val="single"/>
        </w:rPr>
        <w:t xml:space="preserve">     </w:t>
      </w:r>
      <w:r>
        <w:rPr>
          <w:rFonts w:hint="eastAsia"/>
          <w:color w:val="000000"/>
          <w:kern w:val="2"/>
          <w:szCs w:val="22"/>
        </w:rPr>
        <w:t>%。</w:t>
      </w:r>
    </w:p>
    <w:p>
      <w:pPr>
        <w:spacing w:before="120" w:beforeLines="50" w:after="120" w:afterLines="50"/>
        <w:outlineLvl w:val="0"/>
        <w:rPr>
          <w:b/>
          <w:bCs/>
          <w:snapToGrid w:val="0"/>
          <w:color w:val="000000"/>
          <w:sz w:val="30"/>
          <w:szCs w:val="44"/>
          <w:lang w:val="zh-CN"/>
        </w:rPr>
      </w:pPr>
      <w:bookmarkStart w:id="3" w:name="_Toc3337"/>
      <w:bookmarkStart w:id="4" w:name="_Toc67418465"/>
      <w:bookmarkStart w:id="5" w:name="_Toc302635679"/>
      <w:r>
        <w:rPr>
          <w:rFonts w:hint="eastAsia"/>
          <w:b/>
          <w:bCs/>
          <w:snapToGrid w:val="0"/>
          <w:color w:val="000000"/>
          <w:sz w:val="30"/>
          <w:szCs w:val="44"/>
          <w:lang w:val="zh-CN"/>
        </w:rPr>
        <w:t>二、工程承包范围</w:t>
      </w:r>
      <w:bookmarkEnd w:id="3"/>
      <w:bookmarkEnd w:id="4"/>
      <w:bookmarkEnd w:id="5"/>
    </w:p>
    <w:p>
      <w:pPr>
        <w:widowControl w:val="0"/>
        <w:spacing w:before="48" w:beforeLines="20" w:after="48" w:afterLines="20" w:line="360" w:lineRule="auto"/>
        <w:ind w:firstLine="480" w:firstLineChars="200"/>
        <w:jc w:val="both"/>
        <w:rPr>
          <w:kern w:val="2"/>
        </w:rPr>
      </w:pPr>
      <w:r>
        <w:rPr>
          <w:rFonts w:hint="eastAsia"/>
          <w:kern w:val="2"/>
          <w:szCs w:val="22"/>
          <w:u w:val="single"/>
        </w:rPr>
        <w:t>本项目为龙馨家园一栋二单元、三单元商铺给排水、电气、暖通、燃气改造工程。包括但不</w:t>
      </w:r>
      <w:r>
        <w:rPr>
          <w:rFonts w:hint="eastAsia"/>
          <w:kern w:val="2"/>
          <w:szCs w:val="22"/>
          <w:u w:val="single"/>
          <w:lang w:val="en-US" w:eastAsia="zh-CN"/>
        </w:rPr>
        <w:t>限于</w:t>
      </w:r>
      <w:r>
        <w:rPr>
          <w:rFonts w:hint="eastAsia"/>
          <w:kern w:val="2"/>
          <w:szCs w:val="22"/>
          <w:u w:val="single"/>
        </w:rPr>
        <w:t>：（1）排水改造为部分具备排油烟条件的商铺增加餐饮排水，接至地下室新增的隔油提升设备，经处理后加压提升至室外污水井；（2）电气改造为商铺增加用电量，开关、电缆全部按现商铺提资的用电量全部更换；（3）暖通改造为裙房商铺增加水平排油烟管道和接驳口，接至对应楼层现有排油烟主立管；屋面增加油烟净化器、排油烟风机、设备基础和水平连接管道接至现有出塔楼屋面排油烟主管道；（4）燃气改造为增加商铺燃气接驳口，对应增设商业燃气调压箱，中压段接至商铺原预留中压接口，低压段接至各商铺燃气接驳口</w:t>
      </w:r>
      <w:r>
        <w:rPr>
          <w:rFonts w:hint="eastAsia"/>
          <w:kern w:val="2"/>
          <w:szCs w:val="22"/>
          <w:u w:val="single"/>
          <w:lang w:eastAsia="zh-CN"/>
        </w:rPr>
        <w:t>；（</w:t>
      </w:r>
      <w:r>
        <w:rPr>
          <w:rFonts w:hint="eastAsia"/>
          <w:kern w:val="2"/>
          <w:szCs w:val="22"/>
          <w:u w:val="single"/>
          <w:lang w:val="en-US" w:eastAsia="zh-CN"/>
        </w:rPr>
        <w:t>5</w:t>
      </w:r>
      <w:r>
        <w:rPr>
          <w:rFonts w:hint="eastAsia"/>
          <w:kern w:val="2"/>
          <w:szCs w:val="22"/>
          <w:u w:val="single"/>
          <w:lang w:eastAsia="zh-CN"/>
        </w:rPr>
        <w:t>）</w:t>
      </w:r>
      <w:r>
        <w:rPr>
          <w:rFonts w:hint="eastAsia"/>
          <w:kern w:val="2"/>
          <w:szCs w:val="22"/>
          <w:u w:val="single"/>
        </w:rPr>
        <w:t>完成本项目验收移交所需的全部监测及检测、</w:t>
      </w:r>
      <w:r>
        <w:rPr>
          <w:rFonts w:ascii="宋体" w:hAnsi="宋体" w:eastAsia="宋体" w:cs="宋体"/>
          <w:sz w:val="24"/>
          <w:szCs w:val="24"/>
          <w:u w:val="single"/>
        </w:rPr>
        <w:t>配合完成商户进场前的施工工作</w:t>
      </w:r>
      <w:r>
        <w:rPr>
          <w:rFonts w:hint="eastAsia"/>
          <w:kern w:val="2"/>
          <w:szCs w:val="22"/>
          <w:u w:val="single"/>
        </w:rPr>
        <w:t>、所有的开孔和装饰面收边收口工作</w:t>
      </w:r>
      <w:r>
        <w:rPr>
          <w:rFonts w:hint="eastAsia"/>
          <w:kern w:val="2"/>
          <w:szCs w:val="22"/>
          <w:u w:val="single"/>
          <w:lang w:eastAsia="zh-CN"/>
        </w:rPr>
        <w:t>、</w:t>
      </w:r>
      <w:r>
        <w:rPr>
          <w:rFonts w:hint="eastAsia"/>
          <w:kern w:val="2"/>
          <w:szCs w:val="22"/>
          <w:u w:val="single"/>
          <w:lang w:val="en-US" w:eastAsia="zh-CN"/>
        </w:rPr>
        <w:t>各专业面拆除恢复工作</w:t>
      </w:r>
      <w:r>
        <w:rPr>
          <w:rFonts w:hint="eastAsia"/>
          <w:kern w:val="2"/>
          <w:szCs w:val="22"/>
          <w:u w:val="single"/>
        </w:rPr>
        <w:t>。</w:t>
      </w:r>
      <w:r>
        <w:rPr>
          <w:rFonts w:hint="eastAsia"/>
          <w:kern w:val="2"/>
          <w:u w:val="single"/>
        </w:rPr>
        <w:t>具体工作内容以施工图纸、工程量清单为准。</w:t>
      </w:r>
    </w:p>
    <w:p>
      <w:pPr>
        <w:widowControl w:val="0"/>
        <w:numPr>
          <w:ilvl w:val="255"/>
          <w:numId w:val="0"/>
        </w:numPr>
        <w:spacing w:line="360" w:lineRule="auto"/>
        <w:ind w:firstLine="480" w:firstLineChars="200"/>
        <w:rPr>
          <w:rFonts w:hint="eastAsia"/>
          <w:kern w:val="2"/>
        </w:rPr>
      </w:pPr>
      <w:r>
        <w:rPr>
          <w:rFonts w:hint="eastAsia"/>
          <w:kern w:val="2"/>
        </w:rPr>
        <w:t>承包人不能拒绝执行为完成本项工程而需执行的可能遗漏的工程项目。发包人有权力根据需要进行调整，承包人须无条件接受发包人提出的变更要求，并按要求调整施工范围及内容。</w:t>
      </w:r>
    </w:p>
    <w:p>
      <w:pPr>
        <w:widowControl w:val="0"/>
        <w:spacing w:before="48" w:beforeLines="20" w:after="48" w:afterLines="20" w:line="360" w:lineRule="auto"/>
        <w:ind w:firstLine="482" w:firstLineChars="200"/>
        <w:jc w:val="both"/>
        <w:rPr>
          <w:b/>
          <w:color w:val="000000"/>
          <w:kern w:val="2"/>
          <w:szCs w:val="22"/>
        </w:rPr>
      </w:pPr>
      <w:r>
        <w:rPr>
          <w:rFonts w:hint="eastAsia"/>
          <w:b/>
          <w:color w:val="000000"/>
          <w:kern w:val="2"/>
          <w:szCs w:val="22"/>
        </w:rPr>
        <w:t>1.市政公用及配套专业工程、其他工程：</w:t>
      </w:r>
      <w:r>
        <w:rPr>
          <w:rFonts w:hint="eastAsia"/>
          <w:color w:val="000000"/>
          <w:kern w:val="2"/>
          <w:sz w:val="21"/>
          <w:szCs w:val="21"/>
        </w:rPr>
        <w:t>(在□内打√，并填写相应的工程量)</w:t>
      </w:r>
    </w:p>
    <w:tbl>
      <w:tblPr>
        <w:tblStyle w:val="1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3"/>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000000"/>
                <w:kern w:val="2"/>
                <w:sz w:val="22"/>
                <w:szCs w:val="22"/>
              </w:rPr>
            </w:pPr>
            <w:r>
              <w:rPr>
                <w:rFonts w:hint="eastAsia"/>
                <w:bCs/>
                <w:color w:val="000000"/>
                <w:kern w:val="2"/>
                <w:sz w:val="22"/>
                <w:szCs w:val="22"/>
              </w:rPr>
              <w:t>□七通一平工程             万平方米</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000000"/>
                <w:kern w:val="2"/>
                <w:sz w:val="22"/>
                <w:szCs w:val="22"/>
              </w:rPr>
            </w:pPr>
            <w:r>
              <w:rPr>
                <w:rFonts w:hint="eastAsia"/>
                <w:bCs/>
                <w:color w:val="000000"/>
                <w:kern w:val="2"/>
                <w:sz w:val="22"/>
                <w:szCs w:val="22"/>
              </w:rPr>
              <w:t>□电信管道工程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color w:val="000000"/>
                <w:kern w:val="2"/>
                <w:sz w:val="22"/>
                <w:szCs w:val="22"/>
              </w:rPr>
            </w:pPr>
            <w:r>
              <w:rPr>
                <w:rFonts w:hint="eastAsia"/>
                <w:bCs/>
                <w:color w:val="000000"/>
                <w:kern w:val="2"/>
                <w:sz w:val="22"/>
                <w:szCs w:val="22"/>
              </w:rPr>
              <w:t>□挡墙护坡工程 长： 米； 宽： 米；高： 米</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000000"/>
                <w:kern w:val="2"/>
                <w:sz w:val="22"/>
                <w:szCs w:val="22"/>
              </w:rPr>
            </w:pPr>
            <w:r>
              <w:rPr>
                <w:rFonts w:hint="eastAsia"/>
                <w:bCs/>
                <w:color w:val="000000"/>
                <w:kern w:val="2"/>
                <w:sz w:val="22"/>
                <w:szCs w:val="22"/>
              </w:rPr>
              <w:t xml:space="preserve">□电力管道工程          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color w:val="000000"/>
                <w:kern w:val="2"/>
                <w:sz w:val="22"/>
                <w:szCs w:val="22"/>
              </w:rPr>
            </w:pPr>
            <w:r>
              <w:rPr>
                <w:rFonts w:hint="eastAsia"/>
                <w:bCs/>
                <w:color w:val="000000"/>
                <w:kern w:val="2"/>
                <w:sz w:val="22"/>
                <w:szCs w:val="22"/>
              </w:rPr>
              <w:t>□软基处理工程            万平方米</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000000"/>
                <w:kern w:val="2"/>
                <w:sz w:val="22"/>
                <w:szCs w:val="22"/>
              </w:rPr>
            </w:pPr>
            <w:r>
              <w:rPr>
                <w:rFonts w:hint="eastAsia"/>
                <w:bCs/>
                <w:color w:val="000000"/>
                <w:kern w:val="2"/>
                <w:sz w:val="22"/>
                <w:szCs w:val="22"/>
              </w:rPr>
              <w:t>□污水处理厂及配套工程     立方米/d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000000"/>
                <w:kern w:val="2"/>
                <w:sz w:val="22"/>
                <w:szCs w:val="22"/>
              </w:rPr>
            </w:pPr>
            <w:r>
              <w:rPr>
                <w:rFonts w:hint="eastAsia"/>
                <w:bCs/>
                <w:color w:val="000000"/>
                <w:kern w:val="2"/>
                <w:sz w:val="22"/>
                <w:szCs w:val="22"/>
              </w:rPr>
              <w:t>□水厂及配套工程              立方米/d</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000000"/>
                <w:kern w:val="2"/>
                <w:sz w:val="22"/>
                <w:szCs w:val="22"/>
              </w:rPr>
            </w:pPr>
            <w:r>
              <w:rPr>
                <w:rFonts w:hint="eastAsia"/>
                <w:bCs/>
                <w:color w:val="000000"/>
                <w:kern w:val="2"/>
                <w:sz w:val="22"/>
                <w:szCs w:val="22"/>
              </w:rPr>
              <w:t>□污泥处理厂及配套工程     立方米/d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000000"/>
                <w:kern w:val="2"/>
                <w:sz w:val="22"/>
                <w:szCs w:val="22"/>
              </w:rPr>
            </w:pPr>
            <w:r>
              <w:rPr>
                <w:rFonts w:hint="eastAsia"/>
                <w:bCs/>
                <w:color w:val="000000"/>
                <w:kern w:val="2"/>
                <w:sz w:val="22"/>
                <w:szCs w:val="22"/>
              </w:rPr>
              <w:t>□给水管道工程            米</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000000"/>
                <w:kern w:val="2"/>
                <w:sz w:val="22"/>
                <w:szCs w:val="22"/>
              </w:rPr>
            </w:pPr>
            <w:r>
              <w:rPr>
                <w:rFonts w:hint="eastAsia"/>
                <w:bCs/>
                <w:color w:val="000000"/>
                <w:kern w:val="2"/>
                <w:sz w:val="22"/>
                <w:szCs w:val="22"/>
              </w:rPr>
              <w:t>□泵站工程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000000"/>
                <w:kern w:val="2"/>
                <w:sz w:val="22"/>
                <w:szCs w:val="22"/>
              </w:rPr>
            </w:pPr>
            <w:r>
              <w:rPr>
                <w:rFonts w:hint="eastAsia"/>
                <w:bCs/>
                <w:color w:val="000000"/>
                <w:kern w:val="2"/>
                <w:sz w:val="22"/>
                <w:szCs w:val="22"/>
              </w:rPr>
              <w:t>□道路工程   长：  米 宽：  米</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000000"/>
                <w:kern w:val="2"/>
                <w:sz w:val="22"/>
                <w:szCs w:val="22"/>
              </w:rPr>
            </w:pPr>
            <w:r>
              <w:rPr>
                <w:rFonts w:hint="eastAsia"/>
                <w:bCs/>
                <w:color w:val="000000"/>
                <w:kern w:val="2"/>
                <w:sz w:val="22"/>
                <w:szCs w:val="22"/>
              </w:rPr>
              <w:t>□隧道工程  长：  米 宽：  米 高：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000000"/>
                <w:kern w:val="2"/>
                <w:sz w:val="22"/>
                <w:szCs w:val="22"/>
              </w:rPr>
            </w:pPr>
            <w:r>
              <w:rPr>
                <w:rFonts w:hint="eastAsia"/>
                <w:bCs/>
                <w:color w:val="000000"/>
                <w:kern w:val="2"/>
                <w:sz w:val="22"/>
                <w:szCs w:val="22"/>
              </w:rPr>
              <w:t>□桥梁工程           座</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000000"/>
                <w:kern w:val="2"/>
                <w:sz w:val="22"/>
                <w:szCs w:val="22"/>
              </w:rPr>
            </w:pPr>
            <w:r>
              <w:rPr>
                <w:rFonts w:hint="eastAsia"/>
                <w:bCs/>
                <w:color w:val="000000"/>
                <w:kern w:val="2"/>
                <w:sz w:val="22"/>
                <w:szCs w:val="22"/>
              </w:rPr>
              <w:t>□道路改造工程  长：  米   宽：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000000"/>
                <w:kern w:val="2"/>
                <w:sz w:val="22"/>
                <w:szCs w:val="22"/>
              </w:rPr>
            </w:pPr>
            <w:r>
              <w:rPr>
                <w:rFonts w:hint="eastAsia"/>
                <w:bCs/>
                <w:color w:val="000000"/>
                <w:kern w:val="2"/>
                <w:sz w:val="22"/>
                <w:szCs w:val="22"/>
              </w:rPr>
              <w:t>□排水箱涵工程  长：  米 宽：  米 高：  米</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000000"/>
                <w:kern w:val="2"/>
                <w:sz w:val="22"/>
                <w:szCs w:val="22"/>
              </w:rPr>
            </w:pPr>
            <w:r>
              <w:rPr>
                <w:rFonts w:hint="eastAsia"/>
                <w:bCs/>
                <w:color w:val="000000"/>
                <w:kern w:val="2"/>
                <w:sz w:val="22"/>
                <w:szCs w:val="22"/>
              </w:rPr>
              <w:t xml:space="preserve">□路灯照明工程           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000000"/>
                <w:kern w:val="2"/>
                <w:sz w:val="22"/>
                <w:szCs w:val="22"/>
              </w:rPr>
            </w:pPr>
            <w:r>
              <w:rPr>
                <w:rFonts w:hint="eastAsia"/>
                <w:bCs/>
                <w:color w:val="000000"/>
                <w:kern w:val="2"/>
                <w:sz w:val="22"/>
                <w:szCs w:val="22"/>
              </w:rPr>
              <w:t>□交通监控、收费综合系统工程</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000000"/>
                <w:kern w:val="2"/>
                <w:sz w:val="22"/>
                <w:szCs w:val="22"/>
              </w:rPr>
            </w:pPr>
            <w:r>
              <w:rPr>
                <w:rFonts w:hint="eastAsia"/>
                <w:bCs/>
                <w:color w:val="000000"/>
                <w:kern w:val="2"/>
                <w:sz w:val="22"/>
                <w:szCs w:val="22"/>
              </w:rPr>
              <w:t>□绿化工程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000000"/>
                <w:kern w:val="2"/>
                <w:sz w:val="22"/>
                <w:szCs w:val="22"/>
              </w:rPr>
            </w:pPr>
            <w:r>
              <w:rPr>
                <w:rFonts w:hint="eastAsia"/>
                <w:bCs/>
                <w:color w:val="000000"/>
                <w:kern w:val="2"/>
                <w:sz w:val="22"/>
                <w:szCs w:val="22"/>
              </w:rPr>
              <w:t>□交通安全设施工程          米</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000000"/>
                <w:kern w:val="2"/>
                <w:sz w:val="22"/>
                <w:szCs w:val="22"/>
              </w:rPr>
            </w:pPr>
            <w:r>
              <w:rPr>
                <w:rFonts w:hint="eastAsia"/>
                <w:bCs/>
                <w:color w:val="000000"/>
                <w:kern w:val="2"/>
                <w:sz w:val="22"/>
                <w:szCs w:val="22"/>
              </w:rPr>
              <w:t>□燃气工程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784" w:type="dxa"/>
            <w:gridSpan w:val="2"/>
            <w:tcBorders>
              <w:top w:val="single" w:color="auto" w:sz="4" w:space="0"/>
              <w:left w:val="single" w:color="auto" w:sz="4" w:space="0"/>
              <w:bottom w:val="single" w:color="auto" w:sz="4" w:space="0"/>
              <w:right w:val="single" w:color="auto" w:sz="4" w:space="0"/>
            </w:tcBorders>
            <w:vAlign w:val="center"/>
          </w:tcPr>
          <w:p>
            <w:pPr>
              <w:widowControl w:val="0"/>
              <w:jc w:val="both"/>
              <w:rPr>
                <w:bCs/>
                <w:color w:val="000000"/>
                <w:kern w:val="2"/>
                <w:sz w:val="22"/>
                <w:szCs w:val="22"/>
              </w:rPr>
            </w:pPr>
            <w:r>
              <w:rPr>
                <w:rFonts w:hint="eastAsia"/>
                <w:bCs/>
                <w:color w:val="000000"/>
                <w:kern w:val="2"/>
                <w:sz w:val="22"/>
                <w:szCs w:val="22"/>
              </w:rPr>
              <w:t>□其它:</w:t>
            </w:r>
          </w:p>
        </w:tc>
      </w:tr>
    </w:tbl>
    <w:p>
      <w:pPr>
        <w:widowControl w:val="0"/>
        <w:spacing w:before="48" w:beforeLines="20" w:after="48" w:afterLines="20" w:line="360" w:lineRule="auto"/>
        <w:jc w:val="both"/>
        <w:rPr>
          <w:b/>
          <w:color w:val="000000"/>
          <w:kern w:val="2"/>
          <w:szCs w:val="22"/>
        </w:rPr>
      </w:pPr>
      <w:r>
        <w:rPr>
          <w:rFonts w:hint="eastAsia"/>
          <w:b/>
          <w:color w:val="000000"/>
          <w:kern w:val="2"/>
          <w:szCs w:val="22"/>
        </w:rPr>
        <w:t>2.房屋建筑及配套专业工程：</w:t>
      </w:r>
      <w:r>
        <w:rPr>
          <w:rFonts w:hint="eastAsia"/>
          <w:color w:val="000000"/>
          <w:kern w:val="2"/>
          <w:sz w:val="21"/>
          <w:szCs w:val="21"/>
        </w:rPr>
        <w:t>(在□内打√，并填写相应的工程量)</w:t>
      </w:r>
    </w:p>
    <w:tbl>
      <w:tblPr>
        <w:tblStyle w:val="17"/>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2"/>
        <w:gridCol w:w="10"/>
        <w:gridCol w:w="2532"/>
        <w:gridCol w:w="3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8843"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000000"/>
                <w:kern w:val="2"/>
                <w:sz w:val="22"/>
                <w:szCs w:val="22"/>
              </w:rPr>
            </w:pPr>
            <w:r>
              <w:rPr>
                <w:rFonts w:hint="eastAsia"/>
                <w:bCs/>
                <w:color w:val="000000"/>
                <w:kern w:val="2"/>
                <w:sz w:val="22"/>
                <w:szCs w:val="22"/>
              </w:rPr>
              <w:t>□地基与基础工程  （□基础  □基坑支护  □边坡  □土石方  □其它</w:t>
            </w:r>
            <w:r>
              <w:rPr>
                <w:rFonts w:hint="eastAsia"/>
                <w:color w:val="000000"/>
                <w:kern w:val="2"/>
                <w:sz w:val="22"/>
                <w:szCs w:val="22"/>
                <w:u w:val="single"/>
              </w:rPr>
              <w:t xml:space="preserve">         </w:t>
            </w:r>
            <w:r>
              <w:rPr>
                <w:rFonts w:hint="eastAsia"/>
                <w:bCs/>
                <w:color w:val="000000"/>
                <w:kern w:val="2"/>
                <w:sz w:val="22"/>
                <w:szCs w:val="22"/>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843"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000000"/>
                <w:kern w:val="2"/>
                <w:sz w:val="22"/>
                <w:szCs w:val="22"/>
              </w:rPr>
            </w:pPr>
            <w:r>
              <w:rPr>
                <w:rFonts w:hint="eastAsia"/>
                <w:bCs/>
                <w:color w:val="000000"/>
                <w:kern w:val="2"/>
                <w:sz w:val="22"/>
                <w:szCs w:val="22"/>
              </w:rPr>
              <w:t>□主体结构工程    （□钢筋混凝土 □钢结构 □</w:t>
            </w:r>
            <w:r>
              <w:rPr>
                <w:rFonts w:hint="eastAsia"/>
                <w:bCs/>
                <w:color w:val="000000"/>
                <w:spacing w:val="-20"/>
                <w:kern w:val="2"/>
                <w:sz w:val="22"/>
                <w:szCs w:val="22"/>
              </w:rPr>
              <w:t xml:space="preserve">网架  </w:t>
            </w:r>
            <w:r>
              <w:rPr>
                <w:rFonts w:hint="eastAsia"/>
                <w:bCs/>
                <w:color w:val="000000"/>
                <w:kern w:val="2"/>
                <w:sz w:val="22"/>
                <w:szCs w:val="22"/>
              </w:rPr>
              <w:t xml:space="preserve">□索膜结构 □其它 </w:t>
            </w:r>
            <w:r>
              <w:rPr>
                <w:rFonts w:hint="eastAsia"/>
                <w:color w:val="000000"/>
                <w:kern w:val="2"/>
                <w:sz w:val="22"/>
                <w:szCs w:val="22"/>
                <w:u w:val="single"/>
              </w:rPr>
              <w:t xml:space="preserve">     </w:t>
            </w:r>
            <w:r>
              <w:rPr>
                <w:rFonts w:hint="eastAsia"/>
                <w:bCs/>
                <w:color w:val="000000"/>
                <w:kern w:val="2"/>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843"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000000"/>
                <w:kern w:val="2"/>
                <w:sz w:val="22"/>
                <w:szCs w:val="22"/>
              </w:rPr>
            </w:pPr>
            <w:r>
              <w:rPr>
                <w:rFonts w:hint="eastAsia"/>
                <w:bCs/>
                <w:color w:val="000000"/>
                <w:kern w:val="2"/>
                <w:sz w:val="22"/>
                <w:szCs w:val="22"/>
              </w:rPr>
              <w:t>□装饰装修工程     （□金属门窗   □幕墙：   平方米  □其它</w:t>
            </w:r>
            <w:r>
              <w:rPr>
                <w:rFonts w:hint="eastAsia"/>
                <w:color w:val="000000"/>
                <w:kern w:val="2"/>
                <w:sz w:val="22"/>
                <w:szCs w:val="22"/>
                <w:u w:val="single"/>
              </w:rPr>
              <w:t xml:space="preserve">         </w:t>
            </w:r>
            <w:r>
              <w:rPr>
                <w:rFonts w:hint="eastAsia"/>
                <w:bCs/>
                <w:color w:val="000000"/>
                <w:kern w:val="2"/>
                <w:sz w:val="22"/>
                <w:szCs w:val="22"/>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843"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000000"/>
                <w:kern w:val="2"/>
                <w:sz w:val="22"/>
                <w:szCs w:val="22"/>
              </w:rPr>
            </w:pPr>
            <w:r>
              <w:rPr>
                <w:rFonts w:hint="eastAsia"/>
                <w:bCs/>
                <w:color w:val="000000"/>
                <w:kern w:val="2"/>
                <w:sz w:val="22"/>
                <w:szCs w:val="22"/>
              </w:rPr>
              <w:sym w:font="Wingdings 2" w:char="00A3"/>
            </w:r>
            <w:r>
              <w:rPr>
                <w:rFonts w:hint="eastAsia"/>
                <w:bCs/>
                <w:color w:val="000000"/>
                <w:kern w:val="2"/>
                <w:sz w:val="22"/>
                <w:szCs w:val="22"/>
              </w:rPr>
              <w:t>通风与空调       (</w:t>
            </w:r>
            <w:r>
              <w:rPr>
                <w:rFonts w:hint="eastAsia"/>
                <w:bCs/>
                <w:color w:val="000000"/>
                <w:kern w:val="2"/>
                <w:sz w:val="22"/>
                <w:szCs w:val="22"/>
              </w:rPr>
              <w:sym w:font="Wingdings 2" w:char="00A3"/>
            </w:r>
            <w:r>
              <w:rPr>
                <w:rFonts w:hint="eastAsia"/>
                <w:bCs/>
                <w:color w:val="000000"/>
                <w:kern w:val="2"/>
                <w:sz w:val="22"/>
                <w:szCs w:val="22"/>
              </w:rPr>
              <w:t>通风  □空调       □其它</w:t>
            </w:r>
            <w:r>
              <w:rPr>
                <w:rFonts w:hint="eastAsia"/>
                <w:color w:val="000000"/>
                <w:kern w:val="2"/>
                <w:sz w:val="22"/>
                <w:szCs w:val="22"/>
                <w:u w:val="single"/>
              </w:rPr>
              <w:t xml:space="preserve">         </w:t>
            </w:r>
            <w:r>
              <w:rPr>
                <w:rFonts w:hint="eastAsia"/>
                <w:bCs/>
                <w:color w:val="000000"/>
                <w:kern w:val="2"/>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8843"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000000"/>
                <w:kern w:val="2"/>
                <w:sz w:val="22"/>
                <w:szCs w:val="22"/>
              </w:rPr>
            </w:pPr>
            <w:r>
              <w:rPr>
                <w:rFonts w:ascii="Wingdings 2" w:hAnsi="Wingdings 2"/>
                <w:bCs/>
                <w:color w:val="000000"/>
                <w:kern w:val="2"/>
                <w:sz w:val="22"/>
                <w:szCs w:val="22"/>
              </w:rPr>
              <w:sym w:font="Wingdings 2" w:char="00A3"/>
            </w:r>
            <w:r>
              <w:rPr>
                <w:rFonts w:hint="eastAsia"/>
                <w:bCs/>
                <w:color w:val="000000"/>
                <w:spacing w:val="-20"/>
                <w:kern w:val="2"/>
                <w:sz w:val="22"/>
                <w:szCs w:val="22"/>
              </w:rPr>
              <w:t xml:space="preserve">建筑给水排水及供暖    </w:t>
            </w:r>
            <w:r>
              <w:rPr>
                <w:rFonts w:hint="eastAsia"/>
                <w:bCs/>
                <w:color w:val="000000"/>
                <w:kern w:val="2"/>
                <w:sz w:val="22"/>
                <w:szCs w:val="22"/>
              </w:rPr>
              <w:t>（</w:t>
            </w:r>
            <w:r>
              <w:rPr>
                <w:rFonts w:hint="eastAsia"/>
                <w:bCs/>
                <w:color w:val="000000"/>
                <w:kern w:val="2"/>
                <w:sz w:val="22"/>
                <w:szCs w:val="22"/>
              </w:rPr>
              <w:sym w:font="Wingdings 2" w:char="00A3"/>
            </w:r>
            <w:r>
              <w:rPr>
                <w:rFonts w:hint="eastAsia"/>
                <w:bCs/>
                <w:color w:val="000000"/>
                <w:kern w:val="2"/>
                <w:sz w:val="22"/>
                <w:szCs w:val="22"/>
              </w:rPr>
              <w:t xml:space="preserve">室内给、排水系统 </w:t>
            </w:r>
            <w:r>
              <w:rPr>
                <w:rFonts w:ascii="Wingdings 2" w:hAnsi="Wingdings 2"/>
                <w:bCs/>
                <w:color w:val="000000"/>
                <w:kern w:val="2"/>
                <w:sz w:val="22"/>
                <w:szCs w:val="22"/>
              </w:rPr>
              <w:sym w:font="Wingdings 2" w:char="00A3"/>
            </w:r>
            <w:r>
              <w:rPr>
                <w:rFonts w:hint="eastAsia"/>
                <w:bCs/>
                <w:color w:val="000000"/>
                <w:kern w:val="2"/>
                <w:sz w:val="22"/>
                <w:szCs w:val="22"/>
              </w:rPr>
              <w:t xml:space="preserve"> 室外给、排水系统   □其它</w:t>
            </w:r>
            <w:r>
              <w:rPr>
                <w:rFonts w:hint="eastAsia"/>
                <w:color w:val="000000"/>
                <w:kern w:val="2"/>
                <w:sz w:val="22"/>
                <w:szCs w:val="22"/>
                <w:u w:val="single"/>
              </w:rPr>
              <w:t xml:space="preserve">       </w:t>
            </w:r>
            <w:r>
              <w:rPr>
                <w:rFonts w:hint="eastAsia"/>
                <w:bCs/>
                <w:color w:val="000000"/>
                <w:kern w:val="2"/>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843" w:type="dxa"/>
            <w:gridSpan w:val="4"/>
            <w:tcBorders>
              <w:top w:val="single" w:color="auto" w:sz="4" w:space="0"/>
              <w:left w:val="single" w:color="auto" w:sz="4" w:space="0"/>
              <w:bottom w:val="single" w:color="auto" w:sz="4" w:space="0"/>
              <w:right w:val="single" w:color="auto" w:sz="4" w:space="0"/>
            </w:tcBorders>
            <w:vAlign w:val="center"/>
          </w:tcPr>
          <w:p>
            <w:pPr>
              <w:widowControl w:val="0"/>
              <w:jc w:val="both"/>
              <w:rPr>
                <w:color w:val="000000"/>
                <w:kern w:val="2"/>
                <w:sz w:val="22"/>
                <w:szCs w:val="22"/>
              </w:rPr>
            </w:pPr>
            <w:r>
              <w:rPr>
                <w:rFonts w:ascii="Wingdings 2" w:hAnsi="Wingdings 2"/>
                <w:bCs/>
                <w:color w:val="000000"/>
                <w:kern w:val="2"/>
                <w:sz w:val="22"/>
                <w:szCs w:val="22"/>
              </w:rPr>
              <w:sym w:font="Wingdings 2" w:char="00A3"/>
            </w:r>
            <w:r>
              <w:rPr>
                <w:rFonts w:hint="eastAsia"/>
                <w:bCs/>
                <w:color w:val="000000"/>
                <w:kern w:val="2"/>
                <w:sz w:val="22"/>
                <w:szCs w:val="22"/>
              </w:rPr>
              <w:t>建筑电气工程     (</w:t>
            </w:r>
            <w:r>
              <w:rPr>
                <w:rFonts w:ascii="Wingdings 2" w:hAnsi="Wingdings 2"/>
                <w:bCs/>
                <w:color w:val="000000"/>
                <w:kern w:val="2"/>
                <w:sz w:val="22"/>
                <w:szCs w:val="22"/>
              </w:rPr>
              <w:sym w:font="Wingdings 2" w:char="00A3"/>
            </w:r>
            <w:r>
              <w:rPr>
                <w:rFonts w:hint="eastAsia"/>
                <w:bCs/>
                <w:color w:val="000000"/>
                <w:kern w:val="2"/>
                <w:sz w:val="22"/>
                <w:szCs w:val="22"/>
              </w:rPr>
              <w:t xml:space="preserve">室外电气    </w:t>
            </w:r>
            <w:r>
              <w:rPr>
                <w:rFonts w:hint="eastAsia"/>
                <w:bCs/>
                <w:color w:val="000000"/>
                <w:kern w:val="2"/>
                <w:sz w:val="22"/>
                <w:szCs w:val="22"/>
                <w:lang w:eastAsia="zh-CN"/>
              </w:rPr>
              <w:t>□</w:t>
            </w:r>
            <w:r>
              <w:rPr>
                <w:rFonts w:hint="eastAsia"/>
                <w:bCs/>
                <w:color w:val="000000"/>
                <w:kern w:val="2"/>
                <w:sz w:val="22"/>
                <w:szCs w:val="22"/>
              </w:rPr>
              <w:t>电气照明     □其它</w:t>
            </w:r>
            <w:r>
              <w:rPr>
                <w:rFonts w:hint="eastAsia"/>
                <w:color w:val="000000"/>
                <w:kern w:val="2"/>
                <w:sz w:val="22"/>
                <w:szCs w:val="22"/>
                <w:u w:val="single"/>
              </w:rPr>
              <w:t xml:space="preserve">         </w:t>
            </w:r>
            <w:r>
              <w:rPr>
                <w:rFonts w:hint="eastAsia"/>
                <w:bCs/>
                <w:color w:val="000000"/>
                <w:kern w:val="2"/>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2552"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000000"/>
                <w:kern w:val="2"/>
                <w:sz w:val="22"/>
                <w:szCs w:val="22"/>
              </w:rPr>
            </w:pPr>
            <w:r>
              <w:rPr>
                <w:rFonts w:hint="eastAsia"/>
                <w:bCs/>
                <w:color w:val="000000"/>
                <w:kern w:val="2"/>
                <w:sz w:val="22"/>
                <w:szCs w:val="22"/>
              </w:rPr>
              <w:t>□智能建筑</w:t>
            </w:r>
          </w:p>
        </w:tc>
        <w:tc>
          <w:tcPr>
            <w:tcW w:w="6291" w:type="dxa"/>
            <w:gridSpan w:val="2"/>
            <w:tcBorders>
              <w:top w:val="single" w:color="auto" w:sz="4" w:space="0"/>
              <w:left w:val="single" w:color="auto" w:sz="4" w:space="0"/>
              <w:bottom w:val="single" w:color="auto" w:sz="4" w:space="0"/>
              <w:right w:val="single" w:color="auto" w:sz="4" w:space="0"/>
            </w:tcBorders>
            <w:vAlign w:val="center"/>
          </w:tcPr>
          <w:p>
            <w:pPr>
              <w:widowControl w:val="0"/>
              <w:jc w:val="both"/>
              <w:rPr>
                <w:bCs/>
                <w:color w:val="000000"/>
                <w:kern w:val="2"/>
                <w:sz w:val="22"/>
                <w:szCs w:val="22"/>
              </w:rPr>
            </w:pPr>
            <w:r>
              <w:rPr>
                <w:rFonts w:hint="eastAsia"/>
                <w:bCs/>
                <w:color w:val="000000"/>
                <w:kern w:val="2"/>
                <w:sz w:val="22"/>
                <w:szCs w:val="22"/>
              </w:rPr>
              <w:t>(□综合布线系统  □信息网络系统     □其它</w:t>
            </w:r>
            <w:r>
              <w:rPr>
                <w:rFonts w:hint="eastAsia"/>
                <w:color w:val="000000"/>
                <w:kern w:val="2"/>
                <w:sz w:val="22"/>
                <w:szCs w:val="22"/>
                <w:u w:val="single"/>
              </w:rPr>
              <w:t xml:space="preserve">         </w:t>
            </w:r>
            <w:r>
              <w:rPr>
                <w:rFonts w:hint="eastAsia"/>
                <w:bCs/>
                <w:color w:val="000000"/>
                <w:kern w:val="2"/>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2542" w:type="dxa"/>
            <w:tcBorders>
              <w:top w:val="single" w:color="auto" w:sz="4" w:space="0"/>
              <w:left w:val="single" w:color="auto" w:sz="4" w:space="0"/>
              <w:bottom w:val="single" w:color="auto" w:sz="4" w:space="0"/>
              <w:right w:val="single" w:color="auto" w:sz="4" w:space="0"/>
            </w:tcBorders>
            <w:vAlign w:val="center"/>
          </w:tcPr>
          <w:p>
            <w:pPr>
              <w:widowControl w:val="0"/>
              <w:jc w:val="both"/>
              <w:rPr>
                <w:bCs/>
                <w:color w:val="000000"/>
                <w:kern w:val="2"/>
                <w:sz w:val="22"/>
                <w:szCs w:val="22"/>
              </w:rPr>
            </w:pPr>
            <w:r>
              <w:rPr>
                <w:rFonts w:hint="eastAsia"/>
                <w:bCs/>
                <w:color w:val="000000"/>
                <w:kern w:val="2"/>
                <w:sz w:val="22"/>
                <w:szCs w:val="22"/>
              </w:rPr>
              <w:t>□屋面及防水工程</w:t>
            </w:r>
          </w:p>
        </w:tc>
        <w:tc>
          <w:tcPr>
            <w:tcW w:w="2542" w:type="dxa"/>
            <w:gridSpan w:val="2"/>
            <w:tcBorders>
              <w:top w:val="single" w:color="auto" w:sz="4" w:space="0"/>
              <w:left w:val="single" w:color="auto" w:sz="4" w:space="0"/>
              <w:bottom w:val="single" w:color="auto" w:sz="4" w:space="0"/>
              <w:right w:val="single" w:color="auto" w:sz="4" w:space="0"/>
            </w:tcBorders>
            <w:vAlign w:val="center"/>
          </w:tcPr>
          <w:p>
            <w:pPr>
              <w:widowControl w:val="0"/>
              <w:jc w:val="both"/>
              <w:rPr>
                <w:color w:val="000000"/>
                <w:kern w:val="2"/>
                <w:sz w:val="22"/>
                <w:szCs w:val="22"/>
              </w:rPr>
            </w:pPr>
            <w:r>
              <w:rPr>
                <w:rFonts w:hint="eastAsia"/>
                <w:bCs/>
                <w:color w:val="000000"/>
                <w:kern w:val="2"/>
                <w:sz w:val="22"/>
                <w:szCs w:val="22"/>
              </w:rPr>
              <w:t xml:space="preserve">□建筑节能    </w:t>
            </w:r>
          </w:p>
        </w:tc>
        <w:tc>
          <w:tcPr>
            <w:tcW w:w="3759" w:type="dxa"/>
            <w:tcBorders>
              <w:top w:val="single" w:color="auto" w:sz="4" w:space="0"/>
              <w:left w:val="single" w:color="auto" w:sz="4" w:space="0"/>
              <w:bottom w:val="single" w:color="auto" w:sz="4" w:space="0"/>
              <w:right w:val="single" w:color="auto" w:sz="4" w:space="0"/>
            </w:tcBorders>
            <w:vAlign w:val="center"/>
          </w:tcPr>
          <w:p>
            <w:pPr>
              <w:widowControl w:val="0"/>
              <w:jc w:val="both"/>
              <w:rPr>
                <w:bCs/>
                <w:color w:val="000000"/>
                <w:kern w:val="2"/>
                <w:sz w:val="22"/>
                <w:szCs w:val="22"/>
              </w:rPr>
            </w:pPr>
            <w:r>
              <w:rPr>
                <w:rFonts w:hint="eastAsia"/>
                <w:bCs/>
                <w:color w:val="000000"/>
                <w:kern w:val="2"/>
                <w:sz w:val="22"/>
                <w:szCs w:val="22"/>
              </w:rPr>
              <w:t>□消防工程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8843" w:type="dxa"/>
            <w:gridSpan w:val="4"/>
            <w:tcBorders>
              <w:top w:val="single" w:color="auto" w:sz="4" w:space="0"/>
              <w:left w:val="single" w:color="auto" w:sz="4" w:space="0"/>
              <w:bottom w:val="single" w:color="auto" w:sz="4" w:space="0"/>
              <w:right w:val="single" w:color="auto" w:sz="4" w:space="0"/>
            </w:tcBorders>
            <w:vAlign w:val="center"/>
          </w:tcPr>
          <w:p>
            <w:pPr>
              <w:widowControl w:val="0"/>
              <w:jc w:val="both"/>
              <w:rPr>
                <w:bCs/>
                <w:color w:val="000000"/>
                <w:kern w:val="2"/>
                <w:sz w:val="22"/>
                <w:szCs w:val="22"/>
              </w:rPr>
            </w:pPr>
            <w:r>
              <w:rPr>
                <w:rFonts w:ascii="Wingdings 2" w:hAnsi="Wingdings 2"/>
                <w:bCs/>
                <w:color w:val="000000"/>
                <w:kern w:val="2"/>
                <w:sz w:val="22"/>
                <w:szCs w:val="22"/>
              </w:rPr>
              <w:sym w:font="Wingdings 2" w:char="00A3"/>
            </w:r>
            <w:r>
              <w:rPr>
                <w:rFonts w:hint="eastAsia"/>
                <w:bCs/>
                <w:color w:val="000000"/>
                <w:kern w:val="2"/>
                <w:sz w:val="22"/>
                <w:szCs w:val="22"/>
              </w:rPr>
              <w:t xml:space="preserve">室外工程    （ </w:t>
            </w:r>
            <w:r>
              <w:rPr>
                <w:rFonts w:ascii="Wingdings 2" w:hAnsi="Wingdings 2"/>
                <w:bCs/>
                <w:color w:val="000000"/>
                <w:kern w:val="2"/>
                <w:sz w:val="22"/>
                <w:szCs w:val="22"/>
              </w:rPr>
              <w:sym w:font="Wingdings 2" w:char="00A3"/>
            </w:r>
            <w:r>
              <w:rPr>
                <w:rFonts w:hint="eastAsia"/>
                <w:bCs/>
                <w:color w:val="000000"/>
                <w:kern w:val="2"/>
                <w:sz w:val="22"/>
                <w:szCs w:val="22"/>
              </w:rPr>
              <w:t>室外设施</w:t>
            </w:r>
            <w:r>
              <w:rPr>
                <w:rFonts w:hint="eastAsia"/>
                <w:color w:val="000000"/>
                <w:kern w:val="2"/>
                <w:sz w:val="22"/>
                <w:szCs w:val="22"/>
                <w:u w:val="single"/>
              </w:rPr>
              <w:t xml:space="preserve">                       </w:t>
            </w:r>
            <w:r>
              <w:rPr>
                <w:rFonts w:hint="eastAsia"/>
                <w:bCs/>
                <w:color w:val="000000"/>
                <w:kern w:val="2"/>
                <w:sz w:val="22"/>
                <w:szCs w:val="22"/>
              </w:rPr>
              <w:t xml:space="preserve">  □附属建筑</w:t>
            </w:r>
            <w:r>
              <w:rPr>
                <w:rFonts w:hint="eastAsia"/>
                <w:color w:val="000000"/>
                <w:kern w:val="2"/>
                <w:sz w:val="22"/>
                <w:szCs w:val="22"/>
                <w:u w:val="single"/>
              </w:rPr>
              <w:t xml:space="preserve">                   </w:t>
            </w:r>
          </w:p>
          <w:p>
            <w:pPr>
              <w:widowControl w:val="0"/>
              <w:jc w:val="both"/>
              <w:rPr>
                <w:bCs/>
                <w:color w:val="000000"/>
                <w:kern w:val="2"/>
                <w:sz w:val="22"/>
                <w:szCs w:val="22"/>
              </w:rPr>
            </w:pPr>
            <w:r>
              <w:rPr>
                <w:rFonts w:hint="eastAsia"/>
                <w:bCs/>
                <w:color w:val="000000"/>
                <w:kern w:val="2"/>
                <w:sz w:val="22"/>
                <w:szCs w:val="22"/>
              </w:rPr>
              <w:t xml:space="preserve">                 </w:t>
            </w:r>
            <w:r>
              <w:rPr>
                <w:rFonts w:ascii="Wingdings 2" w:hAnsi="Wingdings 2"/>
                <w:bCs/>
                <w:color w:val="000000"/>
                <w:kern w:val="2"/>
                <w:sz w:val="22"/>
                <w:szCs w:val="22"/>
              </w:rPr>
              <w:sym w:font="Wingdings 2" w:char="00A3"/>
            </w:r>
            <w:r>
              <w:rPr>
                <w:rFonts w:hint="eastAsia"/>
                <w:bCs/>
                <w:color w:val="000000"/>
                <w:kern w:val="2"/>
                <w:sz w:val="22"/>
                <w:szCs w:val="22"/>
              </w:rPr>
              <w:t>室外环境</w:t>
            </w:r>
            <w:r>
              <w:rPr>
                <w:rFonts w:hint="eastAsia"/>
                <w:color w:val="000000"/>
                <w:kern w:val="2"/>
                <w:sz w:val="22"/>
                <w:szCs w:val="22"/>
                <w:u w:val="single"/>
              </w:rPr>
              <w:t xml:space="preserve">                                       ）</w:t>
            </w:r>
            <w:r>
              <w:rPr>
                <w:rFonts w:hint="eastAsia"/>
                <w:bCs/>
                <w:color w:val="000000"/>
                <w:kern w:val="2"/>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8843" w:type="dxa"/>
            <w:gridSpan w:val="4"/>
            <w:tcBorders>
              <w:top w:val="single" w:color="auto" w:sz="4" w:space="0"/>
              <w:left w:val="single" w:color="auto" w:sz="4" w:space="0"/>
              <w:bottom w:val="single" w:color="auto" w:sz="4" w:space="0"/>
              <w:right w:val="single" w:color="auto" w:sz="4" w:space="0"/>
            </w:tcBorders>
            <w:vAlign w:val="center"/>
          </w:tcPr>
          <w:p>
            <w:pPr>
              <w:widowControl w:val="0"/>
              <w:jc w:val="both"/>
              <w:rPr>
                <w:bCs/>
                <w:color w:val="000000"/>
                <w:kern w:val="2"/>
                <w:sz w:val="22"/>
                <w:szCs w:val="22"/>
              </w:rPr>
            </w:pPr>
            <w:r>
              <w:rPr>
                <w:rFonts w:hint="eastAsia"/>
                <w:bCs/>
                <w:color w:val="000000"/>
                <w:kern w:val="2"/>
                <w:sz w:val="22"/>
                <w:szCs w:val="22"/>
              </w:rPr>
              <w:sym w:font="Wingdings 2" w:char="00A3"/>
            </w:r>
            <w:r>
              <w:rPr>
                <w:rFonts w:hint="eastAsia"/>
                <w:bCs/>
                <w:color w:val="000000"/>
                <w:kern w:val="2"/>
                <w:sz w:val="22"/>
                <w:szCs w:val="22"/>
              </w:rPr>
              <w:t>燃气工程     （户数：</w:t>
            </w:r>
            <w:r>
              <w:rPr>
                <w:rFonts w:hint="eastAsia"/>
                <w:color w:val="000000"/>
                <w:kern w:val="2"/>
                <w:sz w:val="22"/>
                <w:szCs w:val="22"/>
                <w:u w:val="single"/>
              </w:rPr>
              <w:t xml:space="preserve">       </w:t>
            </w:r>
            <w:r>
              <w:rPr>
                <w:rFonts w:hint="eastAsia"/>
                <w:color w:val="000000"/>
                <w:kern w:val="2"/>
                <w:sz w:val="22"/>
                <w:szCs w:val="22"/>
              </w:rPr>
              <w:t>户；</w:t>
            </w:r>
            <w:r>
              <w:rPr>
                <w:rFonts w:hint="eastAsia"/>
                <w:bCs/>
                <w:color w:val="000000"/>
                <w:kern w:val="2"/>
                <w:sz w:val="22"/>
                <w:szCs w:val="22"/>
              </w:rPr>
              <w:t xml:space="preserve"> 庭院管：</w:t>
            </w:r>
            <w:r>
              <w:rPr>
                <w:rFonts w:hint="eastAsia"/>
                <w:color w:val="000000"/>
                <w:kern w:val="2"/>
                <w:sz w:val="22"/>
                <w:szCs w:val="22"/>
                <w:u w:val="single"/>
              </w:rPr>
              <w:t xml:space="preserve">         </w:t>
            </w:r>
            <w:r>
              <w:rPr>
                <w:rFonts w:hint="eastAsia"/>
                <w:bCs/>
                <w:color w:val="000000"/>
                <w:kern w:val="2"/>
                <w:sz w:val="22"/>
                <w:szCs w:val="22"/>
              </w:rPr>
              <w:t xml:space="preserve"> 米）</w:t>
            </w:r>
          </w:p>
        </w:tc>
      </w:tr>
    </w:tbl>
    <w:p>
      <w:pPr>
        <w:widowControl w:val="0"/>
        <w:spacing w:before="48" w:beforeLines="20" w:after="48" w:afterLines="20" w:line="360" w:lineRule="auto"/>
        <w:jc w:val="both"/>
        <w:rPr>
          <w:b/>
          <w:color w:val="000000"/>
          <w:kern w:val="2"/>
          <w:szCs w:val="22"/>
        </w:rPr>
      </w:pPr>
      <w:r>
        <w:rPr>
          <w:rFonts w:hint="eastAsia"/>
          <w:b/>
          <w:color w:val="000000"/>
          <w:kern w:val="2"/>
          <w:szCs w:val="22"/>
        </w:rPr>
        <w:t>3.二次装饰装修工程：</w:t>
      </w:r>
      <w:r>
        <w:rPr>
          <w:rFonts w:hint="eastAsia"/>
          <w:color w:val="000000"/>
          <w:kern w:val="2"/>
          <w:sz w:val="21"/>
          <w:szCs w:val="21"/>
        </w:rPr>
        <w:t>(在□内打√，并填写相应的工程量)</w:t>
      </w:r>
    </w:p>
    <w:tbl>
      <w:tblPr>
        <w:tblStyle w:val="17"/>
        <w:tblW w:w="8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843"/>
        <w:gridCol w:w="2126"/>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665" w:type="dxa"/>
            <w:tcBorders>
              <w:top w:val="single" w:color="auto" w:sz="4" w:space="0"/>
              <w:left w:val="single" w:color="auto" w:sz="4" w:space="0"/>
              <w:bottom w:val="single" w:color="auto" w:sz="4" w:space="0"/>
              <w:right w:val="single" w:color="auto" w:sz="4" w:space="0"/>
            </w:tcBorders>
            <w:vAlign w:val="center"/>
          </w:tcPr>
          <w:p>
            <w:pPr>
              <w:widowControl w:val="0"/>
              <w:jc w:val="both"/>
              <w:rPr>
                <w:bCs/>
                <w:color w:val="000000"/>
                <w:kern w:val="2"/>
                <w:sz w:val="22"/>
                <w:szCs w:val="22"/>
              </w:rPr>
            </w:pPr>
            <w:r>
              <w:rPr>
                <w:rFonts w:hint="eastAsia"/>
                <w:bCs/>
                <w:color w:val="000000"/>
                <w:kern w:val="2"/>
                <w:sz w:val="22"/>
                <w:szCs w:val="22"/>
              </w:rPr>
              <w:t>□消防工程</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val="0"/>
              <w:jc w:val="both"/>
              <w:rPr>
                <w:bCs/>
                <w:color w:val="000000"/>
                <w:kern w:val="2"/>
                <w:sz w:val="22"/>
                <w:szCs w:val="22"/>
              </w:rPr>
            </w:pPr>
            <w:r>
              <w:rPr>
                <w:rFonts w:ascii="Wingdings 2" w:hAnsi="Wingdings 2"/>
                <w:bCs/>
                <w:color w:val="000000"/>
                <w:kern w:val="2"/>
                <w:sz w:val="22"/>
                <w:szCs w:val="22"/>
              </w:rPr>
              <w:t>£</w:t>
            </w:r>
            <w:r>
              <w:rPr>
                <w:rFonts w:hint="eastAsia"/>
                <w:bCs/>
                <w:color w:val="000000"/>
                <w:kern w:val="2"/>
                <w:sz w:val="22"/>
                <w:szCs w:val="22"/>
              </w:rPr>
              <w:t>门窗</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val="0"/>
              <w:jc w:val="both"/>
              <w:rPr>
                <w:bCs/>
                <w:color w:val="000000"/>
                <w:kern w:val="2"/>
                <w:sz w:val="22"/>
                <w:szCs w:val="22"/>
              </w:rPr>
            </w:pPr>
            <w:r>
              <w:rPr>
                <w:rFonts w:ascii="Wingdings 2" w:hAnsi="Wingdings 2"/>
                <w:bCs/>
                <w:color w:val="000000"/>
                <w:kern w:val="2"/>
                <w:sz w:val="22"/>
                <w:szCs w:val="22"/>
              </w:rPr>
              <w:t>£</w:t>
            </w:r>
            <w:r>
              <w:rPr>
                <w:rFonts w:hint="eastAsia"/>
                <w:bCs/>
                <w:color w:val="000000"/>
                <w:kern w:val="2"/>
                <w:sz w:val="22"/>
                <w:szCs w:val="22"/>
              </w:rPr>
              <w:t>防水工程</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jc w:val="both"/>
              <w:rPr>
                <w:bCs/>
                <w:color w:val="000000"/>
                <w:kern w:val="2"/>
                <w:sz w:val="22"/>
                <w:szCs w:val="22"/>
              </w:rPr>
            </w:pPr>
            <w:r>
              <w:rPr>
                <w:rFonts w:ascii="Wingdings 2" w:hAnsi="Wingdings 2"/>
                <w:bCs/>
                <w:color w:val="000000"/>
                <w:kern w:val="2"/>
                <w:sz w:val="22"/>
                <w:szCs w:val="22"/>
              </w:rPr>
              <w:t>£</w:t>
            </w:r>
            <w:r>
              <w:rPr>
                <w:rFonts w:hint="eastAsia"/>
                <w:bCs/>
                <w:color w:val="000000"/>
                <w:kern w:val="2"/>
                <w:sz w:val="22"/>
                <w:szCs w:val="22"/>
              </w:rPr>
              <w:t>电气照明</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jc w:val="both"/>
              <w:rPr>
                <w:bCs/>
                <w:color w:val="000000"/>
                <w:kern w:val="2"/>
                <w:sz w:val="22"/>
                <w:szCs w:val="22"/>
              </w:rPr>
            </w:pPr>
            <w:r>
              <w:rPr>
                <w:rFonts w:ascii="Wingdings 2" w:hAnsi="Wingdings 2"/>
                <w:bCs/>
                <w:color w:val="000000"/>
                <w:kern w:val="2"/>
                <w:sz w:val="22"/>
                <w:szCs w:val="22"/>
              </w:rPr>
              <w:t>£</w:t>
            </w:r>
            <w:r>
              <w:rPr>
                <w:rFonts w:hint="eastAsia"/>
                <w:color w:val="000000"/>
                <w:kern w:val="2"/>
                <w:sz w:val="22"/>
                <w:szCs w:val="22"/>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4" w:type="dxa"/>
            <w:gridSpan w:val="5"/>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color w:val="000000"/>
                <w:kern w:val="2"/>
                <w:sz w:val="22"/>
                <w:szCs w:val="22"/>
              </w:rPr>
            </w:pPr>
            <w:r>
              <w:rPr>
                <w:rFonts w:ascii="Wingdings 2" w:hAnsi="Wingdings 2"/>
                <w:bCs/>
                <w:color w:val="000000"/>
                <w:kern w:val="2"/>
                <w:sz w:val="22"/>
                <w:szCs w:val="22"/>
              </w:rPr>
              <w:sym w:font="Wingdings 2" w:char="0052"/>
            </w:r>
            <w:r>
              <w:rPr>
                <w:rFonts w:hint="eastAsia"/>
                <w:bCs/>
                <w:color w:val="000000"/>
                <w:kern w:val="2"/>
                <w:sz w:val="22"/>
                <w:szCs w:val="22"/>
              </w:rPr>
              <w:t xml:space="preserve">通风与空调 (□通风  □空调       </w:t>
            </w:r>
            <w:r>
              <w:rPr>
                <w:rFonts w:ascii="Wingdings 2" w:hAnsi="Wingdings 2"/>
                <w:bCs/>
                <w:color w:val="000000"/>
                <w:kern w:val="2"/>
                <w:sz w:val="22"/>
                <w:szCs w:val="22"/>
              </w:rPr>
              <w:t>£</w:t>
            </w:r>
            <w:r>
              <w:rPr>
                <w:rFonts w:hint="eastAsia"/>
                <w:bCs/>
                <w:color w:val="000000"/>
                <w:kern w:val="2"/>
                <w:sz w:val="22"/>
                <w:szCs w:val="22"/>
              </w:rPr>
              <w:t>其它</w:t>
            </w:r>
            <w:r>
              <w:rPr>
                <w:rFonts w:hint="eastAsia"/>
                <w:color w:val="000000"/>
                <w:kern w:val="2"/>
                <w:sz w:val="22"/>
                <w:szCs w:val="22"/>
                <w:u w:val="single"/>
              </w:rPr>
              <w:t xml:space="preserve">            </w:t>
            </w:r>
            <w:r>
              <w:rPr>
                <w:rFonts w:hint="eastAsia"/>
                <w:bCs/>
                <w:color w:val="000000"/>
                <w:kern w:val="2"/>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4" w:type="dxa"/>
            <w:gridSpan w:val="5"/>
            <w:tcBorders>
              <w:top w:val="single" w:color="auto" w:sz="4" w:space="0"/>
              <w:left w:val="single" w:color="auto" w:sz="4" w:space="0"/>
              <w:bottom w:val="single" w:color="auto" w:sz="4" w:space="0"/>
              <w:right w:val="single" w:color="auto" w:sz="4" w:space="0"/>
            </w:tcBorders>
            <w:vAlign w:val="center"/>
          </w:tcPr>
          <w:p>
            <w:pPr>
              <w:widowControl w:val="0"/>
              <w:jc w:val="both"/>
              <w:rPr>
                <w:color w:val="000000"/>
                <w:kern w:val="2"/>
                <w:sz w:val="22"/>
                <w:szCs w:val="22"/>
              </w:rPr>
            </w:pPr>
            <w:r>
              <w:rPr>
                <w:rFonts w:ascii="Wingdings 2" w:hAnsi="Wingdings 2"/>
                <w:bCs/>
                <w:color w:val="000000"/>
                <w:kern w:val="2"/>
                <w:sz w:val="22"/>
                <w:szCs w:val="22"/>
              </w:rPr>
              <w:sym w:font="Wingdings 2" w:char="0052"/>
            </w:r>
            <w:r>
              <w:rPr>
                <w:rFonts w:hint="eastAsia"/>
                <w:bCs/>
                <w:color w:val="000000"/>
                <w:kern w:val="2"/>
                <w:sz w:val="22"/>
                <w:szCs w:val="22"/>
              </w:rPr>
              <w:t>建筑给排水及供暖（</w:t>
            </w:r>
            <w:r>
              <w:rPr>
                <w:rFonts w:ascii="Wingdings 2" w:hAnsi="Wingdings 2"/>
                <w:bCs/>
                <w:color w:val="000000"/>
                <w:kern w:val="2"/>
                <w:sz w:val="22"/>
                <w:szCs w:val="22"/>
              </w:rPr>
              <w:t>£</w:t>
            </w:r>
            <w:r>
              <w:rPr>
                <w:rFonts w:hint="eastAsia"/>
                <w:bCs/>
                <w:color w:val="000000"/>
                <w:kern w:val="2"/>
                <w:sz w:val="22"/>
                <w:szCs w:val="22"/>
              </w:rPr>
              <w:t>室内给、排水系统   □室外给、排水系统   □其它</w:t>
            </w:r>
            <w:r>
              <w:rPr>
                <w:rFonts w:hint="eastAsia"/>
                <w:color w:val="000000"/>
                <w:kern w:val="2"/>
                <w:sz w:val="22"/>
                <w:szCs w:val="22"/>
                <w:u w:val="single"/>
              </w:rPr>
              <w:t xml:space="preserve">         </w:t>
            </w:r>
            <w:r>
              <w:rPr>
                <w:rFonts w:hint="eastAsia"/>
                <w:bCs/>
                <w:color w:val="000000"/>
                <w:kern w:val="2"/>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4" w:type="dxa"/>
            <w:gridSpan w:val="5"/>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000000"/>
                <w:kern w:val="2"/>
                <w:sz w:val="22"/>
                <w:szCs w:val="22"/>
              </w:rPr>
            </w:pPr>
            <w:r>
              <w:rPr>
                <w:rFonts w:ascii="Wingdings 2" w:hAnsi="Wingdings 2"/>
                <w:bCs/>
                <w:color w:val="000000"/>
                <w:kern w:val="2"/>
                <w:sz w:val="22"/>
                <w:szCs w:val="22"/>
              </w:rPr>
              <w:t>£</w:t>
            </w:r>
            <w:r>
              <w:rPr>
                <w:rFonts w:hint="eastAsia"/>
                <w:bCs/>
                <w:color w:val="000000"/>
                <w:kern w:val="2"/>
                <w:sz w:val="22"/>
                <w:szCs w:val="22"/>
              </w:rPr>
              <w:t>智能建筑  (</w:t>
            </w:r>
            <w:r>
              <w:rPr>
                <w:rFonts w:ascii="Wingdings 2" w:hAnsi="Wingdings 2"/>
                <w:bCs/>
                <w:color w:val="000000"/>
                <w:kern w:val="2"/>
                <w:sz w:val="22"/>
                <w:szCs w:val="22"/>
              </w:rPr>
              <w:t>£</w:t>
            </w:r>
            <w:r>
              <w:rPr>
                <w:rFonts w:hint="eastAsia"/>
                <w:bCs/>
                <w:color w:val="000000"/>
                <w:kern w:val="2"/>
                <w:sz w:val="22"/>
                <w:szCs w:val="22"/>
              </w:rPr>
              <w:t xml:space="preserve">综合布线系统    </w:t>
            </w:r>
            <w:r>
              <w:rPr>
                <w:rFonts w:ascii="Wingdings 2" w:hAnsi="Wingdings 2"/>
                <w:bCs/>
                <w:color w:val="000000"/>
                <w:kern w:val="2"/>
                <w:sz w:val="22"/>
                <w:szCs w:val="22"/>
              </w:rPr>
              <w:t>£</w:t>
            </w:r>
            <w:r>
              <w:rPr>
                <w:rFonts w:hint="eastAsia"/>
                <w:bCs/>
                <w:color w:val="000000"/>
                <w:kern w:val="2"/>
                <w:sz w:val="22"/>
                <w:szCs w:val="22"/>
              </w:rPr>
              <w:t xml:space="preserve">信息网络系统    </w:t>
            </w:r>
            <w:r>
              <w:rPr>
                <w:rFonts w:ascii="Wingdings 2" w:hAnsi="Wingdings 2"/>
                <w:bCs/>
                <w:color w:val="000000"/>
                <w:kern w:val="2"/>
                <w:sz w:val="22"/>
                <w:szCs w:val="22"/>
              </w:rPr>
              <w:t>£</w:t>
            </w:r>
            <w:r>
              <w:rPr>
                <w:rFonts w:hint="eastAsia"/>
                <w:bCs/>
                <w:color w:val="000000"/>
                <w:kern w:val="2"/>
                <w:sz w:val="22"/>
                <w:szCs w:val="22"/>
              </w:rPr>
              <w:t>其它</w:t>
            </w:r>
            <w:r>
              <w:rPr>
                <w:rFonts w:hint="eastAsia"/>
                <w:color w:val="000000"/>
                <w:kern w:val="2"/>
                <w:sz w:val="22"/>
                <w:szCs w:val="22"/>
                <w:u w:val="single"/>
              </w:rPr>
              <w:t xml:space="preserve">        </w:t>
            </w:r>
            <w:r>
              <w:rPr>
                <w:rFonts w:hint="eastAsia"/>
                <w:bCs/>
                <w:color w:val="000000"/>
                <w:kern w:val="2"/>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4" w:type="dxa"/>
            <w:gridSpan w:val="5"/>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000000"/>
                <w:kern w:val="2"/>
                <w:sz w:val="22"/>
                <w:szCs w:val="22"/>
              </w:rPr>
            </w:pPr>
            <w:r>
              <w:rPr>
                <w:rFonts w:ascii="Wingdings 2" w:hAnsi="Wingdings 2"/>
                <w:bCs/>
                <w:color w:val="000000"/>
                <w:kern w:val="2"/>
                <w:sz w:val="22"/>
                <w:szCs w:val="22"/>
              </w:rPr>
              <w:sym w:font="Wingdings 2" w:char="0052"/>
            </w:r>
            <w:r>
              <w:rPr>
                <w:rFonts w:hint="eastAsia"/>
                <w:bCs/>
                <w:color w:val="000000"/>
                <w:kern w:val="2"/>
                <w:sz w:val="22"/>
                <w:szCs w:val="22"/>
              </w:rPr>
              <w:t>装饰装修  (</w:t>
            </w:r>
            <w:r>
              <w:rPr>
                <w:rFonts w:ascii="Wingdings 2" w:hAnsi="Wingdings 2"/>
                <w:bCs/>
                <w:color w:val="000000"/>
                <w:kern w:val="2"/>
                <w:sz w:val="22"/>
                <w:szCs w:val="22"/>
              </w:rPr>
              <w:t>£</w:t>
            </w:r>
            <w:r>
              <w:rPr>
                <w:rFonts w:hint="eastAsia"/>
                <w:bCs/>
                <w:color w:val="000000"/>
                <w:kern w:val="2"/>
                <w:sz w:val="22"/>
                <w:szCs w:val="22"/>
              </w:rPr>
              <w:t xml:space="preserve">抹灰   </w:t>
            </w:r>
            <w:r>
              <w:rPr>
                <w:rFonts w:ascii="Wingdings 2" w:hAnsi="Wingdings 2"/>
                <w:bCs/>
                <w:color w:val="000000"/>
                <w:kern w:val="2"/>
                <w:sz w:val="22"/>
                <w:szCs w:val="22"/>
              </w:rPr>
              <w:sym w:font="Wingdings 2" w:char="00A3"/>
            </w:r>
            <w:r>
              <w:rPr>
                <w:rFonts w:hint="eastAsia"/>
                <w:bCs/>
                <w:color w:val="000000"/>
                <w:kern w:val="2"/>
                <w:sz w:val="22"/>
                <w:szCs w:val="22"/>
              </w:rPr>
              <w:t xml:space="preserve">涂饰   </w:t>
            </w:r>
            <w:r>
              <w:rPr>
                <w:rFonts w:ascii="Wingdings 2" w:hAnsi="Wingdings 2"/>
                <w:bCs/>
                <w:color w:val="000000"/>
                <w:kern w:val="2"/>
                <w:sz w:val="22"/>
                <w:szCs w:val="22"/>
              </w:rPr>
              <w:t>£</w:t>
            </w:r>
            <w:r>
              <w:rPr>
                <w:rFonts w:hint="eastAsia"/>
                <w:bCs/>
                <w:color w:val="000000"/>
                <w:kern w:val="2"/>
                <w:sz w:val="22"/>
                <w:szCs w:val="22"/>
              </w:rPr>
              <w:t xml:space="preserve">饰面板（砖）   </w:t>
            </w:r>
            <w:r>
              <w:rPr>
                <w:rFonts w:ascii="Wingdings 2" w:hAnsi="Wingdings 2"/>
                <w:bCs/>
                <w:color w:val="000000"/>
                <w:kern w:val="2"/>
                <w:sz w:val="22"/>
                <w:szCs w:val="22"/>
              </w:rPr>
              <w:t>£</w:t>
            </w:r>
            <w:r>
              <w:rPr>
                <w:rFonts w:hint="eastAsia"/>
                <w:bCs/>
                <w:color w:val="000000"/>
                <w:kern w:val="2"/>
                <w:sz w:val="22"/>
                <w:szCs w:val="22"/>
              </w:rPr>
              <w:t xml:space="preserve">吊顶   </w:t>
            </w:r>
            <w:r>
              <w:rPr>
                <w:rFonts w:ascii="Wingdings 2" w:hAnsi="Wingdings 2"/>
                <w:bCs/>
                <w:color w:val="000000"/>
                <w:kern w:val="2"/>
                <w:sz w:val="22"/>
                <w:szCs w:val="22"/>
              </w:rPr>
              <w:t>£</w:t>
            </w:r>
            <w:r>
              <w:rPr>
                <w:rFonts w:hint="eastAsia"/>
                <w:bCs/>
                <w:color w:val="000000"/>
                <w:kern w:val="2"/>
                <w:sz w:val="22"/>
                <w:szCs w:val="22"/>
              </w:rPr>
              <w:t>其它</w:t>
            </w:r>
            <w:r>
              <w:rPr>
                <w:rFonts w:hint="eastAsia"/>
                <w:color w:val="000000"/>
                <w:kern w:val="2"/>
                <w:sz w:val="22"/>
                <w:szCs w:val="22"/>
                <w:u w:val="single"/>
              </w:rPr>
              <w:t xml:space="preserve">         </w:t>
            </w:r>
            <w:r>
              <w:rPr>
                <w:rFonts w:hint="eastAsia"/>
                <w:bCs/>
                <w:color w:val="000000"/>
                <w:kern w:val="2"/>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4" w:type="dxa"/>
            <w:gridSpan w:val="5"/>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rFonts w:hint="default" w:eastAsia="宋体"/>
                <w:bCs/>
                <w:color w:val="000000"/>
                <w:kern w:val="2"/>
                <w:sz w:val="22"/>
                <w:szCs w:val="22"/>
                <w:lang w:val="en-US" w:eastAsia="zh-CN"/>
              </w:rPr>
            </w:pPr>
            <w:r>
              <w:rPr>
                <w:rFonts w:ascii="Wingdings 2" w:hAnsi="Wingdings 2"/>
                <w:bCs/>
                <w:color w:val="000000"/>
                <w:kern w:val="2"/>
                <w:sz w:val="22"/>
                <w:szCs w:val="22"/>
              </w:rPr>
              <w:sym w:font="Wingdings 2" w:char="0052"/>
            </w:r>
            <w:r>
              <w:rPr>
                <w:rFonts w:hint="eastAsia"/>
                <w:bCs/>
                <w:color w:val="000000"/>
                <w:kern w:val="2"/>
                <w:sz w:val="22"/>
                <w:szCs w:val="22"/>
              </w:rPr>
              <w:t>其它：</w:t>
            </w:r>
          </w:p>
        </w:tc>
      </w:tr>
    </w:tbl>
    <w:p>
      <w:pPr>
        <w:widowControl w:val="0"/>
        <w:spacing w:before="48" w:beforeLines="20" w:after="48" w:afterLines="20" w:line="360" w:lineRule="auto"/>
        <w:jc w:val="both"/>
        <w:rPr>
          <w:b/>
          <w:color w:val="000000"/>
          <w:kern w:val="2"/>
          <w:szCs w:val="22"/>
        </w:rPr>
      </w:pPr>
      <w:r>
        <w:rPr>
          <w:rFonts w:hint="eastAsia"/>
          <w:b/>
          <w:color w:val="000000"/>
          <w:kern w:val="2"/>
          <w:szCs w:val="22"/>
        </w:rPr>
        <w:t>4.其他工程</w:t>
      </w:r>
    </w:p>
    <w:p>
      <w:pPr>
        <w:widowControl w:val="0"/>
        <w:ind w:firstLine="240" w:firstLineChars="100"/>
        <w:jc w:val="both"/>
        <w:rPr>
          <w:rFonts w:hint="eastAsia"/>
        </w:rPr>
      </w:pPr>
      <w:r>
        <w:rPr>
          <w:rFonts w:hint="eastAsia"/>
          <w:color w:val="000000"/>
          <w:kern w:val="2"/>
          <w:szCs w:val="22"/>
          <w:u w:val="single"/>
        </w:rPr>
        <w:t xml:space="preserve">    /    。</w:t>
      </w:r>
    </w:p>
    <w:p>
      <w:pPr>
        <w:spacing w:before="10" w:after="120" w:afterLines="50"/>
        <w:outlineLvl w:val="0"/>
        <w:rPr>
          <w:b/>
          <w:bCs/>
          <w:snapToGrid w:val="0"/>
          <w:color w:val="000000"/>
          <w:sz w:val="30"/>
          <w:szCs w:val="44"/>
          <w:lang w:val="zh-CN"/>
        </w:rPr>
      </w:pPr>
      <w:bookmarkStart w:id="6" w:name="_Toc30411"/>
      <w:bookmarkStart w:id="7" w:name="_Toc302635680"/>
      <w:bookmarkStart w:id="8" w:name="_Toc67418466"/>
      <w:r>
        <w:rPr>
          <w:rFonts w:hint="eastAsia"/>
          <w:b/>
          <w:bCs/>
          <w:snapToGrid w:val="0"/>
          <w:color w:val="000000"/>
          <w:sz w:val="30"/>
          <w:szCs w:val="44"/>
          <w:lang w:val="zh-CN"/>
        </w:rPr>
        <w:t>三、合同工期</w:t>
      </w:r>
      <w:bookmarkEnd w:id="6"/>
      <w:bookmarkEnd w:id="7"/>
      <w:bookmarkEnd w:id="8"/>
    </w:p>
    <w:p>
      <w:pPr>
        <w:widowControl w:val="0"/>
        <w:spacing w:line="360" w:lineRule="auto"/>
        <w:ind w:firstLine="480"/>
        <w:jc w:val="both"/>
        <w:rPr>
          <w:kern w:val="2"/>
        </w:rPr>
      </w:pPr>
      <w:r>
        <w:rPr>
          <w:rFonts w:hint="eastAsia"/>
          <w:kern w:val="2"/>
        </w:rPr>
        <w:t>计划开工日期：暂定</w:t>
      </w:r>
      <w:r>
        <w:rPr>
          <w:rFonts w:hint="eastAsia"/>
          <w:kern w:val="2"/>
          <w:u w:val="single"/>
        </w:rPr>
        <w:t xml:space="preserve"> 2024 </w:t>
      </w:r>
      <w:r>
        <w:rPr>
          <w:rFonts w:hint="eastAsia"/>
          <w:kern w:val="2"/>
        </w:rPr>
        <w:t>年</w:t>
      </w:r>
      <w:r>
        <w:rPr>
          <w:rFonts w:hint="eastAsia"/>
          <w:kern w:val="2"/>
          <w:u w:val="single"/>
        </w:rPr>
        <w:t xml:space="preserve"> </w:t>
      </w:r>
      <w:r>
        <w:rPr>
          <w:rFonts w:hint="eastAsia"/>
          <w:kern w:val="2"/>
          <w:u w:val="single"/>
          <w:lang w:val="en-US" w:eastAsia="zh-CN"/>
        </w:rPr>
        <w:t>5</w:t>
      </w:r>
      <w:r>
        <w:rPr>
          <w:rFonts w:hint="eastAsia"/>
          <w:kern w:val="2"/>
          <w:u w:val="single"/>
        </w:rPr>
        <w:t xml:space="preserve"> </w:t>
      </w:r>
      <w:r>
        <w:rPr>
          <w:rFonts w:hint="eastAsia"/>
          <w:kern w:val="2"/>
        </w:rPr>
        <w:t>月</w:t>
      </w:r>
      <w:r>
        <w:rPr>
          <w:rFonts w:hint="eastAsia"/>
          <w:kern w:val="2"/>
          <w:u w:val="single"/>
        </w:rPr>
        <w:t xml:space="preserve"> </w:t>
      </w:r>
      <w:r>
        <w:rPr>
          <w:rFonts w:hint="eastAsia"/>
          <w:kern w:val="2"/>
          <w:u w:val="single"/>
          <w:lang w:val="en-US" w:eastAsia="zh-CN"/>
        </w:rPr>
        <w:t>30</w:t>
      </w:r>
      <w:r>
        <w:rPr>
          <w:rFonts w:hint="eastAsia"/>
          <w:kern w:val="2"/>
          <w:u w:val="single"/>
        </w:rPr>
        <w:t xml:space="preserve"> </w:t>
      </w:r>
      <w:r>
        <w:rPr>
          <w:rFonts w:hint="eastAsia"/>
          <w:kern w:val="2"/>
        </w:rPr>
        <w:t>日</w:t>
      </w:r>
      <w:r>
        <w:rPr>
          <w:rFonts w:hint="eastAsia"/>
        </w:rPr>
        <w:t>（实际开工日期</w:t>
      </w:r>
      <w:r>
        <w:rPr>
          <w:rFonts w:hint="eastAsia"/>
          <w:kern w:val="2"/>
          <w:u w:val="single"/>
        </w:rPr>
        <w:t>以发包人或监理人下达的开工令为准</w:t>
      </w:r>
      <w:r>
        <w:rPr>
          <w:rFonts w:hint="eastAsia"/>
        </w:rPr>
        <w:t>）</w:t>
      </w:r>
      <w:r>
        <w:rPr>
          <w:rFonts w:hint="eastAsia"/>
          <w:kern w:val="2"/>
        </w:rPr>
        <w:t>；</w:t>
      </w:r>
    </w:p>
    <w:p>
      <w:pPr>
        <w:widowControl w:val="0"/>
        <w:spacing w:line="360" w:lineRule="auto"/>
        <w:ind w:firstLine="480"/>
        <w:jc w:val="both"/>
        <w:rPr>
          <w:kern w:val="2"/>
          <w:u w:val="single"/>
        </w:rPr>
      </w:pPr>
      <w:r>
        <w:rPr>
          <w:rFonts w:hint="eastAsia"/>
          <w:kern w:val="2"/>
        </w:rPr>
        <w:t>计划竣工日期：</w:t>
      </w:r>
      <w:r>
        <w:rPr>
          <w:rFonts w:hint="eastAsia"/>
          <w:kern w:val="2"/>
          <w:u w:val="single"/>
        </w:rPr>
        <w:t xml:space="preserve"> 2024 </w:t>
      </w:r>
      <w:r>
        <w:rPr>
          <w:rFonts w:hint="eastAsia"/>
          <w:kern w:val="2"/>
        </w:rPr>
        <w:t>年</w:t>
      </w:r>
      <w:r>
        <w:rPr>
          <w:rFonts w:hint="eastAsia"/>
          <w:kern w:val="2"/>
          <w:u w:val="single"/>
          <w:lang w:val="en-US" w:eastAsia="zh-CN"/>
        </w:rPr>
        <w:t>8</w:t>
      </w:r>
      <w:r>
        <w:rPr>
          <w:rFonts w:hint="eastAsia"/>
          <w:kern w:val="2"/>
        </w:rPr>
        <w:t>月</w:t>
      </w:r>
      <w:r>
        <w:rPr>
          <w:rFonts w:hint="eastAsia"/>
          <w:kern w:val="2"/>
          <w:u w:val="single"/>
        </w:rPr>
        <w:t xml:space="preserve"> </w:t>
      </w:r>
      <w:r>
        <w:rPr>
          <w:rFonts w:hint="eastAsia"/>
          <w:kern w:val="2"/>
          <w:u w:val="single"/>
          <w:lang w:val="en-US" w:eastAsia="zh-CN"/>
        </w:rPr>
        <w:t>30</w:t>
      </w:r>
      <w:r>
        <w:rPr>
          <w:rFonts w:hint="eastAsia"/>
          <w:kern w:val="2"/>
          <w:u w:val="single"/>
        </w:rPr>
        <w:t xml:space="preserve"> </w:t>
      </w:r>
      <w:r>
        <w:rPr>
          <w:rFonts w:hint="eastAsia"/>
          <w:kern w:val="2"/>
        </w:rPr>
        <w:t>日；</w:t>
      </w:r>
    </w:p>
    <w:p>
      <w:pPr>
        <w:widowControl w:val="0"/>
        <w:spacing w:line="360" w:lineRule="auto"/>
        <w:ind w:firstLine="480"/>
        <w:jc w:val="both"/>
        <w:rPr>
          <w:kern w:val="2"/>
        </w:rPr>
      </w:pPr>
      <w:r>
        <w:rPr>
          <w:rFonts w:hint="eastAsia"/>
          <w:kern w:val="2"/>
        </w:rPr>
        <w:t>合同工期总日历天数</w:t>
      </w:r>
      <w:r>
        <w:rPr>
          <w:rFonts w:hint="eastAsia"/>
          <w:kern w:val="2"/>
          <w:u w:val="single"/>
        </w:rPr>
        <w:t xml:space="preserve">  </w:t>
      </w:r>
      <w:r>
        <w:rPr>
          <w:rFonts w:hint="eastAsia"/>
          <w:kern w:val="2"/>
          <w:u w:val="single"/>
          <w:lang w:val="en-US" w:eastAsia="zh-CN"/>
        </w:rPr>
        <w:t>91</w:t>
      </w:r>
      <w:r>
        <w:rPr>
          <w:rFonts w:hint="eastAsia"/>
          <w:kern w:val="2"/>
          <w:u w:val="single"/>
        </w:rPr>
        <w:t xml:space="preserve">  </w:t>
      </w:r>
      <w:r>
        <w:rPr>
          <w:rFonts w:hint="eastAsia"/>
          <w:kern w:val="2"/>
        </w:rPr>
        <w:t>天。</w:t>
      </w:r>
    </w:p>
    <w:p>
      <w:pPr>
        <w:spacing w:before="16" w:after="192" w:afterLines="80"/>
        <w:outlineLvl w:val="0"/>
        <w:rPr>
          <w:b/>
          <w:bCs/>
          <w:snapToGrid w:val="0"/>
          <w:color w:val="000000"/>
          <w:sz w:val="30"/>
          <w:szCs w:val="44"/>
          <w:lang w:val="zh-CN"/>
        </w:rPr>
      </w:pPr>
      <w:bookmarkStart w:id="9" w:name="_Toc18849"/>
      <w:bookmarkStart w:id="10" w:name="_Toc67418467"/>
      <w:bookmarkStart w:id="11" w:name="_Toc302635681"/>
      <w:r>
        <w:rPr>
          <w:rFonts w:hint="eastAsia"/>
          <w:b/>
          <w:bCs/>
          <w:snapToGrid w:val="0"/>
          <w:color w:val="000000"/>
          <w:sz w:val="30"/>
          <w:szCs w:val="44"/>
          <w:lang w:val="zh-CN"/>
        </w:rPr>
        <w:t>四、质量标准</w:t>
      </w:r>
      <w:bookmarkEnd w:id="9"/>
      <w:bookmarkEnd w:id="10"/>
      <w:bookmarkEnd w:id="11"/>
    </w:p>
    <w:p>
      <w:pPr>
        <w:widowControl w:val="0"/>
        <w:spacing w:line="360" w:lineRule="auto"/>
        <w:ind w:firstLine="480" w:firstLineChars="200"/>
        <w:jc w:val="both"/>
        <w:rPr>
          <w:kern w:val="2"/>
          <w:szCs w:val="22"/>
          <w:u w:val="single"/>
        </w:rPr>
      </w:pPr>
      <w:r>
        <w:rPr>
          <w:rFonts w:hint="eastAsia"/>
          <w:color w:val="000000"/>
          <w:kern w:val="2"/>
          <w:szCs w:val="22"/>
        </w:rPr>
        <w:t>本工程质量标准：</w:t>
      </w:r>
      <w:r>
        <w:rPr>
          <w:rFonts w:hint="eastAsia"/>
          <w:color w:val="auto"/>
          <w:kern w:val="2"/>
          <w:szCs w:val="22"/>
          <w:u w:val="single"/>
        </w:rPr>
        <w:t>达到国家、省、市及行业现行有关工程建设技术标准中的合格标准，安全文明施工严格按照深圳市相关文件执行</w:t>
      </w:r>
      <w:r>
        <w:rPr>
          <w:rFonts w:hint="eastAsia"/>
          <w:color w:val="000000"/>
          <w:kern w:val="2"/>
          <w:szCs w:val="22"/>
          <w:u w:val="single"/>
        </w:rPr>
        <w:t>。</w:t>
      </w:r>
      <w:r>
        <w:rPr>
          <w:rFonts w:hint="eastAsia"/>
          <w:color w:val="auto"/>
          <w:kern w:val="2"/>
          <w:szCs w:val="22"/>
          <w:u w:val="single"/>
        </w:rPr>
        <w:t>工程质量必须符合设计要求和现行国家及地方有关规范、标准规定及相关要求。当合同约定的质量要求与相关法律、法规、规范和技术标准矛盾时，以较高要求为准。</w:t>
      </w:r>
    </w:p>
    <w:p>
      <w:pPr>
        <w:spacing w:before="10" w:after="120" w:afterLines="50"/>
        <w:outlineLvl w:val="0"/>
        <w:rPr>
          <w:b/>
          <w:bCs/>
          <w:snapToGrid w:val="0"/>
          <w:color w:val="000000"/>
          <w:sz w:val="30"/>
          <w:szCs w:val="44"/>
          <w:lang w:val="zh-CN"/>
        </w:rPr>
      </w:pPr>
      <w:bookmarkStart w:id="12" w:name="_Toc302635682"/>
      <w:bookmarkStart w:id="13" w:name="_Toc67418468"/>
      <w:bookmarkStart w:id="14" w:name="_Toc10302"/>
      <w:r>
        <w:rPr>
          <w:rFonts w:hint="eastAsia"/>
          <w:b/>
          <w:bCs/>
          <w:snapToGrid w:val="0"/>
          <w:color w:val="000000"/>
          <w:sz w:val="30"/>
          <w:szCs w:val="44"/>
          <w:lang w:val="zh-CN"/>
        </w:rPr>
        <w:t>五、</w:t>
      </w:r>
      <w:bookmarkEnd w:id="12"/>
      <w:r>
        <w:rPr>
          <w:rFonts w:hint="eastAsia"/>
          <w:b/>
          <w:bCs/>
          <w:snapToGrid w:val="0"/>
          <w:color w:val="000000"/>
          <w:sz w:val="30"/>
          <w:szCs w:val="44"/>
          <w:lang w:val="zh-CN"/>
        </w:rPr>
        <w:t>签约合同价</w:t>
      </w:r>
      <w:bookmarkEnd w:id="13"/>
      <w:bookmarkEnd w:id="14"/>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color w:val="000000"/>
          <w:kern w:val="2"/>
          <w:szCs w:val="22"/>
          <w:u w:val="single"/>
        </w:rPr>
      </w:pPr>
      <w:bookmarkStart w:id="15" w:name="_Toc12476"/>
      <w:bookmarkStart w:id="16" w:name="_Toc67418469"/>
      <w:bookmarkStart w:id="17" w:name="_Toc302635683"/>
      <w:r>
        <w:rPr>
          <w:rFonts w:hint="eastAsia"/>
          <w:kern w:val="2"/>
          <w:szCs w:val="22"/>
          <w:lang w:val="zh-CN"/>
        </w:rPr>
        <w:t>签约合同价（</w:t>
      </w:r>
      <w:r>
        <w:rPr>
          <w:rFonts w:hint="eastAsia"/>
          <w:kern w:val="2"/>
          <w:szCs w:val="22"/>
          <w:lang w:val="en-US" w:eastAsia="zh-CN"/>
        </w:rPr>
        <w:t>含税</w:t>
      </w:r>
      <w:r>
        <w:rPr>
          <w:rFonts w:hint="eastAsia"/>
          <w:kern w:val="2"/>
          <w:szCs w:val="22"/>
          <w:lang w:val="zh-CN"/>
        </w:rPr>
        <w:t>）</w:t>
      </w:r>
      <w:r>
        <w:rPr>
          <w:rFonts w:hint="eastAsia"/>
          <w:kern w:val="2"/>
          <w:szCs w:val="22"/>
          <w:lang w:val="en-US" w:eastAsia="zh-CN"/>
        </w:rPr>
        <w:t>暂定</w:t>
      </w:r>
      <w:r>
        <w:rPr>
          <w:rFonts w:hint="eastAsia"/>
          <w:kern w:val="2"/>
          <w:szCs w:val="22"/>
        </w:rPr>
        <w:t>为人民币（大写）</w:t>
      </w:r>
      <w:r>
        <w:rPr>
          <w:rFonts w:hint="eastAsia"/>
          <w:color w:val="000000"/>
          <w:kern w:val="2"/>
          <w:szCs w:val="22"/>
          <w:u w:val="single"/>
          <w:lang w:val="en-US" w:eastAsia="zh-CN"/>
        </w:rPr>
        <w:t>*********</w:t>
      </w:r>
      <w:r>
        <w:rPr>
          <w:kern w:val="2"/>
          <w:szCs w:val="22"/>
        </w:rPr>
        <w:t>(¥</w:t>
      </w:r>
      <w:r>
        <w:rPr>
          <w:rFonts w:hint="eastAsia"/>
          <w:color w:val="000000"/>
          <w:kern w:val="2"/>
          <w:szCs w:val="22"/>
          <w:u w:val="single"/>
          <w:lang w:val="en-US" w:eastAsia="zh-CN"/>
        </w:rPr>
        <w:t>*******</w:t>
      </w:r>
      <w:r>
        <w:rPr>
          <w:rFonts w:hint="eastAsia"/>
          <w:kern w:val="2"/>
          <w:szCs w:val="22"/>
        </w:rPr>
        <w:t>)，</w:t>
      </w:r>
      <w:r>
        <w:rPr>
          <w:rFonts w:hint="eastAsia"/>
          <w:kern w:val="2"/>
          <w:szCs w:val="22"/>
          <w:u w:val="none"/>
        </w:rPr>
        <w:t>本项目中标净下浮率为</w:t>
      </w:r>
      <w:r>
        <w:rPr>
          <w:rFonts w:hint="eastAsia"/>
          <w:kern w:val="2"/>
          <w:szCs w:val="22"/>
          <w:u w:val="single"/>
          <w:lang w:val="en-US" w:eastAsia="zh-CN"/>
        </w:rPr>
        <w:t>***</w:t>
      </w:r>
      <w:r>
        <w:rPr>
          <w:rFonts w:hint="eastAsia"/>
          <w:kern w:val="2"/>
          <w:szCs w:val="22"/>
          <w:u w:val="single"/>
        </w:rPr>
        <w:t>%</w:t>
      </w:r>
      <w:r>
        <w:rPr>
          <w:rFonts w:hint="eastAsia"/>
          <w:kern w:val="2"/>
          <w:szCs w:val="22"/>
        </w:rPr>
        <w:t>，其中：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kern w:val="2"/>
          <w:szCs w:val="22"/>
        </w:rPr>
      </w:pPr>
      <w:r>
        <w:rPr>
          <w:rFonts w:hint="eastAsia"/>
          <w:kern w:val="2"/>
          <w:szCs w:val="22"/>
        </w:rPr>
        <w:t>⑴安全文明措施费：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kern w:val="2"/>
          <w:szCs w:val="22"/>
        </w:rPr>
      </w:pPr>
      <w:r>
        <w:rPr>
          <w:rFonts w:hint="eastAsia"/>
          <w:kern w:val="2"/>
          <w:szCs w:val="22"/>
        </w:rPr>
        <w:t>人民币（大写）</w:t>
      </w:r>
      <w:r>
        <w:rPr>
          <w:rFonts w:hint="eastAsia"/>
          <w:color w:val="000000"/>
          <w:kern w:val="2"/>
          <w:szCs w:val="22"/>
          <w:u w:val="single"/>
        </w:rPr>
        <w:t xml:space="preserve"> </w:t>
      </w:r>
      <w:r>
        <w:rPr>
          <w:rFonts w:hint="eastAsia"/>
          <w:color w:val="000000"/>
          <w:kern w:val="2"/>
          <w:szCs w:val="22"/>
          <w:u w:val="single"/>
          <w:lang w:val="en-US" w:eastAsia="zh-CN"/>
        </w:rPr>
        <w:t>*******</w:t>
      </w:r>
      <w:r>
        <w:rPr>
          <w:rFonts w:hint="eastAsia"/>
          <w:color w:val="000000"/>
          <w:kern w:val="2"/>
          <w:szCs w:val="22"/>
          <w:u w:val="single"/>
        </w:rPr>
        <w:t xml:space="preserve"> </w:t>
      </w:r>
      <w:r>
        <w:rPr>
          <w:rFonts w:hint="eastAsia"/>
          <w:color w:val="000000"/>
          <w:kern w:val="2"/>
          <w:szCs w:val="22"/>
        </w:rPr>
        <w:t xml:space="preserve"> </w:t>
      </w:r>
      <w:r>
        <w:rPr>
          <w:rFonts w:hint="eastAsia"/>
          <w:kern w:val="2"/>
          <w:szCs w:val="22"/>
        </w:rPr>
        <w:t>(¥</w:t>
      </w:r>
      <w:r>
        <w:rPr>
          <w:rFonts w:hint="eastAsia"/>
          <w:color w:val="000000"/>
          <w:kern w:val="2"/>
          <w:szCs w:val="22"/>
          <w:u w:val="single"/>
          <w:lang w:val="en-US" w:eastAsia="zh-CN"/>
        </w:rPr>
        <w:t>*******</w:t>
      </w:r>
      <w:r>
        <w:rPr>
          <w:rFonts w:hint="eastAsia"/>
          <w:kern w:val="2"/>
          <w:szCs w:val="22"/>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kern w:val="2"/>
          <w:szCs w:val="22"/>
        </w:rPr>
      </w:pPr>
      <w:r>
        <w:rPr>
          <w:rFonts w:hint="eastAsia"/>
          <w:kern w:val="2"/>
          <w:szCs w:val="22"/>
        </w:rPr>
        <w:t>⑵材料和工程设备暂估价金额：</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kern w:val="2"/>
          <w:szCs w:val="22"/>
        </w:rPr>
      </w:pPr>
      <w:r>
        <w:rPr>
          <w:rFonts w:hint="eastAsia"/>
          <w:kern w:val="2"/>
          <w:szCs w:val="22"/>
        </w:rPr>
        <w:t>人民币（大写）</w:t>
      </w:r>
      <w:r>
        <w:rPr>
          <w:rFonts w:hint="eastAsia"/>
          <w:color w:val="000000"/>
          <w:kern w:val="2"/>
          <w:szCs w:val="22"/>
          <w:u w:val="single"/>
        </w:rPr>
        <w:t xml:space="preserve">  </w:t>
      </w:r>
      <w:r>
        <w:rPr>
          <w:rFonts w:hint="eastAsia"/>
          <w:color w:val="000000"/>
          <w:kern w:val="2"/>
          <w:szCs w:val="22"/>
          <w:u w:val="single"/>
          <w:lang w:val="en-US" w:eastAsia="zh-CN"/>
        </w:rPr>
        <w:t>*******</w:t>
      </w:r>
      <w:r>
        <w:rPr>
          <w:rFonts w:hint="eastAsia"/>
          <w:color w:val="000000"/>
          <w:kern w:val="2"/>
          <w:szCs w:val="22"/>
        </w:rPr>
        <w:t xml:space="preserve"> </w:t>
      </w:r>
      <w:r>
        <w:rPr>
          <w:rFonts w:hint="eastAsia"/>
          <w:kern w:val="2"/>
          <w:szCs w:val="22"/>
        </w:rPr>
        <w:t>(¥</w:t>
      </w:r>
      <w:r>
        <w:rPr>
          <w:rFonts w:hint="eastAsia"/>
          <w:color w:val="000000"/>
          <w:kern w:val="2"/>
          <w:szCs w:val="22"/>
          <w:u w:val="single"/>
        </w:rPr>
        <w:t xml:space="preserve"> </w:t>
      </w:r>
      <w:r>
        <w:rPr>
          <w:rFonts w:hint="eastAsia"/>
          <w:color w:val="000000"/>
          <w:kern w:val="2"/>
          <w:szCs w:val="22"/>
          <w:u w:val="single"/>
          <w:lang w:val="en-US" w:eastAsia="zh-CN"/>
        </w:rPr>
        <w:t>*******</w:t>
      </w:r>
      <w:r>
        <w:rPr>
          <w:rFonts w:hint="eastAsia"/>
          <w:color w:val="000000"/>
          <w:kern w:val="2"/>
          <w:szCs w:val="22"/>
          <w:u w:val="single"/>
        </w:rPr>
        <w:t xml:space="preserve">  </w:t>
      </w:r>
      <w:r>
        <w:rPr>
          <w:rFonts w:hint="eastAsia"/>
          <w:kern w:val="2"/>
          <w:szCs w:val="22"/>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kern w:val="2"/>
          <w:szCs w:val="22"/>
        </w:rPr>
      </w:pPr>
      <w:r>
        <w:rPr>
          <w:rFonts w:hint="eastAsia"/>
          <w:kern w:val="2"/>
          <w:szCs w:val="22"/>
        </w:rPr>
        <w:t>⑶专业工程暂估价金额：</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kern w:val="2"/>
          <w:szCs w:val="22"/>
        </w:rPr>
      </w:pPr>
      <w:r>
        <w:rPr>
          <w:rFonts w:hint="eastAsia"/>
          <w:kern w:val="2"/>
          <w:szCs w:val="22"/>
        </w:rPr>
        <w:t>人民币（大写）</w:t>
      </w:r>
      <w:r>
        <w:rPr>
          <w:rFonts w:hint="eastAsia"/>
          <w:color w:val="000000"/>
          <w:kern w:val="2"/>
          <w:szCs w:val="22"/>
          <w:u w:val="single"/>
        </w:rPr>
        <w:t xml:space="preserve"> </w:t>
      </w:r>
      <w:r>
        <w:rPr>
          <w:rFonts w:hint="eastAsia"/>
          <w:color w:val="000000"/>
          <w:kern w:val="2"/>
          <w:szCs w:val="22"/>
          <w:u w:val="single"/>
          <w:lang w:val="en-US" w:eastAsia="zh-CN"/>
        </w:rPr>
        <w:t>*******</w:t>
      </w:r>
      <w:r>
        <w:rPr>
          <w:rFonts w:hint="eastAsia"/>
          <w:color w:val="000000"/>
          <w:kern w:val="2"/>
          <w:szCs w:val="22"/>
          <w:u w:val="single"/>
        </w:rPr>
        <w:t xml:space="preserve"> </w:t>
      </w:r>
      <w:r>
        <w:rPr>
          <w:rFonts w:hint="eastAsia"/>
          <w:color w:val="000000"/>
          <w:kern w:val="2"/>
          <w:szCs w:val="22"/>
        </w:rPr>
        <w:t xml:space="preserve"> </w:t>
      </w:r>
      <w:r>
        <w:rPr>
          <w:rFonts w:hint="eastAsia"/>
          <w:kern w:val="2"/>
          <w:szCs w:val="22"/>
        </w:rPr>
        <w:t>(¥</w:t>
      </w:r>
      <w:r>
        <w:rPr>
          <w:rFonts w:hint="eastAsia"/>
          <w:color w:val="000000"/>
          <w:kern w:val="2"/>
          <w:szCs w:val="22"/>
          <w:u w:val="single"/>
        </w:rPr>
        <w:t xml:space="preserve"> </w:t>
      </w:r>
      <w:r>
        <w:rPr>
          <w:rFonts w:hint="eastAsia"/>
          <w:color w:val="000000"/>
          <w:kern w:val="2"/>
          <w:szCs w:val="22"/>
          <w:u w:val="single"/>
          <w:lang w:val="en-US" w:eastAsia="zh-CN"/>
        </w:rPr>
        <w:t>*******</w:t>
      </w:r>
      <w:r>
        <w:rPr>
          <w:rFonts w:hint="eastAsia"/>
          <w:kern w:val="2"/>
          <w:szCs w:val="22"/>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kern w:val="2"/>
          <w:szCs w:val="22"/>
        </w:rPr>
      </w:pPr>
      <w:r>
        <w:rPr>
          <w:rFonts w:hint="eastAsia"/>
          <w:kern w:val="2"/>
          <w:szCs w:val="22"/>
        </w:rPr>
        <w:t>⑷暂列金额：</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kern w:val="2"/>
          <w:szCs w:val="22"/>
        </w:rPr>
      </w:pPr>
      <w:r>
        <w:rPr>
          <w:rFonts w:hint="eastAsia"/>
          <w:kern w:val="2"/>
          <w:szCs w:val="22"/>
        </w:rPr>
        <w:t>人民币（大写）</w:t>
      </w:r>
      <w:r>
        <w:rPr>
          <w:rFonts w:hint="eastAsia"/>
          <w:color w:val="000000"/>
          <w:kern w:val="2"/>
          <w:szCs w:val="22"/>
          <w:u w:val="single"/>
        </w:rPr>
        <w:t xml:space="preserve">  </w:t>
      </w:r>
      <w:r>
        <w:rPr>
          <w:rFonts w:hint="eastAsia"/>
          <w:color w:val="000000"/>
          <w:kern w:val="2"/>
          <w:szCs w:val="22"/>
          <w:u w:val="single"/>
          <w:lang w:val="en-US" w:eastAsia="zh-CN"/>
        </w:rPr>
        <w:t>*******</w:t>
      </w:r>
      <w:r>
        <w:rPr>
          <w:rFonts w:hint="eastAsia"/>
          <w:color w:val="000000"/>
          <w:kern w:val="2"/>
          <w:szCs w:val="22"/>
        </w:rPr>
        <w:t xml:space="preserve"> </w:t>
      </w:r>
      <w:r>
        <w:rPr>
          <w:rFonts w:hint="eastAsia"/>
          <w:kern w:val="2"/>
          <w:szCs w:val="22"/>
        </w:rPr>
        <w:t>(¥</w:t>
      </w:r>
      <w:r>
        <w:rPr>
          <w:rFonts w:hint="eastAsia"/>
          <w:color w:val="000000"/>
          <w:kern w:val="2"/>
          <w:szCs w:val="22"/>
          <w:u w:val="single"/>
        </w:rPr>
        <w:t xml:space="preserve"> </w:t>
      </w:r>
      <w:r>
        <w:rPr>
          <w:rFonts w:hint="eastAsia"/>
          <w:color w:val="000000"/>
          <w:kern w:val="2"/>
          <w:szCs w:val="22"/>
          <w:u w:val="single"/>
          <w:lang w:val="en-US" w:eastAsia="zh-CN"/>
        </w:rPr>
        <w:t>*******</w:t>
      </w:r>
      <w:r>
        <w:rPr>
          <w:rFonts w:hint="eastAsia"/>
          <w:color w:val="000000"/>
          <w:kern w:val="2"/>
          <w:szCs w:val="22"/>
          <w:u w:val="single"/>
        </w:rPr>
        <w:t xml:space="preserve"> </w:t>
      </w:r>
      <w:r>
        <w:rPr>
          <w:rFonts w:hint="eastAsia"/>
          <w:kern w:val="2"/>
          <w:szCs w:val="22"/>
        </w:rPr>
        <w:t>)。</w:t>
      </w:r>
    </w:p>
    <w:p>
      <w:pPr>
        <w:spacing w:before="10" w:after="120" w:afterLines="50"/>
        <w:outlineLvl w:val="0"/>
        <w:rPr>
          <w:color w:val="000000"/>
          <w:kern w:val="2"/>
          <w:szCs w:val="22"/>
        </w:rPr>
      </w:pPr>
      <w:r>
        <w:rPr>
          <w:rFonts w:hint="eastAsia"/>
          <w:b/>
          <w:bCs/>
          <w:snapToGrid w:val="0"/>
          <w:color w:val="000000"/>
          <w:sz w:val="30"/>
          <w:szCs w:val="44"/>
          <w:lang w:val="zh-CN"/>
        </w:rPr>
        <w:t>六、工人工资专用账户信息</w:t>
      </w:r>
      <w:bookmarkEnd w:id="15"/>
      <w:bookmarkEnd w:id="16"/>
    </w:p>
    <w:p>
      <w:pPr>
        <w:widowControl w:val="0"/>
        <w:spacing w:line="360" w:lineRule="auto"/>
        <w:ind w:firstLine="480"/>
        <w:jc w:val="both"/>
        <w:rPr>
          <w:color w:val="000000"/>
          <w:kern w:val="2"/>
          <w:szCs w:val="22"/>
        </w:rPr>
      </w:pPr>
      <w:r>
        <w:rPr>
          <w:rFonts w:hint="eastAsia"/>
          <w:color w:val="000000"/>
          <w:kern w:val="2"/>
          <w:szCs w:val="22"/>
        </w:rPr>
        <w:t>工人工资款支付专用账户名称：</w:t>
      </w:r>
      <w:r>
        <w:rPr>
          <w:rFonts w:hint="eastAsia"/>
          <w:color w:val="000000"/>
          <w:kern w:val="2"/>
          <w:szCs w:val="22"/>
          <w:u w:val="single"/>
        </w:rPr>
        <w:t xml:space="preserve">  </w:t>
      </w:r>
      <w:r>
        <w:rPr>
          <w:rFonts w:hint="eastAsia"/>
          <w:color w:val="000000"/>
          <w:kern w:val="2"/>
          <w:szCs w:val="22"/>
          <w:u w:val="single"/>
          <w:lang w:val="en-US" w:eastAsia="zh-CN"/>
        </w:rPr>
        <w:t>****</w:t>
      </w:r>
      <w:r>
        <w:rPr>
          <w:rFonts w:hint="eastAsia"/>
          <w:color w:val="000000"/>
          <w:kern w:val="2"/>
          <w:szCs w:val="22"/>
          <w:u w:val="single"/>
        </w:rPr>
        <w:t xml:space="preserve">   </w:t>
      </w:r>
    </w:p>
    <w:p>
      <w:pPr>
        <w:widowControl w:val="0"/>
        <w:spacing w:line="360" w:lineRule="auto"/>
        <w:ind w:firstLine="480"/>
        <w:jc w:val="both"/>
        <w:rPr>
          <w:color w:val="000000"/>
          <w:kern w:val="2"/>
          <w:szCs w:val="22"/>
        </w:rPr>
      </w:pPr>
      <w:r>
        <w:rPr>
          <w:rFonts w:hint="eastAsia"/>
          <w:color w:val="000000"/>
          <w:kern w:val="2"/>
          <w:szCs w:val="22"/>
        </w:rPr>
        <w:t>工人工资款支付专用账户开户银行：</w:t>
      </w:r>
      <w:r>
        <w:rPr>
          <w:rFonts w:hint="eastAsia"/>
          <w:color w:val="000000"/>
          <w:kern w:val="2"/>
          <w:szCs w:val="22"/>
          <w:u w:val="single"/>
        </w:rPr>
        <w:t xml:space="preserve"> </w:t>
      </w:r>
      <w:r>
        <w:rPr>
          <w:rFonts w:hint="eastAsia"/>
          <w:color w:val="000000"/>
          <w:kern w:val="2"/>
          <w:szCs w:val="22"/>
          <w:u w:val="single"/>
          <w:lang w:val="en-US" w:eastAsia="zh-CN"/>
        </w:rPr>
        <w:t>****</w:t>
      </w:r>
      <w:r>
        <w:rPr>
          <w:rFonts w:hint="eastAsia"/>
          <w:color w:val="000000"/>
          <w:kern w:val="2"/>
          <w:szCs w:val="22"/>
          <w:u w:val="single"/>
        </w:rPr>
        <w:t xml:space="preserve">   </w:t>
      </w:r>
    </w:p>
    <w:p>
      <w:pPr>
        <w:widowControl w:val="0"/>
        <w:spacing w:line="360" w:lineRule="auto"/>
        <w:ind w:firstLine="480"/>
        <w:jc w:val="both"/>
        <w:rPr>
          <w:color w:val="000000"/>
          <w:kern w:val="2"/>
          <w:szCs w:val="22"/>
          <w:u w:val="single"/>
        </w:rPr>
      </w:pPr>
      <w:r>
        <w:rPr>
          <w:rFonts w:hint="eastAsia"/>
          <w:color w:val="000000"/>
          <w:kern w:val="2"/>
          <w:szCs w:val="22"/>
        </w:rPr>
        <w:t>工人工资款支付专用账户号：</w:t>
      </w:r>
      <w:r>
        <w:rPr>
          <w:rFonts w:hint="eastAsia"/>
          <w:color w:val="000000"/>
          <w:kern w:val="2"/>
          <w:szCs w:val="22"/>
          <w:u w:val="single"/>
        </w:rPr>
        <w:t xml:space="preserve"> </w:t>
      </w:r>
      <w:r>
        <w:rPr>
          <w:rFonts w:hint="eastAsia"/>
          <w:color w:val="000000"/>
          <w:kern w:val="2"/>
          <w:szCs w:val="22"/>
          <w:u w:val="single"/>
          <w:lang w:val="en-US" w:eastAsia="zh-CN"/>
        </w:rPr>
        <w:t>****</w:t>
      </w:r>
      <w:r>
        <w:rPr>
          <w:rFonts w:hint="eastAsia"/>
          <w:color w:val="000000"/>
          <w:kern w:val="2"/>
          <w:szCs w:val="22"/>
          <w:u w:val="single"/>
        </w:rPr>
        <w:t xml:space="preserve">  </w:t>
      </w:r>
      <w:r>
        <w:rPr>
          <w:color w:val="000000"/>
          <w:kern w:val="2"/>
          <w:szCs w:val="22"/>
          <w:u w:val="single"/>
        </w:rPr>
        <w:t xml:space="preserve"> </w:t>
      </w:r>
      <w:r>
        <w:rPr>
          <w:rFonts w:hint="eastAsia"/>
          <w:color w:val="000000"/>
          <w:kern w:val="2"/>
          <w:szCs w:val="22"/>
          <w:u w:val="single"/>
        </w:rPr>
        <w:t xml:space="preserve"> </w:t>
      </w:r>
    </w:p>
    <w:p>
      <w:pPr>
        <w:spacing w:before="10" w:after="120" w:afterLines="50"/>
        <w:outlineLvl w:val="0"/>
        <w:rPr>
          <w:b/>
          <w:bCs/>
          <w:snapToGrid w:val="0"/>
          <w:color w:val="000000"/>
          <w:sz w:val="30"/>
          <w:szCs w:val="44"/>
          <w:lang w:val="zh-CN"/>
        </w:rPr>
      </w:pPr>
      <w:bookmarkStart w:id="18" w:name="_Toc67418470"/>
      <w:bookmarkStart w:id="19" w:name="_Toc27958"/>
      <w:r>
        <w:rPr>
          <w:rFonts w:hint="eastAsia"/>
          <w:b/>
          <w:bCs/>
          <w:snapToGrid w:val="0"/>
          <w:color w:val="000000"/>
          <w:sz w:val="30"/>
          <w:szCs w:val="44"/>
          <w:lang w:val="zh-CN"/>
        </w:rPr>
        <w:t>七、组成合同的文件</w:t>
      </w:r>
      <w:bookmarkEnd w:id="17"/>
      <w:bookmarkEnd w:id="18"/>
      <w:bookmarkEnd w:id="19"/>
    </w:p>
    <w:p>
      <w:pPr>
        <w:widowControl w:val="0"/>
        <w:spacing w:line="360" w:lineRule="auto"/>
        <w:ind w:firstLine="480"/>
        <w:jc w:val="both"/>
        <w:rPr>
          <w:kern w:val="2"/>
          <w:szCs w:val="22"/>
        </w:rPr>
      </w:pPr>
      <w:bookmarkStart w:id="20" w:name="_Toc11547"/>
      <w:bookmarkStart w:id="21" w:name="_Toc302635684"/>
      <w:bookmarkStart w:id="22" w:name="_Toc67418471"/>
      <w:r>
        <w:rPr>
          <w:rFonts w:hint="eastAsia"/>
          <w:kern w:val="2"/>
          <w:szCs w:val="22"/>
        </w:rPr>
        <w:t>组成本合同的文件及优先解释顺序与本合同通用条款2.1款的规定一致：</w:t>
      </w:r>
    </w:p>
    <w:p>
      <w:pPr>
        <w:widowControl w:val="0"/>
        <w:spacing w:line="360" w:lineRule="auto"/>
        <w:ind w:firstLine="480" w:firstLineChars="200"/>
        <w:jc w:val="both"/>
        <w:rPr>
          <w:kern w:val="2"/>
          <w:szCs w:val="22"/>
        </w:rPr>
      </w:pPr>
      <w:r>
        <w:rPr>
          <w:rFonts w:hint="eastAsia"/>
          <w:kern w:val="2"/>
          <w:szCs w:val="22"/>
        </w:rPr>
        <w:t>⑴本合同签订后双方新签订的补充协议；</w:t>
      </w:r>
    </w:p>
    <w:p>
      <w:pPr>
        <w:widowControl w:val="0"/>
        <w:spacing w:line="360" w:lineRule="auto"/>
        <w:ind w:firstLine="480"/>
        <w:jc w:val="both"/>
        <w:rPr>
          <w:kern w:val="2"/>
          <w:szCs w:val="22"/>
        </w:rPr>
      </w:pPr>
      <w:r>
        <w:rPr>
          <w:rFonts w:hint="eastAsia"/>
          <w:kern w:val="2"/>
          <w:szCs w:val="22"/>
        </w:rPr>
        <w:t>⑵本合同第一部分的协议书；</w:t>
      </w:r>
    </w:p>
    <w:p>
      <w:pPr>
        <w:widowControl w:val="0"/>
        <w:spacing w:line="360" w:lineRule="auto"/>
        <w:ind w:firstLine="480"/>
        <w:jc w:val="both"/>
        <w:rPr>
          <w:kern w:val="2"/>
          <w:szCs w:val="22"/>
        </w:rPr>
      </w:pPr>
      <w:r>
        <w:rPr>
          <w:rFonts w:hint="eastAsia"/>
          <w:kern w:val="2"/>
          <w:szCs w:val="22"/>
        </w:rPr>
        <w:t>⑶中标通知书；</w:t>
      </w:r>
    </w:p>
    <w:p>
      <w:pPr>
        <w:widowControl w:val="0"/>
        <w:spacing w:line="360" w:lineRule="auto"/>
        <w:ind w:firstLine="480"/>
        <w:jc w:val="both"/>
        <w:rPr>
          <w:kern w:val="2"/>
          <w:szCs w:val="22"/>
        </w:rPr>
      </w:pPr>
      <w:r>
        <w:rPr>
          <w:rFonts w:hint="eastAsia"/>
          <w:kern w:val="2"/>
          <w:szCs w:val="22"/>
        </w:rPr>
        <w:t>⑷本合同第四部分的补充条款及其附件；</w:t>
      </w:r>
    </w:p>
    <w:p>
      <w:pPr>
        <w:widowControl w:val="0"/>
        <w:spacing w:line="360" w:lineRule="auto"/>
        <w:ind w:firstLine="480"/>
        <w:jc w:val="both"/>
        <w:rPr>
          <w:kern w:val="2"/>
          <w:szCs w:val="22"/>
        </w:rPr>
      </w:pPr>
      <w:r>
        <w:rPr>
          <w:rFonts w:hint="eastAsia"/>
          <w:kern w:val="2"/>
          <w:szCs w:val="22"/>
        </w:rPr>
        <w:t>⑸本合同第三部分的专用条款；</w:t>
      </w:r>
    </w:p>
    <w:p>
      <w:pPr>
        <w:widowControl w:val="0"/>
        <w:spacing w:line="360" w:lineRule="auto"/>
        <w:ind w:firstLine="480"/>
        <w:jc w:val="both"/>
        <w:rPr>
          <w:kern w:val="2"/>
          <w:szCs w:val="22"/>
        </w:rPr>
      </w:pPr>
      <w:r>
        <w:rPr>
          <w:rFonts w:hint="eastAsia"/>
          <w:kern w:val="2"/>
          <w:szCs w:val="22"/>
        </w:rPr>
        <w:t>⑹本合同第二部分的通用条款；</w:t>
      </w:r>
    </w:p>
    <w:p>
      <w:pPr>
        <w:widowControl w:val="0"/>
        <w:spacing w:line="360" w:lineRule="auto"/>
        <w:ind w:firstLine="480"/>
        <w:jc w:val="both"/>
        <w:rPr>
          <w:kern w:val="2"/>
          <w:szCs w:val="22"/>
        </w:rPr>
      </w:pPr>
      <w:r>
        <w:rPr>
          <w:rFonts w:hint="eastAsia"/>
          <w:kern w:val="2"/>
          <w:szCs w:val="22"/>
        </w:rPr>
        <w:t>⑺本工程招标文件中的技术要求和投标报价规定；</w:t>
      </w:r>
    </w:p>
    <w:p>
      <w:pPr>
        <w:widowControl w:val="0"/>
        <w:spacing w:line="360" w:lineRule="auto"/>
        <w:ind w:firstLine="480"/>
        <w:jc w:val="both"/>
        <w:rPr>
          <w:kern w:val="2"/>
          <w:szCs w:val="22"/>
        </w:rPr>
      </w:pPr>
      <w:r>
        <w:rPr>
          <w:rFonts w:hint="eastAsia"/>
          <w:kern w:val="2"/>
          <w:szCs w:val="22"/>
        </w:rPr>
        <w:t>⑻投标文件(包括承包人在评标期间和合同谈判过程中递交和确认并经发包人同意的对有关问题的补充资料和澄清文件等)；</w:t>
      </w:r>
    </w:p>
    <w:p>
      <w:pPr>
        <w:widowControl w:val="0"/>
        <w:spacing w:line="360" w:lineRule="auto"/>
        <w:ind w:firstLine="480"/>
        <w:jc w:val="both"/>
        <w:rPr>
          <w:kern w:val="2"/>
          <w:szCs w:val="22"/>
        </w:rPr>
      </w:pPr>
      <w:r>
        <w:rPr>
          <w:rFonts w:hint="eastAsia"/>
          <w:kern w:val="2"/>
          <w:szCs w:val="22"/>
        </w:rPr>
        <w:t>⑼现行的标准、规范、规定及有关技术文件；</w:t>
      </w:r>
    </w:p>
    <w:p>
      <w:pPr>
        <w:widowControl w:val="0"/>
        <w:spacing w:line="360" w:lineRule="auto"/>
        <w:ind w:firstLine="480"/>
        <w:jc w:val="both"/>
        <w:rPr>
          <w:kern w:val="2"/>
          <w:szCs w:val="22"/>
        </w:rPr>
      </w:pPr>
      <w:r>
        <w:rPr>
          <w:rFonts w:hint="eastAsia"/>
          <w:kern w:val="2"/>
          <w:szCs w:val="22"/>
        </w:rPr>
        <w:t>⑽图纸和技术规格书；</w:t>
      </w:r>
    </w:p>
    <w:p>
      <w:pPr>
        <w:widowControl w:val="0"/>
        <w:spacing w:line="360" w:lineRule="auto"/>
        <w:ind w:firstLine="480"/>
        <w:jc w:val="both"/>
        <w:rPr>
          <w:kern w:val="2"/>
          <w:szCs w:val="22"/>
        </w:rPr>
      </w:pPr>
      <w:r>
        <w:rPr>
          <w:rFonts w:hint="eastAsia"/>
          <w:kern w:val="2"/>
          <w:szCs w:val="22"/>
        </w:rPr>
        <w:t>⑾已标价工程量清单；</w:t>
      </w:r>
    </w:p>
    <w:p>
      <w:pPr>
        <w:widowControl w:val="0"/>
        <w:spacing w:line="360" w:lineRule="auto"/>
        <w:ind w:firstLine="480"/>
        <w:jc w:val="both"/>
        <w:rPr>
          <w:kern w:val="2"/>
          <w:szCs w:val="22"/>
        </w:rPr>
      </w:pPr>
      <w:r>
        <w:rPr>
          <w:rFonts w:hint="eastAsia"/>
          <w:kern w:val="2"/>
          <w:szCs w:val="22"/>
        </w:rPr>
        <w:t>⑿发包人和承包人双方有关本工程的变更、签证、洽商、索赔、询价采购凭证等书面文件及组成合同的其他文件。</w:t>
      </w:r>
    </w:p>
    <w:p>
      <w:pPr>
        <w:spacing w:before="10" w:after="120" w:afterLines="50"/>
        <w:outlineLvl w:val="0"/>
        <w:rPr>
          <w:b/>
          <w:bCs/>
          <w:snapToGrid w:val="0"/>
          <w:color w:val="000000"/>
          <w:sz w:val="30"/>
          <w:szCs w:val="44"/>
          <w:lang w:val="zh-CN"/>
        </w:rPr>
      </w:pPr>
      <w:r>
        <w:rPr>
          <w:rFonts w:hint="eastAsia"/>
          <w:b/>
          <w:bCs/>
          <w:snapToGrid w:val="0"/>
          <w:color w:val="000000"/>
          <w:sz w:val="30"/>
          <w:szCs w:val="44"/>
          <w:lang w:val="zh-CN"/>
        </w:rPr>
        <w:t>八、词语含义</w:t>
      </w:r>
      <w:bookmarkEnd w:id="20"/>
      <w:bookmarkEnd w:id="21"/>
      <w:bookmarkEnd w:id="22"/>
    </w:p>
    <w:p>
      <w:pPr>
        <w:widowControl w:val="0"/>
        <w:spacing w:line="360" w:lineRule="auto"/>
        <w:ind w:firstLine="480"/>
        <w:jc w:val="both"/>
        <w:rPr>
          <w:color w:val="000000"/>
          <w:kern w:val="2"/>
          <w:szCs w:val="22"/>
        </w:rPr>
      </w:pPr>
      <w:r>
        <w:rPr>
          <w:rFonts w:hint="eastAsia"/>
          <w:color w:val="000000"/>
          <w:kern w:val="2"/>
          <w:szCs w:val="22"/>
        </w:rPr>
        <w:t>本协议书中有关词语含义与本合同“通用条款”中赋予它们的定义相同。</w:t>
      </w:r>
    </w:p>
    <w:p>
      <w:pPr>
        <w:spacing w:before="10" w:after="120" w:afterLines="50"/>
        <w:outlineLvl w:val="0"/>
        <w:rPr>
          <w:b/>
          <w:bCs/>
          <w:snapToGrid w:val="0"/>
          <w:color w:val="000000"/>
          <w:sz w:val="30"/>
          <w:szCs w:val="44"/>
          <w:lang w:val="zh-CN"/>
        </w:rPr>
      </w:pPr>
      <w:bookmarkStart w:id="23" w:name="_Toc302635685"/>
      <w:bookmarkStart w:id="24" w:name="_Toc67418472"/>
      <w:bookmarkStart w:id="25" w:name="_Toc26592"/>
      <w:r>
        <w:rPr>
          <w:rFonts w:hint="eastAsia"/>
          <w:b/>
          <w:bCs/>
          <w:snapToGrid w:val="0"/>
          <w:color w:val="000000"/>
          <w:sz w:val="30"/>
          <w:szCs w:val="44"/>
          <w:lang w:val="zh-CN"/>
        </w:rPr>
        <w:t>九、承诺</w:t>
      </w:r>
      <w:bookmarkEnd w:id="23"/>
      <w:bookmarkEnd w:id="24"/>
      <w:bookmarkEnd w:id="25"/>
    </w:p>
    <w:p>
      <w:pPr>
        <w:widowControl w:val="0"/>
        <w:spacing w:line="360" w:lineRule="auto"/>
        <w:ind w:firstLine="480"/>
        <w:jc w:val="both"/>
        <w:rPr>
          <w:bCs/>
          <w:kern w:val="2"/>
          <w:szCs w:val="22"/>
        </w:rPr>
      </w:pPr>
      <w:bookmarkStart w:id="26" w:name="_Toc302635686"/>
      <w:bookmarkStart w:id="27" w:name="_Toc67418473"/>
      <w:bookmarkStart w:id="28" w:name="_Toc30949"/>
      <w:r>
        <w:rPr>
          <w:rFonts w:hint="eastAsia"/>
          <w:bCs/>
          <w:kern w:val="2"/>
          <w:szCs w:val="22"/>
        </w:rPr>
        <w:t>1.发包人承诺按照法律规定履行项目审批手续、筹集工程建设资金并按照合同约定的期限和方式支付合同价款</w:t>
      </w:r>
      <w:r>
        <w:rPr>
          <w:rFonts w:hint="eastAsia"/>
          <w:kern w:val="2"/>
          <w:szCs w:val="22"/>
        </w:rPr>
        <w:t>及其它应当支付的款项,并履行本合同所约定的全部义务</w:t>
      </w:r>
      <w:r>
        <w:rPr>
          <w:rFonts w:hint="eastAsia"/>
          <w:bCs/>
          <w:kern w:val="2"/>
          <w:szCs w:val="22"/>
        </w:rPr>
        <w:t>。</w:t>
      </w:r>
    </w:p>
    <w:p>
      <w:pPr>
        <w:widowControl w:val="0"/>
        <w:spacing w:line="360" w:lineRule="auto"/>
        <w:ind w:firstLine="480"/>
        <w:jc w:val="both"/>
        <w:rPr>
          <w:bCs/>
          <w:kern w:val="2"/>
          <w:szCs w:val="22"/>
        </w:rPr>
      </w:pPr>
      <w:r>
        <w:rPr>
          <w:rFonts w:hint="eastAsia"/>
          <w:bCs/>
          <w:kern w:val="2"/>
          <w:szCs w:val="22"/>
        </w:rPr>
        <w:t>2.承包人承诺按照法律规定及合同约定组织完成工程施工，确保工程质量和安全，不进行转包及违法分包，并在质量缺陷责任期及保修期内承担相应的工程维修责任</w:t>
      </w:r>
      <w:r>
        <w:rPr>
          <w:rFonts w:hint="eastAsia"/>
          <w:kern w:val="2"/>
          <w:szCs w:val="22"/>
        </w:rPr>
        <w:t>,并履行本合同所约定的全部义务</w:t>
      </w:r>
      <w:r>
        <w:rPr>
          <w:rFonts w:hint="eastAsia"/>
          <w:bCs/>
          <w:kern w:val="2"/>
          <w:szCs w:val="22"/>
        </w:rPr>
        <w:t>。</w:t>
      </w:r>
    </w:p>
    <w:p>
      <w:pPr>
        <w:spacing w:before="80"/>
        <w:ind w:firstLine="480" w:firstLineChars="200"/>
        <w:outlineLvl w:val="0"/>
        <w:rPr>
          <w:bCs/>
          <w:kern w:val="2"/>
          <w:szCs w:val="22"/>
        </w:rPr>
      </w:pPr>
      <w:r>
        <w:rPr>
          <w:rFonts w:hint="eastAsia"/>
          <w:bCs/>
          <w:kern w:val="2"/>
          <w:szCs w:val="22"/>
        </w:rPr>
        <w:t>3.发包人和承包人双方理解并承诺不再就同一工程另行签订与合同实质性内容相背离的协议。</w:t>
      </w:r>
    </w:p>
    <w:p>
      <w:pPr>
        <w:spacing w:before="10" w:after="120" w:afterLines="50"/>
        <w:outlineLvl w:val="0"/>
        <w:rPr>
          <w:b/>
          <w:bCs/>
          <w:snapToGrid w:val="0"/>
          <w:color w:val="000000"/>
          <w:sz w:val="30"/>
          <w:szCs w:val="44"/>
          <w:lang w:val="zh-CN"/>
        </w:rPr>
      </w:pPr>
      <w:r>
        <w:rPr>
          <w:rFonts w:hint="eastAsia"/>
          <w:b/>
          <w:bCs/>
          <w:snapToGrid w:val="0"/>
          <w:color w:val="000000"/>
          <w:sz w:val="30"/>
          <w:szCs w:val="44"/>
          <w:lang w:val="zh-CN"/>
        </w:rPr>
        <w:t>十、合同订立与生效</w:t>
      </w:r>
      <w:bookmarkEnd w:id="26"/>
      <w:bookmarkEnd w:id="27"/>
      <w:bookmarkEnd w:id="28"/>
    </w:p>
    <w:p>
      <w:pPr>
        <w:widowControl w:val="0"/>
        <w:spacing w:line="360" w:lineRule="auto"/>
        <w:ind w:firstLine="480"/>
        <w:jc w:val="both"/>
        <w:rPr>
          <w:color w:val="000000"/>
          <w:kern w:val="2"/>
          <w:szCs w:val="22"/>
        </w:rPr>
      </w:pPr>
      <w:r>
        <w:rPr>
          <w:rFonts w:hint="eastAsia"/>
          <w:color w:val="000000"/>
          <w:kern w:val="2"/>
          <w:szCs w:val="22"/>
        </w:rPr>
        <w:t>1.本合同订立时间：</w:t>
      </w:r>
      <w:r>
        <w:rPr>
          <w:rFonts w:hint="eastAsia"/>
          <w:color w:val="000000"/>
          <w:kern w:val="2"/>
          <w:szCs w:val="22"/>
          <w:u w:val="single"/>
        </w:rPr>
        <w:t xml:space="preserve">2024 </w:t>
      </w:r>
      <w:r>
        <w:rPr>
          <w:rFonts w:hint="eastAsia"/>
          <w:color w:val="000000"/>
          <w:kern w:val="2"/>
          <w:szCs w:val="22"/>
        </w:rPr>
        <w:t>年</w:t>
      </w:r>
      <w:r>
        <w:rPr>
          <w:rFonts w:hint="eastAsia"/>
          <w:color w:val="000000"/>
          <w:kern w:val="2"/>
          <w:szCs w:val="22"/>
          <w:u w:val="single"/>
        </w:rPr>
        <w:t xml:space="preserve">    </w:t>
      </w:r>
      <w:r>
        <w:rPr>
          <w:rFonts w:hint="eastAsia"/>
          <w:color w:val="000000"/>
          <w:kern w:val="2"/>
          <w:szCs w:val="22"/>
        </w:rPr>
        <w:t>月</w:t>
      </w:r>
      <w:r>
        <w:rPr>
          <w:rFonts w:hint="eastAsia"/>
          <w:color w:val="000000"/>
          <w:kern w:val="2"/>
          <w:szCs w:val="22"/>
          <w:u w:val="single"/>
        </w:rPr>
        <w:t xml:space="preserve">     </w:t>
      </w:r>
      <w:r>
        <w:rPr>
          <w:rFonts w:hint="eastAsia"/>
          <w:color w:val="000000"/>
          <w:kern w:val="2"/>
          <w:szCs w:val="22"/>
        </w:rPr>
        <w:t>日。</w:t>
      </w:r>
    </w:p>
    <w:p>
      <w:pPr>
        <w:widowControl w:val="0"/>
        <w:spacing w:line="360" w:lineRule="auto"/>
        <w:ind w:firstLine="480" w:firstLineChars="200"/>
        <w:jc w:val="both"/>
        <w:rPr>
          <w:color w:val="000000"/>
          <w:kern w:val="2"/>
          <w:szCs w:val="22"/>
        </w:rPr>
      </w:pPr>
      <w:r>
        <w:rPr>
          <w:rFonts w:hint="eastAsia"/>
          <w:color w:val="000000"/>
          <w:kern w:val="2"/>
          <w:szCs w:val="22"/>
        </w:rPr>
        <w:t>2.订立地点：</w:t>
      </w:r>
      <w:r>
        <w:rPr>
          <w:rFonts w:hint="eastAsia"/>
          <w:snapToGrid w:val="0"/>
          <w:color w:val="auto"/>
          <w:u w:val="single"/>
        </w:rPr>
        <w:t>深圳市龙华区</w:t>
      </w:r>
      <w:r>
        <w:rPr>
          <w:rFonts w:hint="eastAsia"/>
          <w:szCs w:val="21"/>
        </w:rPr>
        <w:t>。</w:t>
      </w:r>
    </w:p>
    <w:p>
      <w:pPr>
        <w:widowControl w:val="0"/>
        <w:spacing w:line="360" w:lineRule="auto"/>
        <w:ind w:firstLine="480"/>
        <w:rPr>
          <w:color w:val="000000"/>
          <w:kern w:val="2"/>
          <w:szCs w:val="22"/>
        </w:rPr>
      </w:pPr>
      <w:r>
        <w:rPr>
          <w:rFonts w:hint="eastAsia"/>
          <w:color w:val="000000"/>
          <w:kern w:val="2"/>
          <w:szCs w:val="22"/>
        </w:rPr>
        <w:t>3.本合同自</w:t>
      </w:r>
      <w:r>
        <w:rPr>
          <w:rFonts w:hint="eastAsia"/>
          <w:color w:val="000000"/>
          <w:kern w:val="2"/>
          <w:szCs w:val="22"/>
          <w:u w:val="single"/>
        </w:rPr>
        <w:t>双方法定代表人或其委托代理人签名并加盖公章</w:t>
      </w:r>
      <w:r>
        <w:rPr>
          <w:rFonts w:hint="eastAsia"/>
          <w:color w:val="000000"/>
          <w:kern w:val="2"/>
          <w:szCs w:val="22"/>
        </w:rPr>
        <w:t>后成立并生效。</w:t>
      </w:r>
    </w:p>
    <w:p>
      <w:pPr>
        <w:widowControl w:val="0"/>
        <w:spacing w:line="360" w:lineRule="auto"/>
        <w:ind w:firstLine="480"/>
        <w:jc w:val="left"/>
        <w:rPr>
          <w:bCs/>
          <w:color w:val="auto"/>
          <w:kern w:val="2"/>
          <w:szCs w:val="22"/>
        </w:rPr>
      </w:pPr>
      <w:r>
        <w:rPr>
          <w:rFonts w:hint="eastAsia"/>
          <w:bCs/>
          <w:color w:val="auto"/>
          <w:kern w:val="2"/>
          <w:szCs w:val="22"/>
          <w:lang w:val="en-US" w:eastAsia="zh-CN"/>
        </w:rPr>
        <w:t>4.</w:t>
      </w:r>
      <w:r>
        <w:rPr>
          <w:rFonts w:hint="eastAsia"/>
          <w:bCs/>
          <w:color w:val="auto"/>
          <w:kern w:val="2"/>
          <w:szCs w:val="22"/>
        </w:rPr>
        <w:t>与本合同有关的通知可用邮寄方式送达，邮寄地址以本合同中约定的地址为准，寄出三日后即视为送达，任何一方变更地址的，应书面方式通知对方。</w:t>
      </w:r>
    </w:p>
    <w:p>
      <w:pPr>
        <w:widowControl w:val="0"/>
        <w:spacing w:line="360" w:lineRule="auto"/>
        <w:ind w:firstLine="480"/>
        <w:jc w:val="left"/>
        <w:rPr>
          <w:bCs/>
          <w:color w:val="auto"/>
          <w:kern w:val="2"/>
          <w:szCs w:val="22"/>
        </w:rPr>
      </w:pPr>
      <w:r>
        <w:rPr>
          <w:rFonts w:hint="eastAsia"/>
          <w:bCs/>
          <w:color w:val="auto"/>
          <w:kern w:val="2"/>
          <w:szCs w:val="22"/>
          <w:lang w:val="en-US" w:eastAsia="zh-CN"/>
        </w:rPr>
        <w:t>5.</w:t>
      </w:r>
      <w:r>
        <w:rPr>
          <w:rFonts w:hint="eastAsia"/>
          <w:bCs/>
          <w:color w:val="auto"/>
          <w:kern w:val="2"/>
          <w:szCs w:val="22"/>
        </w:rPr>
        <w:t>本合同一式</w:t>
      </w:r>
      <w:r>
        <w:rPr>
          <w:rFonts w:hint="eastAsia"/>
          <w:bCs/>
          <w:color w:val="auto"/>
          <w:kern w:val="2"/>
          <w:szCs w:val="22"/>
          <w:u w:val="single"/>
        </w:rPr>
        <w:t>壹拾陆</w:t>
      </w:r>
      <w:r>
        <w:rPr>
          <w:rFonts w:hint="eastAsia"/>
          <w:bCs/>
          <w:color w:val="auto"/>
          <w:kern w:val="2"/>
          <w:szCs w:val="22"/>
        </w:rPr>
        <w:t>份，均具有同等法律效力，发包人执</w:t>
      </w:r>
      <w:r>
        <w:rPr>
          <w:rFonts w:hint="eastAsia"/>
          <w:bCs/>
          <w:color w:val="auto"/>
          <w:kern w:val="2"/>
          <w:szCs w:val="22"/>
          <w:u w:val="single"/>
        </w:rPr>
        <w:t>捌</w:t>
      </w:r>
      <w:r>
        <w:rPr>
          <w:rFonts w:hint="eastAsia"/>
          <w:bCs/>
          <w:color w:val="auto"/>
          <w:kern w:val="2"/>
          <w:szCs w:val="22"/>
        </w:rPr>
        <w:t>份，承包人执</w:t>
      </w:r>
      <w:r>
        <w:rPr>
          <w:rFonts w:hint="eastAsia"/>
          <w:bCs/>
          <w:color w:val="auto"/>
          <w:kern w:val="2"/>
          <w:szCs w:val="22"/>
          <w:u w:val="single"/>
        </w:rPr>
        <w:t>捌</w:t>
      </w:r>
      <w:r>
        <w:rPr>
          <w:rFonts w:hint="eastAsia"/>
          <w:bCs/>
          <w:color w:val="auto"/>
          <w:kern w:val="2"/>
          <w:szCs w:val="22"/>
        </w:rPr>
        <w:t>份。</w:t>
      </w:r>
    </w:p>
    <w:p>
      <w:pPr>
        <w:pStyle w:val="2"/>
      </w:pPr>
      <w:r>
        <w:rPr>
          <w:rFonts w:hint="eastAsia"/>
        </w:rPr>
        <w:t>（以下无正文）</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6"/>
        <w:gridCol w:w="4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lang w:eastAsia="zh-CN"/>
              </w:rPr>
            </w:pPr>
            <w:r>
              <w:rPr>
                <w:rFonts w:hint="eastAsia"/>
                <w:lang w:eastAsia="zh-CN"/>
              </w:rPr>
              <w:t>发包人：（盖章）</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cs="Courier New"/>
                <w:lang w:eastAsia="zh-CN"/>
              </w:rPr>
            </w:pPr>
            <w:r>
              <w:rPr>
                <w:rFonts w:hint="eastAsia"/>
                <w:kern w:val="2"/>
                <w:lang w:eastAsia="zh-CN"/>
              </w:rPr>
              <w:t>深圳市龙华高新技术产业园区开发投资有限公司</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lang w:eastAsia="zh-CN"/>
              </w:rPr>
            </w:pPr>
            <w:r>
              <w:rPr>
                <w:rFonts w:hint="eastAsia"/>
                <w:lang w:eastAsia="zh-CN"/>
              </w:rPr>
              <w:t>承包人：（盖章）</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cs="Courier New"/>
                <w:lang w:eastAsia="zh-CN"/>
              </w:rPr>
            </w:pPr>
            <w:r>
              <w:rPr>
                <w:rFonts w:hint="eastAsia"/>
                <w:kern w:val="2"/>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2500" w:type="pct"/>
            <w:vAlign w:val="center"/>
          </w:tcPr>
          <w:p>
            <w:pPr>
              <w:widowControl w:val="0"/>
              <w:spacing w:line="400" w:lineRule="exact"/>
              <w:jc w:val="both"/>
              <w:rPr>
                <w:lang w:eastAsia="zh-CN"/>
              </w:rPr>
            </w:pPr>
            <w:r>
              <w:rPr>
                <w:rFonts w:hint="eastAsia"/>
                <w:lang w:eastAsia="zh-CN"/>
              </w:rPr>
              <w:t>法定代表人</w:t>
            </w:r>
          </w:p>
          <w:p>
            <w:pPr>
              <w:widowControl w:val="0"/>
              <w:spacing w:line="400" w:lineRule="exact"/>
              <w:jc w:val="both"/>
              <w:rPr>
                <w:rFonts w:hint="eastAsia"/>
                <w:lang w:eastAsia="zh-CN"/>
              </w:rPr>
            </w:pPr>
            <w:r>
              <w:rPr>
                <w:rFonts w:hint="eastAsia"/>
                <w:lang w:eastAsia="zh-CN"/>
              </w:rPr>
              <w:t>或其委托代理人：</w:t>
            </w:r>
          </w:p>
          <w:p>
            <w:pPr>
              <w:widowControl w:val="0"/>
              <w:spacing w:line="400" w:lineRule="exact"/>
              <w:jc w:val="both"/>
              <w:rPr>
                <w:rFonts w:cs="Courier New"/>
                <w:lang w:eastAsia="zh-CN"/>
              </w:rPr>
            </w:pPr>
            <w:r>
              <w:rPr>
                <w:rFonts w:hint="eastAsia"/>
                <w:lang w:eastAsia="zh-CN"/>
              </w:rPr>
              <w:t>（签名）</w:t>
            </w:r>
          </w:p>
        </w:tc>
        <w:tc>
          <w:tcPr>
            <w:tcW w:w="2500" w:type="pct"/>
            <w:vAlign w:val="center"/>
          </w:tcPr>
          <w:p>
            <w:pPr>
              <w:widowControl w:val="0"/>
              <w:spacing w:line="400" w:lineRule="exact"/>
              <w:jc w:val="left"/>
              <w:rPr>
                <w:lang w:eastAsia="zh-CN"/>
              </w:rPr>
            </w:pPr>
            <w:r>
              <w:rPr>
                <w:rFonts w:hint="eastAsia"/>
                <w:lang w:eastAsia="zh-CN"/>
              </w:rPr>
              <w:t>法定代表人</w:t>
            </w:r>
          </w:p>
          <w:p>
            <w:pPr>
              <w:widowControl w:val="0"/>
              <w:spacing w:line="400" w:lineRule="exact"/>
              <w:jc w:val="left"/>
              <w:rPr>
                <w:rFonts w:hint="eastAsia"/>
                <w:lang w:eastAsia="zh-CN"/>
              </w:rPr>
            </w:pPr>
            <w:r>
              <w:rPr>
                <w:rFonts w:hint="eastAsia"/>
                <w:lang w:eastAsia="zh-CN"/>
              </w:rPr>
              <w:t>或其委托代理人：</w:t>
            </w:r>
          </w:p>
          <w:p>
            <w:pPr>
              <w:widowControl w:val="0"/>
              <w:spacing w:line="400" w:lineRule="exact"/>
              <w:jc w:val="left"/>
              <w:rPr>
                <w:rFonts w:cs="Times New Roman"/>
                <w:lang w:eastAsia="zh-CN"/>
              </w:rPr>
            </w:pPr>
            <w:r>
              <w:rPr>
                <w:rFonts w:hint="eastAsia"/>
                <w:lang w:eastAsia="zh-CN"/>
              </w:rPr>
              <w:t>（签名）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2500" w:type="pct"/>
            <w:vAlign w:val="center"/>
          </w:tcPr>
          <w:p>
            <w:pPr>
              <w:widowControl w:val="0"/>
              <w:spacing w:line="400" w:lineRule="exact"/>
              <w:jc w:val="both"/>
              <w:rPr>
                <w:lang w:eastAsia="zh-CN"/>
              </w:rPr>
            </w:pPr>
            <w:r>
              <w:rPr>
                <w:rFonts w:hint="eastAsia"/>
                <w:lang w:eastAsia="zh-CN"/>
              </w:rPr>
              <w:t>统一社会信用代码：</w:t>
            </w:r>
          </w:p>
          <w:p>
            <w:pPr>
              <w:widowControl w:val="0"/>
              <w:spacing w:line="400" w:lineRule="exact"/>
              <w:jc w:val="both"/>
              <w:rPr>
                <w:rFonts w:cs="Courier New"/>
                <w:lang w:eastAsia="zh-CN"/>
              </w:rPr>
            </w:pPr>
            <w:r>
              <w:rPr>
                <w:rFonts w:hint="eastAsia"/>
                <w:kern w:val="2"/>
                <w:lang w:eastAsia="zh-CN"/>
              </w:rPr>
              <w:t>*****</w:t>
            </w:r>
          </w:p>
        </w:tc>
        <w:tc>
          <w:tcPr>
            <w:tcW w:w="2500" w:type="pct"/>
            <w:vAlign w:val="center"/>
          </w:tcPr>
          <w:p>
            <w:pPr>
              <w:widowControl w:val="0"/>
              <w:spacing w:line="400" w:lineRule="exact"/>
              <w:jc w:val="both"/>
              <w:rPr>
                <w:lang w:eastAsia="en-US"/>
              </w:rPr>
            </w:pPr>
            <w:r>
              <w:rPr>
                <w:rFonts w:hint="eastAsia"/>
                <w:lang w:eastAsia="en-US"/>
              </w:rPr>
              <w:t>统一社会信用代码：</w:t>
            </w:r>
          </w:p>
          <w:p>
            <w:pPr>
              <w:widowControl w:val="0"/>
              <w:spacing w:line="400" w:lineRule="exact"/>
              <w:jc w:val="both"/>
              <w:rPr>
                <w:lang w:eastAsia="en-US"/>
              </w:rPr>
            </w:pPr>
            <w:r>
              <w:rPr>
                <w:rFonts w:hint="eastAsia"/>
                <w:kern w:val="2"/>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2500" w:type="pct"/>
            <w:vAlign w:val="center"/>
          </w:tcPr>
          <w:p>
            <w:pPr>
              <w:widowControl w:val="0"/>
              <w:spacing w:line="400" w:lineRule="exact"/>
              <w:jc w:val="both"/>
              <w:rPr>
                <w:rFonts w:cs="Courier New"/>
                <w:lang w:eastAsia="zh-CN"/>
              </w:rPr>
            </w:pPr>
            <w:r>
              <w:rPr>
                <w:rFonts w:hint="eastAsia"/>
                <w:lang w:eastAsia="zh-CN"/>
              </w:rPr>
              <w:t>地址：</w:t>
            </w:r>
            <w:r>
              <w:rPr>
                <w:rFonts w:hint="eastAsia"/>
                <w:kern w:val="2"/>
                <w:lang w:eastAsia="zh-CN"/>
              </w:rPr>
              <w:t>*****</w:t>
            </w:r>
          </w:p>
        </w:tc>
        <w:tc>
          <w:tcPr>
            <w:tcW w:w="2500" w:type="pct"/>
            <w:vAlign w:val="center"/>
          </w:tcPr>
          <w:p>
            <w:pPr>
              <w:widowControl w:val="0"/>
              <w:spacing w:line="400" w:lineRule="exact"/>
              <w:jc w:val="both"/>
              <w:rPr>
                <w:rFonts w:cs="Courier New"/>
                <w:lang w:eastAsia="zh-CN"/>
              </w:rPr>
            </w:pPr>
            <w:r>
              <w:rPr>
                <w:rFonts w:hint="eastAsia"/>
                <w:lang w:eastAsia="zh-CN"/>
              </w:rPr>
              <w:t>地址：</w:t>
            </w:r>
            <w:r>
              <w:rPr>
                <w:rFonts w:hint="eastAsia"/>
                <w:kern w:val="2"/>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2500" w:type="pct"/>
            <w:vAlign w:val="top"/>
          </w:tcPr>
          <w:p>
            <w:pPr>
              <w:widowControl w:val="0"/>
              <w:spacing w:line="400" w:lineRule="exact"/>
              <w:jc w:val="both"/>
              <w:rPr>
                <w:rFonts w:hint="eastAsia"/>
                <w:lang w:eastAsia="en-US"/>
              </w:rPr>
            </w:pPr>
            <w:r>
              <w:rPr>
                <w:rFonts w:hint="eastAsia"/>
                <w:lang w:eastAsia="zh-CN"/>
              </w:rPr>
              <w:t>开户银行：</w:t>
            </w:r>
            <w:r>
              <w:rPr>
                <w:rFonts w:hint="eastAsia"/>
                <w:kern w:val="2"/>
                <w:lang w:eastAsia="zh-CN"/>
              </w:rPr>
              <w:t>*****</w:t>
            </w:r>
          </w:p>
        </w:tc>
        <w:tc>
          <w:tcPr>
            <w:tcW w:w="2500" w:type="pct"/>
            <w:vAlign w:val="top"/>
          </w:tcPr>
          <w:p>
            <w:pPr>
              <w:widowControl w:val="0"/>
              <w:spacing w:line="400" w:lineRule="exact"/>
              <w:jc w:val="both"/>
              <w:rPr>
                <w:rFonts w:hint="eastAsia"/>
                <w:lang w:eastAsia="en-US"/>
              </w:rPr>
            </w:pPr>
            <w:r>
              <w:rPr>
                <w:rFonts w:hint="eastAsia"/>
                <w:lang w:eastAsia="zh-CN"/>
              </w:rPr>
              <w:t>开户银行：</w:t>
            </w:r>
            <w:r>
              <w:rPr>
                <w:rFonts w:hint="eastAsia"/>
                <w:kern w:val="2"/>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2500" w:type="pct"/>
            <w:vAlign w:val="top"/>
          </w:tcPr>
          <w:p>
            <w:pPr>
              <w:widowControl w:val="0"/>
              <w:spacing w:line="400" w:lineRule="exact"/>
              <w:jc w:val="both"/>
              <w:rPr>
                <w:rFonts w:hint="default"/>
                <w:lang w:val="en-US" w:eastAsia="zh-CN"/>
              </w:rPr>
            </w:pPr>
            <w:r>
              <w:rPr>
                <w:rFonts w:hint="eastAsia"/>
                <w:lang w:val="en-US" w:eastAsia="zh-CN"/>
              </w:rPr>
              <w:t>银行</w:t>
            </w:r>
            <w:r>
              <w:rPr>
                <w:rFonts w:hint="eastAsia"/>
                <w:lang w:eastAsia="en-US"/>
              </w:rPr>
              <w:t>账号：</w:t>
            </w:r>
            <w:r>
              <w:rPr>
                <w:rFonts w:hint="eastAsia"/>
                <w:kern w:val="2"/>
                <w:lang w:eastAsia="zh-CN"/>
              </w:rPr>
              <w:t>*****</w:t>
            </w:r>
          </w:p>
        </w:tc>
        <w:tc>
          <w:tcPr>
            <w:tcW w:w="2500" w:type="pct"/>
            <w:vAlign w:val="top"/>
          </w:tcPr>
          <w:p>
            <w:pPr>
              <w:widowControl w:val="0"/>
              <w:spacing w:line="400" w:lineRule="exact"/>
              <w:jc w:val="both"/>
              <w:rPr>
                <w:rFonts w:hint="default"/>
                <w:lang w:val="en-US" w:eastAsia="zh-CN"/>
              </w:rPr>
            </w:pPr>
            <w:r>
              <w:rPr>
                <w:rFonts w:hint="eastAsia"/>
                <w:lang w:val="en-US" w:eastAsia="zh-CN"/>
              </w:rPr>
              <w:t>银行</w:t>
            </w:r>
            <w:r>
              <w:rPr>
                <w:rFonts w:hint="eastAsia"/>
                <w:lang w:eastAsia="en-US"/>
              </w:rPr>
              <w:t>账号：</w:t>
            </w:r>
            <w:r>
              <w:rPr>
                <w:rFonts w:hint="eastAsia"/>
                <w:kern w:val="2"/>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2500" w:type="pct"/>
            <w:vAlign w:val="center"/>
          </w:tcPr>
          <w:p>
            <w:pPr>
              <w:widowControl w:val="0"/>
              <w:spacing w:line="400" w:lineRule="exact"/>
              <w:jc w:val="both"/>
              <w:rPr>
                <w:rFonts w:cs="Courier New"/>
                <w:lang w:eastAsia="en-US"/>
              </w:rPr>
            </w:pPr>
            <w:r>
              <w:rPr>
                <w:rFonts w:hint="eastAsia"/>
                <w:lang w:eastAsia="en-US"/>
              </w:rPr>
              <w:t>邮政编码：518110</w:t>
            </w:r>
          </w:p>
        </w:tc>
        <w:tc>
          <w:tcPr>
            <w:tcW w:w="2500" w:type="pct"/>
            <w:vAlign w:val="center"/>
          </w:tcPr>
          <w:p>
            <w:pPr>
              <w:widowControl w:val="0"/>
              <w:spacing w:line="400" w:lineRule="exact"/>
              <w:jc w:val="both"/>
              <w:rPr>
                <w:rFonts w:cs="Courier New"/>
                <w:lang w:eastAsia="en-US"/>
              </w:rPr>
            </w:pPr>
            <w:r>
              <w:rPr>
                <w:rFonts w:hint="eastAsia"/>
                <w:lang w:eastAsia="en-US"/>
              </w:rPr>
              <w:t>邮政编码：518110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2500" w:type="pct"/>
            <w:vAlign w:val="center"/>
          </w:tcPr>
          <w:p>
            <w:pPr>
              <w:widowControl w:val="0"/>
              <w:spacing w:line="400" w:lineRule="exact"/>
              <w:jc w:val="both"/>
              <w:rPr>
                <w:rFonts w:hint="default" w:eastAsia="宋体"/>
                <w:lang w:val="en-US" w:eastAsia="zh-CN"/>
              </w:rPr>
            </w:pPr>
            <w:r>
              <w:rPr>
                <w:rFonts w:hint="eastAsia"/>
                <w:lang w:val="en-US" w:eastAsia="zh-CN"/>
              </w:rPr>
              <w:t>电子邮箱：/</w:t>
            </w:r>
          </w:p>
        </w:tc>
        <w:tc>
          <w:tcPr>
            <w:tcW w:w="2500" w:type="pct"/>
            <w:vAlign w:val="center"/>
          </w:tcPr>
          <w:p>
            <w:pPr>
              <w:widowControl w:val="0"/>
              <w:spacing w:line="400" w:lineRule="exact"/>
              <w:jc w:val="both"/>
              <w:rPr>
                <w:rFonts w:hint="eastAsia" w:ascii="宋体" w:hAnsi="宋体" w:eastAsia="宋体" w:cs="宋体"/>
                <w:sz w:val="24"/>
                <w:szCs w:val="24"/>
                <w:lang w:val="en-US" w:eastAsia="en-US" w:bidi="ar-SA"/>
              </w:rPr>
            </w:pPr>
            <w:r>
              <w:rPr>
                <w:rFonts w:hint="eastAsia"/>
                <w:lang w:val="en-US" w:eastAsia="zh-CN"/>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2500" w:type="pct"/>
            <w:vAlign w:val="center"/>
          </w:tcPr>
          <w:p>
            <w:pPr>
              <w:widowControl w:val="0"/>
              <w:spacing w:line="400" w:lineRule="exact"/>
              <w:jc w:val="both"/>
              <w:rPr>
                <w:rFonts w:hint="eastAsia" w:eastAsia="宋体" w:cs="Courier New"/>
                <w:lang w:eastAsia="zh-CN"/>
              </w:rPr>
            </w:pPr>
            <w:r>
              <w:rPr>
                <w:rFonts w:hint="eastAsia"/>
                <w:lang w:val="en-US" w:eastAsia="zh-CN"/>
              </w:rPr>
              <w:t>合同联系人</w:t>
            </w:r>
            <w:r>
              <w:rPr>
                <w:rFonts w:hint="eastAsia"/>
                <w:lang w:eastAsia="en-US"/>
              </w:rPr>
              <w:t>：</w:t>
            </w:r>
          </w:p>
        </w:tc>
        <w:tc>
          <w:tcPr>
            <w:tcW w:w="2500" w:type="pct"/>
            <w:vAlign w:val="center"/>
          </w:tcPr>
          <w:p>
            <w:pPr>
              <w:widowControl w:val="0"/>
              <w:spacing w:line="400" w:lineRule="exact"/>
              <w:jc w:val="both"/>
              <w:rPr>
                <w:rFonts w:cs="Courier New"/>
                <w:lang w:eastAsia="en-US"/>
              </w:rPr>
            </w:pPr>
            <w:r>
              <w:rPr>
                <w:rFonts w:hint="eastAsia"/>
                <w:lang w:val="en-US" w:eastAsia="zh-CN"/>
              </w:rPr>
              <w:t>合同联系人</w:t>
            </w:r>
            <w:r>
              <w:rPr>
                <w:rFonts w:hint="eastAsia"/>
                <w:lang w:eastAsia="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500" w:type="pct"/>
            <w:vAlign w:val="center"/>
          </w:tcPr>
          <w:p>
            <w:pPr>
              <w:widowControl w:val="0"/>
              <w:spacing w:line="400" w:lineRule="exact"/>
              <w:jc w:val="both"/>
              <w:rPr>
                <w:rFonts w:hint="default"/>
                <w:lang w:val="en-US" w:eastAsia="zh-CN"/>
              </w:rPr>
            </w:pPr>
            <w:r>
              <w:rPr>
                <w:rFonts w:hint="eastAsia"/>
                <w:lang w:val="en-US" w:eastAsia="zh-CN"/>
              </w:rPr>
              <w:t>联系方式：</w:t>
            </w:r>
          </w:p>
        </w:tc>
        <w:tc>
          <w:tcPr>
            <w:tcW w:w="2500" w:type="pct"/>
            <w:vAlign w:val="center"/>
          </w:tcPr>
          <w:p>
            <w:pPr>
              <w:widowControl w:val="0"/>
              <w:spacing w:line="400" w:lineRule="exact"/>
              <w:jc w:val="both"/>
              <w:rPr>
                <w:rFonts w:hint="default"/>
                <w:lang w:val="en-US" w:eastAsia="en-US"/>
              </w:rPr>
            </w:pPr>
            <w:r>
              <w:rPr>
                <w:rFonts w:hint="eastAsia"/>
                <w:lang w:val="en-US" w:eastAsia="zh-CN"/>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2500" w:type="pct"/>
            <w:vAlign w:val="center"/>
          </w:tcPr>
          <w:p>
            <w:pPr>
              <w:widowControl w:val="0"/>
              <w:spacing w:line="400" w:lineRule="exact"/>
              <w:jc w:val="both"/>
              <w:rPr>
                <w:lang w:eastAsia="zh-CN"/>
              </w:rPr>
            </w:pPr>
            <w:r>
              <w:rPr>
                <w:rFonts w:hint="eastAsia"/>
                <w:lang w:eastAsia="zh-CN"/>
              </w:rPr>
              <w:t>合同签订时间：2024年</w:t>
            </w:r>
            <w:r>
              <w:rPr>
                <w:rFonts w:hint="eastAsia"/>
                <w:lang w:val="en-US" w:eastAsia="zh-CN"/>
              </w:rPr>
              <w:t xml:space="preserve">  </w:t>
            </w:r>
            <w:r>
              <w:rPr>
                <w:rFonts w:hint="eastAsia"/>
                <w:lang w:eastAsia="zh-CN"/>
              </w:rPr>
              <w:t>月  日</w:t>
            </w:r>
          </w:p>
        </w:tc>
        <w:tc>
          <w:tcPr>
            <w:tcW w:w="2500" w:type="pct"/>
            <w:vAlign w:val="center"/>
          </w:tcPr>
          <w:p>
            <w:pPr>
              <w:widowControl w:val="0"/>
              <w:spacing w:line="400" w:lineRule="exact"/>
              <w:jc w:val="both"/>
              <w:rPr>
                <w:lang w:eastAsia="zh-CN"/>
              </w:rPr>
            </w:pPr>
          </w:p>
        </w:tc>
      </w:tr>
    </w:tbl>
    <w:p>
      <w:pPr>
        <w:pStyle w:val="2"/>
      </w:pPr>
    </w:p>
    <w:p>
      <w:pPr>
        <w:widowControl w:val="0"/>
        <w:jc w:val="both"/>
        <w:rPr>
          <w:rFonts w:asciiTheme="minorHAnsi" w:hAnsiTheme="minorHAnsi" w:eastAsiaTheme="minorEastAsia" w:cstheme="minorBidi"/>
          <w:color w:val="auto"/>
          <w:kern w:val="2"/>
          <w:sz w:val="21"/>
          <w:szCs w:val="22"/>
        </w:rPr>
      </w:pPr>
    </w:p>
    <w:p>
      <w:pPr>
        <w:spacing w:line="360" w:lineRule="auto"/>
        <w:ind w:firstLine="519"/>
        <w:rPr>
          <w:b/>
          <w:bCs/>
          <w:color w:val="auto"/>
        </w:rPr>
      </w:pPr>
      <w:r>
        <w:rPr>
          <w:rFonts w:hint="eastAsia"/>
          <w:color w:val="auto"/>
        </w:rPr>
        <w:fldChar w:fldCharType="begin"/>
      </w:r>
      <w:r>
        <w:rPr>
          <w:color w:val="auto"/>
        </w:rPr>
        <w:instrText xml:space="preserve"> AUTOTEXT  协议书 \* MERGEFORMAT </w:instrText>
      </w:r>
      <w:r>
        <w:rPr>
          <w:rFonts w:hint="eastAsia"/>
          <w:color w:val="auto"/>
        </w:rPr>
        <w:fldChar w:fldCharType="separate"/>
      </w:r>
      <w:r>
        <w:rPr>
          <w:rFonts w:hint="eastAsia"/>
          <w:color w:val="auto"/>
        </w:rPr>
        <w:fldChar w:fldCharType="end"/>
      </w:r>
    </w:p>
    <w:p>
      <w:pPr>
        <w:spacing w:line="360" w:lineRule="auto"/>
        <w:rPr>
          <w:bCs/>
          <w:color w:val="auto"/>
        </w:rPr>
      </w:pPr>
      <w:r>
        <w:rPr>
          <w:bCs/>
          <w:color w:val="auto"/>
        </w:rPr>
        <w:br w:type="page"/>
      </w:r>
    </w:p>
    <w:p>
      <w:pPr>
        <w:spacing w:line="360" w:lineRule="auto"/>
        <w:jc w:val="center"/>
        <w:outlineLvl w:val="0"/>
        <w:rPr>
          <w:rFonts w:ascii="黑体" w:hAnsi="黑体" w:eastAsia="黑体"/>
          <w:color w:val="auto"/>
          <w:sz w:val="32"/>
        </w:rPr>
      </w:pPr>
      <w:r>
        <w:rPr>
          <w:rFonts w:hint="eastAsia" w:ascii="黑体" w:hAnsi="黑体" w:eastAsia="黑体"/>
          <w:color w:val="auto"/>
          <w:sz w:val="32"/>
        </w:rPr>
        <w:t>第二部分  通用条款</w:t>
      </w:r>
    </w:p>
    <w:p>
      <w:pPr>
        <w:adjustRightInd w:val="0"/>
        <w:snapToGrid w:val="0"/>
        <w:spacing w:before="0" w:beforeLines="0" w:after="0" w:line="360" w:lineRule="auto"/>
        <w:ind w:left="178"/>
        <w:rPr>
          <w:color w:val="auto"/>
          <w:sz w:val="28"/>
        </w:rPr>
      </w:pPr>
      <w:r>
        <w:rPr>
          <w:b/>
          <w:color w:val="auto"/>
          <w:sz w:val="28"/>
        </w:rPr>
        <w:t>1</w:t>
      </w:r>
      <w:r>
        <w:rPr>
          <w:rFonts w:hint="eastAsia"/>
          <w:b/>
          <w:color w:val="auto"/>
          <w:sz w:val="28"/>
        </w:rPr>
        <w:t>词语定义</w:t>
      </w:r>
    </w:p>
    <w:p>
      <w:pPr>
        <w:tabs>
          <w:tab w:val="left" w:pos="1620"/>
          <w:tab w:val="left" w:pos="2340"/>
        </w:tabs>
        <w:adjustRightInd w:val="0"/>
        <w:snapToGrid w:val="0"/>
        <w:spacing w:beforeLines="0" w:line="360" w:lineRule="auto"/>
        <w:ind w:firstLine="420"/>
        <w:rPr>
          <w:color w:val="auto"/>
        </w:rPr>
      </w:pPr>
      <w:r>
        <w:rPr>
          <w:rFonts w:hint="eastAsia"/>
          <w:color w:val="auto"/>
        </w:rPr>
        <w:t>下列词语除</w:t>
      </w:r>
      <w:r>
        <w:rPr>
          <w:rFonts w:hint="eastAsia"/>
          <w:b/>
          <w:i/>
          <w:color w:val="auto"/>
        </w:rPr>
        <w:t>专用条款</w:t>
      </w:r>
      <w:r>
        <w:rPr>
          <w:rFonts w:hint="eastAsia"/>
          <w:color w:val="auto"/>
        </w:rPr>
        <w:t>另有约定外，应具有本条所赋予的定义：</w:t>
      </w:r>
    </w:p>
    <w:p>
      <w:pPr>
        <w:adjustRightInd w:val="0"/>
        <w:snapToGrid w:val="0"/>
        <w:spacing w:before="0" w:beforeLines="0" w:after="0" w:line="360" w:lineRule="auto"/>
        <w:ind w:left="359"/>
        <w:rPr>
          <w:color w:val="auto"/>
        </w:rPr>
      </w:pPr>
      <w:r>
        <w:rPr>
          <w:b/>
          <w:color w:val="auto"/>
        </w:rPr>
        <w:t>1.1</w:t>
      </w:r>
      <w:r>
        <w:rPr>
          <w:rFonts w:hint="eastAsia"/>
          <w:b/>
          <w:color w:val="auto"/>
        </w:rPr>
        <w:t>合同主体与参与各方</w:t>
      </w:r>
    </w:p>
    <w:p>
      <w:pPr>
        <w:tabs>
          <w:tab w:val="left" w:pos="1620"/>
          <w:tab w:val="left" w:pos="2340"/>
        </w:tabs>
        <w:adjustRightInd w:val="0"/>
        <w:snapToGrid w:val="0"/>
        <w:spacing w:beforeLines="0" w:after="0" w:line="360" w:lineRule="auto"/>
        <w:ind w:left="899"/>
        <w:rPr>
          <w:color w:val="auto"/>
        </w:rPr>
      </w:pPr>
      <w:r>
        <w:rPr>
          <w:rFonts w:hint="eastAsia"/>
          <w:color w:val="auto"/>
        </w:rPr>
        <w:t>⑴发包人：指本合同指明执行本工程投资或负责管理本工程的、具有相应工程发包主体资格和支付工程价款能力的当事人，以及取得该资格和能力的合法继承人。</w:t>
      </w:r>
    </w:p>
    <w:p>
      <w:pPr>
        <w:tabs>
          <w:tab w:val="left" w:pos="1620"/>
          <w:tab w:val="left" w:pos="2340"/>
        </w:tabs>
        <w:adjustRightInd w:val="0"/>
        <w:snapToGrid w:val="0"/>
        <w:spacing w:beforeLines="0" w:after="0" w:line="360" w:lineRule="auto"/>
        <w:ind w:left="899"/>
        <w:rPr>
          <w:color w:val="auto"/>
        </w:rPr>
      </w:pPr>
      <w:r>
        <w:rPr>
          <w:rFonts w:hint="eastAsia"/>
          <w:color w:val="auto"/>
        </w:rPr>
        <w:t>⑵发包人代表：指由发包人任命的行使发包人在本合同约定的权利和义务的代表。</w:t>
      </w:r>
    </w:p>
    <w:p>
      <w:pPr>
        <w:tabs>
          <w:tab w:val="left" w:pos="1620"/>
          <w:tab w:val="left" w:pos="2340"/>
        </w:tabs>
        <w:adjustRightInd w:val="0"/>
        <w:snapToGrid w:val="0"/>
        <w:spacing w:beforeLines="0" w:after="0" w:line="360" w:lineRule="auto"/>
        <w:ind w:left="899"/>
        <w:rPr>
          <w:color w:val="auto"/>
        </w:rPr>
      </w:pPr>
      <w:r>
        <w:rPr>
          <w:rFonts w:hint="eastAsia"/>
          <w:color w:val="auto"/>
        </w:rPr>
        <w:t>⑶承包人：指其投标文件已为发包人所接受，并与发包人签订了合同协议书承建本工程、具有相应工程施工资质的当事人，以及取得该资格的合法继承人。</w:t>
      </w:r>
    </w:p>
    <w:p>
      <w:pPr>
        <w:tabs>
          <w:tab w:val="left" w:pos="1620"/>
          <w:tab w:val="left" w:pos="2340"/>
        </w:tabs>
        <w:adjustRightInd w:val="0"/>
        <w:snapToGrid w:val="0"/>
        <w:spacing w:beforeLines="0" w:after="0" w:line="360" w:lineRule="auto"/>
        <w:ind w:left="899"/>
        <w:rPr>
          <w:color w:val="auto"/>
        </w:rPr>
      </w:pPr>
      <w:r>
        <w:rPr>
          <w:rFonts w:hint="eastAsia"/>
          <w:color w:val="auto"/>
        </w:rPr>
        <w:t>⑷项目经理：指由承包人任命常驻现场、并取得相应资格的工程管理人员，代表承包人履行本合同约定的权利和义务。</w:t>
      </w:r>
    </w:p>
    <w:p>
      <w:pPr>
        <w:tabs>
          <w:tab w:val="left" w:pos="1620"/>
          <w:tab w:val="left" w:pos="2340"/>
        </w:tabs>
        <w:adjustRightInd w:val="0"/>
        <w:snapToGrid w:val="0"/>
        <w:spacing w:beforeLines="0" w:after="0" w:line="360" w:lineRule="auto"/>
        <w:ind w:left="899"/>
        <w:rPr>
          <w:color w:val="auto"/>
        </w:rPr>
      </w:pPr>
      <w:r>
        <w:rPr>
          <w:rFonts w:hint="eastAsia"/>
          <w:color w:val="auto"/>
        </w:rPr>
        <w:t>⑸专业工程承包人：指与发包人签订专业工程施工合同并承建该合同指定专业工程的、具有相应工程施工资质的当事人，以及取得该当事人资格的合法继承人。</w:t>
      </w:r>
    </w:p>
    <w:p>
      <w:pPr>
        <w:tabs>
          <w:tab w:val="left" w:pos="1620"/>
          <w:tab w:val="left" w:pos="2340"/>
        </w:tabs>
        <w:adjustRightInd w:val="0"/>
        <w:snapToGrid w:val="0"/>
        <w:spacing w:beforeLines="0" w:after="0" w:line="360" w:lineRule="auto"/>
        <w:ind w:left="899"/>
        <w:rPr>
          <w:color w:val="auto"/>
        </w:rPr>
      </w:pPr>
      <w:r>
        <w:rPr>
          <w:rFonts w:hint="eastAsia"/>
          <w:color w:val="auto"/>
        </w:rPr>
        <w:t>⑹分包人：指经发包人认可并与承包人签订了分包合同承建本工程部分工程的、具有相应工程施工资质的当事人，以及取得该当事人资格的合法继承人。</w:t>
      </w:r>
    </w:p>
    <w:p>
      <w:pPr>
        <w:tabs>
          <w:tab w:val="left" w:pos="1620"/>
          <w:tab w:val="left" w:pos="2340"/>
        </w:tabs>
        <w:adjustRightInd w:val="0"/>
        <w:snapToGrid w:val="0"/>
        <w:spacing w:beforeLines="0" w:after="0" w:line="360" w:lineRule="auto"/>
        <w:ind w:left="899"/>
        <w:rPr>
          <w:color w:val="auto"/>
        </w:rPr>
      </w:pPr>
      <w:r>
        <w:rPr>
          <w:rFonts w:hint="eastAsia"/>
          <w:color w:val="auto"/>
        </w:rPr>
        <w:t>⑺</w:t>
      </w:r>
      <w:r>
        <w:rPr>
          <w:color w:val="auto"/>
        </w:rPr>
        <w:t>监理人</w:t>
      </w:r>
      <w:r>
        <w:rPr>
          <w:rFonts w:hint="eastAsia"/>
          <w:color w:val="auto"/>
        </w:rPr>
        <w:t>：指由发包人委托的负责本工程监理工作并取得相应工程监理资质的当事人，以及取得该当事人资格的合法继承人。</w:t>
      </w:r>
    </w:p>
    <w:p>
      <w:pPr>
        <w:tabs>
          <w:tab w:val="left" w:pos="1620"/>
          <w:tab w:val="left" w:pos="2340"/>
        </w:tabs>
        <w:adjustRightInd w:val="0"/>
        <w:snapToGrid w:val="0"/>
        <w:spacing w:beforeLines="0" w:after="0" w:line="360" w:lineRule="auto"/>
        <w:ind w:left="899"/>
        <w:rPr>
          <w:color w:val="auto"/>
        </w:rPr>
      </w:pPr>
      <w:r>
        <w:rPr>
          <w:rFonts w:hint="eastAsia"/>
          <w:color w:val="auto"/>
        </w:rPr>
        <w:t>⑻总监理工程师：指</w:t>
      </w:r>
      <w:r>
        <w:rPr>
          <w:color w:val="auto"/>
        </w:rPr>
        <w:t>监理人</w:t>
      </w:r>
      <w:r>
        <w:rPr>
          <w:rFonts w:hint="eastAsia"/>
          <w:color w:val="auto"/>
        </w:rPr>
        <w:t>指派常驻现场履行</w:t>
      </w:r>
      <w:r>
        <w:rPr>
          <w:color w:val="auto"/>
        </w:rPr>
        <w:t>监理人</w:t>
      </w:r>
      <w:r>
        <w:rPr>
          <w:rFonts w:hint="eastAsia"/>
          <w:color w:val="auto"/>
        </w:rPr>
        <w:t>职责的代表。</w:t>
      </w:r>
    </w:p>
    <w:p>
      <w:pPr>
        <w:tabs>
          <w:tab w:val="left" w:pos="1620"/>
          <w:tab w:val="left" w:pos="2340"/>
        </w:tabs>
        <w:adjustRightInd w:val="0"/>
        <w:snapToGrid w:val="0"/>
        <w:spacing w:beforeLines="0" w:after="0" w:line="360" w:lineRule="auto"/>
        <w:ind w:left="899"/>
        <w:rPr>
          <w:color w:val="auto"/>
        </w:rPr>
      </w:pPr>
      <w:r>
        <w:rPr>
          <w:rFonts w:hint="eastAsia"/>
          <w:color w:val="auto"/>
        </w:rPr>
        <w:t>⑼</w:t>
      </w:r>
      <w:r>
        <w:rPr>
          <w:color w:val="auto"/>
        </w:rPr>
        <w:t>设计人</w:t>
      </w:r>
      <w:r>
        <w:rPr>
          <w:rFonts w:hint="eastAsia"/>
          <w:color w:val="auto"/>
        </w:rPr>
        <w:t>：指发包人委托的负责本工程设计并取得相应工程设计资质的当事人，以及取得该当事人资格的合法继承人。</w:t>
      </w:r>
    </w:p>
    <w:p>
      <w:pPr>
        <w:adjustRightInd w:val="0"/>
        <w:snapToGrid w:val="0"/>
        <w:spacing w:before="0" w:beforeLines="0" w:after="0" w:line="360" w:lineRule="auto"/>
        <w:ind w:left="359"/>
        <w:rPr>
          <w:color w:val="auto"/>
        </w:rPr>
      </w:pPr>
      <w:r>
        <w:rPr>
          <w:b/>
          <w:color w:val="auto"/>
        </w:rPr>
        <w:t>1.2</w:t>
      </w:r>
      <w:r>
        <w:rPr>
          <w:rFonts w:hint="eastAsia"/>
          <w:b/>
          <w:color w:val="auto"/>
        </w:rPr>
        <w:t>合同文件</w:t>
      </w:r>
    </w:p>
    <w:p>
      <w:pPr>
        <w:tabs>
          <w:tab w:val="left" w:pos="1620"/>
          <w:tab w:val="left" w:pos="2340"/>
        </w:tabs>
        <w:adjustRightInd w:val="0"/>
        <w:snapToGrid w:val="0"/>
        <w:spacing w:beforeLines="0" w:after="0" w:line="360" w:lineRule="auto"/>
        <w:ind w:left="899"/>
        <w:rPr>
          <w:color w:val="auto"/>
        </w:rPr>
      </w:pPr>
      <w:r>
        <w:rPr>
          <w:rFonts w:hint="eastAsia"/>
          <w:color w:val="auto"/>
        </w:rPr>
        <w:t>⑴合同：是指由承包人进行本工程施工并提供工程保修服务，发包人支付价款，约定双方权利义务的协议。合同由通用条款第</w:t>
      </w:r>
      <w:r>
        <w:rPr>
          <w:color w:val="auto"/>
        </w:rPr>
        <w:t>2.</w:t>
      </w:r>
      <w:r>
        <w:rPr>
          <w:rFonts w:hint="eastAsia"/>
          <w:color w:val="auto"/>
        </w:rPr>
        <w:t>1款所列的文件组成。</w:t>
      </w:r>
    </w:p>
    <w:p>
      <w:pPr>
        <w:tabs>
          <w:tab w:val="left" w:pos="1620"/>
          <w:tab w:val="left" w:pos="2340"/>
        </w:tabs>
        <w:adjustRightInd w:val="0"/>
        <w:snapToGrid w:val="0"/>
        <w:spacing w:beforeLines="0" w:after="0" w:line="360" w:lineRule="auto"/>
        <w:ind w:left="899"/>
        <w:rPr>
          <w:color w:val="auto"/>
        </w:rPr>
      </w:pPr>
      <w:r>
        <w:rPr>
          <w:rFonts w:hint="eastAsia"/>
          <w:color w:val="auto"/>
        </w:rPr>
        <w:t>⑵图纸：指由发包人按本合同约定向承包人提供的全部设计图纸、计算书和性质类似的技术资料，或由承包人提交并经</w:t>
      </w:r>
      <w:r>
        <w:rPr>
          <w:color w:val="auto"/>
        </w:rPr>
        <w:t>监理人</w:t>
      </w:r>
      <w:r>
        <w:rPr>
          <w:rFonts w:hint="eastAsia"/>
          <w:color w:val="auto"/>
        </w:rPr>
        <w:t>批准的所有图纸、计算书和其他性质类似的技术资料。</w:t>
      </w:r>
    </w:p>
    <w:p>
      <w:pPr>
        <w:tabs>
          <w:tab w:val="left" w:pos="1620"/>
          <w:tab w:val="left" w:pos="2340"/>
        </w:tabs>
        <w:adjustRightInd w:val="0"/>
        <w:snapToGrid w:val="0"/>
        <w:spacing w:beforeLines="0" w:after="0" w:line="360" w:lineRule="auto"/>
        <w:ind w:left="899"/>
        <w:rPr>
          <w:color w:val="auto"/>
        </w:rPr>
      </w:pPr>
      <w:r>
        <w:rPr>
          <w:rFonts w:hint="eastAsia"/>
          <w:color w:val="auto"/>
        </w:rPr>
        <w:t>⑶标准、规范：指本合同中约定的适用于本工程的技术标准、规范及其修改或补充。</w:t>
      </w:r>
    </w:p>
    <w:p>
      <w:pPr>
        <w:tabs>
          <w:tab w:val="left" w:pos="1620"/>
          <w:tab w:val="left" w:pos="2340"/>
        </w:tabs>
        <w:adjustRightInd w:val="0"/>
        <w:snapToGrid w:val="0"/>
        <w:spacing w:beforeLines="0" w:after="0" w:line="360" w:lineRule="auto"/>
        <w:ind w:left="899"/>
        <w:rPr>
          <w:color w:val="auto"/>
        </w:rPr>
      </w:pPr>
      <w:r>
        <w:rPr>
          <w:rFonts w:hint="eastAsia"/>
          <w:color w:val="auto"/>
        </w:rPr>
        <w:t>⑷工程量清单：指根据图纸、技术规范，按照《建设工程工程量清单计价规范》有关格式、工程量计算规则等列出的项目名称和相应数量等的明细清单。载明分部分项工程项目、措施项目、其他项目的名称和相应数量以及规费、税金项目等内容。</w:t>
      </w:r>
    </w:p>
    <w:p>
      <w:pPr>
        <w:tabs>
          <w:tab w:val="left" w:pos="1620"/>
          <w:tab w:val="left" w:pos="2340"/>
        </w:tabs>
        <w:adjustRightInd w:val="0"/>
        <w:snapToGrid w:val="0"/>
        <w:spacing w:beforeLines="0" w:after="0" w:line="360" w:lineRule="auto"/>
        <w:ind w:left="899"/>
        <w:rPr>
          <w:color w:val="auto"/>
        </w:rPr>
      </w:pPr>
      <w:r>
        <w:rPr>
          <w:rFonts w:hint="eastAsia"/>
          <w:color w:val="auto"/>
        </w:rPr>
        <w:t>⑸书面形式：指合同、协议、信件和数据电文(包括电报、电传、传真、电子数据交换和电子邮件)等可以有形地表现所载内容的形式。</w:t>
      </w:r>
    </w:p>
    <w:p>
      <w:pPr>
        <w:tabs>
          <w:tab w:val="left" w:pos="1620"/>
          <w:tab w:val="left" w:pos="2340"/>
        </w:tabs>
        <w:adjustRightInd w:val="0"/>
        <w:snapToGrid w:val="0"/>
        <w:spacing w:beforeLines="0" w:after="0" w:line="360" w:lineRule="auto"/>
        <w:ind w:left="899"/>
        <w:rPr>
          <w:color w:val="auto"/>
        </w:rPr>
      </w:pPr>
      <w:r>
        <w:rPr>
          <w:rFonts w:hint="eastAsia"/>
          <w:color w:val="auto"/>
        </w:rPr>
        <w:t>⑹其他合同文件：是指经承发包双方约定的与工程施工有关的具有合同约束力的文件或书面协议。承发包双方可以在</w:t>
      </w:r>
      <w:r>
        <w:rPr>
          <w:rFonts w:hint="eastAsia"/>
          <w:b/>
          <w:i/>
          <w:color w:val="auto"/>
        </w:rPr>
        <w:t>专用条款</w:t>
      </w:r>
      <w:r>
        <w:rPr>
          <w:rFonts w:hint="eastAsia"/>
          <w:color w:val="auto"/>
        </w:rPr>
        <w:t>中进行约定。</w:t>
      </w:r>
    </w:p>
    <w:p>
      <w:pPr>
        <w:adjustRightInd w:val="0"/>
        <w:snapToGrid w:val="0"/>
        <w:spacing w:before="0" w:beforeLines="0" w:after="0" w:line="360" w:lineRule="auto"/>
        <w:ind w:left="359"/>
        <w:rPr>
          <w:color w:val="auto"/>
        </w:rPr>
      </w:pPr>
      <w:r>
        <w:rPr>
          <w:b/>
          <w:color w:val="auto"/>
        </w:rPr>
        <w:t>1.3</w:t>
      </w:r>
      <w:r>
        <w:rPr>
          <w:rFonts w:hint="eastAsia"/>
          <w:b/>
          <w:color w:val="auto"/>
        </w:rPr>
        <w:t>工程、现场与装备</w:t>
      </w:r>
    </w:p>
    <w:p>
      <w:pPr>
        <w:tabs>
          <w:tab w:val="left" w:pos="1620"/>
          <w:tab w:val="left" w:pos="2340"/>
        </w:tabs>
        <w:adjustRightInd w:val="0"/>
        <w:snapToGrid w:val="0"/>
        <w:spacing w:beforeLines="0" w:after="0" w:line="360" w:lineRule="auto"/>
        <w:ind w:left="899"/>
        <w:rPr>
          <w:color w:val="auto"/>
        </w:rPr>
      </w:pPr>
      <w:r>
        <w:rPr>
          <w:rFonts w:hint="eastAsia"/>
          <w:color w:val="auto"/>
        </w:rPr>
        <w:t>⑴永久工程：指根据本合同约定应实施的永久性工程，包括1.3⑻款所指的设备。</w:t>
      </w:r>
    </w:p>
    <w:p>
      <w:pPr>
        <w:tabs>
          <w:tab w:val="left" w:pos="1620"/>
          <w:tab w:val="left" w:pos="2340"/>
        </w:tabs>
        <w:adjustRightInd w:val="0"/>
        <w:snapToGrid w:val="0"/>
        <w:spacing w:beforeLines="0" w:after="0" w:line="360" w:lineRule="auto"/>
        <w:ind w:left="899"/>
        <w:rPr>
          <w:color w:val="auto"/>
        </w:rPr>
      </w:pPr>
      <w:r>
        <w:rPr>
          <w:rFonts w:hint="eastAsia"/>
          <w:color w:val="auto"/>
        </w:rPr>
        <w:t>⑵临时工程：指实施和完成本工程及其缺陷的修复过程中所需的各种临时性工程，但不包括1.3⑼款所指的承包人装备。</w:t>
      </w:r>
    </w:p>
    <w:p>
      <w:pPr>
        <w:tabs>
          <w:tab w:val="left" w:pos="1620"/>
          <w:tab w:val="left" w:pos="2340"/>
        </w:tabs>
        <w:adjustRightInd w:val="0"/>
        <w:snapToGrid w:val="0"/>
        <w:spacing w:beforeLines="0" w:after="0" w:line="360" w:lineRule="auto"/>
        <w:ind w:left="899"/>
        <w:rPr>
          <w:color w:val="auto"/>
        </w:rPr>
      </w:pPr>
      <w:r>
        <w:rPr>
          <w:rFonts w:hint="eastAsia"/>
          <w:color w:val="auto"/>
        </w:rPr>
        <w:t>⑶工程：指永久工程和临时工程，或视具体情况指两者中的任何一个。</w:t>
      </w:r>
    </w:p>
    <w:p>
      <w:pPr>
        <w:tabs>
          <w:tab w:val="left" w:pos="1620"/>
          <w:tab w:val="left" w:pos="2340"/>
        </w:tabs>
        <w:adjustRightInd w:val="0"/>
        <w:snapToGrid w:val="0"/>
        <w:spacing w:beforeLines="0" w:after="0" w:line="360" w:lineRule="auto"/>
        <w:ind w:left="899"/>
        <w:rPr>
          <w:color w:val="auto"/>
        </w:rPr>
      </w:pPr>
      <w:r>
        <w:rPr>
          <w:rFonts w:hint="eastAsia"/>
          <w:color w:val="auto"/>
        </w:rPr>
        <w:t>⑷单项工程：指本工程范围内、合同约定或能单独发挥效益的某一独立工程。</w:t>
      </w:r>
    </w:p>
    <w:p>
      <w:pPr>
        <w:tabs>
          <w:tab w:val="left" w:pos="1620"/>
          <w:tab w:val="left" w:pos="2340"/>
        </w:tabs>
        <w:adjustRightInd w:val="0"/>
        <w:snapToGrid w:val="0"/>
        <w:spacing w:beforeLines="0" w:after="0" w:line="360" w:lineRule="auto"/>
        <w:ind w:left="899"/>
        <w:rPr>
          <w:color w:val="auto"/>
        </w:rPr>
      </w:pPr>
      <w:r>
        <w:rPr>
          <w:rFonts w:hint="eastAsia"/>
          <w:color w:val="auto"/>
        </w:rPr>
        <w:t>⑸现场：指由发包人提供的用于本工程施工的场地以及发包人在本合同中具体指定构成现场一部分的其他场所。</w:t>
      </w:r>
    </w:p>
    <w:p>
      <w:pPr>
        <w:tabs>
          <w:tab w:val="left" w:pos="1620"/>
          <w:tab w:val="left" w:pos="2340"/>
        </w:tabs>
        <w:adjustRightInd w:val="0"/>
        <w:snapToGrid w:val="0"/>
        <w:spacing w:beforeLines="0" w:after="0" w:line="360" w:lineRule="auto"/>
        <w:ind w:left="899"/>
        <w:rPr>
          <w:color w:val="auto"/>
        </w:rPr>
      </w:pPr>
      <w:r>
        <w:rPr>
          <w:rFonts w:hint="eastAsia"/>
          <w:color w:val="auto"/>
        </w:rPr>
        <w:t>⑹永久占地：指为实施本工程而需要的长期占用的土地，具体期限以政府批准的土地使用年限为准。</w:t>
      </w:r>
    </w:p>
    <w:p>
      <w:pPr>
        <w:tabs>
          <w:tab w:val="left" w:pos="1620"/>
          <w:tab w:val="left" w:pos="2340"/>
        </w:tabs>
        <w:adjustRightInd w:val="0"/>
        <w:snapToGrid w:val="0"/>
        <w:spacing w:beforeLines="0" w:after="0" w:line="360" w:lineRule="auto"/>
        <w:ind w:left="899"/>
        <w:rPr>
          <w:color w:val="auto"/>
        </w:rPr>
      </w:pPr>
      <w:r>
        <w:rPr>
          <w:rFonts w:hint="eastAsia"/>
          <w:color w:val="auto"/>
        </w:rPr>
        <w:t>⑺临时占地：指为实施本工程而需要的一切临时占用土地，包括施工所用的临时支线、便道、便桥和现场的临时出入通道，以及生产、生活等临时设施用地等。</w:t>
      </w:r>
    </w:p>
    <w:p>
      <w:pPr>
        <w:tabs>
          <w:tab w:val="left" w:pos="1620"/>
          <w:tab w:val="left" w:pos="2340"/>
        </w:tabs>
        <w:adjustRightInd w:val="0"/>
        <w:snapToGrid w:val="0"/>
        <w:spacing w:beforeLines="0" w:after="0" w:line="360" w:lineRule="auto"/>
        <w:ind w:left="899"/>
        <w:rPr>
          <w:color w:val="auto"/>
        </w:rPr>
      </w:pPr>
      <w:r>
        <w:rPr>
          <w:rFonts w:hint="eastAsia"/>
          <w:color w:val="auto"/>
        </w:rPr>
        <w:t>⑻设备：指预定构成或构成永久工程一部分的机械、仪器、装置。</w:t>
      </w:r>
    </w:p>
    <w:p>
      <w:pPr>
        <w:tabs>
          <w:tab w:val="left" w:pos="1620"/>
          <w:tab w:val="left" w:pos="2340"/>
        </w:tabs>
        <w:adjustRightInd w:val="0"/>
        <w:snapToGrid w:val="0"/>
        <w:spacing w:beforeLines="0" w:after="0" w:line="360" w:lineRule="auto"/>
        <w:ind w:left="899"/>
        <w:rPr>
          <w:color w:val="auto"/>
        </w:rPr>
      </w:pPr>
      <w:r>
        <w:rPr>
          <w:rFonts w:hint="eastAsia"/>
          <w:color w:val="auto"/>
        </w:rPr>
        <w:t>⑼承包人装备：指属承包人所有(或租赁)的，为实施和完成本工程及其缺陷修复所需的机械、器具或物品。</w:t>
      </w:r>
    </w:p>
    <w:p>
      <w:pPr>
        <w:adjustRightInd w:val="0"/>
        <w:snapToGrid w:val="0"/>
        <w:spacing w:before="0" w:beforeLines="0" w:after="0" w:line="360" w:lineRule="auto"/>
        <w:ind w:left="359"/>
        <w:rPr>
          <w:color w:val="auto"/>
        </w:rPr>
      </w:pPr>
      <w:r>
        <w:rPr>
          <w:b/>
          <w:color w:val="auto"/>
        </w:rPr>
        <w:t>1.4</w:t>
      </w:r>
      <w:r>
        <w:rPr>
          <w:rFonts w:hint="eastAsia"/>
          <w:b/>
          <w:color w:val="auto"/>
        </w:rPr>
        <w:t>合同价格与费用</w:t>
      </w:r>
    </w:p>
    <w:p>
      <w:pPr>
        <w:tabs>
          <w:tab w:val="left" w:pos="1620"/>
          <w:tab w:val="left" w:pos="2340"/>
        </w:tabs>
        <w:adjustRightInd w:val="0"/>
        <w:snapToGrid w:val="0"/>
        <w:spacing w:beforeLines="0" w:after="0" w:line="360" w:lineRule="auto"/>
        <w:ind w:left="899"/>
        <w:rPr>
          <w:color w:val="auto"/>
        </w:rPr>
      </w:pPr>
      <w:r>
        <w:rPr>
          <w:rFonts w:hint="eastAsia"/>
          <w:color w:val="auto"/>
        </w:rPr>
        <w:t>⑴签约合同价：指在中标通知书和合同协议书中写明的，承包人按合同约定实施和完成本工程及其缺陷的修复应得到的价款。</w:t>
      </w:r>
    </w:p>
    <w:p>
      <w:pPr>
        <w:tabs>
          <w:tab w:val="left" w:pos="1620"/>
          <w:tab w:val="left" w:pos="2340"/>
        </w:tabs>
        <w:adjustRightInd w:val="0"/>
        <w:snapToGrid w:val="0"/>
        <w:spacing w:beforeLines="0" w:after="0" w:line="360" w:lineRule="auto"/>
        <w:ind w:left="899"/>
        <w:rPr>
          <w:color w:val="auto"/>
        </w:rPr>
      </w:pPr>
      <w:r>
        <w:rPr>
          <w:rFonts w:hint="eastAsia"/>
          <w:color w:val="auto"/>
        </w:rPr>
        <w:t>⑵合同价格：指发包人用于支付承包人按照合同约定完成承包范围内全部工作的金额，包括合同履行过程中按合同约定发生的价格变化。</w:t>
      </w:r>
    </w:p>
    <w:p>
      <w:pPr>
        <w:tabs>
          <w:tab w:val="left" w:pos="1620"/>
          <w:tab w:val="left" w:pos="2340"/>
        </w:tabs>
        <w:adjustRightInd w:val="0"/>
        <w:snapToGrid w:val="0"/>
        <w:spacing w:beforeLines="0" w:after="0" w:line="360" w:lineRule="auto"/>
        <w:ind w:left="899"/>
        <w:rPr>
          <w:color w:val="auto"/>
        </w:rPr>
      </w:pPr>
      <w:r>
        <w:rPr>
          <w:rFonts w:hint="eastAsia"/>
          <w:color w:val="auto"/>
        </w:rPr>
        <w:t>⑶费用：指为履行合同所发生的或将要发生的所有必需的开支，包括管理费和应分摊的其他费用，但不包括利润。</w:t>
      </w:r>
    </w:p>
    <w:p>
      <w:pPr>
        <w:tabs>
          <w:tab w:val="left" w:pos="1620"/>
          <w:tab w:val="left" w:pos="2340"/>
        </w:tabs>
        <w:adjustRightInd w:val="0"/>
        <w:snapToGrid w:val="0"/>
        <w:spacing w:beforeLines="0" w:after="0" w:line="360" w:lineRule="auto"/>
        <w:ind w:left="899"/>
        <w:rPr>
          <w:color w:val="auto"/>
        </w:rPr>
      </w:pPr>
      <w:r>
        <w:rPr>
          <w:rFonts w:hint="eastAsia"/>
          <w:color w:val="auto"/>
        </w:rPr>
        <w:t>⑷计日工：承包人在本合同履行过程中依发包人要求所完成的施工图纸以外的零星项目或工作。</w:t>
      </w:r>
    </w:p>
    <w:p>
      <w:pPr>
        <w:tabs>
          <w:tab w:val="left" w:pos="1620"/>
          <w:tab w:val="left" w:pos="2340"/>
        </w:tabs>
        <w:adjustRightInd w:val="0"/>
        <w:snapToGrid w:val="0"/>
        <w:spacing w:beforeLines="0" w:after="0" w:line="360" w:lineRule="auto"/>
        <w:ind w:left="899"/>
        <w:rPr>
          <w:color w:val="auto"/>
        </w:rPr>
      </w:pPr>
      <w:r>
        <w:rPr>
          <w:rFonts w:hint="eastAsia"/>
          <w:color w:val="auto"/>
        </w:rPr>
        <w:t>⑸现场签证：发包人和承包人双方对其在本合同履行过程中涉及的相关责任事件所作的签认证明。</w:t>
      </w:r>
    </w:p>
    <w:p>
      <w:pPr>
        <w:tabs>
          <w:tab w:val="left" w:pos="1620"/>
          <w:tab w:val="left" w:pos="2340"/>
        </w:tabs>
        <w:adjustRightInd w:val="0"/>
        <w:snapToGrid w:val="0"/>
        <w:spacing w:beforeLines="0" w:after="0" w:line="360" w:lineRule="auto"/>
        <w:ind w:left="899"/>
        <w:rPr>
          <w:color w:val="auto"/>
        </w:rPr>
      </w:pPr>
      <w:r>
        <w:rPr>
          <w:rFonts w:hint="eastAsia"/>
          <w:color w:val="auto"/>
        </w:rPr>
        <w:t>⑹质量保证金：指承包人用于保证其在缺陷责任期内履行缺陷修补义务的担保。</w:t>
      </w:r>
    </w:p>
    <w:p>
      <w:pPr>
        <w:adjustRightInd w:val="0"/>
        <w:snapToGrid w:val="0"/>
        <w:spacing w:before="0" w:beforeLines="0" w:after="0" w:line="360" w:lineRule="auto"/>
        <w:ind w:left="359"/>
        <w:rPr>
          <w:color w:val="auto"/>
        </w:rPr>
      </w:pPr>
      <w:r>
        <w:rPr>
          <w:b/>
          <w:color w:val="auto"/>
        </w:rPr>
        <w:t>1.5</w:t>
      </w:r>
      <w:r>
        <w:rPr>
          <w:rFonts w:hint="eastAsia"/>
          <w:b/>
          <w:color w:val="auto"/>
        </w:rPr>
        <w:t>施工工期</w:t>
      </w:r>
    </w:p>
    <w:p>
      <w:pPr>
        <w:tabs>
          <w:tab w:val="left" w:pos="1620"/>
          <w:tab w:val="left" w:pos="2340"/>
        </w:tabs>
        <w:adjustRightInd w:val="0"/>
        <w:snapToGrid w:val="0"/>
        <w:spacing w:beforeLines="0" w:after="0" w:line="360" w:lineRule="auto"/>
        <w:ind w:left="899"/>
        <w:rPr>
          <w:color w:val="auto"/>
        </w:rPr>
      </w:pPr>
      <w:r>
        <w:rPr>
          <w:rFonts w:hint="eastAsia"/>
          <w:color w:val="auto"/>
        </w:rPr>
        <w:t>⑴计划开工日期：指发包人和承包人在本合同协议书中约定，承包人开始本工程施工的绝对或相对的日期。</w:t>
      </w:r>
    </w:p>
    <w:p>
      <w:pPr>
        <w:tabs>
          <w:tab w:val="left" w:pos="1620"/>
          <w:tab w:val="left" w:pos="2340"/>
        </w:tabs>
        <w:adjustRightInd w:val="0"/>
        <w:snapToGrid w:val="0"/>
        <w:spacing w:beforeLines="0" w:after="0" w:line="360" w:lineRule="auto"/>
        <w:ind w:left="899"/>
        <w:rPr>
          <w:color w:val="auto"/>
        </w:rPr>
      </w:pPr>
      <w:r>
        <w:rPr>
          <w:rFonts w:hint="eastAsia"/>
          <w:color w:val="auto"/>
        </w:rPr>
        <w:t>⑵计划竣工日期：指发包人和承包人在本合同协议书中约定，承包人完成本工程施工的绝对或相对的日期。</w:t>
      </w:r>
    </w:p>
    <w:p>
      <w:pPr>
        <w:tabs>
          <w:tab w:val="left" w:pos="1620"/>
          <w:tab w:val="left" w:pos="2340"/>
        </w:tabs>
        <w:adjustRightInd w:val="0"/>
        <w:snapToGrid w:val="0"/>
        <w:spacing w:beforeLines="0" w:after="0" w:line="360" w:lineRule="auto"/>
        <w:ind w:left="899"/>
        <w:rPr>
          <w:color w:val="auto"/>
        </w:rPr>
      </w:pPr>
      <w:r>
        <w:rPr>
          <w:rFonts w:hint="eastAsia"/>
          <w:color w:val="auto"/>
        </w:rPr>
        <w:t>⑶合同工期：指发包人和承包人在本合同协议书中约定的，按总日历天数(包括法定节假日)计算的从开工日期至竣工日期的天数。</w:t>
      </w:r>
    </w:p>
    <w:p>
      <w:pPr>
        <w:tabs>
          <w:tab w:val="left" w:pos="1620"/>
          <w:tab w:val="left" w:pos="2340"/>
        </w:tabs>
        <w:adjustRightInd w:val="0"/>
        <w:snapToGrid w:val="0"/>
        <w:spacing w:beforeLines="0" w:after="0" w:line="360" w:lineRule="auto"/>
        <w:ind w:left="899"/>
        <w:rPr>
          <w:color w:val="auto"/>
        </w:rPr>
      </w:pPr>
      <w:r>
        <w:rPr>
          <w:rFonts w:hint="eastAsia"/>
          <w:color w:val="auto"/>
        </w:rPr>
        <w:t>⑷定额工期：指按《深圳市建设工程施工工期定额》计算的本工程工期。《深圳市建设工程施工工期定额》缺项的专业工程，其定额工期由发包人组织专家论证评审确定。</w:t>
      </w:r>
    </w:p>
    <w:p>
      <w:pPr>
        <w:tabs>
          <w:tab w:val="left" w:pos="1620"/>
          <w:tab w:val="left" w:pos="2340"/>
        </w:tabs>
        <w:adjustRightInd w:val="0"/>
        <w:snapToGrid w:val="0"/>
        <w:spacing w:beforeLines="0" w:after="0" w:line="360" w:lineRule="auto"/>
        <w:ind w:left="899"/>
        <w:rPr>
          <w:color w:val="auto"/>
        </w:rPr>
      </w:pPr>
      <w:r>
        <w:rPr>
          <w:rFonts w:hint="eastAsia"/>
          <w:color w:val="auto"/>
        </w:rPr>
        <w:t>⑸实际开工日期：指工程具备开工条件，</w:t>
      </w:r>
      <w:r>
        <w:rPr>
          <w:color w:val="auto"/>
        </w:rPr>
        <w:t>监理人</w:t>
      </w:r>
      <w:r>
        <w:rPr>
          <w:rFonts w:hint="eastAsia"/>
          <w:color w:val="auto"/>
        </w:rPr>
        <w:t>向承包人发出开工通知书中指令的开始本工程施工的日期。</w:t>
      </w:r>
    </w:p>
    <w:p>
      <w:pPr>
        <w:tabs>
          <w:tab w:val="left" w:pos="1620"/>
          <w:tab w:val="left" w:pos="2340"/>
        </w:tabs>
        <w:adjustRightInd w:val="0"/>
        <w:snapToGrid w:val="0"/>
        <w:spacing w:beforeLines="0" w:after="0" w:line="360" w:lineRule="auto"/>
        <w:ind w:left="899"/>
        <w:rPr>
          <w:color w:val="auto"/>
        </w:rPr>
      </w:pPr>
      <w:r>
        <w:rPr>
          <w:rFonts w:hint="eastAsia"/>
          <w:color w:val="auto"/>
        </w:rPr>
        <w:t>⑹实际竣工日期：指承包人按本合同约定承包范围和质量要求完成本工程施工并通过竣工验收的日期。</w:t>
      </w:r>
    </w:p>
    <w:p>
      <w:pPr>
        <w:tabs>
          <w:tab w:val="left" w:pos="1620"/>
          <w:tab w:val="left" w:pos="2340"/>
        </w:tabs>
        <w:adjustRightInd w:val="0"/>
        <w:snapToGrid w:val="0"/>
        <w:spacing w:beforeLines="0" w:after="0" w:line="360" w:lineRule="auto"/>
        <w:ind w:left="899"/>
        <w:rPr>
          <w:color w:val="auto"/>
        </w:rPr>
      </w:pPr>
      <w:r>
        <w:rPr>
          <w:rFonts w:hint="eastAsia"/>
          <w:color w:val="auto"/>
        </w:rPr>
        <w:t>⑺实际工期：指按总日历天数(包括法定节假日)计算的从实际开工日期至实际竣工日期的天数。</w:t>
      </w:r>
    </w:p>
    <w:p>
      <w:pPr>
        <w:tabs>
          <w:tab w:val="left" w:pos="1620"/>
          <w:tab w:val="left" w:pos="2340"/>
        </w:tabs>
        <w:adjustRightInd w:val="0"/>
        <w:snapToGrid w:val="0"/>
        <w:spacing w:beforeLines="0" w:after="0" w:line="360" w:lineRule="auto"/>
        <w:ind w:left="899"/>
        <w:rPr>
          <w:color w:val="auto"/>
        </w:rPr>
      </w:pPr>
      <w:r>
        <w:rPr>
          <w:rFonts w:hint="eastAsia"/>
          <w:color w:val="auto"/>
        </w:rPr>
        <w:t>⑻交接证书：指本工程或本合同中约定有单独工期的单项工程竣工后，发包人和承包人进行本工程移交所签发的证书。</w:t>
      </w:r>
    </w:p>
    <w:p>
      <w:pPr>
        <w:tabs>
          <w:tab w:val="left" w:pos="1620"/>
          <w:tab w:val="left" w:pos="2340"/>
        </w:tabs>
        <w:adjustRightInd w:val="0"/>
        <w:snapToGrid w:val="0"/>
        <w:spacing w:beforeLines="0" w:after="0" w:line="360" w:lineRule="auto"/>
        <w:ind w:left="899"/>
        <w:rPr>
          <w:color w:val="auto"/>
        </w:rPr>
      </w:pPr>
      <w:r>
        <w:rPr>
          <w:rFonts w:hint="eastAsia"/>
          <w:color w:val="auto"/>
        </w:rPr>
        <w:t>⑼缺陷责任期：是指承包人按照合同约定承担缺陷修复义务，且发包人预留质量保证金的期限，自工程实际竣工日期起计算。</w:t>
      </w:r>
    </w:p>
    <w:p>
      <w:pPr>
        <w:tabs>
          <w:tab w:val="left" w:pos="1620"/>
          <w:tab w:val="left" w:pos="2340"/>
        </w:tabs>
        <w:adjustRightInd w:val="0"/>
        <w:snapToGrid w:val="0"/>
        <w:spacing w:beforeLines="0" w:after="0" w:line="360" w:lineRule="auto"/>
        <w:ind w:left="899"/>
        <w:rPr>
          <w:color w:val="auto"/>
        </w:rPr>
      </w:pPr>
      <w:r>
        <w:rPr>
          <w:rFonts w:hint="eastAsia"/>
          <w:color w:val="auto"/>
        </w:rPr>
        <w:t>⑽保修期：是指承包人按照合同约定对工程承担保修责任的期限，从工程竣工验收合格之日起计算。</w:t>
      </w:r>
    </w:p>
    <w:p>
      <w:pPr>
        <w:tabs>
          <w:tab w:val="left" w:pos="1620"/>
          <w:tab w:val="left" w:pos="2340"/>
        </w:tabs>
        <w:adjustRightInd w:val="0"/>
        <w:snapToGrid w:val="0"/>
        <w:spacing w:beforeLines="0" w:after="0" w:line="360" w:lineRule="auto"/>
        <w:ind w:left="899"/>
        <w:rPr>
          <w:color w:val="auto"/>
        </w:rPr>
      </w:pPr>
      <w:r>
        <w:rPr>
          <w:rFonts w:hint="eastAsia"/>
          <w:color w:val="auto"/>
        </w:rPr>
        <w:t>⑾基准日期：</w:t>
      </w:r>
      <w:r>
        <w:rPr>
          <w:color w:val="auto"/>
        </w:rPr>
        <w:t>以投标截止日前28天的日期为基准日</w:t>
      </w:r>
      <w:r>
        <w:rPr>
          <w:rFonts w:hint="eastAsia"/>
          <w:color w:val="auto"/>
        </w:rPr>
        <w:t>期</w:t>
      </w:r>
      <w:r>
        <w:rPr>
          <w:color w:val="auto"/>
        </w:rPr>
        <w:t>。</w:t>
      </w:r>
    </w:p>
    <w:p>
      <w:pPr>
        <w:adjustRightInd w:val="0"/>
        <w:snapToGrid w:val="0"/>
        <w:spacing w:before="0" w:beforeLines="0" w:after="0" w:line="360" w:lineRule="auto"/>
        <w:ind w:left="359"/>
        <w:rPr>
          <w:color w:val="auto"/>
        </w:rPr>
      </w:pPr>
      <w:r>
        <w:rPr>
          <w:b/>
          <w:color w:val="auto"/>
        </w:rPr>
        <w:t>1.6</w:t>
      </w:r>
      <w:r>
        <w:rPr>
          <w:rFonts w:hint="eastAsia"/>
          <w:b/>
          <w:color w:val="auto"/>
        </w:rPr>
        <w:t>其它</w:t>
      </w:r>
    </w:p>
    <w:p>
      <w:pPr>
        <w:tabs>
          <w:tab w:val="left" w:pos="1620"/>
          <w:tab w:val="left" w:pos="2340"/>
        </w:tabs>
        <w:adjustRightInd w:val="0"/>
        <w:snapToGrid w:val="0"/>
        <w:spacing w:beforeLines="0" w:after="0" w:line="360" w:lineRule="auto"/>
        <w:ind w:left="899"/>
        <w:rPr>
          <w:color w:val="auto"/>
        </w:rPr>
      </w:pPr>
      <w:r>
        <w:rPr>
          <w:rFonts w:hint="eastAsia"/>
          <w:color w:val="auto"/>
        </w:rPr>
        <w:t>⑴违约责任：指合同一方不履行合同义务或履行合同义务不符合约定所应承担的责任。</w:t>
      </w:r>
    </w:p>
    <w:p>
      <w:pPr>
        <w:tabs>
          <w:tab w:val="left" w:pos="1620"/>
          <w:tab w:val="left" w:pos="2340"/>
        </w:tabs>
        <w:adjustRightInd w:val="0"/>
        <w:snapToGrid w:val="0"/>
        <w:spacing w:beforeLines="0" w:after="0" w:line="360" w:lineRule="auto"/>
        <w:ind w:left="899"/>
        <w:rPr>
          <w:color w:val="auto"/>
        </w:rPr>
      </w:pPr>
      <w:r>
        <w:rPr>
          <w:rFonts w:hint="eastAsia"/>
          <w:color w:val="auto"/>
        </w:rPr>
        <w:t>⑵索赔：指在合同履行过程中，对于并非自己的过错、而应由对方承担责任的情况造成的损失，向对方提出经济补偿和</w:t>
      </w:r>
      <w:r>
        <w:rPr>
          <w:color w:val="auto"/>
        </w:rPr>
        <w:t>(</w:t>
      </w:r>
      <w:r>
        <w:rPr>
          <w:rFonts w:hint="eastAsia"/>
          <w:color w:val="auto"/>
        </w:rPr>
        <w:t>或</w:t>
      </w:r>
      <w:r>
        <w:rPr>
          <w:color w:val="auto"/>
        </w:rPr>
        <w:t>)</w:t>
      </w:r>
      <w:r>
        <w:rPr>
          <w:rFonts w:hint="eastAsia"/>
          <w:color w:val="auto"/>
        </w:rPr>
        <w:t>工期顺延的要求。</w:t>
      </w:r>
    </w:p>
    <w:p>
      <w:pPr>
        <w:tabs>
          <w:tab w:val="left" w:pos="1620"/>
          <w:tab w:val="left" w:pos="2340"/>
        </w:tabs>
        <w:adjustRightInd w:val="0"/>
        <w:snapToGrid w:val="0"/>
        <w:spacing w:beforeLines="0" w:after="0" w:line="360" w:lineRule="auto"/>
        <w:ind w:left="899"/>
        <w:rPr>
          <w:color w:val="auto"/>
        </w:rPr>
      </w:pPr>
      <w:r>
        <w:rPr>
          <w:rFonts w:hint="eastAsia"/>
          <w:color w:val="auto"/>
        </w:rPr>
        <w:t>⑶不可抗力：发包人和承包人在合同签订时不能预见、对其发生的后果不能避免，并且不能克服的自然灾害和社会性突发事件。</w:t>
      </w:r>
    </w:p>
    <w:p>
      <w:pPr>
        <w:tabs>
          <w:tab w:val="left" w:pos="1620"/>
          <w:tab w:val="left" w:pos="2340"/>
        </w:tabs>
        <w:adjustRightInd w:val="0"/>
        <w:snapToGrid w:val="0"/>
        <w:spacing w:beforeLines="0" w:after="0" w:line="360" w:lineRule="auto"/>
        <w:ind w:left="899"/>
        <w:rPr>
          <w:color w:val="auto"/>
        </w:rPr>
      </w:pPr>
      <w:r>
        <w:rPr>
          <w:rFonts w:hint="eastAsia"/>
          <w:color w:val="auto"/>
        </w:rPr>
        <w:t>⑷小时或天：合同中约定按小时计算时间的，从事件有效开始时计算(不扣除休息时间)；约定按天计算时间的，开始当天不计入，从次日开始计算。时限的最后一天是法定节假日的，以节假日次日为时限的最后一天，但竣工日期除外。时限的最后一天的截止时间为当日24时。</w:t>
      </w:r>
    </w:p>
    <w:p>
      <w:pPr>
        <w:tabs>
          <w:tab w:val="left" w:pos="1620"/>
          <w:tab w:val="left" w:pos="2340"/>
        </w:tabs>
        <w:adjustRightInd w:val="0"/>
        <w:snapToGrid w:val="0"/>
        <w:spacing w:beforeLines="0" w:after="0" w:line="360" w:lineRule="auto"/>
        <w:ind w:left="899"/>
        <w:rPr>
          <w:color w:val="auto"/>
        </w:rPr>
      </w:pPr>
      <w:r>
        <w:rPr>
          <w:rFonts w:hint="eastAsia"/>
          <w:color w:val="auto"/>
        </w:rPr>
        <w:t>⑸法定节假日：指星期六、星期天及国家法定的其它节假日。</w:t>
      </w:r>
    </w:p>
    <w:p>
      <w:pPr>
        <w:adjustRightInd w:val="0"/>
        <w:snapToGrid w:val="0"/>
        <w:spacing w:before="0" w:beforeLines="0" w:after="0" w:line="360" w:lineRule="auto"/>
        <w:ind w:left="359"/>
        <w:rPr>
          <w:color w:val="auto"/>
        </w:rPr>
      </w:pPr>
      <w:r>
        <w:rPr>
          <w:b/>
          <w:color w:val="auto"/>
        </w:rPr>
        <w:t>1.7</w:t>
      </w:r>
      <w:r>
        <w:rPr>
          <w:rFonts w:hint="eastAsia"/>
          <w:b/>
          <w:color w:val="auto"/>
        </w:rPr>
        <w:t>标题</w:t>
      </w:r>
    </w:p>
    <w:p>
      <w:pPr>
        <w:tabs>
          <w:tab w:val="left" w:pos="1620"/>
          <w:tab w:val="left" w:pos="2340"/>
        </w:tabs>
        <w:adjustRightInd w:val="0"/>
        <w:snapToGrid w:val="0"/>
        <w:spacing w:beforeLines="0" w:after="0" w:line="360" w:lineRule="auto"/>
        <w:ind w:left="899"/>
        <w:rPr>
          <w:color w:val="auto"/>
        </w:rPr>
      </w:pPr>
      <w:r>
        <w:rPr>
          <w:rFonts w:hint="eastAsia"/>
          <w:color w:val="auto"/>
        </w:rPr>
        <w:t>本合同条款的标题不视为合同条款或合同本身的一部分，在解释及推定合同条款时，不列入考虑。</w:t>
      </w:r>
    </w:p>
    <w:p>
      <w:pPr>
        <w:adjustRightInd w:val="0"/>
        <w:snapToGrid w:val="0"/>
        <w:spacing w:before="0" w:beforeLines="0" w:after="0" w:line="360" w:lineRule="auto"/>
        <w:ind w:left="359"/>
        <w:rPr>
          <w:color w:val="auto"/>
        </w:rPr>
      </w:pPr>
      <w:r>
        <w:rPr>
          <w:b/>
          <w:color w:val="auto"/>
        </w:rPr>
        <w:t>1.8</w:t>
      </w:r>
      <w:r>
        <w:rPr>
          <w:rFonts w:hint="eastAsia"/>
          <w:b/>
          <w:color w:val="auto"/>
        </w:rPr>
        <w:t>书面形式</w:t>
      </w:r>
    </w:p>
    <w:p>
      <w:pPr>
        <w:tabs>
          <w:tab w:val="left" w:pos="1620"/>
          <w:tab w:val="left" w:pos="2340"/>
        </w:tabs>
        <w:adjustRightInd w:val="0"/>
        <w:snapToGrid w:val="0"/>
        <w:spacing w:beforeLines="0" w:after="0" w:line="360" w:lineRule="auto"/>
        <w:ind w:left="899"/>
        <w:rPr>
          <w:color w:val="auto"/>
        </w:rPr>
      </w:pPr>
      <w:r>
        <w:rPr>
          <w:rFonts w:hint="eastAsia"/>
          <w:color w:val="auto"/>
        </w:rPr>
        <w:t>⑴本合同另有约定外，在合同履行过程中承发包双方发出或发布的任何通知、指令，均应是书面的，收件方应在回执上签署姓名和收到时间，不应无理扣压或拖延。</w:t>
      </w:r>
    </w:p>
    <w:p>
      <w:pPr>
        <w:tabs>
          <w:tab w:val="left" w:pos="1620"/>
          <w:tab w:val="left" w:pos="2340"/>
        </w:tabs>
        <w:adjustRightInd w:val="0"/>
        <w:snapToGrid w:val="0"/>
        <w:spacing w:beforeLines="0" w:after="0" w:line="360" w:lineRule="auto"/>
        <w:ind w:left="899"/>
        <w:rPr>
          <w:color w:val="auto"/>
        </w:rPr>
      </w:pPr>
      <w:r>
        <w:rPr>
          <w:rFonts w:hint="eastAsia"/>
          <w:color w:val="auto"/>
        </w:rPr>
        <w:t>⑵本合同在签订过程中应由打印形成，除承发包双方的法定代表人或授权代表签名外，如需手写的，所有手写部分必须由同一人手写。发包人和承包人应共同指定填写人，并在</w:t>
      </w:r>
      <w:r>
        <w:rPr>
          <w:rFonts w:hint="eastAsia"/>
          <w:b/>
          <w:i/>
          <w:color w:val="auto"/>
        </w:rPr>
        <w:t>专用条款</w:t>
      </w:r>
      <w:r>
        <w:rPr>
          <w:rFonts w:hint="eastAsia"/>
          <w:color w:val="auto"/>
        </w:rPr>
        <w:t>中明确填写人的姓名和身份证号码。</w:t>
      </w:r>
    </w:p>
    <w:p>
      <w:pPr>
        <w:adjustRightInd w:val="0"/>
        <w:snapToGrid w:val="0"/>
        <w:spacing w:before="0" w:beforeLines="0" w:after="0" w:line="360" w:lineRule="auto"/>
        <w:ind w:left="178"/>
        <w:rPr>
          <w:color w:val="auto"/>
          <w:sz w:val="28"/>
        </w:rPr>
      </w:pPr>
      <w:r>
        <w:rPr>
          <w:b/>
          <w:color w:val="auto"/>
          <w:sz w:val="28"/>
        </w:rPr>
        <w:t>2</w:t>
      </w:r>
      <w:r>
        <w:rPr>
          <w:rFonts w:hint="eastAsia"/>
          <w:b/>
          <w:color w:val="auto"/>
          <w:sz w:val="28"/>
        </w:rPr>
        <w:t>一般约定</w:t>
      </w:r>
    </w:p>
    <w:p>
      <w:pPr>
        <w:adjustRightInd w:val="0"/>
        <w:snapToGrid w:val="0"/>
        <w:spacing w:before="0" w:beforeLines="0" w:after="0" w:line="360" w:lineRule="auto"/>
        <w:ind w:left="359"/>
        <w:rPr>
          <w:color w:val="auto"/>
        </w:rPr>
      </w:pPr>
      <w:r>
        <w:rPr>
          <w:b/>
          <w:color w:val="auto"/>
        </w:rPr>
        <w:t>2.1</w:t>
      </w:r>
      <w:r>
        <w:rPr>
          <w:rFonts w:hint="eastAsia"/>
          <w:b/>
          <w:color w:val="auto"/>
        </w:rPr>
        <w:t>合同文件组成及解释顺序</w:t>
      </w:r>
    </w:p>
    <w:p>
      <w:pPr>
        <w:tabs>
          <w:tab w:val="left" w:pos="1620"/>
          <w:tab w:val="left" w:pos="2340"/>
        </w:tabs>
        <w:adjustRightInd w:val="0"/>
        <w:snapToGrid w:val="0"/>
        <w:spacing w:beforeLines="0" w:line="360" w:lineRule="auto"/>
        <w:ind w:left="899"/>
        <w:rPr>
          <w:color w:val="auto"/>
        </w:rPr>
      </w:pPr>
      <w:r>
        <w:rPr>
          <w:color w:val="auto"/>
        </w:rPr>
        <w:t>在合同订立及履行过程中形成的与合同有关的文件均构成合同文件组成部分。</w:t>
      </w:r>
      <w:r>
        <w:rPr>
          <w:rFonts w:hint="eastAsia"/>
          <w:color w:val="auto"/>
        </w:rPr>
        <w:t>组成合同的各个文件应该是一个整体，彼此相互解释，互为说明。本合同组成文件及优先解释顺序如下：</w:t>
      </w:r>
    </w:p>
    <w:p>
      <w:pPr>
        <w:tabs>
          <w:tab w:val="left" w:pos="1620"/>
          <w:tab w:val="left" w:pos="2340"/>
        </w:tabs>
        <w:adjustRightInd w:val="0"/>
        <w:snapToGrid w:val="0"/>
        <w:spacing w:beforeLines="0" w:line="360" w:lineRule="auto"/>
        <w:ind w:left="899"/>
        <w:rPr>
          <w:color w:val="auto"/>
        </w:rPr>
      </w:pPr>
      <w:r>
        <w:rPr>
          <w:rFonts w:hint="eastAsia"/>
          <w:color w:val="auto"/>
        </w:rPr>
        <w:t>⑴本合同签订后双方新签订的补充协议；</w:t>
      </w:r>
    </w:p>
    <w:p>
      <w:pPr>
        <w:tabs>
          <w:tab w:val="left" w:pos="1620"/>
          <w:tab w:val="left" w:pos="2340"/>
        </w:tabs>
        <w:adjustRightInd w:val="0"/>
        <w:snapToGrid w:val="0"/>
        <w:spacing w:beforeLines="0" w:line="360" w:lineRule="auto"/>
        <w:ind w:left="899"/>
        <w:rPr>
          <w:color w:val="auto"/>
        </w:rPr>
      </w:pPr>
      <w:r>
        <w:rPr>
          <w:rFonts w:hint="eastAsia"/>
          <w:color w:val="auto"/>
        </w:rPr>
        <w:t>⑵合同协议书；</w:t>
      </w:r>
    </w:p>
    <w:p>
      <w:pPr>
        <w:tabs>
          <w:tab w:val="left" w:pos="1620"/>
          <w:tab w:val="left" w:pos="2340"/>
        </w:tabs>
        <w:adjustRightInd w:val="0"/>
        <w:snapToGrid w:val="0"/>
        <w:spacing w:beforeLines="0" w:line="360" w:lineRule="auto"/>
        <w:ind w:left="899"/>
        <w:rPr>
          <w:color w:val="auto"/>
        </w:rPr>
      </w:pPr>
      <w:r>
        <w:rPr>
          <w:rFonts w:hint="eastAsia"/>
          <w:color w:val="auto"/>
        </w:rPr>
        <w:t>⑶中标通知书；</w:t>
      </w:r>
    </w:p>
    <w:p>
      <w:pPr>
        <w:tabs>
          <w:tab w:val="left" w:pos="1620"/>
          <w:tab w:val="left" w:pos="2340"/>
        </w:tabs>
        <w:adjustRightInd w:val="0"/>
        <w:snapToGrid w:val="0"/>
        <w:spacing w:beforeLines="0" w:line="360" w:lineRule="auto"/>
        <w:ind w:left="899"/>
        <w:rPr>
          <w:color w:val="auto"/>
        </w:rPr>
      </w:pPr>
      <w:r>
        <w:rPr>
          <w:rFonts w:hint="eastAsia"/>
          <w:color w:val="auto"/>
        </w:rPr>
        <w:t>⑷合同补充条款及其附件；</w:t>
      </w:r>
    </w:p>
    <w:p>
      <w:pPr>
        <w:tabs>
          <w:tab w:val="left" w:pos="1620"/>
          <w:tab w:val="left" w:pos="2340"/>
        </w:tabs>
        <w:adjustRightInd w:val="0"/>
        <w:snapToGrid w:val="0"/>
        <w:spacing w:beforeLines="0" w:line="360" w:lineRule="auto"/>
        <w:ind w:left="899"/>
        <w:rPr>
          <w:color w:val="auto"/>
        </w:rPr>
      </w:pPr>
      <w:r>
        <w:rPr>
          <w:rFonts w:hint="eastAsia"/>
          <w:color w:val="auto"/>
        </w:rPr>
        <w:t>⑸合同专用条款；</w:t>
      </w:r>
    </w:p>
    <w:p>
      <w:pPr>
        <w:tabs>
          <w:tab w:val="left" w:pos="1620"/>
          <w:tab w:val="left" w:pos="2340"/>
        </w:tabs>
        <w:adjustRightInd w:val="0"/>
        <w:snapToGrid w:val="0"/>
        <w:spacing w:beforeLines="0" w:line="360" w:lineRule="auto"/>
        <w:ind w:left="899"/>
        <w:rPr>
          <w:color w:val="auto"/>
        </w:rPr>
      </w:pPr>
      <w:r>
        <w:rPr>
          <w:rFonts w:hint="eastAsia"/>
          <w:color w:val="auto"/>
        </w:rPr>
        <w:t>⑹合同通用条款；</w:t>
      </w:r>
    </w:p>
    <w:p>
      <w:pPr>
        <w:tabs>
          <w:tab w:val="left" w:pos="1620"/>
          <w:tab w:val="left" w:pos="2340"/>
        </w:tabs>
        <w:adjustRightInd w:val="0"/>
        <w:snapToGrid w:val="0"/>
        <w:spacing w:beforeLines="0" w:line="360" w:lineRule="auto"/>
        <w:ind w:left="899"/>
        <w:rPr>
          <w:color w:val="auto"/>
        </w:rPr>
      </w:pPr>
      <w:r>
        <w:rPr>
          <w:rFonts w:hint="eastAsia"/>
          <w:color w:val="auto"/>
        </w:rPr>
        <w:t>⑺本工程招标文件中的技术要求和投标报价规定；</w:t>
      </w:r>
    </w:p>
    <w:p>
      <w:pPr>
        <w:tabs>
          <w:tab w:val="left" w:pos="1620"/>
          <w:tab w:val="left" w:pos="2340"/>
        </w:tabs>
        <w:adjustRightInd w:val="0"/>
        <w:snapToGrid w:val="0"/>
        <w:spacing w:beforeLines="0" w:line="360" w:lineRule="auto"/>
        <w:ind w:left="899"/>
        <w:rPr>
          <w:color w:val="auto"/>
        </w:rPr>
      </w:pPr>
      <w:r>
        <w:rPr>
          <w:rFonts w:hint="eastAsia"/>
          <w:color w:val="auto"/>
        </w:rPr>
        <w:t>⑻投标文件(包括承包人在评标期间和合同谈判过程中递交和确认并经发包人同意的对有关问题的补充资料和澄清文件等)；</w:t>
      </w:r>
    </w:p>
    <w:p>
      <w:pPr>
        <w:tabs>
          <w:tab w:val="left" w:pos="1620"/>
          <w:tab w:val="left" w:pos="2340"/>
        </w:tabs>
        <w:adjustRightInd w:val="0"/>
        <w:snapToGrid w:val="0"/>
        <w:spacing w:beforeLines="0" w:line="360" w:lineRule="auto"/>
        <w:ind w:left="899"/>
        <w:rPr>
          <w:color w:val="auto"/>
        </w:rPr>
      </w:pPr>
      <w:r>
        <w:rPr>
          <w:rFonts w:hint="eastAsia"/>
          <w:color w:val="auto"/>
        </w:rPr>
        <w:t>⑼现行的标准、规范、规定及有关技术文件；</w:t>
      </w:r>
    </w:p>
    <w:p>
      <w:pPr>
        <w:tabs>
          <w:tab w:val="left" w:pos="1620"/>
          <w:tab w:val="left" w:pos="2340"/>
        </w:tabs>
        <w:adjustRightInd w:val="0"/>
        <w:snapToGrid w:val="0"/>
        <w:spacing w:beforeLines="0" w:line="360" w:lineRule="auto"/>
        <w:ind w:left="899"/>
        <w:rPr>
          <w:color w:val="auto"/>
        </w:rPr>
      </w:pPr>
      <w:r>
        <w:rPr>
          <w:rFonts w:hint="eastAsia"/>
          <w:color w:val="auto"/>
        </w:rPr>
        <w:t>⑽图纸和技术规格书；</w:t>
      </w:r>
    </w:p>
    <w:p>
      <w:pPr>
        <w:tabs>
          <w:tab w:val="left" w:pos="1620"/>
          <w:tab w:val="left" w:pos="2340"/>
        </w:tabs>
        <w:adjustRightInd w:val="0"/>
        <w:snapToGrid w:val="0"/>
        <w:spacing w:beforeLines="0" w:line="360" w:lineRule="auto"/>
        <w:ind w:left="899"/>
        <w:rPr>
          <w:color w:val="auto"/>
        </w:rPr>
      </w:pPr>
      <w:r>
        <w:rPr>
          <w:rFonts w:hint="eastAsia"/>
          <w:color w:val="auto"/>
        </w:rPr>
        <w:t>⑾已标价工程量清单；</w:t>
      </w:r>
    </w:p>
    <w:p>
      <w:pPr>
        <w:tabs>
          <w:tab w:val="left" w:pos="1620"/>
          <w:tab w:val="left" w:pos="2340"/>
        </w:tabs>
        <w:adjustRightInd w:val="0"/>
        <w:snapToGrid w:val="0"/>
        <w:spacing w:beforeLines="0" w:line="360" w:lineRule="auto"/>
        <w:ind w:left="899"/>
        <w:rPr>
          <w:color w:val="auto"/>
        </w:rPr>
      </w:pPr>
      <w:r>
        <w:rPr>
          <w:rFonts w:hint="eastAsia"/>
          <w:color w:val="auto"/>
        </w:rPr>
        <w:t>⑿发包人和承包人双方有关本工程的变更、签证、洽商、索赔、询价采购凭证等书面文件及组成合同的其他文件。</w:t>
      </w:r>
    </w:p>
    <w:p>
      <w:pPr>
        <w:tabs>
          <w:tab w:val="left" w:pos="1620"/>
          <w:tab w:val="left" w:pos="2340"/>
        </w:tabs>
        <w:adjustRightInd w:val="0"/>
        <w:snapToGrid w:val="0"/>
        <w:spacing w:beforeLines="0" w:line="360" w:lineRule="auto"/>
        <w:ind w:left="899"/>
        <w:rPr>
          <w:color w:val="auto"/>
        </w:rPr>
      </w:pPr>
      <w:r>
        <w:rPr>
          <w:color w:val="auto"/>
        </w:rPr>
        <w:t>上述各项合同文件包括承发包双方就该项合同文件所作出的补充和修改，属于同一类内容的文件，应以最新签署的为准。</w:t>
      </w:r>
    </w:p>
    <w:p>
      <w:pPr>
        <w:adjustRightInd w:val="0"/>
        <w:snapToGrid w:val="0"/>
        <w:spacing w:before="0" w:beforeLines="0" w:after="0" w:line="360" w:lineRule="auto"/>
        <w:ind w:left="359"/>
        <w:rPr>
          <w:color w:val="auto"/>
        </w:rPr>
      </w:pPr>
      <w:r>
        <w:rPr>
          <w:b/>
          <w:color w:val="auto"/>
        </w:rPr>
        <w:t>2.2</w:t>
      </w:r>
      <w:r>
        <w:rPr>
          <w:rFonts w:hint="eastAsia"/>
          <w:b/>
          <w:color w:val="auto"/>
        </w:rPr>
        <w:t>合同文件内容争议</w:t>
      </w:r>
    </w:p>
    <w:p>
      <w:pPr>
        <w:tabs>
          <w:tab w:val="left" w:pos="1620"/>
          <w:tab w:val="left" w:pos="2340"/>
        </w:tabs>
        <w:adjustRightInd w:val="0"/>
        <w:snapToGrid w:val="0"/>
        <w:spacing w:beforeLines="0" w:after="0" w:line="360" w:lineRule="auto"/>
        <w:ind w:left="899"/>
        <w:rPr>
          <w:color w:val="auto"/>
        </w:rPr>
      </w:pPr>
      <w:r>
        <w:rPr>
          <w:rFonts w:hint="eastAsia"/>
          <w:color w:val="auto"/>
        </w:rPr>
        <w:t>当合同文件内容含糊不清或相互矛盾时，由发包人与承包人在不影响本工程正常实施的情况下协商解决，并达成补充协议予以明确约定。双方协商不成的，按通用条款第30条［争议解决］的约定处理。</w:t>
      </w:r>
    </w:p>
    <w:p>
      <w:pPr>
        <w:adjustRightInd w:val="0"/>
        <w:snapToGrid w:val="0"/>
        <w:spacing w:before="0" w:beforeLines="0" w:after="0" w:line="360" w:lineRule="auto"/>
        <w:ind w:left="359"/>
        <w:rPr>
          <w:color w:val="auto"/>
        </w:rPr>
      </w:pPr>
      <w:r>
        <w:rPr>
          <w:b/>
          <w:color w:val="auto"/>
        </w:rPr>
        <w:t>2.3</w:t>
      </w:r>
      <w:r>
        <w:rPr>
          <w:rFonts w:hint="eastAsia"/>
          <w:b/>
          <w:color w:val="auto"/>
        </w:rPr>
        <w:t>语言文字</w:t>
      </w:r>
    </w:p>
    <w:p>
      <w:pPr>
        <w:tabs>
          <w:tab w:val="left" w:pos="1620"/>
          <w:tab w:val="left" w:pos="2340"/>
        </w:tabs>
        <w:adjustRightInd w:val="0"/>
        <w:snapToGrid w:val="0"/>
        <w:spacing w:beforeLines="0" w:after="0" w:line="360" w:lineRule="auto"/>
        <w:ind w:left="899"/>
        <w:rPr>
          <w:color w:val="auto"/>
        </w:rPr>
      </w:pPr>
      <w:r>
        <w:rPr>
          <w:rFonts w:hint="eastAsia"/>
          <w:color w:val="auto"/>
        </w:rPr>
        <w:t>本合同文件使用汉语语言文字书写、解释和说明。</w:t>
      </w:r>
    </w:p>
    <w:p>
      <w:pPr>
        <w:adjustRightInd w:val="0"/>
        <w:snapToGrid w:val="0"/>
        <w:spacing w:before="0" w:beforeLines="0" w:after="0" w:line="360" w:lineRule="auto"/>
        <w:ind w:left="359"/>
        <w:rPr>
          <w:color w:val="auto"/>
        </w:rPr>
      </w:pPr>
      <w:r>
        <w:rPr>
          <w:b/>
          <w:color w:val="auto"/>
        </w:rPr>
        <w:t>2.4</w:t>
      </w:r>
      <w:r>
        <w:rPr>
          <w:rFonts w:hint="eastAsia"/>
          <w:b/>
          <w:color w:val="auto"/>
        </w:rPr>
        <w:t>法律、法规和规章</w:t>
      </w:r>
    </w:p>
    <w:p>
      <w:pPr>
        <w:tabs>
          <w:tab w:val="left" w:pos="1620"/>
          <w:tab w:val="left" w:pos="2340"/>
        </w:tabs>
        <w:adjustRightInd w:val="0"/>
        <w:snapToGrid w:val="0"/>
        <w:spacing w:beforeLines="0" w:after="0" w:line="360" w:lineRule="auto"/>
        <w:ind w:left="899"/>
        <w:rPr>
          <w:color w:val="auto"/>
        </w:rPr>
      </w:pPr>
      <w:r>
        <w:rPr>
          <w:rFonts w:hint="eastAsia"/>
          <w:color w:val="auto"/>
        </w:rPr>
        <w:t>本合同适用中华人民共和国法律、法规和规章，以及本工程所在地的地方性法规和规章。需要明示的法律、法规和规章，由发包人和承包人在</w:t>
      </w:r>
      <w:r>
        <w:rPr>
          <w:rFonts w:hint="eastAsia"/>
          <w:b/>
          <w:i/>
          <w:color w:val="auto"/>
        </w:rPr>
        <w:t>专用条款</w:t>
      </w:r>
      <w:r>
        <w:rPr>
          <w:rFonts w:hint="eastAsia"/>
          <w:color w:val="auto"/>
        </w:rPr>
        <w:t>中约定。</w:t>
      </w:r>
    </w:p>
    <w:p>
      <w:pPr>
        <w:adjustRightInd w:val="0"/>
        <w:snapToGrid w:val="0"/>
        <w:spacing w:before="0" w:beforeLines="0" w:after="0" w:line="360" w:lineRule="auto"/>
        <w:ind w:left="359"/>
        <w:rPr>
          <w:color w:val="auto"/>
        </w:rPr>
      </w:pPr>
      <w:r>
        <w:rPr>
          <w:b/>
          <w:color w:val="auto"/>
        </w:rPr>
        <w:t>2.5</w:t>
      </w:r>
      <w:r>
        <w:rPr>
          <w:rFonts w:hint="eastAsia"/>
          <w:b/>
          <w:color w:val="auto"/>
        </w:rPr>
        <w:t>标准、规范</w:t>
      </w:r>
    </w:p>
    <w:p>
      <w:pPr>
        <w:tabs>
          <w:tab w:val="left" w:pos="1620"/>
          <w:tab w:val="left" w:pos="2340"/>
        </w:tabs>
        <w:adjustRightInd w:val="0"/>
        <w:snapToGrid w:val="0"/>
        <w:spacing w:beforeLines="0" w:after="0" w:line="360" w:lineRule="auto"/>
        <w:ind w:left="899"/>
        <w:rPr>
          <w:color w:val="auto"/>
        </w:rPr>
      </w:pPr>
      <w:r>
        <w:rPr>
          <w:rFonts w:hint="eastAsia"/>
          <w:color w:val="auto"/>
        </w:rPr>
        <w:t>⑴本工程的材料、设备、施工必须符合现行国家、行业及住房和城乡建设部、广东省、深圳市颁布的相关标准、规范、规程和验收标准的要求。当国家、行业及深圳市地方标准、规范存在不一致时，以要求更严格者为准，设计文件另有规定除外。</w:t>
      </w:r>
    </w:p>
    <w:p>
      <w:pPr>
        <w:tabs>
          <w:tab w:val="left" w:pos="1620"/>
          <w:tab w:val="left" w:pos="2340"/>
        </w:tabs>
        <w:adjustRightInd w:val="0"/>
        <w:snapToGrid w:val="0"/>
        <w:spacing w:beforeLines="0" w:after="0" w:line="360" w:lineRule="auto"/>
        <w:ind w:left="899"/>
        <w:rPr>
          <w:color w:val="auto"/>
        </w:rPr>
      </w:pPr>
      <w:r>
        <w:rPr>
          <w:rFonts w:hint="eastAsia"/>
          <w:color w:val="auto"/>
        </w:rPr>
        <w:t>⑵发包人对工程的技术标准、功能要求高于或严于现行国家、行业或地方标准的，应当在</w:t>
      </w:r>
      <w:r>
        <w:rPr>
          <w:rFonts w:hint="eastAsia"/>
          <w:b/>
          <w:i/>
          <w:color w:val="auto"/>
        </w:rPr>
        <w:t>专用条款</w:t>
      </w:r>
      <w:r>
        <w:rPr>
          <w:rFonts w:hint="eastAsia"/>
          <w:color w:val="auto"/>
        </w:rPr>
        <w:t>中予以明确。除</w:t>
      </w:r>
      <w:r>
        <w:rPr>
          <w:b/>
          <w:i/>
          <w:color w:val="auto"/>
        </w:rPr>
        <w:t>专用条款</w:t>
      </w:r>
      <w:r>
        <w:rPr>
          <w:rFonts w:hint="eastAsia"/>
          <w:color w:val="auto"/>
        </w:rPr>
        <w:t>中另有约定外，应视为承包人在签订合同前已充分预见前述技术标准和功能要求的复杂程度，签约合同价中已包含由此产生的费用。</w:t>
      </w:r>
    </w:p>
    <w:p>
      <w:pPr>
        <w:tabs>
          <w:tab w:val="left" w:pos="1620"/>
          <w:tab w:val="left" w:pos="2340"/>
        </w:tabs>
        <w:adjustRightInd w:val="0"/>
        <w:snapToGrid w:val="0"/>
        <w:spacing w:beforeLines="0" w:after="0" w:line="360" w:lineRule="auto"/>
        <w:ind w:left="899"/>
        <w:rPr>
          <w:color w:val="auto"/>
        </w:rPr>
      </w:pPr>
      <w:r>
        <w:rPr>
          <w:rFonts w:hint="eastAsia"/>
          <w:color w:val="auto"/>
        </w:rPr>
        <w:t>⑶国内没有相应标准、规范的，以设计文件、产品说明书或承包人提交的且由发包人和</w:t>
      </w:r>
      <w:r>
        <w:rPr>
          <w:color w:val="auto"/>
        </w:rPr>
        <w:t>监理人</w:t>
      </w:r>
      <w:r>
        <w:rPr>
          <w:rFonts w:hint="eastAsia"/>
          <w:color w:val="auto"/>
        </w:rPr>
        <w:t>批准的技术方案为准。发包人要求使用国外标准、规范的，发包人负责提供原文版本和中文译本。</w:t>
      </w:r>
    </w:p>
    <w:p>
      <w:pPr>
        <w:tabs>
          <w:tab w:val="left" w:pos="1620"/>
          <w:tab w:val="left" w:pos="2340"/>
        </w:tabs>
        <w:adjustRightInd w:val="0"/>
        <w:snapToGrid w:val="0"/>
        <w:spacing w:beforeLines="0" w:after="0" w:line="360" w:lineRule="auto"/>
        <w:ind w:left="899"/>
        <w:rPr>
          <w:color w:val="auto"/>
        </w:rPr>
      </w:pPr>
      <w:r>
        <w:rPr>
          <w:rFonts w:hint="eastAsia"/>
          <w:color w:val="auto"/>
        </w:rPr>
        <w:t>⑷用于本工程的标准、规范按</w:t>
      </w:r>
      <w:r>
        <w:rPr>
          <w:rFonts w:hint="eastAsia"/>
          <w:b/>
          <w:i/>
          <w:color w:val="auto"/>
        </w:rPr>
        <w:t>专用条款</w:t>
      </w:r>
      <w:r>
        <w:rPr>
          <w:rFonts w:hint="eastAsia"/>
          <w:color w:val="auto"/>
        </w:rPr>
        <w:t>中约定的方式提供。</w:t>
      </w:r>
    </w:p>
    <w:p>
      <w:pPr>
        <w:adjustRightInd w:val="0"/>
        <w:snapToGrid w:val="0"/>
        <w:spacing w:before="0" w:beforeLines="0" w:after="0" w:line="360" w:lineRule="auto"/>
        <w:ind w:left="359"/>
        <w:rPr>
          <w:color w:val="auto"/>
        </w:rPr>
      </w:pPr>
      <w:r>
        <w:rPr>
          <w:b/>
          <w:color w:val="auto"/>
        </w:rPr>
        <w:t>2.6</w:t>
      </w:r>
      <w:r>
        <w:rPr>
          <w:rFonts w:hint="eastAsia"/>
          <w:b/>
          <w:color w:val="auto"/>
        </w:rPr>
        <w:t>图纸和技术资料的提供</w:t>
      </w:r>
    </w:p>
    <w:p>
      <w:pPr>
        <w:tabs>
          <w:tab w:val="left" w:pos="1620"/>
          <w:tab w:val="left" w:pos="2340"/>
        </w:tabs>
        <w:adjustRightInd w:val="0"/>
        <w:snapToGrid w:val="0"/>
        <w:spacing w:beforeLines="0" w:after="0" w:line="360" w:lineRule="auto"/>
        <w:ind w:left="899"/>
        <w:rPr>
          <w:color w:val="auto"/>
        </w:rPr>
      </w:pPr>
      <w:r>
        <w:rPr>
          <w:rFonts w:hint="eastAsia"/>
          <w:color w:val="auto"/>
        </w:rPr>
        <w:t>⑴发包人应按</w:t>
      </w:r>
      <w:r>
        <w:rPr>
          <w:rFonts w:hint="eastAsia"/>
          <w:b/>
          <w:i/>
          <w:color w:val="auto"/>
        </w:rPr>
        <w:t>专用条款</w:t>
      </w:r>
      <w:r>
        <w:rPr>
          <w:rFonts w:hint="eastAsia"/>
          <w:color w:val="auto"/>
        </w:rPr>
        <w:t>约定的时间和数量向承包人提供由发包人委托的</w:t>
      </w:r>
      <w:r>
        <w:rPr>
          <w:color w:val="auto"/>
        </w:rPr>
        <w:t>设计人</w:t>
      </w:r>
      <w:r>
        <w:rPr>
          <w:rFonts w:hint="eastAsia"/>
          <w:color w:val="auto"/>
        </w:rPr>
        <w:t>设计的全部施工图纸和其他技术资料，并组织向承包人进行技术交底。承包人需要增加图纸和资料套数的，应自费复制。发包人至迟不得晚于第11.1款［开工］中开工通知书载明的开工日期前14天向承包人提供图纸。</w:t>
      </w:r>
    </w:p>
    <w:p>
      <w:pPr>
        <w:tabs>
          <w:tab w:val="left" w:pos="1620"/>
          <w:tab w:val="left" w:pos="2340"/>
        </w:tabs>
        <w:adjustRightInd w:val="0"/>
        <w:snapToGrid w:val="0"/>
        <w:spacing w:beforeLines="0" w:after="0" w:line="360" w:lineRule="auto"/>
        <w:ind w:left="899"/>
        <w:rPr>
          <w:color w:val="auto"/>
        </w:rPr>
      </w:pPr>
      <w:r>
        <w:rPr>
          <w:rFonts w:hint="eastAsia"/>
          <w:color w:val="auto"/>
        </w:rPr>
        <w:t>⑵承包人应在施工现场保留一套完整的图纸，供</w:t>
      </w:r>
      <w:r>
        <w:rPr>
          <w:color w:val="auto"/>
        </w:rPr>
        <w:t>监理人</w:t>
      </w:r>
      <w:r>
        <w:rPr>
          <w:rFonts w:hint="eastAsia"/>
          <w:color w:val="auto"/>
        </w:rPr>
        <w:t>及有关人员进行工程检查时使用。</w:t>
      </w:r>
    </w:p>
    <w:p>
      <w:pPr>
        <w:tabs>
          <w:tab w:val="left" w:pos="1620"/>
          <w:tab w:val="left" w:pos="2340"/>
        </w:tabs>
        <w:adjustRightInd w:val="0"/>
        <w:snapToGrid w:val="0"/>
        <w:spacing w:beforeLines="0" w:after="0" w:line="360" w:lineRule="auto"/>
        <w:ind w:left="899"/>
        <w:rPr>
          <w:color w:val="auto"/>
        </w:rPr>
      </w:pPr>
      <w:r>
        <w:rPr>
          <w:rFonts w:hint="eastAsia"/>
          <w:color w:val="auto"/>
        </w:rPr>
        <w:t>⑶</w:t>
      </w:r>
      <w:r>
        <w:rPr>
          <w:color w:val="auto"/>
        </w:rPr>
        <w:t>如发包人提供的图纸</w:t>
      </w:r>
      <w:r>
        <w:rPr>
          <w:rFonts w:hint="eastAsia"/>
          <w:color w:val="auto"/>
        </w:rPr>
        <w:t>和</w:t>
      </w:r>
      <w:r>
        <w:rPr>
          <w:color w:val="auto"/>
        </w:rPr>
        <w:t>资料不完整，承包人应在</w:t>
      </w:r>
      <w:r>
        <w:rPr>
          <w:rFonts w:hint="eastAsia"/>
          <w:color w:val="auto"/>
        </w:rPr>
        <w:t>本</w:t>
      </w:r>
      <w:r>
        <w:rPr>
          <w:color w:val="auto"/>
        </w:rPr>
        <w:t>工程开工</w:t>
      </w:r>
      <w:r>
        <w:rPr>
          <w:rFonts w:hint="eastAsia"/>
          <w:color w:val="auto"/>
        </w:rPr>
        <w:t>前</w:t>
      </w:r>
      <w:r>
        <w:rPr>
          <w:color w:val="auto"/>
        </w:rPr>
        <w:t>7日向发包人提交</w:t>
      </w:r>
      <w:r>
        <w:rPr>
          <w:rFonts w:hint="eastAsia"/>
          <w:color w:val="auto"/>
        </w:rPr>
        <w:t>书面报告</w:t>
      </w:r>
      <w:r>
        <w:rPr>
          <w:color w:val="auto"/>
        </w:rPr>
        <w:t>，列明在不影响进度的条件下，发包人在整个</w:t>
      </w:r>
      <w:r>
        <w:rPr>
          <w:rFonts w:hint="eastAsia"/>
          <w:color w:val="auto"/>
        </w:rPr>
        <w:t>施</w:t>
      </w:r>
      <w:r>
        <w:rPr>
          <w:color w:val="auto"/>
        </w:rPr>
        <w:t>工期内应向承包人提供补充的图纸及资料的种类及最后期限。</w:t>
      </w:r>
      <w:r>
        <w:rPr>
          <w:rFonts w:hint="eastAsia"/>
          <w:color w:val="auto"/>
        </w:rPr>
        <w:t>发包人收到书面报告后应及时通知</w:t>
      </w:r>
      <w:r>
        <w:rPr>
          <w:color w:val="auto"/>
        </w:rPr>
        <w:t>设计人</w:t>
      </w:r>
      <w:r>
        <w:rPr>
          <w:rFonts w:hint="eastAsia"/>
          <w:color w:val="auto"/>
        </w:rPr>
        <w:t>予以补充，并按照2.6(1)款约定的时间和数量提供给承包人。</w:t>
      </w:r>
    </w:p>
    <w:p>
      <w:pPr>
        <w:tabs>
          <w:tab w:val="left" w:pos="1620"/>
          <w:tab w:val="left" w:pos="2340"/>
        </w:tabs>
        <w:adjustRightInd w:val="0"/>
        <w:snapToGrid w:val="0"/>
        <w:spacing w:beforeLines="0" w:after="0" w:line="360" w:lineRule="auto"/>
        <w:ind w:left="899"/>
        <w:rPr>
          <w:color w:val="auto"/>
        </w:rPr>
      </w:pPr>
      <w:r>
        <w:rPr>
          <w:rFonts w:hint="eastAsia"/>
          <w:color w:val="auto"/>
        </w:rPr>
        <w:t>⑷承包人在收到发包人提供的图纸后，发现图纸存在差错、遗漏或缺陷的，应在</w:t>
      </w:r>
      <w:r>
        <w:rPr>
          <w:rFonts w:hint="eastAsia"/>
          <w:b/>
          <w:i/>
          <w:color w:val="auto"/>
        </w:rPr>
        <w:t>专用条款</w:t>
      </w:r>
      <w:r>
        <w:rPr>
          <w:rFonts w:hint="eastAsia"/>
          <w:color w:val="auto"/>
        </w:rPr>
        <w:t>约定的时限内通知</w:t>
      </w:r>
      <w:r>
        <w:rPr>
          <w:color w:val="auto"/>
        </w:rPr>
        <w:t>监理人</w:t>
      </w:r>
      <w:r>
        <w:rPr>
          <w:rFonts w:hint="eastAsia"/>
          <w:color w:val="auto"/>
        </w:rPr>
        <w:t>。</w:t>
      </w:r>
      <w:r>
        <w:rPr>
          <w:color w:val="auto"/>
        </w:rPr>
        <w:t>监理人</w:t>
      </w:r>
      <w:r>
        <w:rPr>
          <w:rFonts w:hint="eastAsia"/>
          <w:color w:val="auto"/>
        </w:rPr>
        <w:t>接到该通知后，应附具相关意见并在</w:t>
      </w:r>
      <w:r>
        <w:rPr>
          <w:rFonts w:hint="eastAsia"/>
          <w:b/>
          <w:i/>
          <w:color w:val="auto"/>
        </w:rPr>
        <w:t>专用条款</w:t>
      </w:r>
      <w:r>
        <w:rPr>
          <w:rFonts w:hint="eastAsia"/>
          <w:color w:val="auto"/>
        </w:rPr>
        <w:t>约定的时限内报送发包人，发包人应在收到</w:t>
      </w:r>
      <w:r>
        <w:rPr>
          <w:color w:val="auto"/>
        </w:rPr>
        <w:t>监理人</w:t>
      </w:r>
      <w:r>
        <w:rPr>
          <w:rFonts w:hint="eastAsia"/>
          <w:color w:val="auto"/>
        </w:rPr>
        <w:t>报送的通知后在</w:t>
      </w:r>
      <w:r>
        <w:rPr>
          <w:rFonts w:hint="eastAsia"/>
          <w:b/>
          <w:i/>
          <w:color w:val="auto"/>
        </w:rPr>
        <w:t>专用条款</w:t>
      </w:r>
      <w:r>
        <w:rPr>
          <w:rFonts w:hint="eastAsia"/>
          <w:color w:val="auto"/>
        </w:rPr>
        <w:t>约定的时限内作出决定。</w:t>
      </w:r>
    </w:p>
    <w:p>
      <w:pPr>
        <w:adjustRightInd w:val="0"/>
        <w:snapToGrid w:val="0"/>
        <w:spacing w:before="0" w:beforeLines="0" w:after="0" w:line="360" w:lineRule="auto"/>
        <w:ind w:left="359"/>
        <w:rPr>
          <w:color w:val="auto"/>
        </w:rPr>
      </w:pPr>
      <w:r>
        <w:rPr>
          <w:b/>
          <w:color w:val="auto"/>
        </w:rPr>
        <w:t>2.7</w:t>
      </w:r>
      <w:r>
        <w:rPr>
          <w:rFonts w:hint="eastAsia"/>
          <w:b/>
          <w:color w:val="auto"/>
        </w:rPr>
        <w:t>图纸和资料提供的延误</w:t>
      </w:r>
    </w:p>
    <w:p>
      <w:pPr>
        <w:tabs>
          <w:tab w:val="left" w:pos="1620"/>
          <w:tab w:val="left" w:pos="2340"/>
        </w:tabs>
        <w:adjustRightInd w:val="0"/>
        <w:snapToGrid w:val="0"/>
        <w:spacing w:beforeLines="0" w:after="0" w:line="360" w:lineRule="auto"/>
        <w:ind w:left="899"/>
        <w:rPr>
          <w:color w:val="auto"/>
        </w:rPr>
      </w:pPr>
      <w:r>
        <w:rPr>
          <w:rFonts w:hint="eastAsia"/>
          <w:color w:val="auto"/>
        </w:rPr>
        <w:t>⑴因发包人未能按约定提供图纸和资料，打乱工程施工进度计划，给承包人造成损失和(或)导致工期延误的，发包人应赔偿承包人损失和(或)顺延延误的工期。</w:t>
      </w:r>
    </w:p>
    <w:p>
      <w:pPr>
        <w:tabs>
          <w:tab w:val="left" w:pos="1620"/>
          <w:tab w:val="left" w:pos="2340"/>
        </w:tabs>
        <w:adjustRightInd w:val="0"/>
        <w:snapToGrid w:val="0"/>
        <w:spacing w:beforeLines="0" w:after="0" w:line="360" w:lineRule="auto"/>
        <w:ind w:left="899"/>
        <w:rPr>
          <w:color w:val="auto"/>
        </w:rPr>
      </w:pPr>
      <w:r>
        <w:rPr>
          <w:rFonts w:hint="eastAsia"/>
          <w:color w:val="auto"/>
        </w:rPr>
        <w:t>⑵发包人之所以不能按约定提供图纸和资料，是因为承包人未能提交本合同约定应由其提交的资料或提交的资料有误所致，则承包人无权要求发包人赔偿损失、顺延工期。</w:t>
      </w:r>
    </w:p>
    <w:p>
      <w:pPr>
        <w:adjustRightInd w:val="0"/>
        <w:snapToGrid w:val="0"/>
        <w:spacing w:before="0" w:beforeLines="0" w:after="0" w:line="360" w:lineRule="auto"/>
        <w:ind w:left="359"/>
        <w:rPr>
          <w:color w:val="auto"/>
        </w:rPr>
      </w:pPr>
      <w:r>
        <w:rPr>
          <w:b/>
          <w:color w:val="auto"/>
        </w:rPr>
        <w:t>2.8</w:t>
      </w:r>
      <w:r>
        <w:rPr>
          <w:rFonts w:hint="eastAsia"/>
          <w:b/>
          <w:color w:val="auto"/>
        </w:rPr>
        <w:t>补充图纸和资料</w:t>
      </w:r>
    </w:p>
    <w:p>
      <w:pPr>
        <w:tabs>
          <w:tab w:val="left" w:pos="1620"/>
          <w:tab w:val="left" w:pos="2340"/>
        </w:tabs>
        <w:adjustRightInd w:val="0"/>
        <w:snapToGrid w:val="0"/>
        <w:spacing w:beforeLines="0" w:after="0" w:line="360" w:lineRule="auto"/>
        <w:ind w:left="899"/>
        <w:rPr>
          <w:color w:val="auto"/>
        </w:rPr>
      </w:pPr>
      <w:r>
        <w:rPr>
          <w:rFonts w:hint="eastAsia"/>
          <w:color w:val="auto"/>
        </w:rPr>
        <w:t>发包人为满足本工程的正确实施和完成及其缺陷修复所需，可委托</w:t>
      </w:r>
      <w:r>
        <w:rPr>
          <w:color w:val="auto"/>
        </w:rPr>
        <w:t>设计人</w:t>
      </w:r>
      <w:r>
        <w:rPr>
          <w:rFonts w:hint="eastAsia"/>
          <w:color w:val="auto"/>
        </w:rPr>
        <w:t>设计补充图纸(含深化设计图纸)和技术资料，并按</w:t>
      </w:r>
      <w:r>
        <w:rPr>
          <w:rFonts w:hint="eastAsia"/>
          <w:b/>
          <w:i/>
          <w:color w:val="auto"/>
        </w:rPr>
        <w:t>专用条款</w:t>
      </w:r>
      <w:r>
        <w:rPr>
          <w:rFonts w:hint="eastAsia"/>
          <w:color w:val="auto"/>
        </w:rPr>
        <w:t>约定的时间和数量向承包人发出，承包人应予执行。</w:t>
      </w:r>
    </w:p>
    <w:p>
      <w:pPr>
        <w:adjustRightInd w:val="0"/>
        <w:snapToGrid w:val="0"/>
        <w:spacing w:before="0" w:beforeLines="0" w:after="0" w:line="360" w:lineRule="auto"/>
        <w:ind w:left="359"/>
        <w:rPr>
          <w:color w:val="auto"/>
        </w:rPr>
      </w:pPr>
      <w:r>
        <w:rPr>
          <w:b/>
          <w:color w:val="auto"/>
        </w:rPr>
        <w:t>2.9</w:t>
      </w:r>
      <w:r>
        <w:rPr>
          <w:rFonts w:hint="eastAsia"/>
          <w:b/>
          <w:color w:val="auto"/>
        </w:rPr>
        <w:t>临时工程图纸</w:t>
      </w:r>
    </w:p>
    <w:p>
      <w:pPr>
        <w:tabs>
          <w:tab w:val="left" w:pos="1620"/>
          <w:tab w:val="left" w:pos="2340"/>
        </w:tabs>
        <w:adjustRightInd w:val="0"/>
        <w:snapToGrid w:val="0"/>
        <w:spacing w:beforeLines="0" w:after="0" w:line="360" w:lineRule="auto"/>
        <w:ind w:left="899"/>
        <w:rPr>
          <w:color w:val="auto"/>
        </w:rPr>
      </w:pPr>
      <w:r>
        <w:rPr>
          <w:rFonts w:hint="eastAsia"/>
          <w:color w:val="auto"/>
        </w:rPr>
        <w:t>当</w:t>
      </w:r>
      <w:r>
        <w:rPr>
          <w:color w:val="auto"/>
        </w:rPr>
        <w:t>监理人</w:t>
      </w:r>
      <w:r>
        <w:rPr>
          <w:rFonts w:hint="eastAsia"/>
          <w:color w:val="auto"/>
        </w:rPr>
        <w:t>认为需要时，承包人应提交本工程临时工程的设计图纸一式3份，供</w:t>
      </w:r>
      <w:r>
        <w:rPr>
          <w:color w:val="auto"/>
        </w:rPr>
        <w:t>监理人</w:t>
      </w:r>
      <w:r>
        <w:rPr>
          <w:rFonts w:hint="eastAsia"/>
          <w:color w:val="auto"/>
        </w:rPr>
        <w:t>批准或备查。</w:t>
      </w:r>
    </w:p>
    <w:p>
      <w:pPr>
        <w:adjustRightInd w:val="0"/>
        <w:snapToGrid w:val="0"/>
        <w:spacing w:before="0" w:beforeLines="0" w:after="0" w:line="360" w:lineRule="auto"/>
        <w:ind w:left="359"/>
        <w:rPr>
          <w:color w:val="auto"/>
        </w:rPr>
      </w:pPr>
      <w:r>
        <w:rPr>
          <w:b/>
          <w:color w:val="auto"/>
        </w:rPr>
        <w:t>2.10</w:t>
      </w:r>
      <w:r>
        <w:rPr>
          <w:rFonts w:hint="eastAsia"/>
          <w:b/>
          <w:color w:val="auto"/>
        </w:rPr>
        <w:t>竣工图</w:t>
      </w:r>
    </w:p>
    <w:p>
      <w:pPr>
        <w:tabs>
          <w:tab w:val="left" w:pos="1620"/>
          <w:tab w:val="left" w:pos="2340"/>
        </w:tabs>
        <w:adjustRightInd w:val="0"/>
        <w:snapToGrid w:val="0"/>
        <w:spacing w:beforeLines="0" w:after="0" w:line="360" w:lineRule="auto"/>
        <w:ind w:left="899"/>
        <w:rPr>
          <w:color w:val="auto"/>
        </w:rPr>
      </w:pPr>
      <w:r>
        <w:rPr>
          <w:rFonts w:hint="eastAsia"/>
          <w:color w:val="auto"/>
        </w:rPr>
        <w:t>⑴除</w:t>
      </w:r>
      <w:r>
        <w:rPr>
          <w:rFonts w:hint="eastAsia"/>
          <w:b/>
          <w:i/>
          <w:color w:val="auto"/>
        </w:rPr>
        <w:t>专用条款</w:t>
      </w:r>
      <w:r>
        <w:rPr>
          <w:rFonts w:hint="eastAsia"/>
          <w:color w:val="auto"/>
        </w:rPr>
        <w:t>另有约定外，</w:t>
      </w:r>
      <w:r>
        <w:rPr>
          <w:color w:val="auto"/>
        </w:rPr>
        <w:t>在本工程</w:t>
      </w:r>
      <w:r>
        <w:rPr>
          <w:rFonts w:hint="eastAsia"/>
          <w:color w:val="auto"/>
        </w:rPr>
        <w:t>竣工</w:t>
      </w:r>
      <w:r>
        <w:rPr>
          <w:color w:val="auto"/>
        </w:rPr>
        <w:t>验收之前，承包人须按</w:t>
      </w:r>
      <w:r>
        <w:rPr>
          <w:rFonts w:hint="eastAsia"/>
          <w:color w:val="auto"/>
        </w:rPr>
        <w:t>政府</w:t>
      </w:r>
      <w:r>
        <w:rPr>
          <w:color w:val="auto"/>
        </w:rPr>
        <w:t>建设行政</w:t>
      </w:r>
      <w:r>
        <w:rPr>
          <w:rFonts w:hint="eastAsia"/>
          <w:color w:val="auto"/>
        </w:rPr>
        <w:t>主管</w:t>
      </w:r>
      <w:r>
        <w:rPr>
          <w:color w:val="auto"/>
        </w:rPr>
        <w:t>部门</w:t>
      </w:r>
      <w:r>
        <w:rPr>
          <w:rFonts w:hint="eastAsia"/>
          <w:color w:val="auto"/>
        </w:rPr>
        <w:t>及政府</w:t>
      </w:r>
      <w:r>
        <w:rPr>
          <w:color w:val="auto"/>
        </w:rPr>
        <w:t>档案</w:t>
      </w:r>
      <w:r>
        <w:rPr>
          <w:rFonts w:hint="eastAsia"/>
          <w:color w:val="auto"/>
        </w:rPr>
        <w:t>主管部门有关</w:t>
      </w:r>
      <w:r>
        <w:rPr>
          <w:color w:val="auto"/>
        </w:rPr>
        <w:t>技术档案管理</w:t>
      </w:r>
      <w:r>
        <w:rPr>
          <w:rFonts w:hint="eastAsia"/>
          <w:color w:val="auto"/>
        </w:rPr>
        <w:t>要求</w:t>
      </w:r>
      <w:r>
        <w:rPr>
          <w:color w:val="auto"/>
        </w:rPr>
        <w:t>编制整理竣工图</w:t>
      </w:r>
      <w:r>
        <w:rPr>
          <w:rFonts w:hint="eastAsia"/>
          <w:color w:val="auto"/>
        </w:rPr>
        <w:t>，报</w:t>
      </w:r>
      <w:r>
        <w:rPr>
          <w:color w:val="auto"/>
        </w:rPr>
        <w:t>监理人</w:t>
      </w:r>
      <w:r>
        <w:rPr>
          <w:rFonts w:hint="eastAsia"/>
          <w:color w:val="auto"/>
        </w:rPr>
        <w:t>审核</w:t>
      </w:r>
      <w:r>
        <w:rPr>
          <w:color w:val="auto"/>
        </w:rPr>
        <w:t>后移交给发包人</w:t>
      </w:r>
      <w:r>
        <w:rPr>
          <w:rFonts w:hint="eastAsia"/>
          <w:color w:val="auto"/>
        </w:rPr>
        <w:t>。</w:t>
      </w:r>
    </w:p>
    <w:p>
      <w:pPr>
        <w:tabs>
          <w:tab w:val="left" w:pos="1620"/>
          <w:tab w:val="left" w:pos="2340"/>
        </w:tabs>
        <w:adjustRightInd w:val="0"/>
        <w:snapToGrid w:val="0"/>
        <w:spacing w:beforeLines="0" w:after="0" w:line="360" w:lineRule="auto"/>
        <w:ind w:left="899"/>
        <w:rPr>
          <w:color w:val="auto"/>
        </w:rPr>
      </w:pPr>
      <w:r>
        <w:rPr>
          <w:rFonts w:hint="eastAsia"/>
          <w:color w:val="auto"/>
        </w:rPr>
        <w:t>⑵</w:t>
      </w:r>
      <w:r>
        <w:rPr>
          <w:color w:val="auto"/>
        </w:rPr>
        <w:t>竣工图</w:t>
      </w:r>
      <w:r>
        <w:rPr>
          <w:rFonts w:hint="eastAsia"/>
          <w:color w:val="auto"/>
        </w:rPr>
        <w:t>内容应</w:t>
      </w:r>
      <w:r>
        <w:rPr>
          <w:color w:val="auto"/>
        </w:rPr>
        <w:t>与工程实物相符，加盖竣工图章，</w:t>
      </w:r>
      <w:r>
        <w:rPr>
          <w:rFonts w:hint="eastAsia"/>
          <w:color w:val="auto"/>
        </w:rPr>
        <w:t>由承包人</w:t>
      </w:r>
      <w:r>
        <w:rPr>
          <w:color w:val="auto"/>
        </w:rPr>
        <w:t>本工程技术负责人签名</w:t>
      </w:r>
      <w:r>
        <w:rPr>
          <w:rFonts w:hint="eastAsia"/>
          <w:color w:val="auto"/>
        </w:rPr>
        <w:t>，并</w:t>
      </w:r>
      <w:r>
        <w:rPr>
          <w:color w:val="auto"/>
        </w:rPr>
        <w:t>按规定要求叠折、装订和组卷。承包人</w:t>
      </w:r>
      <w:r>
        <w:rPr>
          <w:rFonts w:hint="eastAsia"/>
          <w:color w:val="auto"/>
        </w:rPr>
        <w:t>应向政府</w:t>
      </w:r>
      <w:r>
        <w:rPr>
          <w:color w:val="auto"/>
        </w:rPr>
        <w:t>档案</w:t>
      </w:r>
      <w:r>
        <w:rPr>
          <w:rFonts w:hint="eastAsia"/>
          <w:color w:val="auto"/>
        </w:rPr>
        <w:t>主管部门</w:t>
      </w:r>
      <w:r>
        <w:rPr>
          <w:color w:val="auto"/>
        </w:rPr>
        <w:t>和发包人各</w:t>
      </w:r>
      <w:r>
        <w:rPr>
          <w:rFonts w:hint="eastAsia"/>
          <w:color w:val="auto"/>
        </w:rPr>
        <w:t>提交</w:t>
      </w:r>
      <w:r>
        <w:rPr>
          <w:color w:val="auto"/>
        </w:rPr>
        <w:t>一份竣工图</w:t>
      </w:r>
      <w:r>
        <w:rPr>
          <w:rFonts w:hint="eastAsia"/>
          <w:color w:val="auto"/>
        </w:rPr>
        <w:t>及</w:t>
      </w:r>
      <w:r>
        <w:rPr>
          <w:color w:val="auto"/>
        </w:rPr>
        <w:t>电子</w:t>
      </w:r>
      <w:r>
        <w:rPr>
          <w:rFonts w:hint="eastAsia"/>
          <w:color w:val="auto"/>
        </w:rPr>
        <w:t>文档，</w:t>
      </w:r>
      <w:r>
        <w:rPr>
          <w:color w:val="auto"/>
        </w:rPr>
        <w:t>交</w:t>
      </w:r>
      <w:r>
        <w:rPr>
          <w:rFonts w:hint="eastAsia"/>
          <w:color w:val="auto"/>
        </w:rPr>
        <w:t>政府</w:t>
      </w:r>
      <w:r>
        <w:rPr>
          <w:color w:val="auto"/>
        </w:rPr>
        <w:t>档案</w:t>
      </w:r>
      <w:r>
        <w:rPr>
          <w:rFonts w:hint="eastAsia"/>
          <w:color w:val="auto"/>
        </w:rPr>
        <w:t>主管部门</w:t>
      </w:r>
      <w:r>
        <w:rPr>
          <w:color w:val="auto"/>
        </w:rPr>
        <w:t>的竣工图需要由设计人加盖设计人公章。</w:t>
      </w:r>
    </w:p>
    <w:p>
      <w:pPr>
        <w:adjustRightInd w:val="0"/>
        <w:snapToGrid w:val="0"/>
        <w:spacing w:before="0" w:beforeLines="0" w:after="0" w:line="360" w:lineRule="auto"/>
        <w:ind w:left="359"/>
        <w:rPr>
          <w:color w:val="auto"/>
        </w:rPr>
      </w:pPr>
      <w:r>
        <w:rPr>
          <w:b/>
          <w:color w:val="auto"/>
        </w:rPr>
        <w:t>2.11</w:t>
      </w:r>
      <w:r>
        <w:rPr>
          <w:rFonts w:hint="eastAsia"/>
          <w:b/>
          <w:color w:val="auto"/>
        </w:rPr>
        <w:t>通知</w:t>
      </w:r>
    </w:p>
    <w:p>
      <w:pPr>
        <w:tabs>
          <w:tab w:val="left" w:pos="1620"/>
          <w:tab w:val="left" w:pos="2340"/>
        </w:tabs>
        <w:adjustRightInd w:val="0"/>
        <w:snapToGrid w:val="0"/>
        <w:spacing w:beforeLines="0" w:after="0" w:line="360" w:lineRule="auto"/>
        <w:ind w:left="899"/>
        <w:rPr>
          <w:color w:val="auto"/>
        </w:rPr>
      </w:pPr>
      <w:r>
        <w:rPr>
          <w:rFonts w:hint="eastAsia"/>
          <w:color w:val="auto"/>
        </w:rPr>
        <w:t>⑴根据本合同条款由发包人或</w:t>
      </w:r>
      <w:r>
        <w:rPr>
          <w:color w:val="auto"/>
        </w:rPr>
        <w:t>监理人</w:t>
      </w:r>
      <w:r>
        <w:rPr>
          <w:rFonts w:hint="eastAsia"/>
          <w:color w:val="auto"/>
        </w:rPr>
        <w:t>发给承包人的一切证书、通知或指令均应发送或派专人送达承包人在</w:t>
      </w:r>
      <w:r>
        <w:rPr>
          <w:rFonts w:hint="eastAsia"/>
          <w:b/>
          <w:i/>
          <w:color w:val="auto"/>
        </w:rPr>
        <w:t>专用条款</w:t>
      </w:r>
      <w:r>
        <w:rPr>
          <w:rFonts w:hint="eastAsia"/>
          <w:color w:val="auto"/>
        </w:rPr>
        <w:t>中指定的地址。</w:t>
      </w:r>
    </w:p>
    <w:p>
      <w:pPr>
        <w:tabs>
          <w:tab w:val="left" w:pos="1620"/>
          <w:tab w:val="left" w:pos="2340"/>
        </w:tabs>
        <w:adjustRightInd w:val="0"/>
        <w:snapToGrid w:val="0"/>
        <w:spacing w:beforeLines="0" w:after="0" w:line="360" w:lineRule="auto"/>
        <w:ind w:left="899"/>
        <w:rPr>
          <w:color w:val="auto"/>
        </w:rPr>
      </w:pPr>
      <w:r>
        <w:rPr>
          <w:rFonts w:hint="eastAsia"/>
          <w:color w:val="auto"/>
        </w:rPr>
        <w:t>⑵根据本合同条款由承包人发给发包人或</w:t>
      </w:r>
      <w:r>
        <w:rPr>
          <w:color w:val="auto"/>
        </w:rPr>
        <w:t>监理人</w:t>
      </w:r>
      <w:r>
        <w:rPr>
          <w:rFonts w:hint="eastAsia"/>
          <w:color w:val="auto"/>
        </w:rPr>
        <w:t>的一切通知均应发送或派专人送达发包人或</w:t>
      </w:r>
      <w:r>
        <w:rPr>
          <w:color w:val="auto"/>
        </w:rPr>
        <w:t>监理人</w:t>
      </w:r>
      <w:r>
        <w:rPr>
          <w:rFonts w:hint="eastAsia"/>
          <w:color w:val="auto"/>
        </w:rPr>
        <w:t>在</w:t>
      </w:r>
      <w:r>
        <w:rPr>
          <w:rFonts w:hint="eastAsia"/>
          <w:b/>
          <w:i/>
          <w:color w:val="auto"/>
        </w:rPr>
        <w:t>专用条款</w:t>
      </w:r>
      <w:r>
        <w:rPr>
          <w:rFonts w:hint="eastAsia"/>
          <w:color w:val="auto"/>
        </w:rPr>
        <w:t>中指定的地址。</w:t>
      </w:r>
    </w:p>
    <w:p>
      <w:pPr>
        <w:tabs>
          <w:tab w:val="left" w:pos="1620"/>
          <w:tab w:val="left" w:pos="2340"/>
        </w:tabs>
        <w:adjustRightInd w:val="0"/>
        <w:snapToGrid w:val="0"/>
        <w:spacing w:beforeLines="0" w:after="0" w:line="360" w:lineRule="auto"/>
        <w:ind w:left="899"/>
        <w:rPr>
          <w:color w:val="auto"/>
        </w:rPr>
      </w:pPr>
      <w:r>
        <w:rPr>
          <w:rFonts w:hint="eastAsia"/>
          <w:color w:val="auto"/>
        </w:rPr>
        <w:t>⑶若一方的通信地址发生改变，应提前3天书面通知另一方，</w:t>
      </w:r>
    </w:p>
    <w:p>
      <w:pPr>
        <w:tabs>
          <w:tab w:val="left" w:pos="1620"/>
          <w:tab w:val="left" w:pos="2340"/>
        </w:tabs>
        <w:adjustRightInd w:val="0"/>
        <w:snapToGrid w:val="0"/>
        <w:spacing w:beforeLines="0" w:after="0" w:line="360" w:lineRule="auto"/>
        <w:ind w:left="899"/>
        <w:rPr>
          <w:color w:val="auto"/>
        </w:rPr>
      </w:pPr>
      <w:r>
        <w:rPr>
          <w:rFonts w:hint="eastAsia"/>
          <w:color w:val="auto"/>
        </w:rPr>
        <w:t>⑷如一方拒绝签收另一方通知，另一方以特快专递方式将通知送至2.11⑴、⑵款指定的地址，视为送达。</w:t>
      </w:r>
    </w:p>
    <w:p>
      <w:pPr>
        <w:adjustRightInd w:val="0"/>
        <w:snapToGrid w:val="0"/>
        <w:spacing w:before="0" w:beforeLines="0" w:after="0" w:line="360" w:lineRule="auto"/>
        <w:ind w:left="359"/>
        <w:rPr>
          <w:color w:val="auto"/>
        </w:rPr>
      </w:pPr>
      <w:r>
        <w:rPr>
          <w:b/>
          <w:color w:val="auto"/>
        </w:rPr>
        <w:t>2.12</w:t>
      </w:r>
      <w:r>
        <w:rPr>
          <w:rFonts w:hint="eastAsia"/>
          <w:b/>
          <w:color w:val="auto"/>
        </w:rPr>
        <w:t>严禁贿赂</w:t>
      </w:r>
    </w:p>
    <w:p>
      <w:pPr>
        <w:tabs>
          <w:tab w:val="left" w:pos="1620"/>
          <w:tab w:val="left" w:pos="2340"/>
        </w:tabs>
        <w:adjustRightInd w:val="0"/>
        <w:snapToGrid w:val="0"/>
        <w:spacing w:beforeLines="0" w:after="0" w:line="360" w:lineRule="auto"/>
        <w:ind w:left="899"/>
        <w:rPr>
          <w:color w:val="auto"/>
        </w:rPr>
      </w:pPr>
      <w:r>
        <w:rPr>
          <w:rFonts w:hint="eastAsia"/>
          <w:color w:val="auto"/>
        </w:rPr>
        <w:t>⑴承发包双方不得以贿赂或变相贿赂的方式，谋取非法利益或损害对方权益。因一方的贿赂造成对方损失的，应赔偿损失，并承担相应的法律责任。</w:t>
      </w:r>
    </w:p>
    <w:p>
      <w:pPr>
        <w:tabs>
          <w:tab w:val="left" w:pos="1620"/>
          <w:tab w:val="left" w:pos="2340"/>
        </w:tabs>
        <w:adjustRightInd w:val="0"/>
        <w:snapToGrid w:val="0"/>
        <w:spacing w:beforeLines="0" w:after="0" w:line="360" w:lineRule="auto"/>
        <w:ind w:left="899"/>
        <w:rPr>
          <w:color w:val="auto"/>
        </w:rPr>
      </w:pPr>
      <w:r>
        <w:rPr>
          <w:rFonts w:hint="eastAsia"/>
          <w:color w:val="auto"/>
        </w:rPr>
        <w:t>⑵承包人不得与</w:t>
      </w:r>
      <w:r>
        <w:rPr>
          <w:color w:val="auto"/>
        </w:rPr>
        <w:t>监理人</w:t>
      </w:r>
      <w:r>
        <w:rPr>
          <w:rFonts w:hint="eastAsia"/>
          <w:color w:val="auto"/>
        </w:rPr>
        <w:t>或发包人聘请的第三方串通损害发包人利益。未经发包人书面同意，承包人不得为</w:t>
      </w:r>
      <w:r>
        <w:rPr>
          <w:color w:val="auto"/>
        </w:rPr>
        <w:t>监理人</w:t>
      </w:r>
      <w:r>
        <w:rPr>
          <w:rFonts w:hint="eastAsia"/>
          <w:color w:val="auto"/>
        </w:rPr>
        <w:t>提供合同约定以外的通讯设备、交通工具及其他任何形式的利益，不得向</w:t>
      </w:r>
      <w:r>
        <w:rPr>
          <w:color w:val="auto"/>
        </w:rPr>
        <w:t>监理人</w:t>
      </w:r>
      <w:r>
        <w:rPr>
          <w:rFonts w:hint="eastAsia"/>
          <w:color w:val="auto"/>
        </w:rPr>
        <w:t>支付报酬。</w:t>
      </w:r>
    </w:p>
    <w:p>
      <w:pPr>
        <w:adjustRightInd w:val="0"/>
        <w:snapToGrid w:val="0"/>
        <w:spacing w:before="0" w:beforeLines="0" w:after="0" w:line="360" w:lineRule="auto"/>
        <w:ind w:left="359"/>
        <w:rPr>
          <w:color w:val="auto"/>
        </w:rPr>
      </w:pPr>
      <w:r>
        <w:rPr>
          <w:b/>
          <w:color w:val="auto"/>
        </w:rPr>
        <w:t>2.13</w:t>
      </w:r>
      <w:r>
        <w:rPr>
          <w:rFonts w:hint="eastAsia"/>
          <w:b/>
          <w:color w:val="auto"/>
        </w:rPr>
        <w:t>交通运输</w:t>
      </w:r>
    </w:p>
    <w:p>
      <w:pPr>
        <w:tabs>
          <w:tab w:val="left" w:pos="1620"/>
          <w:tab w:val="left" w:pos="2340"/>
        </w:tabs>
        <w:adjustRightInd w:val="0"/>
        <w:snapToGrid w:val="0"/>
        <w:spacing w:beforeLines="0" w:after="0" w:line="360" w:lineRule="auto"/>
        <w:ind w:left="899"/>
        <w:rPr>
          <w:color w:val="auto"/>
        </w:rPr>
      </w:pPr>
      <w:r>
        <w:rPr>
          <w:rFonts w:hint="eastAsia"/>
          <w:color w:val="auto"/>
        </w:rPr>
        <w:t>⑴出入现场的权利</w:t>
      </w:r>
    </w:p>
    <w:p>
      <w:pPr>
        <w:tabs>
          <w:tab w:val="left" w:pos="1620"/>
          <w:tab w:val="left" w:pos="2340"/>
        </w:tabs>
        <w:adjustRightInd w:val="0"/>
        <w:snapToGrid w:val="0"/>
        <w:spacing w:beforeLines="0" w:after="0" w:line="360" w:lineRule="auto"/>
        <w:ind w:left="899"/>
        <w:rPr>
          <w:color w:val="auto"/>
        </w:rPr>
      </w:pPr>
      <w:r>
        <w:rPr>
          <w:rFonts w:hint="eastAsia"/>
          <w:color w:val="auto"/>
        </w:rPr>
        <w:t>除</w:t>
      </w:r>
      <w:r>
        <w:rPr>
          <w:rFonts w:hint="eastAsia"/>
          <w:b/>
          <w:i/>
          <w:color w:val="auto"/>
        </w:rPr>
        <w:t>专用条款</w:t>
      </w:r>
      <w:r>
        <w:rPr>
          <w:rFonts w:hint="eastAsia"/>
          <w:color w:val="auto"/>
        </w:rPr>
        <w:t>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tabs>
          <w:tab w:val="left" w:pos="1620"/>
          <w:tab w:val="left" w:pos="2340"/>
        </w:tabs>
        <w:adjustRightInd w:val="0"/>
        <w:snapToGrid w:val="0"/>
        <w:spacing w:beforeLines="0" w:after="0" w:line="360" w:lineRule="auto"/>
        <w:ind w:left="899"/>
        <w:rPr>
          <w:color w:val="auto"/>
        </w:rPr>
      </w:pPr>
      <w:r>
        <w:rPr>
          <w:rFonts w:hint="eastAsia"/>
          <w:color w:val="auto"/>
        </w:rPr>
        <w:t>承包人应在订立合同前查勘施工现场，并根据工程规模及技术参数合理预见工程施工所需的进出施工现场的方式、手段、路径等。因承包人未合理预见所增加的费用和（或）延误的工期由承包人承担。</w:t>
      </w:r>
    </w:p>
    <w:p>
      <w:pPr>
        <w:tabs>
          <w:tab w:val="left" w:pos="1620"/>
          <w:tab w:val="left" w:pos="2340"/>
        </w:tabs>
        <w:adjustRightInd w:val="0"/>
        <w:snapToGrid w:val="0"/>
        <w:spacing w:beforeLines="0" w:after="0" w:line="360" w:lineRule="auto"/>
        <w:ind w:left="899"/>
        <w:rPr>
          <w:color w:val="auto"/>
        </w:rPr>
      </w:pPr>
      <w:r>
        <w:rPr>
          <w:rFonts w:hint="eastAsia"/>
          <w:color w:val="auto"/>
        </w:rPr>
        <w:t>⑵场外交通</w:t>
      </w:r>
    </w:p>
    <w:p>
      <w:pPr>
        <w:tabs>
          <w:tab w:val="left" w:pos="1620"/>
          <w:tab w:val="left" w:pos="2340"/>
        </w:tabs>
        <w:adjustRightInd w:val="0"/>
        <w:snapToGrid w:val="0"/>
        <w:spacing w:beforeLines="0" w:after="0" w:line="360" w:lineRule="auto"/>
        <w:ind w:left="899"/>
        <w:rPr>
          <w:color w:val="auto"/>
        </w:rPr>
      </w:pPr>
      <w:r>
        <w:rPr>
          <w:rFonts w:hint="eastAsia"/>
          <w:color w:val="auto"/>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tabs>
          <w:tab w:val="left" w:pos="1620"/>
          <w:tab w:val="left" w:pos="2340"/>
        </w:tabs>
        <w:adjustRightInd w:val="0"/>
        <w:snapToGrid w:val="0"/>
        <w:spacing w:beforeLines="0" w:after="0" w:line="360" w:lineRule="auto"/>
        <w:ind w:left="899"/>
        <w:rPr>
          <w:color w:val="auto"/>
        </w:rPr>
      </w:pPr>
      <w:r>
        <w:rPr>
          <w:rFonts w:hint="eastAsia"/>
          <w:color w:val="auto"/>
        </w:rPr>
        <w:t>余泥渣土运输车辆要求详见第18条［余泥渣土运输车辆要求］。</w:t>
      </w:r>
    </w:p>
    <w:p>
      <w:pPr>
        <w:tabs>
          <w:tab w:val="left" w:pos="1620"/>
          <w:tab w:val="left" w:pos="2340"/>
        </w:tabs>
        <w:adjustRightInd w:val="0"/>
        <w:snapToGrid w:val="0"/>
        <w:spacing w:beforeLines="0" w:after="0" w:line="360" w:lineRule="auto"/>
        <w:ind w:left="899"/>
        <w:rPr>
          <w:color w:val="auto"/>
        </w:rPr>
      </w:pPr>
      <w:r>
        <w:rPr>
          <w:rFonts w:hint="eastAsia"/>
          <w:color w:val="auto"/>
        </w:rPr>
        <w:t>⑶场内交通</w:t>
      </w:r>
    </w:p>
    <w:p>
      <w:pPr>
        <w:tabs>
          <w:tab w:val="left" w:pos="1620"/>
          <w:tab w:val="left" w:pos="2340"/>
        </w:tabs>
        <w:adjustRightInd w:val="0"/>
        <w:snapToGrid w:val="0"/>
        <w:spacing w:beforeLines="0" w:after="0" w:line="360" w:lineRule="auto"/>
        <w:ind w:left="899"/>
        <w:rPr>
          <w:color w:val="auto"/>
        </w:rPr>
      </w:pPr>
      <w:r>
        <w:rPr>
          <w:color w:val="auto"/>
        </w:rPr>
        <w:t>发包人应提供场内交通设施的技术参数和具体条件，并应按照</w:t>
      </w:r>
      <w:r>
        <w:rPr>
          <w:b/>
          <w:i/>
          <w:color w:val="auto"/>
        </w:rPr>
        <w:t>专用条款</w:t>
      </w:r>
      <w:r>
        <w:rPr>
          <w:color w:val="auto"/>
        </w:rPr>
        <w:t>的约定向承包人免费提供满足工程施工所需的场内道路和交通设施。因承包人原因造成上述道路或交通设施损坏的，承包人负责修复并承担由此增加的费用。</w:t>
      </w:r>
    </w:p>
    <w:p>
      <w:pPr>
        <w:tabs>
          <w:tab w:val="left" w:pos="1620"/>
          <w:tab w:val="left" w:pos="2340"/>
        </w:tabs>
        <w:adjustRightInd w:val="0"/>
        <w:snapToGrid w:val="0"/>
        <w:spacing w:beforeLines="0" w:after="0" w:line="360" w:lineRule="auto"/>
        <w:ind w:left="899"/>
        <w:rPr>
          <w:color w:val="auto"/>
        </w:rPr>
      </w:pPr>
      <w:r>
        <w:rPr>
          <w:rFonts w:hint="eastAsia"/>
          <w:color w:val="auto"/>
        </w:rPr>
        <w:t>除</w:t>
      </w:r>
      <w:r>
        <w:rPr>
          <w:rFonts w:hint="eastAsia"/>
          <w:b/>
          <w:i/>
          <w:color w:val="auto"/>
        </w:rPr>
        <w:t>专用条款</w:t>
      </w:r>
      <w:r>
        <w:rPr>
          <w:rFonts w:hint="eastAsia"/>
          <w:color w:val="auto"/>
        </w:rPr>
        <w:t>另有约定外，为保证正常的公共交通秩序而修建的社会便道或便桥及交通疏解费用由发包人承担。</w:t>
      </w:r>
    </w:p>
    <w:p>
      <w:pPr>
        <w:tabs>
          <w:tab w:val="left" w:pos="1620"/>
          <w:tab w:val="left" w:pos="2340"/>
        </w:tabs>
        <w:adjustRightInd w:val="0"/>
        <w:snapToGrid w:val="0"/>
        <w:spacing w:beforeLines="0" w:after="0" w:line="360" w:lineRule="auto"/>
        <w:ind w:left="899"/>
        <w:rPr>
          <w:color w:val="auto"/>
        </w:rPr>
      </w:pPr>
      <w:r>
        <w:rPr>
          <w:color w:val="auto"/>
        </w:rPr>
        <w:t>除发包人按照合同约定提供的场内道路和交通设施外，承包人负责修建、维修、养护和管理施工所需的其他场内临时道路和交通设施。</w:t>
      </w:r>
    </w:p>
    <w:p>
      <w:pPr>
        <w:tabs>
          <w:tab w:val="left" w:pos="1620"/>
          <w:tab w:val="left" w:pos="2340"/>
        </w:tabs>
        <w:adjustRightInd w:val="0"/>
        <w:snapToGrid w:val="0"/>
        <w:spacing w:beforeLines="0" w:after="0" w:line="360" w:lineRule="auto"/>
        <w:ind w:left="899"/>
        <w:rPr>
          <w:color w:val="auto"/>
        </w:rPr>
      </w:pPr>
      <w:r>
        <w:rPr>
          <w:rFonts w:hint="eastAsia"/>
          <w:color w:val="auto"/>
        </w:rPr>
        <w:t>⑷超大件和超重件的运输</w:t>
      </w:r>
    </w:p>
    <w:p>
      <w:pPr>
        <w:tabs>
          <w:tab w:val="left" w:pos="1620"/>
          <w:tab w:val="left" w:pos="2340"/>
        </w:tabs>
        <w:adjustRightInd w:val="0"/>
        <w:snapToGrid w:val="0"/>
        <w:spacing w:beforeLines="0" w:after="0" w:line="360" w:lineRule="auto"/>
        <w:ind w:left="899"/>
        <w:rPr>
          <w:color w:val="auto"/>
        </w:rPr>
      </w:pPr>
      <w:r>
        <w:rPr>
          <w:color w:val="auto"/>
        </w:rPr>
        <w:t>由承包人负责运输的超大件或超重件，应由承包人负责向交通管理部门办理申请手续，发包人给予协助。运输超大件或超重件所需的道路和桥梁临时加固改造费用和其他有关费用，由承包人承担，但</w:t>
      </w:r>
      <w:r>
        <w:rPr>
          <w:b/>
          <w:i/>
          <w:color w:val="auto"/>
        </w:rPr>
        <w:t>专用条款</w:t>
      </w:r>
      <w:r>
        <w:rPr>
          <w:color w:val="auto"/>
        </w:rPr>
        <w:t>另有约定除外</w:t>
      </w:r>
      <w:r>
        <w:rPr>
          <w:rFonts w:hint="eastAsia"/>
          <w:color w:val="auto"/>
        </w:rPr>
        <w:t>。</w:t>
      </w:r>
    </w:p>
    <w:p>
      <w:pPr>
        <w:tabs>
          <w:tab w:val="left" w:pos="1620"/>
          <w:tab w:val="left" w:pos="2340"/>
        </w:tabs>
        <w:adjustRightInd w:val="0"/>
        <w:snapToGrid w:val="0"/>
        <w:spacing w:beforeLines="0" w:after="0" w:line="360" w:lineRule="auto"/>
        <w:ind w:left="899"/>
        <w:rPr>
          <w:color w:val="auto"/>
        </w:rPr>
      </w:pPr>
      <w:r>
        <w:rPr>
          <w:rFonts w:hint="eastAsia"/>
          <w:color w:val="auto"/>
        </w:rPr>
        <w:t>⑸道路和桥梁的损坏责任</w:t>
      </w:r>
    </w:p>
    <w:p>
      <w:pPr>
        <w:tabs>
          <w:tab w:val="left" w:pos="1620"/>
          <w:tab w:val="left" w:pos="2340"/>
        </w:tabs>
        <w:adjustRightInd w:val="0"/>
        <w:snapToGrid w:val="0"/>
        <w:spacing w:beforeLines="0" w:after="0" w:line="360" w:lineRule="auto"/>
        <w:ind w:left="899"/>
        <w:rPr>
          <w:color w:val="auto"/>
        </w:rPr>
      </w:pPr>
      <w:r>
        <w:rPr>
          <w:rFonts w:hint="eastAsia"/>
          <w:color w:val="auto"/>
        </w:rPr>
        <w:t>因承包人运输造成施工场地内外公共道路和桥梁损坏的，由承包人承担修复损坏的全部费用和可能引起的赔偿。</w:t>
      </w:r>
    </w:p>
    <w:p>
      <w:pPr>
        <w:tabs>
          <w:tab w:val="left" w:pos="1620"/>
          <w:tab w:val="left" w:pos="2340"/>
        </w:tabs>
        <w:adjustRightInd w:val="0"/>
        <w:snapToGrid w:val="0"/>
        <w:spacing w:beforeLines="0" w:after="0" w:line="360" w:lineRule="auto"/>
        <w:ind w:left="899"/>
        <w:rPr>
          <w:color w:val="auto"/>
        </w:rPr>
      </w:pPr>
      <w:r>
        <w:rPr>
          <w:rFonts w:hint="eastAsia"/>
          <w:color w:val="auto"/>
        </w:rPr>
        <w:t>⑹水路和航空运输</w:t>
      </w:r>
    </w:p>
    <w:p>
      <w:pPr>
        <w:tabs>
          <w:tab w:val="left" w:pos="1620"/>
          <w:tab w:val="left" w:pos="2340"/>
        </w:tabs>
        <w:adjustRightInd w:val="0"/>
        <w:snapToGrid w:val="0"/>
        <w:spacing w:beforeLines="0" w:after="0" w:line="360" w:lineRule="auto"/>
        <w:ind w:left="899"/>
        <w:rPr>
          <w:color w:val="auto"/>
        </w:rPr>
      </w:pPr>
      <w:r>
        <w:rPr>
          <w:color w:val="auto"/>
        </w:rPr>
        <w:t>本款前述各项的内容适用于水路运输和航空运输，其中“道路”一词的涵义包括河道、航线、船闸、机场、码头、堤防以及水路或航空运输中其他相似结构物；“车辆”一词的涵义包括船舶和</w:t>
      </w:r>
      <w:r>
        <w:rPr>
          <w:rFonts w:hint="eastAsia"/>
          <w:color w:val="auto"/>
        </w:rPr>
        <w:t>飞机等。</w:t>
      </w:r>
    </w:p>
    <w:p>
      <w:pPr>
        <w:adjustRightInd w:val="0"/>
        <w:snapToGrid w:val="0"/>
        <w:spacing w:before="0" w:beforeLines="0" w:after="0" w:line="360" w:lineRule="auto"/>
        <w:ind w:left="359"/>
        <w:rPr>
          <w:b/>
          <w:color w:val="auto"/>
        </w:rPr>
      </w:pPr>
      <w:bookmarkStart w:id="29" w:name="_Toc67418498"/>
      <w:bookmarkStart w:id="30" w:name="_Toc4156"/>
      <w:r>
        <w:rPr>
          <w:rFonts w:hint="eastAsia"/>
          <w:b/>
          <w:color w:val="auto"/>
        </w:rPr>
        <w:t>2.14水土保持</w:t>
      </w:r>
      <w:bookmarkEnd w:id="29"/>
      <w:bookmarkEnd w:id="30"/>
    </w:p>
    <w:p>
      <w:pPr>
        <w:tabs>
          <w:tab w:val="left" w:pos="1620"/>
          <w:tab w:val="left" w:pos="2340"/>
        </w:tabs>
        <w:adjustRightInd w:val="0"/>
        <w:snapToGrid w:val="0"/>
        <w:spacing w:beforeLines="0" w:after="0" w:line="360" w:lineRule="auto"/>
        <w:ind w:left="899"/>
        <w:rPr>
          <w:color w:val="auto"/>
        </w:rPr>
      </w:pPr>
      <w:r>
        <w:rPr>
          <w:rFonts w:hint="eastAsia"/>
          <w:color w:val="auto"/>
        </w:rPr>
        <w:t>⑴发包人应及时向承包人提供本工程已通过市区水务行政主管部门审批（备案）的水土保持方案（报告书或报告表）及准予行政许可决定书。</w:t>
      </w:r>
    </w:p>
    <w:p>
      <w:pPr>
        <w:tabs>
          <w:tab w:val="left" w:pos="1620"/>
          <w:tab w:val="left" w:pos="2340"/>
        </w:tabs>
        <w:adjustRightInd w:val="0"/>
        <w:snapToGrid w:val="0"/>
        <w:spacing w:beforeLines="0" w:after="0" w:line="360" w:lineRule="auto"/>
        <w:ind w:left="899"/>
        <w:rPr>
          <w:color w:val="auto"/>
        </w:rPr>
      </w:pPr>
      <w:r>
        <w:rPr>
          <w:rFonts w:hint="eastAsia"/>
          <w:color w:val="auto"/>
        </w:rPr>
        <w:t>⑵承包人在施工期间，应严格执行《中华人民共和国水土保持法》、《广东省水土保持条例》、《深圳经济特区水土保持条例》等有关法律法规的规定，做好施工区和生活区的水土保持工作，减少对项目周边水土资源和生态环境的影响和破坏。</w:t>
      </w:r>
    </w:p>
    <w:p>
      <w:pPr>
        <w:tabs>
          <w:tab w:val="left" w:pos="1620"/>
          <w:tab w:val="left" w:pos="2340"/>
        </w:tabs>
        <w:adjustRightInd w:val="0"/>
        <w:snapToGrid w:val="0"/>
        <w:spacing w:beforeLines="0" w:after="0" w:line="360" w:lineRule="auto"/>
        <w:ind w:left="899"/>
        <w:rPr>
          <w:color w:val="auto"/>
        </w:rPr>
      </w:pPr>
      <w:r>
        <w:rPr>
          <w:rFonts w:hint="eastAsia"/>
          <w:color w:val="auto"/>
        </w:rPr>
        <w:t>⑶承包人应按合同约定和监理人指令，接受国家和省、市、县、流域等地方水务行政主管部门的监督和检查。承包人应对其违反水土保持相关法律法规规定以及合同约定所造成的水土流失灾害、人身伤害和财产损失负责。</w:t>
      </w:r>
    </w:p>
    <w:p>
      <w:pPr>
        <w:tabs>
          <w:tab w:val="left" w:pos="1620"/>
          <w:tab w:val="left" w:pos="2340"/>
        </w:tabs>
        <w:adjustRightInd w:val="0"/>
        <w:snapToGrid w:val="0"/>
        <w:spacing w:beforeLines="0" w:after="0" w:line="360" w:lineRule="auto"/>
        <w:ind w:left="899"/>
        <w:rPr>
          <w:color w:val="auto"/>
        </w:rPr>
      </w:pPr>
      <w:r>
        <w:rPr>
          <w:rFonts w:hint="eastAsia"/>
          <w:color w:val="auto"/>
        </w:rPr>
        <w:t>⑷承包人的施工组织设计应满足《生产建设项目水土保持技术标准》、《生产建设项目水土流失防治标准》、《深圳市生产建设项目水土保持技术规范》等技术标准和要求。</w:t>
      </w:r>
    </w:p>
    <w:p>
      <w:pPr>
        <w:adjustRightInd w:val="0"/>
        <w:snapToGrid w:val="0"/>
        <w:spacing w:before="0" w:beforeLines="0" w:after="0" w:line="360" w:lineRule="auto"/>
        <w:ind w:left="359"/>
        <w:rPr>
          <w:b/>
          <w:color w:val="auto"/>
        </w:rPr>
      </w:pPr>
      <w:bookmarkStart w:id="31" w:name="_Toc28890"/>
      <w:r>
        <w:rPr>
          <w:b/>
          <w:color w:val="auto"/>
        </w:rPr>
        <w:t xml:space="preserve">2.15 </w:t>
      </w:r>
      <w:r>
        <w:rPr>
          <w:rFonts w:hint="eastAsia"/>
          <w:b/>
          <w:color w:val="auto"/>
        </w:rPr>
        <w:t>BIM实施应用</w:t>
      </w:r>
      <w:bookmarkEnd w:id="31"/>
    </w:p>
    <w:p>
      <w:pPr>
        <w:tabs>
          <w:tab w:val="left" w:pos="1620"/>
          <w:tab w:val="left" w:pos="2340"/>
        </w:tabs>
        <w:adjustRightInd w:val="0"/>
        <w:snapToGrid w:val="0"/>
        <w:spacing w:beforeLines="0" w:after="0" w:line="360" w:lineRule="auto"/>
        <w:ind w:left="899"/>
        <w:rPr>
          <w:rFonts w:cs="Times New Roman"/>
          <w:color w:val="auto"/>
        </w:rPr>
      </w:pPr>
      <w:r>
        <w:rPr>
          <w:rFonts w:hint="eastAsia" w:cs="Times New Roman"/>
          <w:color w:val="auto"/>
        </w:rPr>
        <w:t>⑴BIM实施范围</w:t>
      </w:r>
    </w:p>
    <w:p>
      <w:pPr>
        <w:tabs>
          <w:tab w:val="left" w:pos="1620"/>
          <w:tab w:val="left" w:pos="2340"/>
        </w:tabs>
        <w:adjustRightInd w:val="0"/>
        <w:snapToGrid w:val="0"/>
        <w:spacing w:beforeLines="0" w:after="0" w:line="360" w:lineRule="auto"/>
        <w:ind w:left="899"/>
        <w:rPr>
          <w:rFonts w:cs="Times New Roman"/>
          <w:color w:val="auto"/>
        </w:rPr>
      </w:pPr>
      <w:r>
        <w:rPr>
          <w:rFonts w:hint="eastAsia" w:cs="Times New Roman"/>
          <w:color w:val="auto"/>
        </w:rPr>
        <w:t>本工程需实施BIM技术应用的，BIM实施内容应包含“施工BIM实施准备”、“设计BIM成果接收”、“施工BIM应用内容和要求”、“施工BIM成果归档和移交”、“竣工数字化资产验收和运维移交”、“施工BIM考核评价”及</w:t>
      </w:r>
      <w:r>
        <w:rPr>
          <w:rFonts w:hint="eastAsia" w:cs="Times New Roman"/>
          <w:b/>
          <w:i/>
          <w:color w:val="auto"/>
        </w:rPr>
        <w:t>专用条款</w:t>
      </w:r>
      <w:r>
        <w:rPr>
          <w:rFonts w:hint="eastAsia" w:cs="Times New Roman"/>
          <w:color w:val="auto"/>
        </w:rPr>
        <w:t>约定的内容。</w:t>
      </w:r>
    </w:p>
    <w:p>
      <w:pPr>
        <w:tabs>
          <w:tab w:val="left" w:pos="1620"/>
          <w:tab w:val="left" w:pos="2340"/>
        </w:tabs>
        <w:adjustRightInd w:val="0"/>
        <w:snapToGrid w:val="0"/>
        <w:spacing w:beforeLines="0" w:after="0" w:line="360" w:lineRule="auto"/>
        <w:ind w:left="899"/>
        <w:rPr>
          <w:rFonts w:cs="Times New Roman"/>
          <w:color w:val="auto"/>
        </w:rPr>
      </w:pPr>
      <w:r>
        <w:rPr>
          <w:rFonts w:hint="eastAsia" w:cs="Times New Roman"/>
          <w:color w:val="auto"/>
        </w:rPr>
        <w:t>BIM实施应继承和延用设计阶段BIM成果，并考虑运维阶段的BIM技术应用需求。</w:t>
      </w:r>
    </w:p>
    <w:p>
      <w:pPr>
        <w:tabs>
          <w:tab w:val="left" w:pos="1620"/>
          <w:tab w:val="left" w:pos="2340"/>
        </w:tabs>
        <w:adjustRightInd w:val="0"/>
        <w:snapToGrid w:val="0"/>
        <w:spacing w:beforeLines="0" w:after="0" w:line="360" w:lineRule="auto"/>
        <w:ind w:left="899"/>
        <w:rPr>
          <w:color w:val="auto"/>
        </w:rPr>
      </w:pPr>
      <w:r>
        <w:rPr>
          <w:rFonts w:hint="eastAsia"/>
          <w:color w:val="auto"/>
        </w:rPr>
        <w:t>⑵BIM实施内容和要求</w:t>
      </w:r>
    </w:p>
    <w:p>
      <w:pPr>
        <w:tabs>
          <w:tab w:val="left" w:pos="1620"/>
          <w:tab w:val="left" w:pos="2340"/>
        </w:tabs>
        <w:adjustRightInd w:val="0"/>
        <w:snapToGrid w:val="0"/>
        <w:spacing w:beforeLines="0" w:after="0" w:line="360" w:lineRule="auto"/>
        <w:ind w:left="899"/>
        <w:rPr>
          <w:color w:val="auto"/>
        </w:rPr>
      </w:pPr>
      <w:r>
        <w:rPr>
          <w:rFonts w:hint="eastAsia"/>
          <w:color w:val="auto"/>
        </w:rPr>
        <w:t>承包人应在BIM实施前编制《施工BIM实施方案》，经发包人确认后，作为承包人BIM实施以及发包人BIM审查验收的依据。</w:t>
      </w:r>
    </w:p>
    <w:p>
      <w:pPr>
        <w:tabs>
          <w:tab w:val="left" w:pos="1620"/>
          <w:tab w:val="left" w:pos="2340"/>
        </w:tabs>
        <w:adjustRightInd w:val="0"/>
        <w:snapToGrid w:val="0"/>
        <w:spacing w:beforeLines="0" w:after="0" w:line="360" w:lineRule="auto"/>
        <w:ind w:left="899"/>
        <w:rPr>
          <w:color w:val="auto"/>
        </w:rPr>
      </w:pPr>
      <w:r>
        <w:rPr>
          <w:rFonts w:hint="eastAsia"/>
          <w:color w:val="auto"/>
        </w:rPr>
        <w:t>本工程BIM模型的创建和管理应分为深化设计、施工过程和竣工验收3个阶段，承包人应用BIM技术进行深化设计、施工过程可视化模拟、施工方案优化、施工进度和成本的管控等。各阶段的BIM技术和管理应用应满足</w:t>
      </w:r>
      <w:r>
        <w:rPr>
          <w:rFonts w:hint="eastAsia" w:cs="Times New Roman"/>
          <w:b/>
          <w:i/>
          <w:color w:val="auto"/>
        </w:rPr>
        <w:t>专用条款</w:t>
      </w:r>
      <w:r>
        <w:rPr>
          <w:rFonts w:hint="eastAsia"/>
          <w:color w:val="auto"/>
        </w:rPr>
        <w:t>中约定的要求。</w:t>
      </w:r>
    </w:p>
    <w:p>
      <w:pPr>
        <w:tabs>
          <w:tab w:val="left" w:pos="1620"/>
          <w:tab w:val="left" w:pos="2340"/>
        </w:tabs>
        <w:adjustRightInd w:val="0"/>
        <w:snapToGrid w:val="0"/>
        <w:spacing w:beforeLines="0" w:after="0" w:line="360" w:lineRule="auto"/>
        <w:ind w:left="899"/>
        <w:rPr>
          <w:color w:val="auto"/>
        </w:rPr>
      </w:pPr>
      <w:r>
        <w:rPr>
          <w:rFonts w:hint="eastAsia"/>
          <w:color w:val="auto"/>
        </w:rPr>
        <w:t>承包人创建的BIM模型应保证信息要素全面完备，模型精细度应符合</w:t>
      </w:r>
      <w:r>
        <w:rPr>
          <w:rFonts w:hint="eastAsia" w:cs="Times New Roman"/>
          <w:b/>
          <w:i/>
          <w:color w:val="auto"/>
        </w:rPr>
        <w:t>专用条款</w:t>
      </w:r>
      <w:r>
        <w:rPr>
          <w:rFonts w:hint="eastAsia"/>
          <w:color w:val="auto"/>
        </w:rPr>
        <w:t>中的标准要求。</w:t>
      </w:r>
    </w:p>
    <w:p>
      <w:pPr>
        <w:tabs>
          <w:tab w:val="left" w:pos="1620"/>
          <w:tab w:val="left" w:pos="2340"/>
        </w:tabs>
        <w:adjustRightInd w:val="0"/>
        <w:snapToGrid w:val="0"/>
        <w:spacing w:beforeLines="0" w:after="0" w:line="360" w:lineRule="auto"/>
        <w:ind w:left="899"/>
        <w:rPr>
          <w:color w:val="auto"/>
        </w:rPr>
      </w:pPr>
      <w:r>
        <w:rPr>
          <w:rFonts w:hint="eastAsia"/>
          <w:color w:val="auto"/>
        </w:rPr>
        <w:t>发包人应在办理规划许可、施工许可、竣工验收审批报建环节提交BIM模型。</w:t>
      </w:r>
    </w:p>
    <w:p>
      <w:pPr>
        <w:tabs>
          <w:tab w:val="left" w:pos="1620"/>
          <w:tab w:val="left" w:pos="2340"/>
        </w:tabs>
        <w:adjustRightInd w:val="0"/>
        <w:snapToGrid w:val="0"/>
        <w:spacing w:beforeLines="0" w:after="0" w:line="360" w:lineRule="auto"/>
        <w:ind w:left="899"/>
        <w:rPr>
          <w:color w:val="auto"/>
        </w:rPr>
      </w:pPr>
      <w:r>
        <w:rPr>
          <w:rFonts w:hint="eastAsia"/>
          <w:color w:val="auto"/>
        </w:rPr>
        <w:t>⑶BIM成果的归档和移交</w:t>
      </w:r>
    </w:p>
    <w:p>
      <w:pPr>
        <w:tabs>
          <w:tab w:val="left" w:pos="1620"/>
          <w:tab w:val="left" w:pos="2340"/>
        </w:tabs>
        <w:adjustRightInd w:val="0"/>
        <w:snapToGrid w:val="0"/>
        <w:spacing w:beforeLines="0" w:after="0" w:line="360" w:lineRule="auto"/>
        <w:ind w:left="899"/>
        <w:rPr>
          <w:color w:val="auto"/>
        </w:rPr>
      </w:pPr>
      <w:r>
        <w:rPr>
          <w:rFonts w:hint="eastAsia"/>
          <w:color w:val="auto"/>
        </w:rPr>
        <w:t>发包人应在工程竣工后，组织对本工程BIM实施成果进行归档和移交。</w:t>
      </w:r>
    </w:p>
    <w:p>
      <w:pPr>
        <w:tabs>
          <w:tab w:val="left" w:pos="1620"/>
          <w:tab w:val="left" w:pos="2340"/>
        </w:tabs>
        <w:adjustRightInd w:val="0"/>
        <w:snapToGrid w:val="0"/>
        <w:spacing w:beforeLines="0" w:after="0" w:line="360" w:lineRule="auto"/>
        <w:ind w:left="899"/>
        <w:rPr>
          <w:color w:val="auto"/>
        </w:rPr>
      </w:pPr>
      <w:r>
        <w:rPr>
          <w:rFonts w:hint="eastAsia"/>
          <w:color w:val="auto"/>
        </w:rPr>
        <w:t>本工程BIM成果包括BIM模型和与之对应的图纸、文档、统计表格，以及综合协调、模拟分析、统计计算等形成的数字化成果文件。BIM模型必须与竣工图纸一致。</w:t>
      </w:r>
    </w:p>
    <w:p>
      <w:pPr>
        <w:tabs>
          <w:tab w:val="left" w:pos="1620"/>
          <w:tab w:val="left" w:pos="2340"/>
        </w:tabs>
        <w:adjustRightInd w:val="0"/>
        <w:snapToGrid w:val="0"/>
        <w:spacing w:beforeLines="0" w:after="0" w:line="360" w:lineRule="auto"/>
        <w:ind w:left="899"/>
        <w:rPr>
          <w:color w:val="auto"/>
        </w:rPr>
      </w:pPr>
      <w:r>
        <w:rPr>
          <w:rFonts w:hint="eastAsia"/>
          <w:color w:val="auto"/>
        </w:rPr>
        <w:t>承包人应按</w:t>
      </w:r>
      <w:r>
        <w:rPr>
          <w:rFonts w:hint="eastAsia" w:cs="Times New Roman"/>
          <w:b/>
          <w:i/>
          <w:color w:val="auto"/>
        </w:rPr>
        <w:t>专用条款</w:t>
      </w:r>
      <w:r>
        <w:rPr>
          <w:rFonts w:hint="eastAsia"/>
          <w:color w:val="auto"/>
        </w:rPr>
        <w:t>约定的交付标准移交BIM成果。发包人审核后，按照政府有关部门的要求进行归档，并在工程交付使用时，应将BIM模型提交给运维单位。</w:t>
      </w:r>
    </w:p>
    <w:p>
      <w:pPr>
        <w:tabs>
          <w:tab w:val="left" w:pos="1620"/>
          <w:tab w:val="left" w:pos="2340"/>
        </w:tabs>
        <w:adjustRightInd w:val="0"/>
        <w:snapToGrid w:val="0"/>
        <w:spacing w:beforeLines="0" w:after="0" w:line="360" w:lineRule="auto"/>
        <w:ind w:left="899"/>
        <w:rPr>
          <w:color w:val="auto"/>
        </w:rPr>
      </w:pPr>
      <w:r>
        <w:rPr>
          <w:rFonts w:hint="eastAsia"/>
          <w:color w:val="auto"/>
        </w:rPr>
        <w:t>⑷BIM信息安全责任</w:t>
      </w:r>
    </w:p>
    <w:p>
      <w:pPr>
        <w:tabs>
          <w:tab w:val="left" w:pos="1620"/>
          <w:tab w:val="left" w:pos="2340"/>
        </w:tabs>
        <w:adjustRightInd w:val="0"/>
        <w:snapToGrid w:val="0"/>
        <w:spacing w:beforeLines="0" w:after="0" w:line="360" w:lineRule="auto"/>
        <w:ind w:left="899"/>
        <w:rPr>
          <w:color w:val="auto"/>
        </w:rPr>
      </w:pPr>
      <w:r>
        <w:rPr>
          <w:rFonts w:hint="eastAsia"/>
          <w:color w:val="auto"/>
        </w:rPr>
        <w:t>发承包双方应按照《深圳经济特区数据条例》的有关规定，加强对BIM数据的安全管理，建立健全数据管理制度，及时排查BIM数据在存储、使用、加工、传递、交付过程中可能出现的信息安全隐患，做好安全防护和处理。</w:t>
      </w:r>
    </w:p>
    <w:p>
      <w:pPr>
        <w:adjustRightInd w:val="0"/>
        <w:snapToGrid w:val="0"/>
        <w:spacing w:before="0" w:beforeLines="0" w:after="0" w:line="360" w:lineRule="auto"/>
        <w:ind w:left="359"/>
        <w:rPr>
          <w:color w:val="auto"/>
        </w:rPr>
      </w:pPr>
      <w:r>
        <w:rPr>
          <w:b/>
          <w:color w:val="auto"/>
        </w:rPr>
        <w:t>2.16</w:t>
      </w:r>
      <w:r>
        <w:rPr>
          <w:rFonts w:hint="eastAsia"/>
          <w:b/>
          <w:color w:val="auto"/>
        </w:rPr>
        <w:t>知识产权</w:t>
      </w:r>
    </w:p>
    <w:p>
      <w:pPr>
        <w:tabs>
          <w:tab w:val="left" w:pos="1620"/>
          <w:tab w:val="left" w:pos="2340"/>
        </w:tabs>
        <w:adjustRightInd w:val="0"/>
        <w:snapToGrid w:val="0"/>
        <w:spacing w:beforeLines="0" w:after="0" w:line="360" w:lineRule="auto"/>
        <w:ind w:left="899"/>
        <w:rPr>
          <w:color w:val="auto"/>
        </w:rPr>
      </w:pPr>
      <w:r>
        <w:rPr>
          <w:rFonts w:hint="eastAsia"/>
          <w:color w:val="auto"/>
        </w:rPr>
        <w:t>⑴除</w:t>
      </w:r>
      <w:r>
        <w:rPr>
          <w:b/>
          <w:i/>
          <w:color w:val="auto"/>
        </w:rPr>
        <w:t>专用条款</w:t>
      </w:r>
      <w:r>
        <w:rPr>
          <w:rFonts w:hint="eastAsia"/>
          <w:color w:val="auto"/>
        </w:rPr>
        <w:t>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tabs>
          <w:tab w:val="left" w:pos="1620"/>
          <w:tab w:val="left" w:pos="2340"/>
        </w:tabs>
        <w:adjustRightInd w:val="0"/>
        <w:snapToGrid w:val="0"/>
        <w:spacing w:beforeLines="0" w:after="0" w:line="360" w:lineRule="auto"/>
        <w:ind w:left="899"/>
        <w:rPr>
          <w:color w:val="auto"/>
        </w:rPr>
      </w:pPr>
      <w:r>
        <w:rPr>
          <w:rFonts w:hint="eastAsia"/>
          <w:color w:val="auto"/>
        </w:rPr>
        <w:t>⑵除</w:t>
      </w:r>
      <w:r>
        <w:rPr>
          <w:b/>
          <w:i/>
          <w:color w:val="auto"/>
        </w:rPr>
        <w:t>专用条款</w:t>
      </w:r>
      <w:r>
        <w:rPr>
          <w:rFonts w:hint="eastAsia"/>
          <w:color w:val="auto"/>
        </w:rPr>
        <w:t>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tabs>
          <w:tab w:val="left" w:pos="1620"/>
          <w:tab w:val="left" w:pos="2340"/>
        </w:tabs>
        <w:adjustRightInd w:val="0"/>
        <w:snapToGrid w:val="0"/>
        <w:spacing w:beforeLines="0" w:after="0" w:line="360" w:lineRule="auto"/>
        <w:ind w:left="899"/>
        <w:rPr>
          <w:color w:val="auto"/>
        </w:rPr>
      </w:pPr>
      <w:r>
        <w:rPr>
          <w:rFonts w:hint="eastAsia"/>
          <w:color w:val="auto"/>
        </w:rPr>
        <w:t>⑶承发包双方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tabs>
          <w:tab w:val="left" w:pos="1620"/>
          <w:tab w:val="left" w:pos="2340"/>
        </w:tabs>
        <w:adjustRightInd w:val="0"/>
        <w:snapToGrid w:val="0"/>
        <w:spacing w:beforeLines="0" w:after="0" w:line="360" w:lineRule="auto"/>
        <w:ind w:left="899"/>
        <w:rPr>
          <w:color w:val="auto"/>
        </w:rPr>
      </w:pPr>
      <w:r>
        <w:rPr>
          <w:rFonts w:hint="eastAsia"/>
          <w:color w:val="auto"/>
        </w:rPr>
        <w:t>⑷除</w:t>
      </w:r>
      <w:r>
        <w:rPr>
          <w:b/>
          <w:i/>
          <w:color w:val="auto"/>
        </w:rPr>
        <w:t>专用条款</w:t>
      </w:r>
      <w:r>
        <w:rPr>
          <w:rFonts w:hint="eastAsia"/>
          <w:color w:val="auto"/>
        </w:rPr>
        <w:t>另有约定外，承包人在合同签订前和签订时已确定采用的专利、专有技术、技术秘密的使用费已包含在签约合同价中。</w:t>
      </w:r>
    </w:p>
    <w:p>
      <w:pPr>
        <w:adjustRightInd w:val="0"/>
        <w:snapToGrid w:val="0"/>
        <w:spacing w:before="0" w:beforeLines="0" w:after="0" w:line="360" w:lineRule="auto"/>
        <w:ind w:left="359"/>
        <w:rPr>
          <w:color w:val="auto"/>
        </w:rPr>
      </w:pPr>
      <w:r>
        <w:rPr>
          <w:b/>
          <w:color w:val="auto"/>
        </w:rPr>
        <w:t>2.17</w:t>
      </w:r>
      <w:r>
        <w:rPr>
          <w:rFonts w:hint="eastAsia"/>
          <w:b/>
          <w:color w:val="auto"/>
        </w:rPr>
        <w:t>保密</w:t>
      </w:r>
    </w:p>
    <w:p>
      <w:pPr>
        <w:tabs>
          <w:tab w:val="left" w:pos="1620"/>
          <w:tab w:val="left" w:pos="2340"/>
        </w:tabs>
        <w:adjustRightInd w:val="0"/>
        <w:snapToGrid w:val="0"/>
        <w:spacing w:beforeLines="0" w:after="0" w:line="360" w:lineRule="auto"/>
        <w:ind w:left="899"/>
        <w:rPr>
          <w:color w:val="auto"/>
        </w:rPr>
      </w:pPr>
      <w:r>
        <w:rPr>
          <w:color w:val="auto"/>
        </w:rPr>
        <w:t>除法律规定或合同另有约定外，未经发包人同意，承包人不得将发包人提供的图纸、文件以及声明需要保密的资料信息等商业秘密泄露给第三方。</w:t>
      </w:r>
    </w:p>
    <w:p>
      <w:pPr>
        <w:tabs>
          <w:tab w:val="left" w:pos="1620"/>
          <w:tab w:val="left" w:pos="2340"/>
        </w:tabs>
        <w:adjustRightInd w:val="0"/>
        <w:snapToGrid w:val="0"/>
        <w:spacing w:beforeLines="0" w:after="0" w:line="360" w:lineRule="auto"/>
        <w:ind w:left="899"/>
        <w:rPr>
          <w:color w:val="auto"/>
        </w:rPr>
      </w:pPr>
      <w:r>
        <w:rPr>
          <w:color w:val="auto"/>
        </w:rPr>
        <w:t>除法律规定或合同另有约定外，未经承包人同意，发包人不得将承包人提供的技术秘密及声明需要保密的资料信息等商业秘密泄露给第三方。</w:t>
      </w:r>
    </w:p>
    <w:p>
      <w:pPr>
        <w:adjustRightInd w:val="0"/>
        <w:snapToGrid w:val="0"/>
        <w:spacing w:before="0" w:beforeLines="0" w:after="0" w:line="360" w:lineRule="auto"/>
        <w:ind w:left="359"/>
        <w:rPr>
          <w:color w:val="auto"/>
        </w:rPr>
      </w:pPr>
      <w:r>
        <w:rPr>
          <w:b/>
          <w:color w:val="auto"/>
        </w:rPr>
        <w:t>2.18</w:t>
      </w:r>
      <w:r>
        <w:rPr>
          <w:rFonts w:hint="eastAsia"/>
          <w:b/>
          <w:color w:val="auto"/>
        </w:rPr>
        <w:t>化石、文物的保护</w:t>
      </w:r>
    </w:p>
    <w:p>
      <w:pPr>
        <w:tabs>
          <w:tab w:val="left" w:pos="1620"/>
          <w:tab w:val="left" w:pos="2340"/>
        </w:tabs>
        <w:adjustRightInd w:val="0"/>
        <w:snapToGrid w:val="0"/>
        <w:spacing w:beforeLines="0" w:after="0" w:line="360" w:lineRule="auto"/>
        <w:ind w:left="899"/>
        <w:rPr>
          <w:color w:val="auto"/>
        </w:rPr>
      </w:pPr>
      <w:r>
        <w:rPr>
          <w:rFonts w:hint="eastAsia"/>
          <w:color w:val="auto"/>
        </w:rPr>
        <w:t>在现场发现的所有化石、文物，以及有地质或考古意义的结构物和其他遗迹或物品时，承包人应立即保护好现场并于4小时内通知</w:t>
      </w:r>
      <w:r>
        <w:rPr>
          <w:color w:val="auto"/>
        </w:rPr>
        <w:t>监理人</w:t>
      </w:r>
      <w:r>
        <w:rPr>
          <w:rFonts w:hint="eastAsia"/>
          <w:color w:val="auto"/>
        </w:rPr>
        <w:t>，</w:t>
      </w:r>
      <w:r>
        <w:rPr>
          <w:color w:val="auto"/>
        </w:rPr>
        <w:t>监理人</w:t>
      </w:r>
      <w:r>
        <w:rPr>
          <w:rFonts w:hint="eastAsia"/>
          <w:color w:val="auto"/>
        </w:rPr>
        <w:t>应于收到通知后24小时内报告当地文物管理部门，发包人和承包人应按文物管理部门的要求采取妥善保护措施。发包人承担由此发生的费用，顺延延误的工期。如发现后隐瞒不报或报告不及时，致使上述化石、文物遭受破坏，责任人依法承担相应责任。</w:t>
      </w:r>
    </w:p>
    <w:p>
      <w:pPr>
        <w:adjustRightInd w:val="0"/>
        <w:snapToGrid w:val="0"/>
        <w:spacing w:before="0" w:beforeLines="0" w:after="0" w:line="360" w:lineRule="auto"/>
        <w:ind w:left="178"/>
        <w:rPr>
          <w:color w:val="auto"/>
          <w:sz w:val="28"/>
        </w:rPr>
      </w:pPr>
      <w:r>
        <w:rPr>
          <w:b/>
          <w:color w:val="auto"/>
          <w:sz w:val="28"/>
        </w:rPr>
        <w:t>3</w:t>
      </w:r>
      <w:r>
        <w:rPr>
          <w:rFonts w:hint="eastAsia"/>
          <w:b/>
          <w:color w:val="auto"/>
          <w:sz w:val="28"/>
        </w:rPr>
        <w:t>发包人</w:t>
      </w:r>
    </w:p>
    <w:p>
      <w:pPr>
        <w:adjustRightInd w:val="0"/>
        <w:snapToGrid w:val="0"/>
        <w:spacing w:before="0" w:beforeLines="0" w:after="0" w:line="360" w:lineRule="auto"/>
        <w:ind w:left="359"/>
        <w:rPr>
          <w:color w:val="auto"/>
        </w:rPr>
      </w:pPr>
      <w:r>
        <w:rPr>
          <w:b/>
          <w:color w:val="auto"/>
        </w:rPr>
        <w:t>3.1</w:t>
      </w:r>
      <w:r>
        <w:rPr>
          <w:rFonts w:hint="eastAsia"/>
          <w:b/>
          <w:color w:val="auto"/>
        </w:rPr>
        <w:t>发包人代表</w:t>
      </w:r>
    </w:p>
    <w:p>
      <w:pPr>
        <w:tabs>
          <w:tab w:val="left" w:pos="1620"/>
          <w:tab w:val="left" w:pos="2340"/>
        </w:tabs>
        <w:adjustRightInd w:val="0"/>
        <w:snapToGrid w:val="0"/>
        <w:spacing w:beforeLines="0" w:after="0" w:line="360" w:lineRule="auto"/>
        <w:ind w:left="899"/>
        <w:rPr>
          <w:color w:val="auto"/>
        </w:rPr>
      </w:pPr>
      <w:r>
        <w:rPr>
          <w:rFonts w:hint="eastAsia"/>
          <w:color w:val="auto"/>
        </w:rPr>
        <w:t>发包人应任命发包人代表，发包人代表的姓名在</w:t>
      </w:r>
      <w:r>
        <w:rPr>
          <w:rFonts w:hint="eastAsia"/>
          <w:b/>
          <w:i/>
          <w:color w:val="auto"/>
        </w:rPr>
        <w:t>专用条款</w:t>
      </w:r>
      <w:r>
        <w:rPr>
          <w:rFonts w:hint="eastAsia"/>
          <w:color w:val="auto"/>
        </w:rPr>
        <w:t>中明确。本合同中约定由发包人确认、批准、同意、审批等事项均应以发包人盖章或发包人代表签字为准。发包人如需更换发包人代表，应至少提前7天以书面形式通知</w:t>
      </w:r>
      <w:r>
        <w:rPr>
          <w:color w:val="auto"/>
        </w:rPr>
        <w:t>监理人</w:t>
      </w:r>
      <w:r>
        <w:rPr>
          <w:rFonts w:hint="eastAsia"/>
          <w:color w:val="auto"/>
        </w:rPr>
        <w:t>和承包人。</w:t>
      </w:r>
    </w:p>
    <w:p>
      <w:pPr>
        <w:tabs>
          <w:tab w:val="left" w:pos="1620"/>
          <w:tab w:val="left" w:pos="2340"/>
        </w:tabs>
        <w:adjustRightInd w:val="0"/>
        <w:snapToGrid w:val="0"/>
        <w:spacing w:beforeLines="0" w:after="0" w:line="360" w:lineRule="auto"/>
        <w:ind w:left="899"/>
        <w:rPr>
          <w:color w:val="auto"/>
        </w:rPr>
      </w:pPr>
      <w:r>
        <w:rPr>
          <w:rFonts w:hint="eastAsia"/>
          <w:color w:val="auto"/>
        </w:rPr>
        <w:t>发包人代表不能按照合同约定履行其职责及义务，并导致合同无法继续正常履行的，承包人可以要求发包人撤换发包人代表。</w:t>
      </w:r>
    </w:p>
    <w:p>
      <w:pPr>
        <w:adjustRightInd w:val="0"/>
        <w:snapToGrid w:val="0"/>
        <w:spacing w:before="0" w:beforeLines="0" w:after="0" w:line="360" w:lineRule="auto"/>
        <w:ind w:left="359"/>
        <w:rPr>
          <w:color w:val="auto"/>
        </w:rPr>
      </w:pPr>
      <w:r>
        <w:rPr>
          <w:b/>
          <w:color w:val="auto"/>
        </w:rPr>
        <w:t>3.2</w:t>
      </w:r>
      <w:r>
        <w:rPr>
          <w:rFonts w:hint="eastAsia"/>
          <w:b/>
          <w:color w:val="auto"/>
        </w:rPr>
        <w:t>发包人的义务</w:t>
      </w:r>
    </w:p>
    <w:p>
      <w:pPr>
        <w:tabs>
          <w:tab w:val="left" w:pos="1620"/>
          <w:tab w:val="left" w:pos="2340"/>
        </w:tabs>
        <w:adjustRightInd w:val="0"/>
        <w:snapToGrid w:val="0"/>
        <w:spacing w:beforeLines="0" w:after="0" w:line="360" w:lineRule="auto"/>
        <w:ind w:left="899"/>
        <w:rPr>
          <w:color w:val="auto"/>
        </w:rPr>
      </w:pPr>
      <w:r>
        <w:rPr>
          <w:rFonts w:hint="eastAsia"/>
          <w:color w:val="auto"/>
        </w:rPr>
        <w:t>发包人应履行本合同所约定的全部义务。发包人应按本合同约定的期限和方式向承包人支付合同价款及其它应支付的款项，办理法律规定由其办理的许可、批准或备案，按合同约定向承包人提供基础资料和施工条件，并按合同约定及时组织竣工验收。</w:t>
      </w:r>
    </w:p>
    <w:p>
      <w:pPr>
        <w:adjustRightInd w:val="0"/>
        <w:snapToGrid w:val="0"/>
        <w:spacing w:before="0" w:beforeLines="0" w:after="0" w:line="360" w:lineRule="auto"/>
        <w:ind w:left="359"/>
        <w:rPr>
          <w:color w:val="auto"/>
        </w:rPr>
      </w:pPr>
      <w:r>
        <w:rPr>
          <w:b/>
          <w:color w:val="auto"/>
        </w:rPr>
        <w:t>3.3</w:t>
      </w:r>
      <w:r>
        <w:rPr>
          <w:rFonts w:hint="eastAsia"/>
          <w:b/>
          <w:color w:val="auto"/>
        </w:rPr>
        <w:t>发包人人员</w:t>
      </w:r>
    </w:p>
    <w:p>
      <w:pPr>
        <w:tabs>
          <w:tab w:val="left" w:pos="1620"/>
          <w:tab w:val="left" w:pos="2340"/>
        </w:tabs>
        <w:adjustRightInd w:val="0"/>
        <w:snapToGrid w:val="0"/>
        <w:spacing w:beforeLines="0" w:after="0" w:line="360" w:lineRule="auto"/>
        <w:ind w:left="899"/>
        <w:rPr>
          <w:color w:val="auto"/>
        </w:rPr>
      </w:pPr>
      <w:r>
        <w:rPr>
          <w:color w:val="auto"/>
        </w:rPr>
        <w:t>发包人人员包括发包人代表及其他由发包人派驻施工现场的人员。</w:t>
      </w:r>
      <w:r>
        <w:rPr>
          <w:rFonts w:hint="eastAsia"/>
          <w:color w:val="auto"/>
        </w:rPr>
        <w:t>发包人应要求在施工现场的发包人人员配合承包人的工作并遵守关于工程安全、质量、环境保护与文明施工的规定，并保障承包人免于承受因发包人人员未遵守上述要求给承包人造成的损失和责任。</w:t>
      </w:r>
    </w:p>
    <w:p>
      <w:pPr>
        <w:adjustRightInd w:val="0"/>
        <w:snapToGrid w:val="0"/>
        <w:spacing w:before="0" w:beforeLines="0" w:after="0" w:line="360" w:lineRule="auto"/>
        <w:ind w:left="359"/>
        <w:rPr>
          <w:color w:val="auto"/>
        </w:rPr>
      </w:pPr>
      <w:r>
        <w:rPr>
          <w:b/>
          <w:color w:val="auto"/>
        </w:rPr>
        <w:t>3.4</w:t>
      </w:r>
      <w:r>
        <w:rPr>
          <w:rFonts w:hint="eastAsia"/>
          <w:b/>
          <w:color w:val="auto"/>
        </w:rPr>
        <w:t>发包人的工作</w:t>
      </w:r>
    </w:p>
    <w:p>
      <w:pPr>
        <w:tabs>
          <w:tab w:val="left" w:pos="1620"/>
          <w:tab w:val="left" w:pos="2340"/>
        </w:tabs>
        <w:adjustRightInd w:val="0"/>
        <w:snapToGrid w:val="0"/>
        <w:spacing w:beforeLines="0" w:line="360" w:lineRule="auto"/>
        <w:ind w:left="899"/>
        <w:rPr>
          <w:color w:val="auto"/>
        </w:rPr>
      </w:pPr>
      <w:r>
        <w:rPr>
          <w:rFonts w:hint="eastAsia"/>
          <w:color w:val="auto"/>
        </w:rPr>
        <w:t>⑴发包人应按照</w:t>
      </w:r>
      <w:r>
        <w:rPr>
          <w:rFonts w:hint="eastAsia"/>
          <w:b/>
          <w:i/>
          <w:color w:val="auto"/>
        </w:rPr>
        <w:t>专用条款</w:t>
      </w:r>
      <w:r>
        <w:rPr>
          <w:rFonts w:hint="eastAsia"/>
          <w:color w:val="auto"/>
        </w:rPr>
        <w:t>的约定在本工程开工前完成以下工作，并承担相关费用：</w:t>
      </w:r>
    </w:p>
    <w:p>
      <w:pPr>
        <w:tabs>
          <w:tab w:val="left" w:pos="1620"/>
          <w:tab w:val="left" w:pos="2340"/>
        </w:tabs>
        <w:adjustRightInd w:val="0"/>
        <w:snapToGrid w:val="0"/>
        <w:spacing w:beforeLines="0" w:line="360" w:lineRule="auto"/>
        <w:ind w:left="1079"/>
        <w:rPr>
          <w:color w:val="auto"/>
        </w:rPr>
      </w:pPr>
      <w:r>
        <w:rPr>
          <w:rFonts w:hint="eastAsia"/>
          <w:color w:val="auto"/>
        </w:rPr>
        <w:t>①办理土地征用、搬迁补偿、平整施工场地等工作，使施工场地具备施工条件，并在开工后继续负责解决上述工作遗留的问题；</w:t>
      </w:r>
    </w:p>
    <w:p>
      <w:pPr>
        <w:tabs>
          <w:tab w:val="left" w:pos="1620"/>
          <w:tab w:val="left" w:pos="2340"/>
        </w:tabs>
        <w:adjustRightInd w:val="0"/>
        <w:snapToGrid w:val="0"/>
        <w:spacing w:beforeLines="0" w:line="360" w:lineRule="auto"/>
        <w:ind w:left="1079"/>
        <w:rPr>
          <w:color w:val="auto"/>
        </w:rPr>
      </w:pPr>
      <w:r>
        <w:rPr>
          <w:rFonts w:hint="eastAsia"/>
          <w:color w:val="auto"/>
        </w:rPr>
        <w:t>②根据</w:t>
      </w:r>
      <w:r>
        <w:rPr>
          <w:rFonts w:hint="eastAsia"/>
          <w:b/>
          <w:i/>
          <w:color w:val="auto"/>
        </w:rPr>
        <w:t>专用条款</w:t>
      </w:r>
      <w:r>
        <w:rPr>
          <w:rFonts w:hint="eastAsia"/>
          <w:color w:val="auto"/>
        </w:rPr>
        <w:t>约定的接驳地点，将施工所需水、电、通讯线路从施工场地外部接驳到施工场地内，保证施工期间的需要；</w:t>
      </w:r>
    </w:p>
    <w:p>
      <w:pPr>
        <w:tabs>
          <w:tab w:val="left" w:pos="1620"/>
          <w:tab w:val="left" w:pos="2340"/>
        </w:tabs>
        <w:adjustRightInd w:val="0"/>
        <w:snapToGrid w:val="0"/>
        <w:spacing w:beforeLines="0" w:line="360" w:lineRule="auto"/>
        <w:ind w:left="1079"/>
        <w:rPr>
          <w:color w:val="auto"/>
        </w:rPr>
      </w:pPr>
      <w:r>
        <w:rPr>
          <w:rFonts w:hint="eastAsia"/>
          <w:color w:val="auto"/>
        </w:rPr>
        <w:t>③开通施工场地与城乡公共道路间的通道，满足施工运输的需要；</w:t>
      </w:r>
    </w:p>
    <w:p>
      <w:pPr>
        <w:tabs>
          <w:tab w:val="left" w:pos="1620"/>
          <w:tab w:val="left" w:pos="2340"/>
        </w:tabs>
        <w:adjustRightInd w:val="0"/>
        <w:snapToGrid w:val="0"/>
        <w:spacing w:beforeLines="0" w:line="360" w:lineRule="auto"/>
        <w:ind w:left="1079"/>
        <w:rPr>
          <w:color w:val="auto"/>
        </w:rPr>
      </w:pPr>
      <w:r>
        <w:rPr>
          <w:rFonts w:hint="eastAsia"/>
          <w:color w:val="auto"/>
        </w:rPr>
        <w:t>④向承包人提供施工场地的工程地质和地下管线资料，对资料的真实性、准确性负责；</w:t>
      </w:r>
    </w:p>
    <w:p>
      <w:pPr>
        <w:tabs>
          <w:tab w:val="left" w:pos="1620"/>
          <w:tab w:val="left" w:pos="2340"/>
        </w:tabs>
        <w:adjustRightInd w:val="0"/>
        <w:snapToGrid w:val="0"/>
        <w:spacing w:beforeLines="0" w:line="360" w:lineRule="auto"/>
        <w:ind w:left="1079"/>
        <w:rPr>
          <w:color w:val="auto"/>
        </w:rPr>
      </w:pPr>
      <w:r>
        <w:rPr>
          <w:rFonts w:hint="eastAsia"/>
          <w:color w:val="auto"/>
        </w:rPr>
        <w:t>⑤办理规划、施工许可证以及停水、停电、中断道路交通、爆破作业等的批件；</w:t>
      </w:r>
    </w:p>
    <w:p>
      <w:pPr>
        <w:tabs>
          <w:tab w:val="left" w:pos="1620"/>
          <w:tab w:val="left" w:pos="2340"/>
        </w:tabs>
        <w:adjustRightInd w:val="0"/>
        <w:snapToGrid w:val="0"/>
        <w:spacing w:beforeLines="0" w:line="360" w:lineRule="auto"/>
        <w:ind w:left="1079"/>
        <w:rPr>
          <w:color w:val="auto"/>
        </w:rPr>
      </w:pPr>
      <w:r>
        <w:rPr>
          <w:rFonts w:hint="eastAsia"/>
          <w:color w:val="auto"/>
        </w:rPr>
        <w:t>⑥确定水准点与坐标控制点，组织现场交验并移交给承包人；</w:t>
      </w:r>
    </w:p>
    <w:p>
      <w:pPr>
        <w:tabs>
          <w:tab w:val="left" w:pos="1620"/>
          <w:tab w:val="left" w:pos="2340"/>
        </w:tabs>
        <w:adjustRightInd w:val="0"/>
        <w:snapToGrid w:val="0"/>
        <w:spacing w:beforeLines="0" w:line="360" w:lineRule="auto"/>
        <w:ind w:left="1079"/>
        <w:rPr>
          <w:color w:val="auto"/>
        </w:rPr>
      </w:pPr>
      <w:r>
        <w:rPr>
          <w:rFonts w:hint="eastAsia"/>
          <w:color w:val="auto"/>
        </w:rPr>
        <w:t>⑦根据</w:t>
      </w:r>
      <w:r>
        <w:rPr>
          <w:rFonts w:hint="eastAsia"/>
          <w:b/>
          <w:i/>
          <w:color w:val="auto"/>
        </w:rPr>
        <w:t>专用条款</w:t>
      </w:r>
      <w:r>
        <w:rPr>
          <w:rFonts w:hint="eastAsia"/>
          <w:color w:val="auto"/>
        </w:rPr>
        <w:t>约定的时间，组织承包人和</w:t>
      </w:r>
      <w:r>
        <w:rPr>
          <w:color w:val="auto"/>
        </w:rPr>
        <w:t>设计人</w:t>
      </w:r>
      <w:r>
        <w:rPr>
          <w:rFonts w:hint="eastAsia"/>
          <w:color w:val="auto"/>
        </w:rPr>
        <w:t>进行图纸会审和设计交底；</w:t>
      </w:r>
    </w:p>
    <w:p>
      <w:pPr>
        <w:tabs>
          <w:tab w:val="left" w:pos="1620"/>
          <w:tab w:val="left" w:pos="2340"/>
        </w:tabs>
        <w:adjustRightInd w:val="0"/>
        <w:snapToGrid w:val="0"/>
        <w:spacing w:beforeLines="0" w:line="360" w:lineRule="auto"/>
        <w:ind w:left="1079"/>
        <w:rPr>
          <w:color w:val="auto"/>
        </w:rPr>
      </w:pPr>
      <w:r>
        <w:rPr>
          <w:rFonts w:hint="eastAsia"/>
          <w:color w:val="auto"/>
        </w:rPr>
        <w:t>⑧协调处理施工场地周围地下管线和邻近建筑物、构筑物(包括文物保护建筑)、古树名木等的保护工作；</w:t>
      </w:r>
    </w:p>
    <w:p>
      <w:pPr>
        <w:tabs>
          <w:tab w:val="left" w:pos="1620"/>
          <w:tab w:val="left" w:pos="2340"/>
        </w:tabs>
        <w:adjustRightInd w:val="0"/>
        <w:snapToGrid w:val="0"/>
        <w:spacing w:beforeLines="0" w:line="360" w:lineRule="auto"/>
        <w:ind w:left="1079"/>
        <w:rPr>
          <w:color w:val="auto"/>
        </w:rPr>
      </w:pPr>
      <w:r>
        <w:rPr>
          <w:rFonts w:hint="eastAsia"/>
          <w:color w:val="auto"/>
        </w:rPr>
        <w:t>⑨在</w:t>
      </w:r>
      <w:r>
        <w:rPr>
          <w:rFonts w:hint="eastAsia"/>
          <w:b/>
          <w:i/>
          <w:color w:val="auto"/>
        </w:rPr>
        <w:t>专用条款</w:t>
      </w:r>
      <w:r>
        <w:rPr>
          <w:rFonts w:hint="eastAsia"/>
          <w:color w:val="auto"/>
        </w:rPr>
        <w:t>内约定发包人应做的其他工作。</w:t>
      </w:r>
    </w:p>
    <w:p>
      <w:pPr>
        <w:tabs>
          <w:tab w:val="left" w:pos="1620"/>
          <w:tab w:val="left" w:pos="2340"/>
        </w:tabs>
        <w:adjustRightInd w:val="0"/>
        <w:snapToGrid w:val="0"/>
        <w:spacing w:before="0" w:beforeLines="0" w:line="360" w:lineRule="auto"/>
        <w:ind w:left="899"/>
        <w:rPr>
          <w:color w:val="auto"/>
        </w:rPr>
      </w:pPr>
      <w:r>
        <w:rPr>
          <w:rFonts w:hint="eastAsia"/>
          <w:color w:val="auto"/>
        </w:rPr>
        <w:t>⑵发包人未完成前款约定的各项工作，且未委托承包人办理，给承包人造成损失和(或)导致工期延误的，发包人应赔偿承包人损失和(或)顺延延误的工期。</w:t>
      </w:r>
    </w:p>
    <w:p>
      <w:pPr>
        <w:adjustRightInd w:val="0"/>
        <w:snapToGrid w:val="0"/>
        <w:spacing w:before="0" w:beforeLines="0" w:after="0" w:line="360" w:lineRule="auto"/>
        <w:ind w:left="359"/>
        <w:rPr>
          <w:color w:val="auto"/>
        </w:rPr>
      </w:pPr>
      <w:r>
        <w:rPr>
          <w:b/>
          <w:color w:val="auto"/>
        </w:rPr>
        <w:t>3.5</w:t>
      </w:r>
      <w:r>
        <w:rPr>
          <w:rFonts w:hint="eastAsia"/>
          <w:b/>
          <w:color w:val="auto"/>
        </w:rPr>
        <w:t>发包人委托</w:t>
      </w:r>
    </w:p>
    <w:p>
      <w:pPr>
        <w:tabs>
          <w:tab w:val="left" w:pos="1620"/>
          <w:tab w:val="left" w:pos="2340"/>
        </w:tabs>
        <w:adjustRightInd w:val="0"/>
        <w:snapToGrid w:val="0"/>
        <w:spacing w:beforeLines="0" w:after="0" w:line="360" w:lineRule="auto"/>
        <w:ind w:left="899"/>
        <w:rPr>
          <w:color w:val="auto"/>
        </w:rPr>
      </w:pPr>
      <w:r>
        <w:rPr>
          <w:rFonts w:hint="eastAsia"/>
          <w:color w:val="auto"/>
        </w:rPr>
        <w:t>发包人可将3.4款部分工作委托承包人办理，具体委托内容由双方在</w:t>
      </w:r>
      <w:r>
        <w:rPr>
          <w:rFonts w:hint="eastAsia"/>
          <w:b/>
          <w:i/>
          <w:color w:val="auto"/>
        </w:rPr>
        <w:t>专用条款</w:t>
      </w:r>
      <w:r>
        <w:rPr>
          <w:rFonts w:hint="eastAsia"/>
          <w:color w:val="auto"/>
        </w:rPr>
        <w:t>中约定，费用由发包人承担。</w:t>
      </w:r>
    </w:p>
    <w:p>
      <w:pPr>
        <w:adjustRightInd w:val="0"/>
        <w:snapToGrid w:val="0"/>
        <w:spacing w:before="0" w:beforeLines="0" w:after="0" w:line="360" w:lineRule="auto"/>
        <w:ind w:left="178"/>
        <w:rPr>
          <w:color w:val="auto"/>
          <w:sz w:val="28"/>
        </w:rPr>
      </w:pPr>
      <w:r>
        <w:rPr>
          <w:b/>
          <w:color w:val="auto"/>
          <w:sz w:val="28"/>
        </w:rPr>
        <w:t>4</w:t>
      </w:r>
      <w:r>
        <w:rPr>
          <w:rFonts w:hint="eastAsia"/>
          <w:b/>
          <w:color w:val="auto"/>
          <w:sz w:val="28"/>
        </w:rPr>
        <w:t>承包人</w:t>
      </w:r>
    </w:p>
    <w:p>
      <w:pPr>
        <w:adjustRightInd w:val="0"/>
        <w:snapToGrid w:val="0"/>
        <w:spacing w:before="0" w:beforeLines="0" w:after="0" w:line="360" w:lineRule="auto"/>
        <w:ind w:left="359"/>
        <w:rPr>
          <w:color w:val="auto"/>
        </w:rPr>
      </w:pPr>
      <w:r>
        <w:rPr>
          <w:b/>
          <w:color w:val="auto"/>
        </w:rPr>
        <w:t>4.1</w:t>
      </w:r>
      <w:r>
        <w:rPr>
          <w:rFonts w:hint="eastAsia"/>
          <w:b/>
          <w:color w:val="auto"/>
        </w:rPr>
        <w:t>承包人的义务</w:t>
      </w:r>
    </w:p>
    <w:p>
      <w:pPr>
        <w:tabs>
          <w:tab w:val="left" w:pos="1620"/>
          <w:tab w:val="left" w:pos="2340"/>
        </w:tabs>
        <w:adjustRightInd w:val="0"/>
        <w:snapToGrid w:val="0"/>
        <w:spacing w:beforeLines="0" w:after="0" w:line="360" w:lineRule="auto"/>
        <w:ind w:left="899"/>
        <w:rPr>
          <w:color w:val="auto"/>
        </w:rPr>
      </w:pPr>
      <w:r>
        <w:rPr>
          <w:rFonts w:hint="eastAsia"/>
          <w:color w:val="auto"/>
        </w:rPr>
        <w:t>承包人应履行本合同所约定的全部义务。承包人应精心组织施工，按时完成本工程及其在缺陷保修期内对缺陷的修复。为此，承包人应提供所需的全部监督管理、人工、材料、设备、施工装备、往返工地的交通以及合同约定或合理地推断为进行本工程而需要的各种资源。</w:t>
      </w:r>
    </w:p>
    <w:p>
      <w:pPr>
        <w:adjustRightInd w:val="0"/>
        <w:snapToGrid w:val="0"/>
        <w:spacing w:before="0" w:beforeLines="0" w:after="0" w:line="360" w:lineRule="auto"/>
        <w:ind w:left="359"/>
        <w:rPr>
          <w:color w:val="auto"/>
        </w:rPr>
      </w:pPr>
      <w:r>
        <w:rPr>
          <w:b/>
          <w:color w:val="auto"/>
        </w:rPr>
        <w:t>4.2</w:t>
      </w:r>
      <w:r>
        <w:rPr>
          <w:rFonts w:hint="eastAsia"/>
          <w:b/>
          <w:color w:val="auto"/>
        </w:rPr>
        <w:t>承包人的工作</w:t>
      </w:r>
    </w:p>
    <w:p>
      <w:pPr>
        <w:tabs>
          <w:tab w:val="left" w:pos="1620"/>
          <w:tab w:val="left" w:pos="2340"/>
        </w:tabs>
        <w:adjustRightInd w:val="0"/>
        <w:snapToGrid w:val="0"/>
        <w:spacing w:beforeLines="0" w:line="360" w:lineRule="auto"/>
        <w:ind w:left="899"/>
        <w:rPr>
          <w:color w:val="auto"/>
        </w:rPr>
      </w:pPr>
      <w:r>
        <w:rPr>
          <w:rFonts w:hint="eastAsia"/>
          <w:color w:val="auto"/>
        </w:rPr>
        <w:t>⑴承包人应按照</w:t>
      </w:r>
      <w:r>
        <w:rPr>
          <w:rFonts w:hint="eastAsia"/>
          <w:b/>
          <w:i/>
          <w:color w:val="auto"/>
        </w:rPr>
        <w:t>专用条款</w:t>
      </w:r>
      <w:r>
        <w:rPr>
          <w:rFonts w:hint="eastAsia"/>
          <w:color w:val="auto"/>
        </w:rPr>
        <w:t>约定完成以下工作：</w:t>
      </w:r>
    </w:p>
    <w:p>
      <w:pPr>
        <w:tabs>
          <w:tab w:val="left" w:pos="1620"/>
          <w:tab w:val="left" w:pos="2340"/>
        </w:tabs>
        <w:adjustRightInd w:val="0"/>
        <w:snapToGrid w:val="0"/>
        <w:spacing w:beforeLines="0" w:line="360" w:lineRule="auto"/>
        <w:ind w:left="1079"/>
        <w:rPr>
          <w:color w:val="auto"/>
        </w:rPr>
      </w:pPr>
      <w:r>
        <w:rPr>
          <w:rFonts w:hint="eastAsia"/>
          <w:color w:val="auto"/>
        </w:rPr>
        <w:t>①办理法律规定应由承包人办理的许可和批准，并将办理结果书面报送发包人留存；</w:t>
      </w:r>
    </w:p>
    <w:p>
      <w:pPr>
        <w:tabs>
          <w:tab w:val="left" w:pos="1620"/>
          <w:tab w:val="left" w:pos="2340"/>
        </w:tabs>
        <w:adjustRightInd w:val="0"/>
        <w:snapToGrid w:val="0"/>
        <w:spacing w:beforeLines="0" w:line="360" w:lineRule="auto"/>
        <w:ind w:left="1079"/>
        <w:rPr>
          <w:color w:val="auto"/>
        </w:rPr>
      </w:pPr>
      <w:r>
        <w:rPr>
          <w:rFonts w:hint="eastAsia"/>
          <w:color w:val="auto"/>
        </w:rPr>
        <w:t>②按法律规定和合同约定完成工程，并在保修期内承担保修义务；在本工程或本工程中某单项工程已竣工但未交付发包人以前，负责已完工程的保护工作，保护期间发生损坏，应予以修复并承担费用。如发包人要求承包人采取特殊保护措施，发包人应承担相应费用；</w:t>
      </w:r>
    </w:p>
    <w:p>
      <w:pPr>
        <w:tabs>
          <w:tab w:val="left" w:pos="1620"/>
          <w:tab w:val="left" w:pos="2340"/>
        </w:tabs>
        <w:adjustRightInd w:val="0"/>
        <w:snapToGrid w:val="0"/>
        <w:spacing w:beforeLines="0" w:line="360" w:lineRule="auto"/>
        <w:ind w:left="1079"/>
        <w:rPr>
          <w:color w:val="auto"/>
        </w:rPr>
      </w:pPr>
      <w:r>
        <w:rPr>
          <w:rFonts w:hint="eastAsia"/>
          <w:color w:val="auto"/>
        </w:rPr>
        <w:t>③除</w:t>
      </w:r>
      <w:r>
        <w:rPr>
          <w:rFonts w:hint="eastAsia"/>
          <w:b/>
          <w:i/>
          <w:color w:val="auto"/>
        </w:rPr>
        <w:t>专用条款</w:t>
      </w:r>
      <w:r>
        <w:rPr>
          <w:rFonts w:hint="eastAsia"/>
          <w:color w:val="auto"/>
        </w:rPr>
        <w:t>另有约定外，向发包人提供施工场地办公和生活的房屋及设施，发包人承担由此发生的费用；</w:t>
      </w:r>
    </w:p>
    <w:p>
      <w:pPr>
        <w:tabs>
          <w:tab w:val="left" w:pos="1620"/>
          <w:tab w:val="left" w:pos="2340"/>
        </w:tabs>
        <w:adjustRightInd w:val="0"/>
        <w:snapToGrid w:val="0"/>
        <w:spacing w:beforeLines="0" w:line="360" w:lineRule="auto"/>
        <w:ind w:left="1079"/>
        <w:rPr>
          <w:color w:val="auto"/>
        </w:rPr>
      </w:pPr>
      <w:r>
        <w:rPr>
          <w:rFonts w:hint="eastAsia"/>
          <w:color w:val="auto"/>
        </w:rPr>
        <w:t>④</w:t>
      </w:r>
      <w:r>
        <w:rPr>
          <w:color w:val="auto"/>
        </w:rPr>
        <w:t>按法律规定和合同约定采取施工安全措施，确保工程及其人员、材料、设备和设施的安全，防止因工程施工造成的人身伤害和财产损失；采取环境保护措施，负责施工场地及其周边环境与生态的保护工作；</w:t>
      </w:r>
    </w:p>
    <w:p>
      <w:pPr>
        <w:tabs>
          <w:tab w:val="left" w:pos="1620"/>
          <w:tab w:val="left" w:pos="2340"/>
        </w:tabs>
        <w:adjustRightInd w:val="0"/>
        <w:snapToGrid w:val="0"/>
        <w:spacing w:beforeLines="0" w:line="360" w:lineRule="auto"/>
        <w:ind w:left="1079"/>
        <w:rPr>
          <w:color w:val="auto"/>
        </w:rPr>
      </w:pPr>
      <w:r>
        <w:rPr>
          <w:rFonts w:hint="eastAsia"/>
          <w:color w:val="auto"/>
        </w:rPr>
        <w:t>⑤</w:t>
      </w:r>
      <w:r>
        <w:rPr>
          <w:color w:val="auto"/>
        </w:rPr>
        <w:t>按合同约定的工作内容和施工进度要求，编制施工组织设计和施工措施计划，并对所有施工作业和施工方法的完备性和安全可靠性负责；</w:t>
      </w:r>
    </w:p>
    <w:p>
      <w:pPr>
        <w:tabs>
          <w:tab w:val="left" w:pos="1620"/>
          <w:tab w:val="left" w:pos="2340"/>
        </w:tabs>
        <w:adjustRightInd w:val="0"/>
        <w:snapToGrid w:val="0"/>
        <w:spacing w:beforeLines="0" w:line="360" w:lineRule="auto"/>
        <w:ind w:left="1079"/>
        <w:rPr>
          <w:color w:val="auto"/>
        </w:rPr>
      </w:pPr>
      <w:r>
        <w:rPr>
          <w:rFonts w:hint="eastAsia"/>
          <w:color w:val="auto"/>
        </w:rPr>
        <w:t>⑥</w:t>
      </w:r>
      <w:r>
        <w:rPr>
          <w:color w:val="auto"/>
        </w:rPr>
        <w:t>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tabs>
          <w:tab w:val="left" w:pos="1620"/>
          <w:tab w:val="left" w:pos="2340"/>
        </w:tabs>
        <w:adjustRightInd w:val="0"/>
        <w:snapToGrid w:val="0"/>
        <w:spacing w:beforeLines="0" w:line="360" w:lineRule="auto"/>
        <w:ind w:left="1079"/>
        <w:rPr>
          <w:color w:val="auto"/>
        </w:rPr>
      </w:pPr>
      <w:r>
        <w:rPr>
          <w:rFonts w:hint="eastAsia"/>
          <w:color w:val="auto"/>
        </w:rPr>
        <w:t>⑦将</w:t>
      </w:r>
      <w:r>
        <w:rPr>
          <w:color w:val="auto"/>
        </w:rPr>
        <w:t>发包人按合同约定支付的各项价款专用于合同工程，且应及时支付其雇用人员工资，并及时向分包人支付合同价款；</w:t>
      </w:r>
    </w:p>
    <w:p>
      <w:pPr>
        <w:tabs>
          <w:tab w:val="left" w:pos="1620"/>
          <w:tab w:val="left" w:pos="2340"/>
        </w:tabs>
        <w:adjustRightInd w:val="0"/>
        <w:snapToGrid w:val="0"/>
        <w:spacing w:beforeLines="0" w:line="360" w:lineRule="auto"/>
        <w:ind w:left="1079"/>
        <w:rPr>
          <w:color w:val="auto"/>
        </w:rPr>
      </w:pPr>
      <w:r>
        <w:rPr>
          <w:rFonts w:hint="eastAsia"/>
          <w:color w:val="auto"/>
        </w:rPr>
        <w:t>⑧</w:t>
      </w:r>
      <w:r>
        <w:rPr>
          <w:color w:val="auto"/>
        </w:rPr>
        <w:t>按照法律规定和合同约定编制竣工资料，完成竣工资料立卷及归档，并按</w:t>
      </w:r>
      <w:r>
        <w:rPr>
          <w:b/>
          <w:i/>
          <w:color w:val="auto"/>
        </w:rPr>
        <w:t>专用条款</w:t>
      </w:r>
      <w:r>
        <w:rPr>
          <w:color w:val="auto"/>
        </w:rPr>
        <w:t>约定的竣工资料的套数、时间等要求移交发包人；</w:t>
      </w:r>
    </w:p>
    <w:p>
      <w:pPr>
        <w:tabs>
          <w:tab w:val="left" w:pos="1620"/>
          <w:tab w:val="left" w:pos="2340"/>
        </w:tabs>
        <w:adjustRightInd w:val="0"/>
        <w:snapToGrid w:val="0"/>
        <w:spacing w:beforeLines="0" w:line="360" w:lineRule="auto"/>
        <w:ind w:left="1079"/>
        <w:rPr>
          <w:color w:val="auto"/>
        </w:rPr>
      </w:pPr>
      <w:r>
        <w:rPr>
          <w:rFonts w:hint="eastAsia"/>
          <w:color w:val="auto"/>
        </w:rPr>
        <w:t>⑨在</w:t>
      </w:r>
      <w:r>
        <w:rPr>
          <w:rFonts w:hint="eastAsia"/>
          <w:b/>
          <w:i/>
          <w:color w:val="auto"/>
        </w:rPr>
        <w:t>专用条款</w:t>
      </w:r>
      <w:r>
        <w:rPr>
          <w:rFonts w:hint="eastAsia"/>
          <w:color w:val="auto"/>
        </w:rPr>
        <w:t>内约定承包人应做的其他工作。</w:t>
      </w:r>
    </w:p>
    <w:p>
      <w:pPr>
        <w:tabs>
          <w:tab w:val="left" w:pos="1620"/>
          <w:tab w:val="left" w:pos="2340"/>
        </w:tabs>
        <w:adjustRightInd w:val="0"/>
        <w:snapToGrid w:val="0"/>
        <w:spacing w:before="0" w:beforeLines="0" w:line="360" w:lineRule="auto"/>
        <w:ind w:left="899"/>
        <w:rPr>
          <w:color w:val="auto"/>
        </w:rPr>
      </w:pPr>
      <w:r>
        <w:rPr>
          <w:rFonts w:hint="eastAsia"/>
          <w:color w:val="auto"/>
        </w:rPr>
        <w:t>⑵承包人未完成3.5款及4.2款约定的各项工作，应视为承包人违约，承包人按28.2款的约定承担违约责任，给发包人造成损失和(或)导致工期延误的，承包人应赔偿发包人的损失和(或)工期不予顺延。</w:t>
      </w:r>
    </w:p>
    <w:p>
      <w:pPr>
        <w:adjustRightInd w:val="0"/>
        <w:snapToGrid w:val="0"/>
        <w:spacing w:before="0" w:beforeLines="0" w:after="0" w:line="360" w:lineRule="auto"/>
        <w:ind w:left="359"/>
        <w:rPr>
          <w:color w:val="auto"/>
        </w:rPr>
      </w:pPr>
      <w:r>
        <w:rPr>
          <w:b/>
          <w:color w:val="auto"/>
        </w:rPr>
        <w:t>4.3</w:t>
      </w:r>
      <w:r>
        <w:rPr>
          <w:rFonts w:hint="eastAsia"/>
          <w:b/>
          <w:color w:val="auto"/>
        </w:rPr>
        <w:t>项目经理的任命和职责</w:t>
      </w:r>
    </w:p>
    <w:p>
      <w:pPr>
        <w:tabs>
          <w:tab w:val="left" w:pos="1620"/>
          <w:tab w:val="left" w:pos="2340"/>
        </w:tabs>
        <w:adjustRightInd w:val="0"/>
        <w:snapToGrid w:val="0"/>
        <w:spacing w:beforeLines="0" w:after="0" w:line="360" w:lineRule="auto"/>
        <w:ind w:left="899"/>
        <w:rPr>
          <w:color w:val="auto"/>
        </w:rPr>
      </w:pPr>
      <w:r>
        <w:rPr>
          <w:rFonts w:hint="eastAsia"/>
          <w:color w:val="auto"/>
        </w:rPr>
        <w:t>⑴承包人应任命项目经理，授权其代表承包人履行本合同约定的权利和义务，承包人根据合同发出的一切文件(包括致发包人或</w:t>
      </w:r>
      <w:r>
        <w:rPr>
          <w:color w:val="auto"/>
        </w:rPr>
        <w:t>监理人</w:t>
      </w:r>
      <w:r>
        <w:rPr>
          <w:rFonts w:hint="eastAsia"/>
          <w:color w:val="auto"/>
        </w:rPr>
        <w:t>的通知)，均应以书面形式由项目经理签字后发出。</w:t>
      </w:r>
    </w:p>
    <w:p>
      <w:pPr>
        <w:tabs>
          <w:tab w:val="left" w:pos="1620"/>
          <w:tab w:val="left" w:pos="2340"/>
        </w:tabs>
        <w:adjustRightInd w:val="0"/>
        <w:snapToGrid w:val="0"/>
        <w:spacing w:beforeLines="0" w:after="0" w:line="360" w:lineRule="auto"/>
        <w:ind w:left="899"/>
        <w:rPr>
          <w:color w:val="auto"/>
        </w:rPr>
      </w:pPr>
      <w:r>
        <w:rPr>
          <w:rFonts w:hint="eastAsia"/>
          <w:color w:val="auto"/>
        </w:rPr>
        <w:t>⑵承包人任命的项目经理，应取得符合本工程要求的建造师资格，应在承包人单位注册，应与投标文件所载明的人选一致，并经发包人确认后在</w:t>
      </w:r>
      <w:r>
        <w:rPr>
          <w:rFonts w:hint="eastAsia"/>
          <w:b/>
          <w:i/>
          <w:color w:val="auto"/>
        </w:rPr>
        <w:t>专用条款</w:t>
      </w:r>
      <w:r>
        <w:rPr>
          <w:rFonts w:hint="eastAsia"/>
          <w:color w:val="auto"/>
        </w:rPr>
        <w:t>中明确。</w:t>
      </w:r>
    </w:p>
    <w:p>
      <w:pPr>
        <w:tabs>
          <w:tab w:val="left" w:pos="1620"/>
          <w:tab w:val="left" w:pos="2340"/>
        </w:tabs>
        <w:adjustRightInd w:val="0"/>
        <w:snapToGrid w:val="0"/>
        <w:spacing w:beforeLines="0" w:after="0" w:line="360" w:lineRule="auto"/>
        <w:ind w:left="899"/>
        <w:rPr>
          <w:color w:val="auto"/>
        </w:rPr>
      </w:pPr>
      <w:r>
        <w:rPr>
          <w:rFonts w:hint="eastAsia"/>
          <w:color w:val="auto"/>
        </w:rPr>
        <w:t>⑶若承包人派驻现场的项目经理与投标文件的承诺不一致，或项目经理未及时到位或未常驻现场，或同时兼任承包人</w:t>
      </w:r>
      <w:r>
        <w:rPr>
          <w:color w:val="auto"/>
        </w:rPr>
        <w:t>其它</w:t>
      </w:r>
      <w:r>
        <w:rPr>
          <w:rFonts w:hint="eastAsia"/>
          <w:color w:val="auto"/>
        </w:rPr>
        <w:t>工程</w:t>
      </w:r>
      <w:r>
        <w:rPr>
          <w:color w:val="auto"/>
        </w:rPr>
        <w:t>项目的</w:t>
      </w:r>
      <w:r>
        <w:rPr>
          <w:rFonts w:hint="eastAsia"/>
          <w:color w:val="auto"/>
        </w:rPr>
        <w:t>项目经理，发包人可按照</w:t>
      </w:r>
      <w:r>
        <w:rPr>
          <w:rFonts w:hint="eastAsia"/>
          <w:b/>
          <w:i/>
          <w:color w:val="auto"/>
        </w:rPr>
        <w:t>专用条款</w:t>
      </w:r>
      <w:r>
        <w:rPr>
          <w:rFonts w:hint="eastAsia"/>
          <w:color w:val="auto"/>
        </w:rPr>
        <w:t>中的约定对承包人进行相应处罚。</w:t>
      </w:r>
    </w:p>
    <w:p>
      <w:pPr>
        <w:tabs>
          <w:tab w:val="left" w:pos="1620"/>
          <w:tab w:val="left" w:pos="2340"/>
        </w:tabs>
        <w:adjustRightInd w:val="0"/>
        <w:snapToGrid w:val="0"/>
        <w:spacing w:beforeLines="0" w:after="0" w:line="360" w:lineRule="auto"/>
        <w:ind w:left="899"/>
        <w:rPr>
          <w:color w:val="auto"/>
        </w:rPr>
      </w:pPr>
      <w:r>
        <w:rPr>
          <w:rFonts w:hint="eastAsia"/>
          <w:color w:val="auto"/>
        </w:rPr>
        <w:t>⑷</w:t>
      </w:r>
      <w:r>
        <w:rPr>
          <w:color w:val="auto"/>
        </w:rPr>
        <w:t>项目经理按合同约定组织工程实施。在紧急情况下</w:t>
      </w:r>
      <w:r>
        <w:rPr>
          <w:rFonts w:hint="eastAsia"/>
          <w:color w:val="auto"/>
        </w:rPr>
        <w:t>为确保施工安全和人员安全</w:t>
      </w:r>
      <w:r>
        <w:rPr>
          <w:color w:val="auto"/>
        </w:rPr>
        <w:t>，</w:t>
      </w:r>
      <w:r>
        <w:rPr>
          <w:rFonts w:hint="eastAsia"/>
          <w:color w:val="auto"/>
        </w:rPr>
        <w:t>在</w:t>
      </w:r>
      <w:r>
        <w:rPr>
          <w:color w:val="auto"/>
        </w:rPr>
        <w:t>无法与发包人代表和总监理工程师</w:t>
      </w:r>
      <w:r>
        <w:rPr>
          <w:rFonts w:hint="eastAsia"/>
          <w:color w:val="auto"/>
        </w:rPr>
        <w:t>及时</w:t>
      </w:r>
      <w:r>
        <w:rPr>
          <w:color w:val="auto"/>
        </w:rPr>
        <w:t>取得联系时，项目经理有权采取必要的措施保证与工程有关的人身、财产和工程的安全，但应在48小时内向发包人代表和总监理工程师提交书面报告。</w:t>
      </w:r>
    </w:p>
    <w:p>
      <w:pPr>
        <w:adjustRightInd w:val="0"/>
        <w:snapToGrid w:val="0"/>
        <w:spacing w:before="0" w:beforeLines="0" w:after="0" w:line="360" w:lineRule="auto"/>
        <w:ind w:left="359"/>
        <w:rPr>
          <w:color w:val="auto"/>
        </w:rPr>
      </w:pPr>
      <w:r>
        <w:rPr>
          <w:b/>
          <w:color w:val="auto"/>
        </w:rPr>
        <w:t>4.4</w:t>
      </w:r>
      <w:r>
        <w:rPr>
          <w:rFonts w:hint="eastAsia"/>
          <w:b/>
          <w:color w:val="auto"/>
        </w:rPr>
        <w:t>项目经理的更换</w:t>
      </w:r>
    </w:p>
    <w:p>
      <w:pPr>
        <w:tabs>
          <w:tab w:val="left" w:pos="1620"/>
          <w:tab w:val="left" w:pos="2340"/>
        </w:tabs>
        <w:adjustRightInd w:val="0"/>
        <w:snapToGrid w:val="0"/>
        <w:spacing w:beforeLines="0" w:line="360" w:lineRule="auto"/>
        <w:ind w:left="899"/>
        <w:rPr>
          <w:color w:val="auto"/>
        </w:rPr>
      </w:pPr>
      <w:r>
        <w:rPr>
          <w:rFonts w:hint="eastAsia"/>
          <w:color w:val="auto"/>
        </w:rPr>
        <w:t>⑴承包人的项目经理除以下情形之一外，不得更换：</w:t>
      </w:r>
    </w:p>
    <w:p>
      <w:pPr>
        <w:tabs>
          <w:tab w:val="left" w:pos="1620"/>
          <w:tab w:val="left" w:pos="2340"/>
        </w:tabs>
        <w:adjustRightInd w:val="0"/>
        <w:snapToGrid w:val="0"/>
        <w:spacing w:beforeLines="0" w:line="360" w:lineRule="auto"/>
        <w:ind w:left="1079"/>
        <w:rPr>
          <w:color w:val="auto"/>
        </w:rPr>
      </w:pPr>
      <w:r>
        <w:rPr>
          <w:rFonts w:hint="eastAsia"/>
          <w:color w:val="auto"/>
        </w:rPr>
        <w:t>①因重病或重伤(持有县、区以上医院证明)两个月以上不能履行职责的；</w:t>
      </w:r>
    </w:p>
    <w:p>
      <w:pPr>
        <w:tabs>
          <w:tab w:val="left" w:pos="1620"/>
          <w:tab w:val="left" w:pos="2340"/>
        </w:tabs>
        <w:adjustRightInd w:val="0"/>
        <w:snapToGrid w:val="0"/>
        <w:spacing w:beforeLines="0" w:line="360" w:lineRule="auto"/>
        <w:ind w:left="1079"/>
        <w:rPr>
          <w:color w:val="auto"/>
        </w:rPr>
      </w:pPr>
      <w:r>
        <w:rPr>
          <w:rFonts w:hint="eastAsia"/>
          <w:color w:val="auto"/>
        </w:rPr>
        <w:t>②主动辞职或调离原工作单位的；</w:t>
      </w:r>
    </w:p>
    <w:p>
      <w:pPr>
        <w:tabs>
          <w:tab w:val="left" w:pos="1620"/>
          <w:tab w:val="left" w:pos="2340"/>
        </w:tabs>
        <w:adjustRightInd w:val="0"/>
        <w:snapToGrid w:val="0"/>
        <w:spacing w:beforeLines="0" w:line="360" w:lineRule="auto"/>
        <w:ind w:left="1079"/>
        <w:rPr>
          <w:color w:val="auto"/>
        </w:rPr>
      </w:pPr>
      <w:r>
        <w:rPr>
          <w:rFonts w:hint="eastAsia"/>
          <w:color w:val="auto"/>
        </w:rPr>
        <w:t>③因管理原因发生重大工程质量、安全事故，承包人认为该项目经理不称职需要更换的；</w:t>
      </w:r>
    </w:p>
    <w:p>
      <w:pPr>
        <w:tabs>
          <w:tab w:val="left" w:pos="1620"/>
          <w:tab w:val="left" w:pos="2340"/>
        </w:tabs>
        <w:adjustRightInd w:val="0"/>
        <w:snapToGrid w:val="0"/>
        <w:spacing w:beforeLines="0" w:line="360" w:lineRule="auto"/>
        <w:ind w:left="1079"/>
        <w:rPr>
          <w:color w:val="auto"/>
        </w:rPr>
      </w:pPr>
      <w:r>
        <w:rPr>
          <w:rFonts w:hint="eastAsia"/>
          <w:color w:val="auto"/>
        </w:rPr>
        <w:t>④无能力履行合同的责任和义务，造成严重后果，发包人要求更换的；</w:t>
      </w:r>
    </w:p>
    <w:p>
      <w:pPr>
        <w:tabs>
          <w:tab w:val="left" w:pos="1620"/>
          <w:tab w:val="left" w:pos="2340"/>
        </w:tabs>
        <w:adjustRightInd w:val="0"/>
        <w:snapToGrid w:val="0"/>
        <w:spacing w:beforeLines="0" w:line="360" w:lineRule="auto"/>
        <w:ind w:left="1079"/>
        <w:rPr>
          <w:color w:val="auto"/>
        </w:rPr>
      </w:pPr>
      <w:r>
        <w:rPr>
          <w:rFonts w:hint="eastAsia"/>
          <w:color w:val="auto"/>
        </w:rPr>
        <w:t>⑤因违法被责令停止执业的；</w:t>
      </w:r>
    </w:p>
    <w:p>
      <w:pPr>
        <w:tabs>
          <w:tab w:val="left" w:pos="1620"/>
          <w:tab w:val="left" w:pos="2340"/>
        </w:tabs>
        <w:adjustRightInd w:val="0"/>
        <w:snapToGrid w:val="0"/>
        <w:spacing w:beforeLines="0" w:line="360" w:lineRule="auto"/>
        <w:ind w:left="1079"/>
        <w:rPr>
          <w:color w:val="auto"/>
        </w:rPr>
      </w:pPr>
      <w:r>
        <w:rPr>
          <w:rFonts w:hint="eastAsia"/>
          <w:color w:val="auto"/>
        </w:rPr>
        <w:t>⑥因</w:t>
      </w:r>
      <w:r>
        <w:rPr>
          <w:color w:val="auto"/>
        </w:rPr>
        <w:t>涉嫌</w:t>
      </w:r>
      <w:r>
        <w:rPr>
          <w:rFonts w:hint="eastAsia"/>
          <w:color w:val="auto"/>
        </w:rPr>
        <w:t>犯罪被羁押或判刑的；</w:t>
      </w:r>
    </w:p>
    <w:p>
      <w:pPr>
        <w:tabs>
          <w:tab w:val="left" w:pos="1620"/>
          <w:tab w:val="left" w:pos="2340"/>
        </w:tabs>
        <w:adjustRightInd w:val="0"/>
        <w:snapToGrid w:val="0"/>
        <w:spacing w:beforeLines="0" w:after="0" w:line="360" w:lineRule="auto"/>
        <w:ind w:left="1079"/>
        <w:rPr>
          <w:color w:val="auto"/>
        </w:rPr>
      </w:pPr>
      <w:r>
        <w:rPr>
          <w:rFonts w:hint="eastAsia"/>
          <w:color w:val="auto"/>
        </w:rPr>
        <w:t>⑦死亡。</w:t>
      </w:r>
    </w:p>
    <w:p>
      <w:pPr>
        <w:tabs>
          <w:tab w:val="left" w:pos="1620"/>
          <w:tab w:val="left" w:pos="2340"/>
        </w:tabs>
        <w:adjustRightInd w:val="0"/>
        <w:snapToGrid w:val="0"/>
        <w:spacing w:beforeLines="0" w:after="0" w:line="360" w:lineRule="auto"/>
        <w:ind w:left="899"/>
        <w:rPr>
          <w:color w:val="auto"/>
        </w:rPr>
      </w:pPr>
      <w:r>
        <w:rPr>
          <w:rFonts w:hint="eastAsia"/>
          <w:color w:val="auto"/>
        </w:rPr>
        <w:t>⑵承包人如确需更换项目经理，应至少提前7天以书面形式通知</w:t>
      </w:r>
      <w:r>
        <w:rPr>
          <w:color w:val="auto"/>
        </w:rPr>
        <w:t>监理人</w:t>
      </w:r>
      <w:r>
        <w:rPr>
          <w:rFonts w:hint="eastAsia"/>
          <w:color w:val="auto"/>
        </w:rPr>
        <w:t>，并报发包人同意，并按市建设行政主管部门的规定办理变更手续，否则更换无效。发包人应在收到通知后7天内予以答复，否则视为同意。续任项目经理应继续行使合同约定的项目经理的职权和履行相应的义务。承包人未经</w:t>
      </w:r>
      <w:r>
        <w:rPr>
          <w:color w:val="auto"/>
        </w:rPr>
        <w:t>监理人</w:t>
      </w:r>
      <w:r>
        <w:rPr>
          <w:rFonts w:hint="eastAsia"/>
          <w:color w:val="auto"/>
        </w:rPr>
        <w:t>及发包人同意更换项目经理的，发包人可按照</w:t>
      </w:r>
      <w:r>
        <w:rPr>
          <w:rFonts w:hint="eastAsia"/>
          <w:b/>
          <w:i/>
          <w:color w:val="auto"/>
        </w:rPr>
        <w:t>专用条款</w:t>
      </w:r>
      <w:r>
        <w:rPr>
          <w:rFonts w:hint="eastAsia"/>
          <w:color w:val="auto"/>
        </w:rPr>
        <w:t>中的约定对承包人进行相应处罚。</w:t>
      </w:r>
    </w:p>
    <w:p>
      <w:pPr>
        <w:tabs>
          <w:tab w:val="left" w:pos="1620"/>
          <w:tab w:val="left" w:pos="2340"/>
        </w:tabs>
        <w:adjustRightInd w:val="0"/>
        <w:snapToGrid w:val="0"/>
        <w:spacing w:beforeLines="0" w:after="0" w:line="360" w:lineRule="auto"/>
        <w:ind w:left="899"/>
        <w:rPr>
          <w:color w:val="auto"/>
        </w:rPr>
      </w:pPr>
      <w:r>
        <w:rPr>
          <w:rFonts w:hint="eastAsia"/>
          <w:color w:val="auto"/>
        </w:rPr>
        <w:t>⑶</w:t>
      </w:r>
      <w:r>
        <w:rPr>
          <w:color w:val="auto"/>
        </w:rPr>
        <w:t>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承包人无正当理由拒绝更换项目经理的，应按照</w:t>
      </w:r>
      <w:r>
        <w:rPr>
          <w:b/>
          <w:i/>
          <w:color w:val="auto"/>
        </w:rPr>
        <w:t>专用条款</w:t>
      </w:r>
      <w:r>
        <w:rPr>
          <w:color w:val="auto"/>
        </w:rPr>
        <w:t>的约定承担违约责任。</w:t>
      </w:r>
    </w:p>
    <w:p>
      <w:pPr>
        <w:adjustRightInd w:val="0"/>
        <w:snapToGrid w:val="0"/>
        <w:spacing w:before="0" w:beforeLines="0" w:after="0" w:line="360" w:lineRule="auto"/>
        <w:ind w:left="359"/>
        <w:rPr>
          <w:color w:val="auto"/>
        </w:rPr>
      </w:pPr>
      <w:r>
        <w:rPr>
          <w:b/>
          <w:color w:val="auto"/>
        </w:rPr>
        <w:t>4.5</w:t>
      </w:r>
      <w:r>
        <w:rPr>
          <w:rFonts w:hint="eastAsia"/>
          <w:b/>
          <w:color w:val="auto"/>
        </w:rPr>
        <w:t>项目经理的临时授权</w:t>
      </w:r>
    </w:p>
    <w:p>
      <w:pPr>
        <w:tabs>
          <w:tab w:val="left" w:pos="1620"/>
          <w:tab w:val="left" w:pos="2340"/>
        </w:tabs>
        <w:adjustRightInd w:val="0"/>
        <w:snapToGrid w:val="0"/>
        <w:spacing w:beforeLines="0" w:after="0" w:line="360" w:lineRule="auto"/>
        <w:ind w:left="899"/>
        <w:rPr>
          <w:color w:val="auto"/>
        </w:rPr>
      </w:pPr>
      <w:r>
        <w:rPr>
          <w:rFonts w:hint="eastAsia"/>
          <w:color w:val="auto"/>
        </w:rPr>
        <w:t>⑴</w:t>
      </w:r>
      <w:r>
        <w:rPr>
          <w:color w:val="auto"/>
        </w:rPr>
        <w:t>项目经理因特殊情况授权其下属人员履行其某项工作职责的，该下属人员应具备履行相应职责的能力，并应提前7天将上述人员的姓名和授权范围书面通知监理人，并征得发包人书面同意。</w:t>
      </w:r>
      <w:r>
        <w:rPr>
          <w:rFonts w:hint="eastAsia"/>
          <w:color w:val="auto"/>
        </w:rPr>
        <w:t>未经发包人批准，任何此类任命和撤回均为无效。</w:t>
      </w:r>
    </w:p>
    <w:p>
      <w:pPr>
        <w:tabs>
          <w:tab w:val="left" w:pos="1620"/>
          <w:tab w:val="left" w:pos="2340"/>
        </w:tabs>
        <w:adjustRightInd w:val="0"/>
        <w:snapToGrid w:val="0"/>
        <w:spacing w:beforeLines="0" w:after="0" w:line="360" w:lineRule="auto"/>
        <w:ind w:left="899"/>
        <w:rPr>
          <w:color w:val="auto"/>
        </w:rPr>
      </w:pPr>
      <w:r>
        <w:rPr>
          <w:rFonts w:hint="eastAsia"/>
          <w:color w:val="auto"/>
        </w:rPr>
        <w:t>⑵项目经理临时任命人在项目经理暂离现场期间行使项目经理授予的职权，对承包人负责。临时任命人在项目经理授予职权范围和期限内的工作，项目经理应予认可。</w:t>
      </w:r>
    </w:p>
    <w:p>
      <w:pPr>
        <w:adjustRightInd w:val="0"/>
        <w:snapToGrid w:val="0"/>
        <w:spacing w:before="0" w:beforeLines="0" w:after="0" w:line="360" w:lineRule="auto"/>
        <w:ind w:left="359"/>
        <w:rPr>
          <w:color w:val="auto"/>
        </w:rPr>
      </w:pPr>
      <w:r>
        <w:rPr>
          <w:b/>
          <w:color w:val="auto"/>
        </w:rPr>
        <w:t>4.6</w:t>
      </w:r>
      <w:r>
        <w:rPr>
          <w:rFonts w:hint="eastAsia"/>
          <w:b/>
          <w:color w:val="auto"/>
        </w:rPr>
        <w:t>施工管理人员</w:t>
      </w:r>
    </w:p>
    <w:p>
      <w:pPr>
        <w:tabs>
          <w:tab w:val="left" w:pos="1620"/>
          <w:tab w:val="left" w:pos="2340"/>
        </w:tabs>
        <w:adjustRightInd w:val="0"/>
        <w:snapToGrid w:val="0"/>
        <w:spacing w:beforeLines="0" w:after="0" w:line="360" w:lineRule="auto"/>
        <w:ind w:left="899"/>
        <w:rPr>
          <w:color w:val="auto"/>
        </w:rPr>
      </w:pPr>
      <w:r>
        <w:rPr>
          <w:rFonts w:hint="eastAsia"/>
          <w:color w:val="auto"/>
        </w:rPr>
        <w:t>⑴承包人应按照投标文件的承诺，为本工程配备施工、技术、合同、材料、质量、安全、财务和劳资等施工管理人员。承包人应在合同签订后</w:t>
      </w:r>
      <w:r>
        <w:rPr>
          <w:color w:val="auto"/>
        </w:rPr>
        <w:t>7天内提交施工管理人员的名单及其岗位、注册执业资格等，以及与承包人之间的劳动关系证明和缴纳社会保险的有效证明供监理人和发包人审核，承包人项目管理机构的设置应与投标文件一致。</w:t>
      </w:r>
    </w:p>
    <w:p>
      <w:pPr>
        <w:tabs>
          <w:tab w:val="left" w:pos="1620"/>
          <w:tab w:val="left" w:pos="2340"/>
        </w:tabs>
        <w:adjustRightInd w:val="0"/>
        <w:snapToGrid w:val="0"/>
        <w:spacing w:beforeLines="0" w:after="0" w:line="360" w:lineRule="auto"/>
        <w:ind w:left="899"/>
        <w:rPr>
          <w:color w:val="auto"/>
        </w:rPr>
      </w:pPr>
      <w:r>
        <w:rPr>
          <w:rFonts w:hint="eastAsia"/>
          <w:color w:val="auto"/>
        </w:rPr>
        <w:t>⑵承包人的主要施工管理人员</w:t>
      </w:r>
      <w:r>
        <w:rPr>
          <w:color w:val="auto"/>
        </w:rPr>
        <w:t>(技术负责人、质量负责人、安全负责人、安全员、劳资专管员及专用条款约定的其他人员)应与投标文件所载明的人选一致且相对稳定。承包人如确需更换主要施工管理人员，应至少提前7天以书面形式通知监理人，并报发包人同意。发包人应在收到通知后7天内予以答复，否则视为同意。</w:t>
      </w:r>
    </w:p>
    <w:p>
      <w:pPr>
        <w:tabs>
          <w:tab w:val="left" w:pos="1620"/>
          <w:tab w:val="left" w:pos="2340"/>
        </w:tabs>
        <w:adjustRightInd w:val="0"/>
        <w:snapToGrid w:val="0"/>
        <w:spacing w:beforeLines="0" w:after="0" w:line="360" w:lineRule="auto"/>
        <w:ind w:left="899"/>
        <w:rPr>
          <w:color w:val="auto"/>
        </w:rPr>
      </w:pPr>
      <w:r>
        <w:rPr>
          <w:rFonts w:hint="eastAsia"/>
          <w:color w:val="auto"/>
        </w:rPr>
        <w:t>⑶承包人的主要施工管理人员应保证常驻现场。除专用条款另有约定外，承包人的主要施工管理人员离开施工现场每月累计不超过</w:t>
      </w:r>
      <w:r>
        <w:rPr>
          <w:color w:val="auto"/>
        </w:rPr>
        <w:t>5天的，应报监理人同意；离开施工现场每月累计超过5天的，应以书面形式通知监理人，并报发包人同意。主要施工管理人员离开施工现场前应指定一名有经验的人员临时代行其职责，该人员应具备履行相应职责的资格和能力，且应征得监理人或发包人的同意。</w:t>
      </w:r>
    </w:p>
    <w:p>
      <w:pPr>
        <w:tabs>
          <w:tab w:val="left" w:pos="1620"/>
          <w:tab w:val="left" w:pos="2340"/>
        </w:tabs>
        <w:adjustRightInd w:val="0"/>
        <w:snapToGrid w:val="0"/>
        <w:spacing w:beforeLines="0" w:after="0" w:line="360" w:lineRule="auto"/>
        <w:ind w:left="899"/>
        <w:rPr>
          <w:color w:val="auto"/>
        </w:rPr>
      </w:pPr>
      <w:r>
        <w:rPr>
          <w:rFonts w:hint="eastAsia"/>
          <w:color w:val="auto"/>
        </w:rPr>
        <w:t>⑷承包人的劳资专管员应掌握施工现场用工、考勤、工资发放等情况，对分包人劳动用工实施监督管理，审核分包人编制的工人工资支付表。</w:t>
      </w:r>
    </w:p>
    <w:p>
      <w:pPr>
        <w:tabs>
          <w:tab w:val="left" w:pos="1620"/>
          <w:tab w:val="left" w:pos="2340"/>
        </w:tabs>
        <w:adjustRightInd w:val="0"/>
        <w:snapToGrid w:val="0"/>
        <w:spacing w:beforeLines="0" w:after="0" w:line="360" w:lineRule="auto"/>
        <w:ind w:left="899"/>
        <w:rPr>
          <w:color w:val="auto"/>
        </w:rPr>
      </w:pPr>
      <w:r>
        <w:rPr>
          <w:rFonts w:hint="eastAsia"/>
          <w:color w:val="auto"/>
        </w:rPr>
        <w:t>⑸承包人的管理人员在施工期间出现以下情况，应承担专用条款的约定的违约责任：</w:t>
      </w:r>
    </w:p>
    <w:p>
      <w:pPr>
        <w:pStyle w:val="19"/>
        <w:numPr>
          <w:ilvl w:val="0"/>
          <w:numId w:val="2"/>
        </w:numPr>
        <w:tabs>
          <w:tab w:val="left" w:pos="1620"/>
          <w:tab w:val="left" w:pos="2340"/>
        </w:tabs>
        <w:adjustRightInd w:val="0"/>
        <w:snapToGrid w:val="0"/>
        <w:spacing w:beforeLines="0" w:after="0" w:line="360" w:lineRule="auto"/>
        <w:ind w:firstLineChars="0"/>
        <w:rPr>
          <w:color w:val="auto"/>
        </w:rPr>
      </w:pPr>
      <w:r>
        <w:rPr>
          <w:rFonts w:hint="eastAsia"/>
          <w:color w:val="auto"/>
        </w:rPr>
        <w:t>承包人的项目管理机构设置与投标文件的承诺不一致；</w:t>
      </w:r>
      <w:r>
        <w:rPr>
          <w:color w:val="auto"/>
        </w:rPr>
        <w:t xml:space="preserve"> </w:t>
      </w:r>
    </w:p>
    <w:p>
      <w:pPr>
        <w:pStyle w:val="19"/>
        <w:numPr>
          <w:ilvl w:val="0"/>
          <w:numId w:val="2"/>
        </w:numPr>
        <w:tabs>
          <w:tab w:val="left" w:pos="1620"/>
          <w:tab w:val="left" w:pos="2340"/>
        </w:tabs>
        <w:adjustRightInd w:val="0"/>
        <w:snapToGrid w:val="0"/>
        <w:spacing w:beforeLines="0" w:after="0" w:line="360" w:lineRule="auto"/>
        <w:ind w:firstLineChars="0"/>
        <w:rPr>
          <w:color w:val="auto"/>
        </w:rPr>
      </w:pPr>
      <w:r>
        <w:rPr>
          <w:rFonts w:hint="eastAsia"/>
          <w:color w:val="auto"/>
        </w:rPr>
        <w:t>承包人的主要施工管理人员不到位；</w:t>
      </w:r>
    </w:p>
    <w:p>
      <w:pPr>
        <w:pStyle w:val="19"/>
        <w:numPr>
          <w:ilvl w:val="0"/>
          <w:numId w:val="2"/>
        </w:numPr>
        <w:tabs>
          <w:tab w:val="left" w:pos="1620"/>
          <w:tab w:val="left" w:pos="2340"/>
        </w:tabs>
        <w:adjustRightInd w:val="0"/>
        <w:snapToGrid w:val="0"/>
        <w:spacing w:beforeLines="0" w:after="0" w:line="360" w:lineRule="auto"/>
        <w:ind w:firstLineChars="0"/>
        <w:rPr>
          <w:color w:val="auto"/>
        </w:rPr>
      </w:pPr>
      <w:r>
        <w:rPr>
          <w:rFonts w:hint="eastAsia"/>
          <w:color w:val="auto"/>
        </w:rPr>
        <w:t>未经发包人同意，承包人擅自更换主要施工管理人员；</w:t>
      </w:r>
    </w:p>
    <w:p>
      <w:pPr>
        <w:pStyle w:val="19"/>
        <w:numPr>
          <w:ilvl w:val="0"/>
          <w:numId w:val="2"/>
        </w:numPr>
        <w:tabs>
          <w:tab w:val="left" w:pos="1620"/>
          <w:tab w:val="left" w:pos="2340"/>
        </w:tabs>
        <w:adjustRightInd w:val="0"/>
        <w:snapToGrid w:val="0"/>
        <w:spacing w:beforeLines="0" w:after="0" w:line="360" w:lineRule="auto"/>
        <w:ind w:firstLineChars="0"/>
        <w:rPr>
          <w:color w:val="auto"/>
        </w:rPr>
      </w:pPr>
      <w:r>
        <w:rPr>
          <w:rFonts w:hint="eastAsia"/>
          <w:color w:val="auto"/>
        </w:rPr>
        <w:t>承包人的主要施工管理人员未经监理人或发包人同意擅自离开施工现场的；</w:t>
      </w:r>
    </w:p>
    <w:p>
      <w:pPr>
        <w:pStyle w:val="19"/>
        <w:tabs>
          <w:tab w:val="left" w:pos="1620"/>
          <w:tab w:val="left" w:pos="2340"/>
        </w:tabs>
        <w:adjustRightInd w:val="0"/>
        <w:snapToGrid w:val="0"/>
        <w:spacing w:beforeLines="0" w:after="0" w:line="360" w:lineRule="auto"/>
        <w:ind w:left="1139" w:firstLine="240" w:firstLineChars="100"/>
        <w:rPr>
          <w:color w:val="auto"/>
        </w:rPr>
      </w:pPr>
      <w:r>
        <w:rPr>
          <w:rFonts w:hint="eastAsia"/>
          <w:color w:val="auto"/>
        </w:rPr>
        <w:t>⑤承包人的主要施工管理人员同时兼任承包人其它工程项目的任何职务。</w:t>
      </w:r>
    </w:p>
    <w:p>
      <w:pPr>
        <w:tabs>
          <w:tab w:val="left" w:pos="1620"/>
          <w:tab w:val="left" w:pos="2340"/>
        </w:tabs>
        <w:adjustRightInd w:val="0"/>
        <w:snapToGrid w:val="0"/>
        <w:spacing w:beforeLines="0" w:after="0" w:line="360" w:lineRule="auto"/>
        <w:ind w:left="899"/>
        <w:rPr>
          <w:color w:val="auto"/>
        </w:rPr>
      </w:pPr>
      <w:r>
        <w:rPr>
          <w:rFonts w:hint="eastAsia"/>
          <w:color w:val="auto"/>
        </w:rPr>
        <w:t>⑹</w:t>
      </w:r>
      <w:r>
        <w:rPr>
          <w:color w:val="auto"/>
        </w:rPr>
        <w:t>发包人对于承包人主要施工管理人员</w:t>
      </w:r>
      <w:r>
        <w:rPr>
          <w:rFonts w:hint="eastAsia"/>
          <w:color w:val="auto"/>
        </w:rPr>
        <w:t>的资格或能力</w:t>
      </w:r>
      <w:r>
        <w:rPr>
          <w:color w:val="auto"/>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w:t>
      </w:r>
      <w:r>
        <w:rPr>
          <w:b/>
          <w:i/>
          <w:color w:val="auto"/>
        </w:rPr>
        <w:t>专用条款</w:t>
      </w:r>
      <w:r>
        <w:rPr>
          <w:color w:val="auto"/>
        </w:rPr>
        <w:t>的约定承担违约责任。</w:t>
      </w:r>
    </w:p>
    <w:p>
      <w:pPr>
        <w:adjustRightInd w:val="0"/>
        <w:snapToGrid w:val="0"/>
        <w:spacing w:before="0" w:beforeLines="0" w:after="0" w:line="360" w:lineRule="auto"/>
        <w:ind w:left="359"/>
        <w:rPr>
          <w:color w:val="auto"/>
        </w:rPr>
      </w:pPr>
      <w:r>
        <w:rPr>
          <w:b/>
          <w:color w:val="auto"/>
        </w:rPr>
        <w:t>4.7</w:t>
      </w:r>
      <w:r>
        <w:rPr>
          <w:rFonts w:hint="eastAsia"/>
          <w:b/>
          <w:color w:val="auto"/>
        </w:rPr>
        <w:t>联合体承包人</w:t>
      </w:r>
    </w:p>
    <w:p>
      <w:pPr>
        <w:tabs>
          <w:tab w:val="left" w:pos="1620"/>
          <w:tab w:val="left" w:pos="2340"/>
        </w:tabs>
        <w:adjustRightInd w:val="0"/>
        <w:snapToGrid w:val="0"/>
        <w:spacing w:beforeLines="0" w:line="360" w:lineRule="auto"/>
        <w:ind w:left="899"/>
        <w:rPr>
          <w:color w:val="auto"/>
        </w:rPr>
      </w:pPr>
      <w:r>
        <w:rPr>
          <w:rFonts w:hint="eastAsia"/>
          <w:color w:val="auto"/>
        </w:rPr>
        <w:t>如果承包人是由两个或两个以上的当事人依法组成的联营体、联合体或其他形式的组合：</w:t>
      </w:r>
    </w:p>
    <w:p>
      <w:pPr>
        <w:tabs>
          <w:tab w:val="left" w:pos="1620"/>
          <w:tab w:val="left" w:pos="2340"/>
        </w:tabs>
        <w:adjustRightInd w:val="0"/>
        <w:snapToGrid w:val="0"/>
        <w:spacing w:beforeLines="0" w:line="360" w:lineRule="auto"/>
        <w:ind w:left="899" w:firstLine="181"/>
        <w:rPr>
          <w:color w:val="auto"/>
        </w:rPr>
      </w:pPr>
      <w:r>
        <w:rPr>
          <w:rFonts w:hint="eastAsia"/>
          <w:color w:val="auto"/>
        </w:rPr>
        <w:t>①各成员在履行合同上对发包人负有共同的和各自的责任；</w:t>
      </w:r>
    </w:p>
    <w:p>
      <w:pPr>
        <w:tabs>
          <w:tab w:val="left" w:pos="1620"/>
          <w:tab w:val="left" w:pos="2340"/>
        </w:tabs>
        <w:adjustRightInd w:val="0"/>
        <w:snapToGrid w:val="0"/>
        <w:spacing w:beforeLines="0" w:line="360" w:lineRule="auto"/>
        <w:ind w:left="899" w:firstLine="181"/>
        <w:rPr>
          <w:color w:val="auto"/>
        </w:rPr>
      </w:pPr>
      <w:r>
        <w:rPr>
          <w:rFonts w:hint="eastAsia"/>
          <w:color w:val="auto"/>
        </w:rPr>
        <w:t>②各成员应将承包人及其各自的负责人通知发包人；</w:t>
      </w:r>
    </w:p>
    <w:p>
      <w:pPr>
        <w:tabs>
          <w:tab w:val="left" w:pos="1620"/>
          <w:tab w:val="left" w:pos="2340"/>
        </w:tabs>
        <w:adjustRightInd w:val="0"/>
        <w:snapToGrid w:val="0"/>
        <w:spacing w:beforeLines="0" w:line="360" w:lineRule="auto"/>
        <w:ind w:left="899" w:firstLine="181"/>
        <w:rPr>
          <w:color w:val="auto"/>
        </w:rPr>
      </w:pPr>
      <w:r>
        <w:rPr>
          <w:rFonts w:hint="eastAsia"/>
          <w:color w:val="auto"/>
        </w:rPr>
        <w:t>③未经发包人事先同意，承包人不得改变其组成或法律地位；</w:t>
      </w:r>
    </w:p>
    <w:p>
      <w:pPr>
        <w:tabs>
          <w:tab w:val="left" w:pos="1620"/>
          <w:tab w:val="left" w:pos="2340"/>
        </w:tabs>
        <w:adjustRightInd w:val="0"/>
        <w:snapToGrid w:val="0"/>
        <w:spacing w:beforeLines="0" w:line="360" w:lineRule="auto"/>
        <w:ind w:left="899" w:firstLine="181"/>
        <w:rPr>
          <w:color w:val="auto"/>
        </w:rPr>
      </w:pPr>
      <w:r>
        <w:rPr>
          <w:rFonts w:hint="eastAsia"/>
          <w:color w:val="auto"/>
        </w:rPr>
        <w:t>④各成员的责任、权利、义务、合同价款的分配比例及方式在联合体协议中明确。</w:t>
      </w:r>
    </w:p>
    <w:p>
      <w:pPr>
        <w:adjustRightInd w:val="0"/>
        <w:snapToGrid w:val="0"/>
        <w:spacing w:before="0" w:beforeLines="0" w:after="0" w:line="360" w:lineRule="auto"/>
        <w:ind w:left="178"/>
        <w:rPr>
          <w:color w:val="auto"/>
          <w:sz w:val="28"/>
        </w:rPr>
      </w:pPr>
      <w:r>
        <w:rPr>
          <w:b/>
          <w:color w:val="auto"/>
          <w:sz w:val="28"/>
        </w:rPr>
        <w:t>5监理人</w:t>
      </w:r>
    </w:p>
    <w:p>
      <w:pPr>
        <w:adjustRightInd w:val="0"/>
        <w:snapToGrid w:val="0"/>
        <w:spacing w:before="0" w:beforeLines="0" w:after="0" w:line="360" w:lineRule="auto"/>
        <w:ind w:left="359"/>
        <w:rPr>
          <w:color w:val="auto"/>
        </w:rPr>
      </w:pPr>
      <w:r>
        <w:rPr>
          <w:b/>
          <w:color w:val="auto"/>
        </w:rPr>
        <w:t>5.1监理人</w:t>
      </w:r>
      <w:r>
        <w:rPr>
          <w:rFonts w:hint="eastAsia"/>
          <w:b/>
          <w:color w:val="auto"/>
        </w:rPr>
        <w:t>的通知</w:t>
      </w:r>
    </w:p>
    <w:p>
      <w:pPr>
        <w:tabs>
          <w:tab w:val="left" w:pos="1620"/>
          <w:tab w:val="left" w:pos="2340"/>
        </w:tabs>
        <w:adjustRightInd w:val="0"/>
        <w:snapToGrid w:val="0"/>
        <w:spacing w:beforeLines="0" w:after="0" w:line="360" w:lineRule="auto"/>
        <w:ind w:left="899"/>
        <w:rPr>
          <w:color w:val="auto"/>
        </w:rPr>
      </w:pPr>
      <w:r>
        <w:rPr>
          <w:rFonts w:hint="eastAsia"/>
          <w:color w:val="auto"/>
        </w:rPr>
        <w:t>发包人应在本合同</w:t>
      </w:r>
      <w:r>
        <w:rPr>
          <w:rFonts w:hint="eastAsia"/>
          <w:b/>
          <w:i/>
          <w:color w:val="auto"/>
        </w:rPr>
        <w:t>专用条款</w:t>
      </w:r>
      <w:r>
        <w:rPr>
          <w:rFonts w:hint="eastAsia"/>
          <w:color w:val="auto"/>
        </w:rPr>
        <w:t>中列明</w:t>
      </w:r>
      <w:r>
        <w:rPr>
          <w:color w:val="auto"/>
        </w:rPr>
        <w:t>监理人</w:t>
      </w:r>
      <w:r>
        <w:rPr>
          <w:rFonts w:hint="eastAsia"/>
          <w:color w:val="auto"/>
        </w:rPr>
        <w:t>。实施监理的工程，发包人应在开工前将</w:t>
      </w:r>
      <w:r>
        <w:rPr>
          <w:color w:val="auto"/>
        </w:rPr>
        <w:t>监理人</w:t>
      </w:r>
      <w:r>
        <w:rPr>
          <w:rFonts w:hint="eastAsia"/>
          <w:color w:val="auto"/>
        </w:rPr>
        <w:t>和总监理工程师的名称、姓名、监理内容书面通知承包人。发包人如需更换</w:t>
      </w:r>
      <w:r>
        <w:rPr>
          <w:color w:val="auto"/>
        </w:rPr>
        <w:t>监理人</w:t>
      </w:r>
      <w:r>
        <w:rPr>
          <w:rFonts w:hint="eastAsia"/>
          <w:color w:val="auto"/>
        </w:rPr>
        <w:t>，应至少提前7天以书面形式通知承包人。</w:t>
      </w:r>
    </w:p>
    <w:p>
      <w:pPr>
        <w:adjustRightInd w:val="0"/>
        <w:snapToGrid w:val="0"/>
        <w:spacing w:before="0" w:beforeLines="0" w:after="0" w:line="360" w:lineRule="auto"/>
        <w:ind w:left="359"/>
        <w:rPr>
          <w:color w:val="auto"/>
        </w:rPr>
      </w:pPr>
      <w:r>
        <w:rPr>
          <w:b/>
          <w:color w:val="auto"/>
        </w:rPr>
        <w:t>5.2监理人</w:t>
      </w:r>
      <w:r>
        <w:rPr>
          <w:rFonts w:hint="eastAsia"/>
          <w:b/>
          <w:color w:val="auto"/>
        </w:rPr>
        <w:t>的职权</w:t>
      </w:r>
    </w:p>
    <w:p>
      <w:pPr>
        <w:tabs>
          <w:tab w:val="left" w:pos="1620"/>
          <w:tab w:val="left" w:pos="2340"/>
        </w:tabs>
        <w:adjustRightInd w:val="0"/>
        <w:snapToGrid w:val="0"/>
        <w:spacing w:beforeLines="0" w:after="0" w:line="360" w:lineRule="auto"/>
        <w:ind w:left="899"/>
        <w:rPr>
          <w:color w:val="auto"/>
        </w:rPr>
      </w:pPr>
      <w:r>
        <w:rPr>
          <w:color w:val="auto"/>
        </w:rPr>
        <w:t>监理人</w:t>
      </w:r>
      <w:r>
        <w:rPr>
          <w:rFonts w:hint="eastAsia"/>
          <w:color w:val="auto"/>
        </w:rPr>
        <w:t>应履行本合同条款约定的职责，行使本合同订明或必然隐含的权力。除合同明确说明外，</w:t>
      </w:r>
      <w:r>
        <w:rPr>
          <w:color w:val="auto"/>
        </w:rPr>
        <w:t>监理人</w:t>
      </w:r>
      <w:r>
        <w:rPr>
          <w:rFonts w:hint="eastAsia"/>
          <w:color w:val="auto"/>
        </w:rPr>
        <w:t>无权修改合同，亦无权免除承包人在合同内的任何职责和义务。</w:t>
      </w:r>
      <w:r>
        <w:rPr>
          <w:color w:val="auto"/>
        </w:rPr>
        <w:t>监理人</w:t>
      </w:r>
      <w:r>
        <w:rPr>
          <w:rFonts w:hint="eastAsia"/>
          <w:color w:val="auto"/>
        </w:rPr>
        <w:t>在履行和行使其职权时，其任何行为或遗漏，不免除承包人履行合同约定的任何职责和义务。</w:t>
      </w:r>
    </w:p>
    <w:p>
      <w:pPr>
        <w:adjustRightInd w:val="0"/>
        <w:snapToGrid w:val="0"/>
        <w:spacing w:before="0" w:beforeLines="0" w:after="0" w:line="360" w:lineRule="auto"/>
        <w:ind w:left="359"/>
        <w:rPr>
          <w:color w:val="auto"/>
        </w:rPr>
      </w:pPr>
      <w:r>
        <w:rPr>
          <w:b/>
          <w:color w:val="auto"/>
        </w:rPr>
        <w:t>5.3监理人</w:t>
      </w:r>
      <w:r>
        <w:rPr>
          <w:rFonts w:hint="eastAsia"/>
          <w:b/>
          <w:color w:val="auto"/>
        </w:rPr>
        <w:t>权力的限制</w:t>
      </w:r>
    </w:p>
    <w:p>
      <w:pPr>
        <w:tabs>
          <w:tab w:val="left" w:pos="1620"/>
          <w:tab w:val="left" w:pos="2340"/>
        </w:tabs>
        <w:adjustRightInd w:val="0"/>
        <w:snapToGrid w:val="0"/>
        <w:spacing w:beforeLines="0" w:line="360" w:lineRule="auto"/>
        <w:ind w:left="899"/>
        <w:rPr>
          <w:color w:val="auto"/>
        </w:rPr>
      </w:pPr>
      <w:r>
        <w:rPr>
          <w:rFonts w:hint="eastAsia"/>
          <w:color w:val="auto"/>
        </w:rPr>
        <w:t>⑴</w:t>
      </w:r>
      <w:r>
        <w:rPr>
          <w:color w:val="auto"/>
        </w:rPr>
        <w:t>监理人</w:t>
      </w:r>
      <w:r>
        <w:rPr>
          <w:rFonts w:hint="eastAsia"/>
          <w:color w:val="auto"/>
        </w:rPr>
        <w:t>行使下列权力时，应先取得发包人的批准。但是，当</w:t>
      </w:r>
      <w:r>
        <w:rPr>
          <w:color w:val="auto"/>
        </w:rPr>
        <w:t>监理人</w:t>
      </w:r>
      <w:r>
        <w:rPr>
          <w:rFonts w:hint="eastAsia"/>
          <w:color w:val="auto"/>
        </w:rPr>
        <w:t>行使下列需经发包人批准的权力时，应视为发包人已予批准：</w:t>
      </w:r>
    </w:p>
    <w:p>
      <w:pPr>
        <w:tabs>
          <w:tab w:val="left" w:pos="1620"/>
          <w:tab w:val="left" w:pos="2340"/>
        </w:tabs>
        <w:adjustRightInd w:val="0"/>
        <w:snapToGrid w:val="0"/>
        <w:spacing w:beforeLines="0" w:line="360" w:lineRule="auto"/>
        <w:ind w:left="1079"/>
        <w:rPr>
          <w:color w:val="auto"/>
        </w:rPr>
      </w:pPr>
      <w:r>
        <w:rPr>
          <w:rFonts w:hint="eastAsia"/>
          <w:color w:val="auto"/>
        </w:rPr>
        <w:t>①发布开工令、停工令、复工令；</w:t>
      </w:r>
    </w:p>
    <w:p>
      <w:pPr>
        <w:tabs>
          <w:tab w:val="left" w:pos="1620"/>
          <w:tab w:val="left" w:pos="2340"/>
        </w:tabs>
        <w:adjustRightInd w:val="0"/>
        <w:snapToGrid w:val="0"/>
        <w:spacing w:beforeLines="0" w:line="360" w:lineRule="auto"/>
        <w:ind w:left="1079"/>
        <w:rPr>
          <w:color w:val="auto"/>
        </w:rPr>
      </w:pPr>
      <w:r>
        <w:rPr>
          <w:rFonts w:hint="eastAsia"/>
          <w:color w:val="auto"/>
        </w:rPr>
        <w:t>②向</w:t>
      </w:r>
      <w:r>
        <w:rPr>
          <w:color w:val="auto"/>
        </w:rPr>
        <w:t>设计人</w:t>
      </w:r>
      <w:r>
        <w:rPr>
          <w:rFonts w:hint="eastAsia"/>
          <w:color w:val="auto"/>
        </w:rPr>
        <w:t>或承包人提出建议且提出的建议可能会提高工程造价或延误工期；</w:t>
      </w:r>
    </w:p>
    <w:p>
      <w:pPr>
        <w:tabs>
          <w:tab w:val="left" w:pos="1620"/>
          <w:tab w:val="left" w:pos="2340"/>
        </w:tabs>
        <w:adjustRightInd w:val="0"/>
        <w:snapToGrid w:val="0"/>
        <w:spacing w:beforeLines="0" w:line="360" w:lineRule="auto"/>
        <w:ind w:left="1079"/>
        <w:rPr>
          <w:color w:val="auto"/>
        </w:rPr>
      </w:pPr>
      <w:r>
        <w:rPr>
          <w:rFonts w:hint="eastAsia"/>
          <w:color w:val="auto"/>
        </w:rPr>
        <w:t>③对本工程任何形式、数量、质量、价款和内容上的变动；</w:t>
      </w:r>
    </w:p>
    <w:p>
      <w:pPr>
        <w:tabs>
          <w:tab w:val="left" w:pos="1620"/>
          <w:tab w:val="left" w:pos="2340"/>
        </w:tabs>
        <w:adjustRightInd w:val="0"/>
        <w:snapToGrid w:val="0"/>
        <w:spacing w:beforeLines="0" w:line="360" w:lineRule="auto"/>
        <w:ind w:left="1079"/>
        <w:rPr>
          <w:color w:val="auto"/>
        </w:rPr>
      </w:pPr>
      <w:r>
        <w:rPr>
          <w:rFonts w:hint="eastAsia"/>
          <w:color w:val="auto"/>
        </w:rPr>
        <w:t>④对合同约定的承包人职责和义务进行变更；</w:t>
      </w:r>
    </w:p>
    <w:p>
      <w:pPr>
        <w:tabs>
          <w:tab w:val="left" w:pos="1620"/>
          <w:tab w:val="left" w:pos="2340"/>
        </w:tabs>
        <w:adjustRightInd w:val="0"/>
        <w:snapToGrid w:val="0"/>
        <w:spacing w:beforeLines="0" w:line="360" w:lineRule="auto"/>
        <w:ind w:left="1079"/>
        <w:rPr>
          <w:color w:val="auto"/>
        </w:rPr>
      </w:pPr>
      <w:r>
        <w:rPr>
          <w:rFonts w:hint="eastAsia"/>
          <w:color w:val="auto"/>
        </w:rPr>
        <w:t>⑤提出或批准索赔；</w:t>
      </w:r>
    </w:p>
    <w:p>
      <w:pPr>
        <w:tabs>
          <w:tab w:val="left" w:pos="1620"/>
          <w:tab w:val="left" w:pos="2340"/>
        </w:tabs>
        <w:adjustRightInd w:val="0"/>
        <w:snapToGrid w:val="0"/>
        <w:spacing w:beforeLines="0" w:line="360" w:lineRule="auto"/>
        <w:ind w:left="1079"/>
        <w:rPr>
          <w:color w:val="auto"/>
        </w:rPr>
      </w:pPr>
      <w:r>
        <w:rPr>
          <w:rFonts w:hint="eastAsia"/>
          <w:color w:val="auto"/>
        </w:rPr>
        <w:t>⑥签发工程款支付证书；</w:t>
      </w:r>
    </w:p>
    <w:p>
      <w:pPr>
        <w:tabs>
          <w:tab w:val="left" w:pos="1620"/>
          <w:tab w:val="left" w:pos="2340"/>
        </w:tabs>
        <w:adjustRightInd w:val="0"/>
        <w:snapToGrid w:val="0"/>
        <w:spacing w:beforeLines="0" w:line="360" w:lineRule="auto"/>
        <w:ind w:left="1079"/>
        <w:rPr>
          <w:color w:val="auto"/>
        </w:rPr>
      </w:pPr>
      <w:r>
        <w:rPr>
          <w:rFonts w:hint="eastAsia"/>
          <w:color w:val="auto"/>
        </w:rPr>
        <w:t>⑦合同条款中明确约定应取得发包人批准的其他权力；</w:t>
      </w:r>
    </w:p>
    <w:p>
      <w:pPr>
        <w:tabs>
          <w:tab w:val="left" w:pos="1620"/>
          <w:tab w:val="left" w:pos="2340"/>
        </w:tabs>
        <w:adjustRightInd w:val="0"/>
        <w:snapToGrid w:val="0"/>
        <w:spacing w:beforeLines="0" w:line="360" w:lineRule="auto"/>
        <w:ind w:left="1079"/>
        <w:rPr>
          <w:color w:val="auto"/>
        </w:rPr>
      </w:pPr>
      <w:r>
        <w:rPr>
          <w:rFonts w:hint="eastAsia"/>
          <w:color w:val="auto"/>
        </w:rPr>
        <w:t>⑧</w:t>
      </w:r>
      <w:r>
        <w:rPr>
          <w:rFonts w:hint="eastAsia"/>
          <w:b/>
          <w:i/>
          <w:color w:val="auto"/>
        </w:rPr>
        <w:t>专用条款</w:t>
      </w:r>
      <w:r>
        <w:rPr>
          <w:rFonts w:hint="eastAsia"/>
          <w:color w:val="auto"/>
        </w:rPr>
        <w:t>中明确的其他需经发包人批准的权力。</w:t>
      </w:r>
    </w:p>
    <w:p>
      <w:pPr>
        <w:tabs>
          <w:tab w:val="left" w:pos="1620"/>
          <w:tab w:val="left" w:pos="2340"/>
        </w:tabs>
        <w:adjustRightInd w:val="0"/>
        <w:snapToGrid w:val="0"/>
        <w:spacing w:before="0" w:beforeLines="0" w:after="0" w:line="360" w:lineRule="auto"/>
        <w:ind w:left="899"/>
        <w:rPr>
          <w:color w:val="auto"/>
        </w:rPr>
      </w:pPr>
      <w:r>
        <w:rPr>
          <w:rFonts w:hint="eastAsia"/>
          <w:color w:val="auto"/>
        </w:rPr>
        <w:t>⑵当</w:t>
      </w:r>
      <w:r>
        <w:rPr>
          <w:color w:val="auto"/>
        </w:rPr>
        <w:t>监理人</w:t>
      </w:r>
      <w:r>
        <w:rPr>
          <w:rFonts w:hint="eastAsia"/>
          <w:color w:val="auto"/>
        </w:rPr>
        <w:t>认为出现了危及人身、财产安全和立即影响工程安危的紧急情况，且不可能在事前把情况报告给发包人时，在不免除合同约定的承包人的任何职责和义务的情况下，</w:t>
      </w:r>
      <w:r>
        <w:rPr>
          <w:color w:val="auto"/>
        </w:rPr>
        <w:t>监理人</w:t>
      </w:r>
      <w:r>
        <w:rPr>
          <w:rFonts w:hint="eastAsia"/>
          <w:color w:val="auto"/>
        </w:rPr>
        <w:t>可先行行使5.3款⑴中的权力，并应在事后24小时内向发包人作出书面报告。</w:t>
      </w:r>
    </w:p>
    <w:p>
      <w:pPr>
        <w:adjustRightInd w:val="0"/>
        <w:snapToGrid w:val="0"/>
        <w:spacing w:before="0" w:beforeLines="0" w:after="0" w:line="360" w:lineRule="auto"/>
        <w:ind w:left="359"/>
        <w:rPr>
          <w:color w:val="auto"/>
        </w:rPr>
      </w:pPr>
      <w:r>
        <w:rPr>
          <w:b/>
          <w:color w:val="auto"/>
        </w:rPr>
        <w:t>5.4</w:t>
      </w:r>
      <w:r>
        <w:rPr>
          <w:rFonts w:hint="eastAsia"/>
          <w:b/>
          <w:color w:val="auto"/>
        </w:rPr>
        <w:t>总监理工程师</w:t>
      </w:r>
    </w:p>
    <w:p>
      <w:pPr>
        <w:tabs>
          <w:tab w:val="left" w:pos="1620"/>
          <w:tab w:val="left" w:pos="2340"/>
        </w:tabs>
        <w:adjustRightInd w:val="0"/>
        <w:snapToGrid w:val="0"/>
        <w:spacing w:beforeLines="0" w:after="0" w:line="360" w:lineRule="auto"/>
        <w:ind w:left="899"/>
        <w:rPr>
          <w:color w:val="auto"/>
        </w:rPr>
      </w:pPr>
      <w:r>
        <w:rPr>
          <w:rFonts w:hint="eastAsia"/>
          <w:color w:val="auto"/>
        </w:rPr>
        <w:t>⑴</w:t>
      </w:r>
      <w:r>
        <w:rPr>
          <w:color w:val="auto"/>
        </w:rPr>
        <w:t>监理人</w:t>
      </w:r>
      <w:r>
        <w:rPr>
          <w:rFonts w:hint="eastAsia"/>
          <w:color w:val="auto"/>
        </w:rPr>
        <w:t>可随时将其任何职责和权力授予其任命的总监理工程师(按有关规定或发包人指定必须由</w:t>
      </w:r>
      <w:r>
        <w:rPr>
          <w:color w:val="auto"/>
        </w:rPr>
        <w:t>监理人</w:t>
      </w:r>
      <w:r>
        <w:rPr>
          <w:rFonts w:hint="eastAsia"/>
          <w:color w:val="auto"/>
        </w:rPr>
        <w:t>亲自履行的职权不得转授)，亦可随时将其授予总监理工程师的任何职权撤回。任何此类授权和撤回应由</w:t>
      </w:r>
      <w:r>
        <w:rPr>
          <w:color w:val="auto"/>
        </w:rPr>
        <w:t>监理人</w:t>
      </w:r>
      <w:r>
        <w:rPr>
          <w:rFonts w:hint="eastAsia"/>
          <w:color w:val="auto"/>
        </w:rPr>
        <w:t>提前7天以书面形式通知发包人和承包人，在未将有关文件副本送交承包人之前，该项授权和撤回不能生效。</w:t>
      </w:r>
    </w:p>
    <w:p>
      <w:pPr>
        <w:tabs>
          <w:tab w:val="left" w:pos="1620"/>
          <w:tab w:val="left" w:pos="2340"/>
        </w:tabs>
        <w:adjustRightInd w:val="0"/>
        <w:snapToGrid w:val="0"/>
        <w:spacing w:beforeLines="0" w:after="0" w:line="360" w:lineRule="auto"/>
        <w:ind w:left="899"/>
        <w:rPr>
          <w:color w:val="auto"/>
        </w:rPr>
      </w:pPr>
      <w:r>
        <w:rPr>
          <w:rFonts w:hint="eastAsia"/>
          <w:color w:val="auto"/>
        </w:rPr>
        <w:t>⑵总监理工程师对</w:t>
      </w:r>
      <w:r>
        <w:rPr>
          <w:color w:val="auto"/>
        </w:rPr>
        <w:t>监理人</w:t>
      </w:r>
      <w:r>
        <w:rPr>
          <w:rFonts w:hint="eastAsia"/>
          <w:color w:val="auto"/>
        </w:rPr>
        <w:t>负责，履行和行使</w:t>
      </w:r>
      <w:r>
        <w:rPr>
          <w:color w:val="auto"/>
        </w:rPr>
        <w:t>监理人</w:t>
      </w:r>
      <w:r>
        <w:rPr>
          <w:rFonts w:hint="eastAsia"/>
          <w:color w:val="auto"/>
        </w:rPr>
        <w:t>授予的职责和权力。总监理工程师在其授权范围内履行职权时，视同</w:t>
      </w:r>
      <w:r>
        <w:rPr>
          <w:color w:val="auto"/>
        </w:rPr>
        <w:t>监理人</w:t>
      </w:r>
      <w:r>
        <w:rPr>
          <w:rFonts w:hint="eastAsia"/>
          <w:color w:val="auto"/>
        </w:rPr>
        <w:t>。</w:t>
      </w:r>
    </w:p>
    <w:p>
      <w:pPr>
        <w:adjustRightInd w:val="0"/>
        <w:snapToGrid w:val="0"/>
        <w:spacing w:before="0" w:beforeLines="0" w:after="0" w:line="360" w:lineRule="auto"/>
        <w:ind w:left="359"/>
        <w:rPr>
          <w:color w:val="auto"/>
        </w:rPr>
      </w:pPr>
      <w:r>
        <w:rPr>
          <w:b/>
          <w:color w:val="auto"/>
        </w:rPr>
        <w:t>5.5监理人</w:t>
      </w:r>
      <w:r>
        <w:rPr>
          <w:rFonts w:hint="eastAsia"/>
          <w:b/>
          <w:color w:val="auto"/>
        </w:rPr>
        <w:t>指令</w:t>
      </w:r>
    </w:p>
    <w:p>
      <w:pPr>
        <w:tabs>
          <w:tab w:val="left" w:pos="1620"/>
          <w:tab w:val="left" w:pos="2340"/>
        </w:tabs>
        <w:adjustRightInd w:val="0"/>
        <w:snapToGrid w:val="0"/>
        <w:spacing w:beforeLines="0" w:after="0" w:line="360" w:lineRule="auto"/>
        <w:ind w:left="899"/>
        <w:rPr>
          <w:color w:val="auto"/>
        </w:rPr>
      </w:pPr>
      <w:r>
        <w:rPr>
          <w:rFonts w:hint="eastAsia"/>
          <w:color w:val="auto"/>
        </w:rPr>
        <w:t>⑴</w:t>
      </w:r>
      <w:r>
        <w:rPr>
          <w:color w:val="auto"/>
        </w:rPr>
        <w:t>监理人</w:t>
      </w:r>
      <w:r>
        <w:rPr>
          <w:rFonts w:hint="eastAsia"/>
          <w:color w:val="auto"/>
        </w:rPr>
        <w:t>应按合同约定，及时向承包人提供所需的指令。</w:t>
      </w:r>
      <w:r>
        <w:rPr>
          <w:color w:val="auto"/>
        </w:rPr>
        <w:t>监理人</w:t>
      </w:r>
      <w:r>
        <w:rPr>
          <w:rFonts w:hint="eastAsia"/>
          <w:color w:val="auto"/>
        </w:rPr>
        <w:t>的指令以书面形式送达项目经理，项目经理在回执上签署姓名和收到时间后生效。</w:t>
      </w:r>
    </w:p>
    <w:p>
      <w:pPr>
        <w:tabs>
          <w:tab w:val="left" w:pos="1620"/>
          <w:tab w:val="left" w:pos="2340"/>
        </w:tabs>
        <w:adjustRightInd w:val="0"/>
        <w:snapToGrid w:val="0"/>
        <w:spacing w:beforeLines="0" w:after="0" w:line="360" w:lineRule="auto"/>
        <w:ind w:left="899"/>
        <w:rPr>
          <w:color w:val="auto"/>
        </w:rPr>
      </w:pPr>
      <w:r>
        <w:rPr>
          <w:rFonts w:hint="eastAsia"/>
          <w:color w:val="auto"/>
        </w:rPr>
        <w:t>⑵必要时，</w:t>
      </w:r>
      <w:r>
        <w:rPr>
          <w:color w:val="auto"/>
        </w:rPr>
        <w:t>监理人</w:t>
      </w:r>
      <w:r>
        <w:rPr>
          <w:rFonts w:hint="eastAsia"/>
          <w:color w:val="auto"/>
        </w:rPr>
        <w:t>可以发出口头指令，并在48小时内给予书面确认。对</w:t>
      </w:r>
      <w:r>
        <w:rPr>
          <w:color w:val="auto"/>
        </w:rPr>
        <w:t>监理人</w:t>
      </w:r>
      <w:r>
        <w:rPr>
          <w:rFonts w:hint="eastAsia"/>
          <w:color w:val="auto"/>
        </w:rPr>
        <w:t>的口头指令，承包人应予执行。如承包人在</w:t>
      </w:r>
      <w:r>
        <w:rPr>
          <w:color w:val="auto"/>
        </w:rPr>
        <w:t>监理人</w:t>
      </w:r>
      <w:r>
        <w:rPr>
          <w:rFonts w:hint="eastAsia"/>
          <w:color w:val="auto"/>
        </w:rPr>
        <w:t>发出的口头指令48小时之后，未收到</w:t>
      </w:r>
      <w:r>
        <w:rPr>
          <w:color w:val="auto"/>
        </w:rPr>
        <w:t>监理人</w:t>
      </w:r>
      <w:r>
        <w:rPr>
          <w:rFonts w:hint="eastAsia"/>
          <w:color w:val="auto"/>
        </w:rPr>
        <w:t>的书面确认，应在</w:t>
      </w:r>
      <w:r>
        <w:rPr>
          <w:color w:val="auto"/>
        </w:rPr>
        <w:t>监理人</w:t>
      </w:r>
      <w:r>
        <w:rPr>
          <w:rFonts w:hint="eastAsia"/>
          <w:color w:val="auto"/>
        </w:rPr>
        <w:t>发出口头指令后7天内提出书面确认要求，</w:t>
      </w:r>
      <w:r>
        <w:rPr>
          <w:color w:val="auto"/>
        </w:rPr>
        <w:t>监理人</w:t>
      </w:r>
      <w:r>
        <w:rPr>
          <w:rFonts w:hint="eastAsia"/>
          <w:color w:val="auto"/>
        </w:rPr>
        <w:t>应在承包人提出书面确认要求后48小时内给予答复，逾期不予答复的，视为口头指令已被确认。</w:t>
      </w:r>
    </w:p>
    <w:p>
      <w:pPr>
        <w:tabs>
          <w:tab w:val="left" w:pos="1620"/>
          <w:tab w:val="left" w:pos="2340"/>
        </w:tabs>
        <w:adjustRightInd w:val="0"/>
        <w:snapToGrid w:val="0"/>
        <w:spacing w:beforeLines="0" w:after="0" w:line="360" w:lineRule="auto"/>
        <w:ind w:left="899"/>
        <w:rPr>
          <w:color w:val="auto"/>
        </w:rPr>
      </w:pPr>
      <w:r>
        <w:rPr>
          <w:rFonts w:hint="eastAsia"/>
          <w:color w:val="auto"/>
        </w:rPr>
        <w:t>⑶承包人认为</w:t>
      </w:r>
      <w:r>
        <w:rPr>
          <w:color w:val="auto"/>
        </w:rPr>
        <w:t>监理人</w:t>
      </w:r>
      <w:r>
        <w:rPr>
          <w:rFonts w:hint="eastAsia"/>
          <w:color w:val="auto"/>
        </w:rPr>
        <w:t>的指令不合理，应在收到指令后24小时内向</w:t>
      </w:r>
      <w:r>
        <w:rPr>
          <w:color w:val="auto"/>
        </w:rPr>
        <w:t>监理人</w:t>
      </w:r>
      <w:r>
        <w:rPr>
          <w:rFonts w:hint="eastAsia"/>
          <w:color w:val="auto"/>
        </w:rPr>
        <w:t>报告，</w:t>
      </w:r>
      <w:r>
        <w:rPr>
          <w:color w:val="auto"/>
        </w:rPr>
        <w:t>监理人</w:t>
      </w:r>
      <w:r>
        <w:rPr>
          <w:rFonts w:hint="eastAsia"/>
          <w:color w:val="auto"/>
        </w:rPr>
        <w:t>应在收到承包人报告后24小时内作出修改指令或继续执行原指令的决定，通知承包人。</w:t>
      </w:r>
      <w:r>
        <w:rPr>
          <w:color w:val="auto"/>
        </w:rPr>
        <w:t>监理人逾期未回复的，承包人有权拒绝执行上述指示。</w:t>
      </w:r>
    </w:p>
    <w:p>
      <w:pPr>
        <w:tabs>
          <w:tab w:val="left" w:pos="1620"/>
          <w:tab w:val="left" w:pos="2340"/>
        </w:tabs>
        <w:adjustRightInd w:val="0"/>
        <w:snapToGrid w:val="0"/>
        <w:spacing w:beforeLines="0" w:after="0" w:line="360" w:lineRule="auto"/>
        <w:ind w:left="899"/>
        <w:rPr>
          <w:color w:val="auto"/>
        </w:rPr>
      </w:pPr>
      <w:r>
        <w:rPr>
          <w:rFonts w:hint="eastAsia"/>
          <w:color w:val="auto"/>
        </w:rPr>
        <w:t>⑷</w:t>
      </w:r>
      <w:r>
        <w:rPr>
          <w:color w:val="auto"/>
        </w:rPr>
        <w:t>监理人对承包人的任何工作、工程或其采用的材料和工程设备未在约定的或合理期限内提出意见的，视为批准，但不免除或减轻承包人对该工作、工程、材料、工程设备等应承担的责任和义务。</w:t>
      </w:r>
    </w:p>
    <w:p>
      <w:pPr>
        <w:adjustRightInd w:val="0"/>
        <w:snapToGrid w:val="0"/>
        <w:spacing w:before="0" w:beforeLines="0" w:after="0" w:line="360" w:lineRule="auto"/>
        <w:ind w:left="359"/>
        <w:rPr>
          <w:color w:val="auto"/>
        </w:rPr>
      </w:pPr>
      <w:r>
        <w:rPr>
          <w:b/>
          <w:color w:val="auto"/>
        </w:rPr>
        <w:t>5.6监理人</w:t>
      </w:r>
      <w:r>
        <w:rPr>
          <w:rFonts w:hint="eastAsia"/>
          <w:b/>
          <w:color w:val="auto"/>
        </w:rPr>
        <w:t>未尽义务或失误</w:t>
      </w:r>
    </w:p>
    <w:p>
      <w:pPr>
        <w:tabs>
          <w:tab w:val="left" w:pos="1620"/>
          <w:tab w:val="left" w:pos="2340"/>
        </w:tabs>
        <w:adjustRightInd w:val="0"/>
        <w:snapToGrid w:val="0"/>
        <w:spacing w:beforeLines="0" w:after="0" w:line="360" w:lineRule="auto"/>
        <w:ind w:left="899"/>
        <w:rPr>
          <w:color w:val="auto"/>
        </w:rPr>
      </w:pPr>
      <w:r>
        <w:rPr>
          <w:color w:val="auto"/>
        </w:rPr>
        <w:t>监理人</w:t>
      </w:r>
      <w:r>
        <w:rPr>
          <w:rFonts w:hint="eastAsia"/>
          <w:color w:val="auto"/>
        </w:rPr>
        <w:t>应按本合同约定，及时向承包人提供所需的指令、批准并履行约定的其他义务。因</w:t>
      </w:r>
      <w:r>
        <w:rPr>
          <w:color w:val="auto"/>
        </w:rPr>
        <w:t>监理人</w:t>
      </w:r>
      <w:r>
        <w:rPr>
          <w:rFonts w:hint="eastAsia"/>
          <w:color w:val="auto"/>
        </w:rPr>
        <w:t>未能按合同约定履行义务或因</w:t>
      </w:r>
      <w:r>
        <w:rPr>
          <w:color w:val="auto"/>
        </w:rPr>
        <w:t>监理人</w:t>
      </w:r>
      <w:r>
        <w:rPr>
          <w:rFonts w:hint="eastAsia"/>
          <w:color w:val="auto"/>
        </w:rPr>
        <w:t>的失误，给承包人造成损失和(或)导致工期延误的，发包人应赔偿承包人的损失，顺延延误的工期。</w:t>
      </w:r>
    </w:p>
    <w:p>
      <w:pPr>
        <w:adjustRightInd w:val="0"/>
        <w:snapToGrid w:val="0"/>
        <w:spacing w:before="0" w:beforeLines="0" w:after="0" w:line="360" w:lineRule="auto"/>
        <w:ind w:left="178"/>
        <w:rPr>
          <w:color w:val="auto"/>
          <w:sz w:val="28"/>
        </w:rPr>
      </w:pPr>
      <w:r>
        <w:rPr>
          <w:b/>
          <w:color w:val="auto"/>
          <w:sz w:val="28"/>
        </w:rPr>
        <w:t>6</w:t>
      </w:r>
      <w:r>
        <w:rPr>
          <w:rFonts w:hint="eastAsia"/>
          <w:b/>
          <w:color w:val="auto"/>
          <w:sz w:val="28"/>
        </w:rPr>
        <w:t>转让、分包</w:t>
      </w:r>
    </w:p>
    <w:p>
      <w:pPr>
        <w:adjustRightInd w:val="0"/>
        <w:snapToGrid w:val="0"/>
        <w:spacing w:before="0" w:beforeLines="0" w:after="0" w:line="360" w:lineRule="auto"/>
        <w:ind w:left="359"/>
        <w:rPr>
          <w:color w:val="auto"/>
        </w:rPr>
      </w:pPr>
      <w:r>
        <w:rPr>
          <w:b/>
          <w:color w:val="auto"/>
        </w:rPr>
        <w:t>6.1</w:t>
      </w:r>
      <w:r>
        <w:rPr>
          <w:rFonts w:hint="eastAsia"/>
          <w:b/>
          <w:color w:val="auto"/>
        </w:rPr>
        <w:t>转让</w:t>
      </w:r>
    </w:p>
    <w:p>
      <w:pPr>
        <w:tabs>
          <w:tab w:val="left" w:pos="1620"/>
          <w:tab w:val="left" w:pos="2340"/>
        </w:tabs>
        <w:adjustRightInd w:val="0"/>
        <w:snapToGrid w:val="0"/>
        <w:spacing w:beforeLines="0" w:after="0" w:line="360" w:lineRule="auto"/>
        <w:ind w:left="899"/>
        <w:rPr>
          <w:color w:val="auto"/>
        </w:rPr>
      </w:pPr>
      <w:r>
        <w:rPr>
          <w:rFonts w:hint="eastAsia"/>
          <w:color w:val="auto"/>
        </w:rPr>
        <w:t>承包人不得将本合同的全部工程或其中任何部分转让给其他单位或个人。如承包人有上述转让行为，按照</w:t>
      </w:r>
      <w:r>
        <w:rPr>
          <w:rFonts w:hint="eastAsia"/>
          <w:b/>
          <w:i/>
          <w:color w:val="auto"/>
        </w:rPr>
        <w:t>专用条款</w:t>
      </w:r>
      <w:r>
        <w:rPr>
          <w:rFonts w:hint="eastAsia"/>
          <w:color w:val="auto"/>
        </w:rPr>
        <w:t>的约定承担违约责任。</w:t>
      </w:r>
    </w:p>
    <w:p>
      <w:pPr>
        <w:adjustRightInd w:val="0"/>
        <w:snapToGrid w:val="0"/>
        <w:spacing w:before="0" w:beforeLines="0" w:after="0" w:line="360" w:lineRule="auto"/>
        <w:ind w:left="359"/>
        <w:rPr>
          <w:color w:val="auto"/>
        </w:rPr>
      </w:pPr>
      <w:r>
        <w:rPr>
          <w:b/>
          <w:color w:val="auto"/>
        </w:rPr>
        <w:t>6.2</w:t>
      </w:r>
      <w:r>
        <w:rPr>
          <w:rFonts w:hint="eastAsia"/>
          <w:b/>
          <w:color w:val="auto"/>
        </w:rPr>
        <w:t>分包</w:t>
      </w:r>
    </w:p>
    <w:p>
      <w:pPr>
        <w:tabs>
          <w:tab w:val="left" w:pos="1620"/>
          <w:tab w:val="left" w:pos="2340"/>
        </w:tabs>
        <w:adjustRightInd w:val="0"/>
        <w:snapToGrid w:val="0"/>
        <w:spacing w:beforeLines="0" w:after="0" w:line="360" w:lineRule="auto"/>
        <w:ind w:left="899"/>
        <w:rPr>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如承包人不具备其本工程承包范围内的某专业工程的专项施工资质时，应对该专业工程实施分包。</w:t>
      </w:r>
    </w:p>
    <w:p>
      <w:pPr>
        <w:tabs>
          <w:tab w:val="left" w:pos="1620"/>
          <w:tab w:val="left" w:pos="2340"/>
        </w:tabs>
        <w:adjustRightInd w:val="0"/>
        <w:snapToGrid w:val="0"/>
        <w:spacing w:beforeLines="0" w:after="0" w:line="360" w:lineRule="auto"/>
        <w:ind w:left="899"/>
        <w:rPr>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color w:val="auto"/>
        </w:rPr>
        <w:t>承包人不得将工程主体结构、关键性工作及</w:t>
      </w:r>
      <w:r>
        <w:rPr>
          <w:b/>
          <w:i/>
          <w:color w:val="auto"/>
        </w:rPr>
        <w:t>专用条款</w:t>
      </w:r>
      <w:r>
        <w:rPr>
          <w:color w:val="auto"/>
        </w:rPr>
        <w:t>中禁止分包的专业工程分包给第三人，主体结构、关键性工作的范围由承发包双方按照法律规定在</w:t>
      </w:r>
      <w:r>
        <w:rPr>
          <w:b/>
          <w:i/>
          <w:color w:val="auto"/>
        </w:rPr>
        <w:t>专用条款</w:t>
      </w:r>
      <w:r>
        <w:rPr>
          <w:color w:val="auto"/>
        </w:rPr>
        <w:t>中予以明确。</w:t>
      </w:r>
    </w:p>
    <w:p>
      <w:pPr>
        <w:tabs>
          <w:tab w:val="left" w:pos="1620"/>
          <w:tab w:val="left" w:pos="2340"/>
        </w:tabs>
        <w:adjustRightInd w:val="0"/>
        <w:snapToGrid w:val="0"/>
        <w:spacing w:beforeLines="0" w:after="0" w:line="360" w:lineRule="auto"/>
        <w:ind w:left="899"/>
        <w:rPr>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rPr>
        <w:t>未报经</w:t>
      </w:r>
      <w:r>
        <w:rPr>
          <w:color w:val="auto"/>
        </w:rPr>
        <w:t>监理人</w:t>
      </w:r>
      <w:r>
        <w:rPr>
          <w:rFonts w:hint="eastAsia"/>
          <w:color w:val="auto"/>
        </w:rPr>
        <w:t>审查并取得发包人批准，承包人不得将其本工程承包范围内的任何部分工程分包。如承包人有未经发包人同意的分包行为，按照</w:t>
      </w:r>
      <w:r>
        <w:rPr>
          <w:rFonts w:hint="eastAsia"/>
          <w:b/>
          <w:i/>
          <w:color w:val="auto"/>
        </w:rPr>
        <w:t>专用条款</w:t>
      </w:r>
      <w:r>
        <w:rPr>
          <w:rFonts w:hint="eastAsia"/>
          <w:color w:val="auto"/>
        </w:rPr>
        <w:t>的约定承担违约责任。</w:t>
      </w:r>
    </w:p>
    <w:p>
      <w:pPr>
        <w:tabs>
          <w:tab w:val="left" w:pos="1620"/>
          <w:tab w:val="left" w:pos="2340"/>
        </w:tabs>
        <w:adjustRightInd w:val="0"/>
        <w:snapToGrid w:val="0"/>
        <w:spacing w:beforeLines="0" w:after="0" w:line="360" w:lineRule="auto"/>
        <w:ind w:left="899"/>
        <w:rPr>
          <w:color w:val="auto"/>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rPr>
        <w:t>承包人应禁止分包人将分包工程的任何部分再分包。如出现分包人将分包工程的任何部分再分包的行为，承包人应按照</w:t>
      </w:r>
      <w:r>
        <w:rPr>
          <w:rFonts w:hint="eastAsia"/>
          <w:b/>
          <w:i/>
          <w:color w:val="auto"/>
        </w:rPr>
        <w:t>专用条款</w:t>
      </w:r>
      <w:r>
        <w:rPr>
          <w:rFonts w:hint="eastAsia"/>
          <w:color w:val="auto"/>
        </w:rPr>
        <w:t>的约定承担违约责任。</w:t>
      </w:r>
    </w:p>
    <w:p>
      <w:pPr>
        <w:tabs>
          <w:tab w:val="left" w:pos="1620"/>
          <w:tab w:val="left" w:pos="2340"/>
        </w:tabs>
        <w:adjustRightInd w:val="0"/>
        <w:snapToGrid w:val="0"/>
        <w:spacing w:beforeLines="0" w:after="0" w:line="360" w:lineRule="auto"/>
        <w:ind w:left="899"/>
        <w:rPr>
          <w:color w:val="auto"/>
        </w:rPr>
      </w:pPr>
      <w:r>
        <w:rPr>
          <w:rFonts w:hint="eastAsia"/>
          <w:color w:val="auto"/>
          <w:lang w:eastAsia="zh-CN"/>
        </w:rPr>
        <w:t>（</w:t>
      </w:r>
      <w:r>
        <w:rPr>
          <w:rFonts w:hint="eastAsia"/>
          <w:color w:val="auto"/>
          <w:lang w:val="en-US" w:eastAsia="zh-CN"/>
        </w:rPr>
        <w:t>5</w:t>
      </w:r>
      <w:r>
        <w:rPr>
          <w:rFonts w:hint="eastAsia"/>
          <w:color w:val="auto"/>
          <w:lang w:eastAsia="zh-CN"/>
        </w:rPr>
        <w:t>）</w:t>
      </w:r>
      <w:r>
        <w:rPr>
          <w:rFonts w:hint="eastAsia"/>
          <w:color w:val="auto"/>
        </w:rPr>
        <w:t>承包人不得将其承包范围内全部工程肢解分包。如承包人有将其承包范围内全部工程肢解分包的行为，按照</w:t>
      </w:r>
      <w:r>
        <w:rPr>
          <w:rFonts w:hint="eastAsia"/>
          <w:b/>
          <w:i/>
          <w:color w:val="auto"/>
        </w:rPr>
        <w:t>专用条款</w:t>
      </w:r>
      <w:r>
        <w:rPr>
          <w:rFonts w:hint="eastAsia"/>
          <w:color w:val="auto"/>
        </w:rPr>
        <w:t>的约定承担违约责任。</w:t>
      </w:r>
    </w:p>
    <w:p>
      <w:pPr>
        <w:adjustRightInd w:val="0"/>
        <w:snapToGrid w:val="0"/>
        <w:spacing w:before="0" w:beforeLines="0" w:after="0" w:line="360" w:lineRule="auto"/>
        <w:ind w:left="359"/>
        <w:rPr>
          <w:color w:val="auto"/>
        </w:rPr>
      </w:pPr>
      <w:r>
        <w:rPr>
          <w:b/>
          <w:color w:val="auto"/>
        </w:rPr>
        <w:t>6.3</w:t>
      </w:r>
      <w:r>
        <w:rPr>
          <w:rFonts w:hint="eastAsia"/>
          <w:b/>
          <w:color w:val="auto"/>
        </w:rPr>
        <w:t>分包人的确定</w:t>
      </w:r>
    </w:p>
    <w:p>
      <w:pPr>
        <w:tabs>
          <w:tab w:val="left" w:pos="1620"/>
          <w:tab w:val="left" w:pos="2340"/>
        </w:tabs>
        <w:adjustRightInd w:val="0"/>
        <w:snapToGrid w:val="0"/>
        <w:spacing w:beforeLines="0" w:after="0" w:line="360" w:lineRule="auto"/>
        <w:ind w:left="899"/>
        <w:rPr>
          <w:color w:val="auto"/>
        </w:rPr>
      </w:pPr>
      <w:r>
        <w:rPr>
          <w:rFonts w:hint="eastAsia"/>
          <w:color w:val="auto"/>
        </w:rPr>
        <w:t>⑴承包人按照6.2⑴款对某专业工程实施分包时，分包人必须具备承建该专业工程的施工资质条件，同时满足</w:t>
      </w:r>
      <w:r>
        <w:rPr>
          <w:rFonts w:hint="eastAsia"/>
          <w:b/>
          <w:i/>
          <w:color w:val="auto"/>
        </w:rPr>
        <w:t>专用条款</w:t>
      </w:r>
      <w:r>
        <w:rPr>
          <w:rFonts w:hint="eastAsia"/>
          <w:color w:val="auto"/>
        </w:rPr>
        <w:t>约定的条件。</w:t>
      </w:r>
    </w:p>
    <w:p>
      <w:pPr>
        <w:tabs>
          <w:tab w:val="left" w:pos="1620"/>
          <w:tab w:val="left" w:pos="2340"/>
        </w:tabs>
        <w:adjustRightInd w:val="0"/>
        <w:snapToGrid w:val="0"/>
        <w:spacing w:beforeLines="0" w:after="0" w:line="360" w:lineRule="auto"/>
        <w:ind w:left="899"/>
        <w:rPr>
          <w:color w:val="auto"/>
        </w:rPr>
      </w:pPr>
      <w:r>
        <w:rPr>
          <w:rFonts w:hint="eastAsia"/>
          <w:color w:val="auto"/>
        </w:rPr>
        <w:t>⑵选择分包人时，承包人有义务依据</w:t>
      </w:r>
      <w:r>
        <w:rPr>
          <w:color w:val="auto"/>
        </w:rPr>
        <w:t>监理人</w:t>
      </w:r>
      <w:r>
        <w:rPr>
          <w:rFonts w:hint="eastAsia"/>
          <w:color w:val="auto"/>
        </w:rPr>
        <w:t>的要求向</w:t>
      </w:r>
      <w:r>
        <w:rPr>
          <w:color w:val="auto"/>
        </w:rPr>
        <w:t>监理人</w:t>
      </w:r>
      <w:r>
        <w:rPr>
          <w:rFonts w:hint="eastAsia"/>
          <w:color w:val="auto"/>
        </w:rPr>
        <w:t>提供拟选分包人的一切资料，经发包人和</w:t>
      </w:r>
      <w:r>
        <w:rPr>
          <w:color w:val="auto"/>
        </w:rPr>
        <w:t>监理人</w:t>
      </w:r>
      <w:r>
        <w:rPr>
          <w:rFonts w:hint="eastAsia"/>
          <w:color w:val="auto"/>
        </w:rPr>
        <w:t>批准后作为分包人。</w:t>
      </w:r>
    </w:p>
    <w:p>
      <w:pPr>
        <w:adjustRightInd w:val="0"/>
        <w:snapToGrid w:val="0"/>
        <w:spacing w:before="0" w:beforeLines="0" w:after="0" w:line="360" w:lineRule="auto"/>
        <w:ind w:left="359"/>
        <w:rPr>
          <w:color w:val="auto"/>
        </w:rPr>
      </w:pPr>
      <w:r>
        <w:rPr>
          <w:b/>
          <w:color w:val="auto"/>
        </w:rPr>
        <w:t>6.4</w:t>
      </w:r>
      <w:r>
        <w:rPr>
          <w:rFonts w:hint="eastAsia"/>
          <w:b/>
          <w:color w:val="auto"/>
        </w:rPr>
        <w:t>分包合同</w:t>
      </w:r>
    </w:p>
    <w:p>
      <w:pPr>
        <w:tabs>
          <w:tab w:val="left" w:pos="1620"/>
          <w:tab w:val="left" w:pos="2340"/>
        </w:tabs>
        <w:adjustRightInd w:val="0"/>
        <w:snapToGrid w:val="0"/>
        <w:spacing w:beforeLines="0" w:after="0" w:line="360" w:lineRule="auto"/>
        <w:ind w:left="899"/>
        <w:rPr>
          <w:color w:val="auto"/>
        </w:rPr>
      </w:pPr>
      <w:r>
        <w:rPr>
          <w:rFonts w:hint="eastAsia"/>
          <w:color w:val="auto"/>
        </w:rPr>
        <w:t>⑴承包人与分包人签订分包合同后7天内，应将分包合同送发包人和</w:t>
      </w:r>
      <w:r>
        <w:rPr>
          <w:color w:val="auto"/>
        </w:rPr>
        <w:t>监理人</w:t>
      </w:r>
      <w:r>
        <w:rPr>
          <w:rFonts w:hint="eastAsia"/>
          <w:color w:val="auto"/>
        </w:rPr>
        <w:t>各一份存档。</w:t>
      </w:r>
    </w:p>
    <w:p>
      <w:pPr>
        <w:tabs>
          <w:tab w:val="left" w:pos="1620"/>
          <w:tab w:val="left" w:pos="2340"/>
        </w:tabs>
        <w:adjustRightInd w:val="0"/>
        <w:snapToGrid w:val="0"/>
        <w:spacing w:beforeLines="0" w:after="0" w:line="360" w:lineRule="auto"/>
        <w:ind w:left="899"/>
        <w:rPr>
          <w:color w:val="auto"/>
        </w:rPr>
      </w:pPr>
      <w:r>
        <w:rPr>
          <w:rFonts w:hint="eastAsia"/>
          <w:color w:val="auto"/>
        </w:rPr>
        <w:t>⑵承包人对分包合同承担连带责任。分包合同不解除本合同约定承包人的任何义务与责任，承包人在分包工程现场应派驻监督管理人员，保证分包合同的履行。分包人的任何违约或疏忽，均视为承包人违约或疏忽。</w:t>
      </w:r>
    </w:p>
    <w:p>
      <w:pPr>
        <w:tabs>
          <w:tab w:val="left" w:pos="1620"/>
          <w:tab w:val="left" w:pos="2340"/>
        </w:tabs>
        <w:adjustRightInd w:val="0"/>
        <w:snapToGrid w:val="0"/>
        <w:spacing w:beforeLines="0" w:after="0" w:line="360" w:lineRule="auto"/>
        <w:ind w:left="899"/>
        <w:rPr>
          <w:color w:val="auto"/>
        </w:rPr>
      </w:pPr>
      <w:r>
        <w:rPr>
          <w:rFonts w:hint="eastAsia"/>
          <w:color w:val="auto"/>
        </w:rPr>
        <w:t>⑶分包工程价款由承包人与分包人结算。除本合同另有约定或取得承包人的同意外，发包人不得以任何形式向分包人支付各种工程价款。</w:t>
      </w:r>
    </w:p>
    <w:p>
      <w:pPr>
        <w:tabs>
          <w:tab w:val="left" w:pos="1620"/>
          <w:tab w:val="left" w:pos="2340"/>
        </w:tabs>
        <w:adjustRightInd w:val="0"/>
        <w:snapToGrid w:val="0"/>
        <w:spacing w:beforeLines="0" w:after="0" w:line="360" w:lineRule="auto"/>
        <w:ind w:left="899"/>
        <w:rPr>
          <w:color w:val="auto"/>
        </w:rPr>
      </w:pPr>
      <w:r>
        <w:rPr>
          <w:rFonts w:hint="eastAsia"/>
          <w:color w:val="auto"/>
        </w:rPr>
        <w:t>⑷承包人有义务向发包人提供其向分包人支付工程款项的证明。如承包人有拖欠分包人工程款项行为的，视为承包人违约，发包人有权直接向分包人支付承包人未支付的应得款项，并从承包人的应得工程款项中抵扣。</w:t>
      </w:r>
    </w:p>
    <w:p>
      <w:pPr>
        <w:adjustRightInd w:val="0"/>
        <w:snapToGrid w:val="0"/>
        <w:spacing w:before="0" w:beforeLines="0" w:after="0" w:line="360" w:lineRule="auto"/>
        <w:ind w:left="178"/>
        <w:rPr>
          <w:color w:val="auto"/>
          <w:sz w:val="28"/>
        </w:rPr>
      </w:pPr>
      <w:r>
        <w:rPr>
          <w:b/>
          <w:color w:val="auto"/>
          <w:sz w:val="28"/>
        </w:rPr>
        <w:t>7</w:t>
      </w:r>
      <w:r>
        <w:rPr>
          <w:rFonts w:hint="eastAsia"/>
          <w:b/>
          <w:color w:val="auto"/>
          <w:sz w:val="28"/>
        </w:rPr>
        <w:t>专业工程发包</w:t>
      </w:r>
    </w:p>
    <w:p>
      <w:pPr>
        <w:adjustRightInd w:val="0"/>
        <w:snapToGrid w:val="0"/>
        <w:spacing w:before="0" w:beforeLines="0" w:after="0" w:line="360" w:lineRule="auto"/>
        <w:ind w:left="359"/>
        <w:rPr>
          <w:color w:val="auto"/>
        </w:rPr>
      </w:pPr>
      <w:r>
        <w:rPr>
          <w:b/>
          <w:color w:val="auto"/>
        </w:rPr>
        <w:t>7.1</w:t>
      </w:r>
      <w:r>
        <w:rPr>
          <w:rFonts w:hint="eastAsia"/>
          <w:b/>
          <w:color w:val="auto"/>
        </w:rPr>
        <w:t>专业工程承包人</w:t>
      </w:r>
    </w:p>
    <w:p>
      <w:pPr>
        <w:tabs>
          <w:tab w:val="left" w:pos="1620"/>
          <w:tab w:val="left" w:pos="2340"/>
        </w:tabs>
        <w:adjustRightInd w:val="0"/>
        <w:snapToGrid w:val="0"/>
        <w:spacing w:beforeLines="0" w:after="0" w:line="360" w:lineRule="auto"/>
        <w:ind w:left="899"/>
        <w:rPr>
          <w:color w:val="auto"/>
        </w:rPr>
      </w:pPr>
      <w:r>
        <w:rPr>
          <w:rFonts w:hint="eastAsia"/>
          <w:color w:val="auto"/>
        </w:rPr>
        <w:t>⑴发包人可将本工程中承包人承包范围以外的专业工程，按照有关法律、法规的规定另行组织招标确定专业工程承包人，并在</w:t>
      </w:r>
      <w:r>
        <w:rPr>
          <w:rFonts w:hint="eastAsia"/>
          <w:b/>
          <w:i/>
          <w:color w:val="auto"/>
        </w:rPr>
        <w:t>专用条款</w:t>
      </w:r>
      <w:r>
        <w:rPr>
          <w:rFonts w:hint="eastAsia"/>
          <w:color w:val="auto"/>
        </w:rPr>
        <w:t>中明确另行发包的专业工程以及专业工程承包人。</w:t>
      </w:r>
    </w:p>
    <w:p>
      <w:pPr>
        <w:tabs>
          <w:tab w:val="left" w:pos="1620"/>
          <w:tab w:val="left" w:pos="2340"/>
        </w:tabs>
        <w:adjustRightInd w:val="0"/>
        <w:snapToGrid w:val="0"/>
        <w:spacing w:beforeLines="0" w:after="0" w:line="360" w:lineRule="auto"/>
        <w:ind w:left="899"/>
        <w:rPr>
          <w:color w:val="auto"/>
        </w:rPr>
      </w:pPr>
      <w:r>
        <w:rPr>
          <w:rFonts w:hint="eastAsia"/>
          <w:color w:val="auto"/>
        </w:rPr>
        <w:t>⑵专业工程施工合同由发包人与专业工程承包人签订。发包人应保障承包人免于承担应由专业工程承包人承担的责任和义务，任何由于专业工程承包人未履行上述责任和义务，或由于专业工程承包人的过失而造成的任何损失，承包人免于承担。</w:t>
      </w:r>
    </w:p>
    <w:p>
      <w:pPr>
        <w:tabs>
          <w:tab w:val="left" w:pos="1620"/>
          <w:tab w:val="left" w:pos="2340"/>
        </w:tabs>
        <w:adjustRightInd w:val="0"/>
        <w:snapToGrid w:val="0"/>
        <w:spacing w:beforeLines="0" w:after="0" w:line="360" w:lineRule="auto"/>
        <w:ind w:left="899"/>
        <w:rPr>
          <w:color w:val="auto"/>
        </w:rPr>
      </w:pPr>
      <w:r>
        <w:rPr>
          <w:rFonts w:hint="eastAsia"/>
          <w:color w:val="auto"/>
        </w:rPr>
        <w:t>⑶专业工程承包人应接受承包人的统一协调管理，施工中协作配合。</w:t>
      </w:r>
    </w:p>
    <w:p>
      <w:pPr>
        <w:adjustRightInd w:val="0"/>
        <w:snapToGrid w:val="0"/>
        <w:spacing w:before="0" w:beforeLines="0" w:after="0" w:line="360" w:lineRule="auto"/>
        <w:ind w:left="359"/>
        <w:rPr>
          <w:color w:val="auto"/>
        </w:rPr>
      </w:pPr>
      <w:r>
        <w:rPr>
          <w:b/>
          <w:color w:val="auto"/>
        </w:rPr>
        <w:t>7.2总承包服务费</w:t>
      </w:r>
    </w:p>
    <w:p>
      <w:pPr>
        <w:tabs>
          <w:tab w:val="left" w:pos="1620"/>
          <w:tab w:val="left" w:pos="2340"/>
        </w:tabs>
        <w:adjustRightInd w:val="0"/>
        <w:snapToGrid w:val="0"/>
        <w:spacing w:beforeLines="0" w:after="0" w:line="360" w:lineRule="auto"/>
        <w:ind w:left="899"/>
        <w:rPr>
          <w:color w:val="auto"/>
        </w:rPr>
      </w:pPr>
      <w:r>
        <w:rPr>
          <w:rFonts w:hint="eastAsia"/>
          <w:color w:val="auto"/>
        </w:rPr>
        <w:t>⑴</w:t>
      </w:r>
      <w:r>
        <w:rPr>
          <w:color w:val="auto"/>
        </w:rPr>
        <w:t>总承包服务费是承包人为配合协调发包人进行的专业工程发包、对发包人自行采购的材料与设备等进行保管以及施工现场管理、竣工资料汇总整理等服务所需的费用。包括总包管理服务费和发包人供应材料（设备）保管费</w:t>
      </w:r>
      <w:r>
        <w:rPr>
          <w:rFonts w:hint="eastAsia"/>
          <w:color w:val="auto"/>
        </w:rPr>
        <w:t>，其对应的工作内容可在</w:t>
      </w:r>
      <w:r>
        <w:rPr>
          <w:rFonts w:hint="eastAsia"/>
          <w:b/>
          <w:i/>
          <w:color w:val="auto"/>
        </w:rPr>
        <w:t>专用条款</w:t>
      </w:r>
      <w:r>
        <w:rPr>
          <w:rFonts w:hint="eastAsia"/>
          <w:color w:val="auto"/>
        </w:rPr>
        <w:t>中详细约定</w:t>
      </w:r>
      <w:r>
        <w:rPr>
          <w:color w:val="auto"/>
        </w:rPr>
        <w:t>。</w:t>
      </w:r>
    </w:p>
    <w:p>
      <w:pPr>
        <w:tabs>
          <w:tab w:val="left" w:pos="1620"/>
          <w:tab w:val="left" w:pos="2340"/>
        </w:tabs>
        <w:adjustRightInd w:val="0"/>
        <w:snapToGrid w:val="0"/>
        <w:spacing w:beforeLines="0" w:after="0" w:line="360" w:lineRule="auto"/>
        <w:ind w:left="899"/>
        <w:rPr>
          <w:color w:val="auto"/>
        </w:rPr>
      </w:pPr>
      <w:r>
        <w:rPr>
          <w:rFonts w:hint="eastAsia"/>
          <w:color w:val="auto"/>
        </w:rPr>
        <w:t>⑵</w:t>
      </w:r>
      <w:r>
        <w:rPr>
          <w:color w:val="auto"/>
        </w:rPr>
        <w:t>发包人自行发包的专业工程需要使用承包人设施或其提供的服务，其费用已包含在总包工程费用或该分包工程费用中，可由</w:t>
      </w:r>
      <w:r>
        <w:rPr>
          <w:rFonts w:hint="eastAsia"/>
          <w:color w:val="auto"/>
        </w:rPr>
        <w:t>专业工程承包人和承包人</w:t>
      </w:r>
      <w:r>
        <w:rPr>
          <w:color w:val="auto"/>
        </w:rPr>
        <w:t>根据该设施或服务情况协商支付，不得向发包人另行索要。</w:t>
      </w:r>
    </w:p>
    <w:p>
      <w:pPr>
        <w:adjustRightInd w:val="0"/>
        <w:snapToGrid w:val="0"/>
        <w:spacing w:before="0" w:beforeLines="0" w:after="0" w:line="360" w:lineRule="auto"/>
        <w:ind w:left="359"/>
        <w:rPr>
          <w:color w:val="auto"/>
        </w:rPr>
      </w:pPr>
      <w:r>
        <w:rPr>
          <w:b/>
          <w:color w:val="auto"/>
        </w:rPr>
        <w:t>7.3</w:t>
      </w:r>
      <w:r>
        <w:rPr>
          <w:rFonts w:hint="eastAsia"/>
          <w:b/>
          <w:color w:val="auto"/>
        </w:rPr>
        <w:t>工作界面协调</w:t>
      </w:r>
    </w:p>
    <w:p>
      <w:pPr>
        <w:tabs>
          <w:tab w:val="left" w:pos="1620"/>
          <w:tab w:val="left" w:pos="2340"/>
        </w:tabs>
        <w:adjustRightInd w:val="0"/>
        <w:snapToGrid w:val="0"/>
        <w:spacing w:beforeLines="0" w:after="0" w:line="360" w:lineRule="auto"/>
        <w:ind w:left="899"/>
        <w:rPr>
          <w:color w:val="auto"/>
        </w:rPr>
      </w:pPr>
      <w:r>
        <w:rPr>
          <w:rFonts w:hint="eastAsia"/>
          <w:color w:val="auto"/>
        </w:rPr>
        <w:t>⑴承包人应</w:t>
      </w:r>
      <w:r>
        <w:rPr>
          <w:color w:val="auto"/>
        </w:rPr>
        <w:t>做好</w:t>
      </w:r>
      <w:r>
        <w:rPr>
          <w:rFonts w:hint="eastAsia"/>
          <w:color w:val="auto"/>
        </w:rPr>
        <w:t>与本工程相关</w:t>
      </w:r>
      <w:r>
        <w:rPr>
          <w:color w:val="auto"/>
        </w:rPr>
        <w:t>各专业</w:t>
      </w:r>
      <w:r>
        <w:rPr>
          <w:rFonts w:hint="eastAsia"/>
          <w:color w:val="auto"/>
        </w:rPr>
        <w:t>工作</w:t>
      </w:r>
      <w:r>
        <w:rPr>
          <w:color w:val="auto"/>
        </w:rPr>
        <w:t>界面的</w:t>
      </w:r>
      <w:r>
        <w:rPr>
          <w:rFonts w:hint="eastAsia"/>
          <w:color w:val="auto"/>
        </w:rPr>
        <w:t>协调工作。</w:t>
      </w:r>
      <w:r>
        <w:rPr>
          <w:color w:val="auto"/>
        </w:rPr>
        <w:t>本工程施工期间，承包人</w:t>
      </w:r>
      <w:r>
        <w:rPr>
          <w:rFonts w:hint="eastAsia"/>
          <w:color w:val="auto"/>
        </w:rPr>
        <w:t>应</w:t>
      </w:r>
      <w:r>
        <w:rPr>
          <w:color w:val="auto"/>
        </w:rPr>
        <w:t>无条件服从发包人及</w:t>
      </w:r>
      <w:r>
        <w:rPr>
          <w:rFonts w:hint="eastAsia"/>
          <w:color w:val="auto"/>
        </w:rPr>
        <w:t>监理人</w:t>
      </w:r>
      <w:r>
        <w:rPr>
          <w:color w:val="auto"/>
        </w:rPr>
        <w:t>的统一协调指令</w:t>
      </w:r>
      <w:r>
        <w:rPr>
          <w:rFonts w:hint="eastAsia"/>
          <w:color w:val="auto"/>
        </w:rPr>
        <w:t>，并指定</w:t>
      </w:r>
      <w:r>
        <w:rPr>
          <w:color w:val="auto"/>
        </w:rPr>
        <w:t>专人负责接口协调工作，确保发包人及</w:t>
      </w:r>
      <w:r>
        <w:rPr>
          <w:rFonts w:hint="eastAsia"/>
          <w:color w:val="auto"/>
        </w:rPr>
        <w:t>监理人</w:t>
      </w:r>
      <w:r>
        <w:rPr>
          <w:color w:val="auto"/>
        </w:rPr>
        <w:t>指令的及时实施。</w:t>
      </w:r>
    </w:p>
    <w:p>
      <w:pPr>
        <w:tabs>
          <w:tab w:val="left" w:pos="1620"/>
          <w:tab w:val="left" w:pos="2340"/>
        </w:tabs>
        <w:adjustRightInd w:val="0"/>
        <w:snapToGrid w:val="0"/>
        <w:spacing w:beforeLines="0" w:after="0" w:line="360" w:lineRule="auto"/>
        <w:ind w:left="899"/>
        <w:rPr>
          <w:color w:val="auto"/>
        </w:rPr>
      </w:pPr>
      <w:r>
        <w:rPr>
          <w:rFonts w:hint="eastAsia"/>
          <w:color w:val="auto"/>
        </w:rPr>
        <w:t>⑵</w:t>
      </w:r>
      <w:r>
        <w:rPr>
          <w:color w:val="auto"/>
        </w:rPr>
        <w:t>承包人在编制施工组织设计时，应根据设计文件</w:t>
      </w:r>
      <w:r>
        <w:rPr>
          <w:rFonts w:hint="eastAsia"/>
          <w:color w:val="auto"/>
        </w:rPr>
        <w:t>和</w:t>
      </w:r>
      <w:r>
        <w:rPr>
          <w:color w:val="auto"/>
        </w:rPr>
        <w:t>现场调查资料，充分考虑施工接口的部位及内容，制定可能引起接口部位安全质量问题的预防措施；及时向</w:t>
      </w:r>
      <w:r>
        <w:rPr>
          <w:rFonts w:hint="eastAsia"/>
          <w:color w:val="auto"/>
        </w:rPr>
        <w:t>监理人</w:t>
      </w:r>
      <w:r>
        <w:rPr>
          <w:color w:val="auto"/>
        </w:rPr>
        <w:t>提交本工程需其它专业工程提供接口的细目清单，交由</w:t>
      </w:r>
      <w:r>
        <w:rPr>
          <w:rFonts w:hint="eastAsia"/>
          <w:color w:val="auto"/>
        </w:rPr>
        <w:t>监理人</w:t>
      </w:r>
      <w:r>
        <w:rPr>
          <w:color w:val="auto"/>
        </w:rPr>
        <w:t>统一协调；或接受</w:t>
      </w:r>
      <w:r>
        <w:rPr>
          <w:rFonts w:hint="eastAsia"/>
          <w:color w:val="auto"/>
        </w:rPr>
        <w:t>监理人</w:t>
      </w:r>
      <w:r>
        <w:rPr>
          <w:color w:val="auto"/>
        </w:rPr>
        <w:t>的接口指令，及时实施接口指令作业。</w:t>
      </w:r>
    </w:p>
    <w:p>
      <w:pPr>
        <w:tabs>
          <w:tab w:val="left" w:pos="1620"/>
          <w:tab w:val="left" w:pos="2340"/>
        </w:tabs>
        <w:adjustRightInd w:val="0"/>
        <w:snapToGrid w:val="0"/>
        <w:spacing w:beforeLines="0" w:after="0" w:line="360" w:lineRule="auto"/>
        <w:ind w:left="899"/>
        <w:rPr>
          <w:color w:val="auto"/>
        </w:rPr>
      </w:pPr>
      <w:r>
        <w:rPr>
          <w:rFonts w:hint="eastAsia"/>
          <w:color w:val="auto"/>
        </w:rPr>
        <w:t>⑶</w:t>
      </w:r>
      <w:r>
        <w:rPr>
          <w:color w:val="auto"/>
        </w:rPr>
        <w:t>承包人与其它工程之间</w:t>
      </w:r>
      <w:r>
        <w:rPr>
          <w:rFonts w:hint="eastAsia"/>
          <w:color w:val="auto"/>
        </w:rPr>
        <w:t>应当就</w:t>
      </w:r>
      <w:r>
        <w:rPr>
          <w:color w:val="auto"/>
        </w:rPr>
        <w:t>施工接</w:t>
      </w:r>
      <w:r>
        <w:rPr>
          <w:rFonts w:hint="eastAsia"/>
          <w:color w:val="auto"/>
        </w:rPr>
        <w:t>口</w:t>
      </w:r>
      <w:r>
        <w:rPr>
          <w:color w:val="auto"/>
        </w:rPr>
        <w:t>、测量控制网点</w:t>
      </w:r>
      <w:r>
        <w:rPr>
          <w:rFonts w:hint="eastAsia"/>
          <w:color w:val="auto"/>
        </w:rPr>
        <w:t>、预埋件(预留孔洞)位置和尺寸等资料及时互通信息，中线控制桩点应贯通测定，水准点应相互闭合，以确保施工顺利进行，避免工程质量事故的发生。</w:t>
      </w:r>
    </w:p>
    <w:p>
      <w:pPr>
        <w:tabs>
          <w:tab w:val="left" w:pos="1620"/>
          <w:tab w:val="left" w:pos="2340"/>
        </w:tabs>
        <w:adjustRightInd w:val="0"/>
        <w:snapToGrid w:val="0"/>
        <w:spacing w:beforeLines="0" w:after="0" w:line="360" w:lineRule="auto"/>
        <w:ind w:left="899"/>
        <w:rPr>
          <w:color w:val="auto"/>
        </w:rPr>
      </w:pPr>
      <w:r>
        <w:rPr>
          <w:rFonts w:hint="eastAsia"/>
          <w:color w:val="auto"/>
        </w:rPr>
        <w:t>⑷</w:t>
      </w:r>
      <w:r>
        <w:rPr>
          <w:color w:val="auto"/>
        </w:rPr>
        <w:t>由于承包人未能及时对工程接口问题进行协调或未及时实施</w:t>
      </w:r>
      <w:r>
        <w:rPr>
          <w:rFonts w:hint="eastAsia"/>
          <w:color w:val="auto"/>
        </w:rPr>
        <w:t>监理人</w:t>
      </w:r>
      <w:r>
        <w:rPr>
          <w:color w:val="auto"/>
        </w:rPr>
        <w:t>接口指令而造成工程延误、返工或其它损失，所有损失和费用由承包人</w:t>
      </w:r>
      <w:r>
        <w:rPr>
          <w:rFonts w:hint="eastAsia"/>
          <w:color w:val="auto"/>
        </w:rPr>
        <w:t>承</w:t>
      </w:r>
      <w:r>
        <w:rPr>
          <w:color w:val="auto"/>
        </w:rPr>
        <w:t>担。发包人或监理人均有权根据实际情况，</w:t>
      </w:r>
      <w:r>
        <w:rPr>
          <w:rFonts w:hint="eastAsia"/>
          <w:color w:val="auto"/>
        </w:rPr>
        <w:t>要求</w:t>
      </w:r>
      <w:r>
        <w:rPr>
          <w:color w:val="auto"/>
        </w:rPr>
        <w:t>承包人</w:t>
      </w:r>
      <w:r>
        <w:rPr>
          <w:rFonts w:hint="eastAsia"/>
          <w:color w:val="auto"/>
        </w:rPr>
        <w:t>支付</w:t>
      </w:r>
      <w:r>
        <w:rPr>
          <w:rFonts w:hint="eastAsia"/>
          <w:b/>
          <w:i/>
          <w:color w:val="auto"/>
        </w:rPr>
        <w:t>专用条款</w:t>
      </w:r>
      <w:r>
        <w:rPr>
          <w:rFonts w:hint="eastAsia"/>
          <w:color w:val="auto"/>
        </w:rPr>
        <w:t>约定的违约金</w:t>
      </w:r>
      <w:r>
        <w:rPr>
          <w:color w:val="auto"/>
        </w:rPr>
        <w:t>，包括并不限于采取扣付工程款等方式。</w:t>
      </w:r>
    </w:p>
    <w:p>
      <w:pPr>
        <w:adjustRightInd w:val="0"/>
        <w:snapToGrid w:val="0"/>
        <w:spacing w:before="0" w:beforeLines="0" w:after="0" w:line="360" w:lineRule="auto"/>
        <w:ind w:left="178"/>
        <w:rPr>
          <w:color w:val="auto"/>
          <w:sz w:val="28"/>
        </w:rPr>
      </w:pPr>
      <w:r>
        <w:rPr>
          <w:b/>
          <w:color w:val="auto"/>
          <w:sz w:val="28"/>
        </w:rPr>
        <w:t>8</w:t>
      </w:r>
      <w:r>
        <w:rPr>
          <w:rFonts w:hint="eastAsia"/>
          <w:b/>
          <w:color w:val="auto"/>
          <w:sz w:val="28"/>
        </w:rPr>
        <w:t>用工和劳务</w:t>
      </w:r>
    </w:p>
    <w:p>
      <w:pPr>
        <w:adjustRightInd w:val="0"/>
        <w:snapToGrid w:val="0"/>
        <w:spacing w:before="0" w:beforeLines="0" w:after="0" w:line="360" w:lineRule="auto"/>
        <w:ind w:left="359"/>
        <w:rPr>
          <w:color w:val="auto"/>
        </w:rPr>
      </w:pPr>
      <w:r>
        <w:rPr>
          <w:b/>
          <w:color w:val="auto"/>
        </w:rPr>
        <w:t>8.1</w:t>
      </w:r>
      <w:r>
        <w:rPr>
          <w:rFonts w:hint="eastAsia"/>
          <w:b/>
          <w:color w:val="auto"/>
        </w:rPr>
        <w:t>劳动合同</w:t>
      </w:r>
    </w:p>
    <w:p>
      <w:pPr>
        <w:tabs>
          <w:tab w:val="left" w:pos="1620"/>
          <w:tab w:val="left" w:pos="2340"/>
        </w:tabs>
        <w:adjustRightInd w:val="0"/>
        <w:snapToGrid w:val="0"/>
        <w:spacing w:beforeLines="0" w:after="0" w:line="360" w:lineRule="auto"/>
        <w:ind w:left="899"/>
        <w:rPr>
          <w:color w:val="auto"/>
        </w:rPr>
      </w:pPr>
      <w:r>
        <w:rPr>
          <w:rFonts w:hint="eastAsia"/>
          <w:color w:val="auto"/>
        </w:rPr>
        <w:t>⑴除合同另有规定外，承包人应自行聘(雇)用工人。承包人不得从为发包人或</w:t>
      </w:r>
      <w:r>
        <w:rPr>
          <w:color w:val="auto"/>
        </w:rPr>
        <w:t>监理人</w:t>
      </w:r>
      <w:r>
        <w:rPr>
          <w:rFonts w:hint="eastAsia"/>
          <w:color w:val="auto"/>
        </w:rPr>
        <w:t>服务的人员中招雇任何人员。</w:t>
      </w:r>
    </w:p>
    <w:p>
      <w:pPr>
        <w:tabs>
          <w:tab w:val="left" w:pos="1620"/>
          <w:tab w:val="left" w:pos="2340"/>
        </w:tabs>
        <w:adjustRightInd w:val="0"/>
        <w:snapToGrid w:val="0"/>
        <w:spacing w:beforeLines="0" w:after="0" w:line="360" w:lineRule="auto"/>
        <w:ind w:left="899"/>
        <w:rPr>
          <w:color w:val="auto"/>
        </w:rPr>
      </w:pPr>
      <w:r>
        <w:rPr>
          <w:rFonts w:hint="eastAsia"/>
          <w:color w:val="auto"/>
        </w:rPr>
        <w:t>⑵承包人应按照劳动法和劳动合同法的相关规定与聘(雇)用工人签订劳动合同，缴纳社会保险，按国家规定提供劳动保护，明确劳动报酬等内容，及时足额支付工资等劳动报酬。</w:t>
      </w:r>
    </w:p>
    <w:p>
      <w:pPr>
        <w:tabs>
          <w:tab w:val="left" w:pos="1620"/>
          <w:tab w:val="left" w:pos="2340"/>
        </w:tabs>
        <w:adjustRightInd w:val="0"/>
        <w:snapToGrid w:val="0"/>
        <w:spacing w:beforeLines="0" w:after="0" w:line="360" w:lineRule="auto"/>
        <w:ind w:left="899"/>
        <w:rPr>
          <w:color w:val="auto"/>
        </w:rPr>
      </w:pPr>
      <w:r>
        <w:rPr>
          <w:rFonts w:hint="eastAsia"/>
          <w:color w:val="auto"/>
        </w:rPr>
        <w:t>⑶若发包人或</w:t>
      </w:r>
      <w:r>
        <w:rPr>
          <w:color w:val="auto"/>
        </w:rPr>
        <w:t>监理人</w:t>
      </w:r>
      <w:r>
        <w:rPr>
          <w:rFonts w:hint="eastAsia"/>
          <w:color w:val="auto"/>
        </w:rPr>
        <w:t>发现有未签订劳动合同的工人在现场施工，则视为承包人违约，并承担</w:t>
      </w:r>
      <w:r>
        <w:rPr>
          <w:b/>
          <w:i/>
          <w:color w:val="auto"/>
        </w:rPr>
        <w:t>专用条款</w:t>
      </w:r>
      <w:r>
        <w:rPr>
          <w:rFonts w:hint="eastAsia"/>
          <w:color w:val="auto"/>
        </w:rPr>
        <w:t>约定的违约责任。</w:t>
      </w:r>
    </w:p>
    <w:p>
      <w:pPr>
        <w:adjustRightInd w:val="0"/>
        <w:snapToGrid w:val="0"/>
        <w:spacing w:before="0" w:beforeLines="0" w:after="0" w:line="360" w:lineRule="auto"/>
        <w:ind w:left="359"/>
        <w:rPr>
          <w:color w:val="auto"/>
        </w:rPr>
      </w:pPr>
      <w:r>
        <w:rPr>
          <w:b/>
          <w:color w:val="auto"/>
        </w:rPr>
        <w:t>8.2</w:t>
      </w:r>
      <w:r>
        <w:rPr>
          <w:rFonts w:hint="eastAsia"/>
          <w:b/>
          <w:color w:val="auto"/>
        </w:rPr>
        <w:t>劳务分包</w:t>
      </w:r>
    </w:p>
    <w:p>
      <w:pPr>
        <w:tabs>
          <w:tab w:val="left" w:pos="1620"/>
          <w:tab w:val="left" w:pos="2340"/>
        </w:tabs>
        <w:adjustRightInd w:val="0"/>
        <w:snapToGrid w:val="0"/>
        <w:spacing w:beforeLines="0" w:after="0" w:line="360" w:lineRule="auto"/>
        <w:ind w:left="899"/>
        <w:rPr>
          <w:color w:val="auto"/>
        </w:rPr>
      </w:pPr>
      <w:r>
        <w:rPr>
          <w:rFonts w:hint="eastAsia"/>
          <w:color w:val="auto"/>
        </w:rPr>
        <w:t>⑴承包人实施劳务分包的，应将劳务发包给具有相应劳务资质的劳务企业，与劳务分包企业设立工人工资支付专用账户，并按照劳务分包合同约定及时足额向劳务企业支付劳务费用。</w:t>
      </w:r>
    </w:p>
    <w:p>
      <w:pPr>
        <w:tabs>
          <w:tab w:val="left" w:pos="1620"/>
          <w:tab w:val="left" w:pos="2340"/>
        </w:tabs>
        <w:adjustRightInd w:val="0"/>
        <w:snapToGrid w:val="0"/>
        <w:spacing w:beforeLines="0" w:after="0" w:line="360" w:lineRule="auto"/>
        <w:ind w:left="899"/>
        <w:rPr>
          <w:color w:val="auto"/>
        </w:rPr>
      </w:pPr>
      <w:r>
        <w:rPr>
          <w:rFonts w:hint="eastAsia"/>
          <w:color w:val="auto"/>
        </w:rPr>
        <w:t>⑵承包人应在劳务分包合同中要求劳务分包企业对所有派遣工人购买意外伤害险和工伤保险，保险金额不得低于</w:t>
      </w:r>
      <w:r>
        <w:rPr>
          <w:rFonts w:hint="eastAsia"/>
          <w:b/>
          <w:i/>
          <w:color w:val="auto"/>
        </w:rPr>
        <w:t>专用条款</w:t>
      </w:r>
      <w:r>
        <w:rPr>
          <w:rFonts w:hint="eastAsia"/>
          <w:color w:val="auto"/>
        </w:rPr>
        <w:t>约定额度。保险单复印件应提供一份给发包人备案，承包人未对劳务分包企业提出此要求或虽然提出此要求但劳务企业未购买此保险的，承包人应完善相关购买手续，否则承包人与劳务分包企业向受伤害工人承担连带赔偿责任。</w:t>
      </w:r>
    </w:p>
    <w:p>
      <w:pPr>
        <w:adjustRightInd w:val="0"/>
        <w:snapToGrid w:val="0"/>
        <w:spacing w:before="0" w:beforeLines="0" w:after="0" w:line="360" w:lineRule="auto"/>
        <w:ind w:left="359"/>
        <w:rPr>
          <w:color w:val="auto"/>
        </w:rPr>
      </w:pPr>
      <w:r>
        <w:rPr>
          <w:b/>
          <w:color w:val="auto"/>
        </w:rPr>
        <w:t>8.3</w:t>
      </w:r>
      <w:r>
        <w:rPr>
          <w:rFonts w:hint="eastAsia"/>
          <w:b/>
          <w:color w:val="auto"/>
        </w:rPr>
        <w:t>劳务分包合同</w:t>
      </w:r>
    </w:p>
    <w:p>
      <w:pPr>
        <w:tabs>
          <w:tab w:val="left" w:pos="1620"/>
          <w:tab w:val="left" w:pos="2340"/>
        </w:tabs>
        <w:adjustRightInd w:val="0"/>
        <w:snapToGrid w:val="0"/>
        <w:spacing w:beforeLines="0" w:after="0" w:line="360" w:lineRule="auto"/>
        <w:ind w:left="899"/>
        <w:rPr>
          <w:color w:val="auto"/>
        </w:rPr>
      </w:pPr>
      <w:r>
        <w:rPr>
          <w:rFonts w:hint="eastAsia"/>
          <w:color w:val="auto"/>
        </w:rPr>
        <w:t>⑴选择劳务分包企业时，承包人有义务依据</w:t>
      </w:r>
      <w:r>
        <w:rPr>
          <w:color w:val="auto"/>
        </w:rPr>
        <w:t>监理人</w:t>
      </w:r>
      <w:r>
        <w:rPr>
          <w:rFonts w:hint="eastAsia"/>
          <w:color w:val="auto"/>
        </w:rPr>
        <w:t>的要求向</w:t>
      </w:r>
      <w:r>
        <w:rPr>
          <w:color w:val="auto"/>
        </w:rPr>
        <w:t>监理人</w:t>
      </w:r>
      <w:r>
        <w:rPr>
          <w:rFonts w:hint="eastAsia"/>
          <w:color w:val="auto"/>
        </w:rPr>
        <w:t>提供拟选劳务分包企业的一切资料，经发包人和</w:t>
      </w:r>
      <w:r>
        <w:rPr>
          <w:color w:val="auto"/>
        </w:rPr>
        <w:t>监理人</w:t>
      </w:r>
      <w:r>
        <w:rPr>
          <w:rFonts w:hint="eastAsia"/>
          <w:color w:val="auto"/>
        </w:rPr>
        <w:t>批准后作为劳务分包企业。</w:t>
      </w:r>
    </w:p>
    <w:p>
      <w:pPr>
        <w:tabs>
          <w:tab w:val="left" w:pos="1620"/>
          <w:tab w:val="left" w:pos="2340"/>
        </w:tabs>
        <w:adjustRightInd w:val="0"/>
        <w:snapToGrid w:val="0"/>
        <w:spacing w:beforeLines="0" w:after="0" w:line="360" w:lineRule="auto"/>
        <w:ind w:left="899"/>
        <w:rPr>
          <w:color w:val="auto"/>
        </w:rPr>
      </w:pPr>
      <w:r>
        <w:rPr>
          <w:rFonts w:hint="eastAsia"/>
          <w:color w:val="auto"/>
        </w:rPr>
        <w:t>⑵承包人与劳务分包企业签订劳务分包合同后7天内，应将劳务分包合同送发包人和</w:t>
      </w:r>
      <w:r>
        <w:rPr>
          <w:color w:val="auto"/>
        </w:rPr>
        <w:t>监理人</w:t>
      </w:r>
      <w:r>
        <w:rPr>
          <w:rFonts w:hint="eastAsia"/>
          <w:color w:val="auto"/>
        </w:rPr>
        <w:t>各一份存档。</w:t>
      </w:r>
    </w:p>
    <w:p>
      <w:pPr>
        <w:tabs>
          <w:tab w:val="left" w:pos="1620"/>
          <w:tab w:val="left" w:pos="2340"/>
        </w:tabs>
        <w:adjustRightInd w:val="0"/>
        <w:snapToGrid w:val="0"/>
        <w:spacing w:beforeLines="0" w:after="0" w:line="360" w:lineRule="auto"/>
        <w:ind w:left="899"/>
        <w:rPr>
          <w:color w:val="auto"/>
        </w:rPr>
      </w:pPr>
      <w:r>
        <w:rPr>
          <w:rFonts w:hint="eastAsia"/>
          <w:color w:val="auto"/>
        </w:rPr>
        <w:t>⑶若发包人或</w:t>
      </w:r>
      <w:r>
        <w:rPr>
          <w:color w:val="auto"/>
        </w:rPr>
        <w:t>监理人</w:t>
      </w:r>
      <w:r>
        <w:rPr>
          <w:rFonts w:hint="eastAsia"/>
          <w:color w:val="auto"/>
        </w:rPr>
        <w:t>发现工地上有未签订劳务分包合同的劳务企业人员在现场施工，则视为承包人违约，并承担</w:t>
      </w:r>
      <w:r>
        <w:rPr>
          <w:b/>
          <w:i/>
          <w:color w:val="auto"/>
        </w:rPr>
        <w:t>专用条款</w:t>
      </w:r>
      <w:r>
        <w:rPr>
          <w:rFonts w:hint="eastAsia"/>
          <w:color w:val="auto"/>
        </w:rPr>
        <w:t>约定的违约责任。</w:t>
      </w:r>
    </w:p>
    <w:p>
      <w:pPr>
        <w:adjustRightInd w:val="0"/>
        <w:snapToGrid w:val="0"/>
        <w:spacing w:before="0" w:beforeLines="0" w:after="0" w:line="360" w:lineRule="auto"/>
        <w:ind w:left="359"/>
        <w:rPr>
          <w:color w:val="auto"/>
        </w:rPr>
      </w:pPr>
      <w:r>
        <w:rPr>
          <w:b/>
          <w:color w:val="auto"/>
        </w:rPr>
        <w:t>8.4</w:t>
      </w:r>
      <w:r>
        <w:rPr>
          <w:rFonts w:hint="eastAsia"/>
          <w:b/>
          <w:color w:val="auto"/>
        </w:rPr>
        <w:t>工人工资</w:t>
      </w:r>
    </w:p>
    <w:p>
      <w:pPr>
        <w:adjustRightInd w:val="0"/>
        <w:snapToGrid w:val="0"/>
        <w:spacing w:before="0" w:beforeLines="0" w:after="0" w:line="360" w:lineRule="auto"/>
        <w:ind w:left="359"/>
        <w:rPr>
          <w:color w:val="auto"/>
        </w:rPr>
      </w:pPr>
      <w:r>
        <w:rPr>
          <w:rFonts w:hint="eastAsia"/>
          <w:color w:val="auto"/>
        </w:rPr>
        <w:t>⑴承包人应按照有关规定开设工人工资专用账户，专项用于发放本工程工人工资。开设、使用工人工资专用账户有关资料应由承包人妥善保存备查。</w:t>
      </w:r>
    </w:p>
    <w:p>
      <w:pPr>
        <w:adjustRightInd w:val="0"/>
        <w:snapToGrid w:val="0"/>
        <w:spacing w:before="0" w:beforeLines="0" w:after="0" w:line="360" w:lineRule="auto"/>
        <w:ind w:left="359"/>
        <w:rPr>
          <w:color w:val="auto"/>
        </w:rPr>
      </w:pPr>
      <w:r>
        <w:rPr>
          <w:rFonts w:hint="eastAsia"/>
          <w:color w:val="auto"/>
        </w:rPr>
        <w:t>⑵发包人应及时足额地将合同约定的工人工资支付款项支付到工人工资专用账户，并加强对承包人按时足额发放工人工资的监督。</w:t>
      </w:r>
    </w:p>
    <w:p>
      <w:pPr>
        <w:adjustRightInd w:val="0"/>
        <w:snapToGrid w:val="0"/>
        <w:spacing w:before="0" w:beforeLines="0" w:after="0" w:line="360" w:lineRule="auto"/>
        <w:ind w:left="359"/>
        <w:rPr>
          <w:color w:val="auto"/>
        </w:rPr>
      </w:pPr>
      <w:r>
        <w:rPr>
          <w:rFonts w:hint="eastAsia"/>
          <w:color w:val="auto"/>
        </w:rPr>
        <w:t>⑶承包人必须严格按照国家、省、市等有关规定发放工资、劳务费。对发包人支付的工程款，承包人须优先保障工人工资和劳务分包企业的劳务费的发放。对发包人支付到工人工资专用账户的款项，承包人应及时足额发放，不得拖欠或克扣。</w:t>
      </w:r>
    </w:p>
    <w:p>
      <w:pPr>
        <w:adjustRightInd w:val="0"/>
        <w:snapToGrid w:val="0"/>
        <w:spacing w:before="0" w:beforeLines="0" w:after="0" w:line="360" w:lineRule="auto"/>
        <w:ind w:left="359"/>
        <w:rPr>
          <w:color w:val="auto"/>
        </w:rPr>
      </w:pPr>
      <w:r>
        <w:rPr>
          <w:rFonts w:hint="eastAsia"/>
          <w:color w:val="auto"/>
        </w:rPr>
        <w:t>⑷承包人拖欠工人工资或劳务分包企业劳务费用的，经被拖欠人催付，承包人仍不予支付的，被拖欠人可以向发包人请求代为支付，经发包人和监理人核查情况属实的，视为承包人违约，发包人有权从承包人的工程款</w:t>
      </w:r>
      <w:r>
        <w:rPr>
          <w:color w:val="auto"/>
        </w:rPr>
        <w:t>(或预付款、保证金等)中扣付拖欠的工人工资或劳务费。</w:t>
      </w:r>
    </w:p>
    <w:p>
      <w:pPr>
        <w:adjustRightInd w:val="0"/>
        <w:snapToGrid w:val="0"/>
        <w:spacing w:before="0" w:beforeLines="0" w:after="0" w:line="360" w:lineRule="auto"/>
        <w:ind w:left="359"/>
        <w:rPr>
          <w:color w:val="auto"/>
        </w:rPr>
      </w:pPr>
      <w:r>
        <w:rPr>
          <w:b/>
          <w:color w:val="auto"/>
        </w:rPr>
        <w:t>8.5</w:t>
      </w:r>
      <w:r>
        <w:rPr>
          <w:rFonts w:hint="eastAsia"/>
          <w:b/>
          <w:color w:val="auto"/>
        </w:rPr>
        <w:t>职业健康</w:t>
      </w:r>
    </w:p>
    <w:p>
      <w:pPr>
        <w:tabs>
          <w:tab w:val="left" w:pos="1620"/>
          <w:tab w:val="left" w:pos="2340"/>
        </w:tabs>
        <w:adjustRightInd w:val="0"/>
        <w:snapToGrid w:val="0"/>
        <w:spacing w:beforeLines="0" w:after="0" w:line="360" w:lineRule="auto"/>
        <w:ind w:left="899"/>
        <w:rPr>
          <w:color w:val="auto"/>
        </w:rPr>
      </w:pPr>
      <w:r>
        <w:rPr>
          <w:rFonts w:hint="eastAsia"/>
          <w:color w:val="auto"/>
        </w:rPr>
        <w:t>⑴</w:t>
      </w:r>
      <w:r>
        <w:rPr>
          <w:color w:val="auto"/>
        </w:rPr>
        <w:t>承包人应按照法律规定安排现场施工人员的劳动和休息时间，保障</w:t>
      </w:r>
      <w:r>
        <w:rPr>
          <w:rFonts w:hint="eastAsia"/>
          <w:color w:val="auto"/>
        </w:rPr>
        <w:t>工人</w:t>
      </w:r>
      <w:r>
        <w:rPr>
          <w:color w:val="auto"/>
        </w:rPr>
        <w:t>的休息时间，并支付合理的报酬和费用。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tabs>
          <w:tab w:val="left" w:pos="1620"/>
          <w:tab w:val="left" w:pos="2340"/>
        </w:tabs>
        <w:adjustRightInd w:val="0"/>
        <w:snapToGrid w:val="0"/>
        <w:spacing w:beforeLines="0" w:after="0" w:line="360" w:lineRule="auto"/>
        <w:ind w:left="899"/>
        <w:rPr>
          <w:color w:val="auto"/>
        </w:rPr>
      </w:pPr>
      <w:r>
        <w:rPr>
          <w:rFonts w:hint="eastAsia"/>
          <w:color w:val="auto"/>
        </w:rPr>
        <w:t>⑵</w:t>
      </w:r>
      <w:r>
        <w:rPr>
          <w:color w:val="auto"/>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adjustRightInd w:val="0"/>
        <w:snapToGrid w:val="0"/>
        <w:spacing w:before="0" w:beforeLines="0" w:after="0" w:line="360" w:lineRule="auto"/>
        <w:ind w:left="359"/>
        <w:rPr>
          <w:b/>
          <w:color w:val="auto"/>
        </w:rPr>
      </w:pPr>
      <w:bookmarkStart w:id="32" w:name="_Toc67418538"/>
      <w:bookmarkStart w:id="33" w:name="_Toc23893"/>
      <w:r>
        <w:rPr>
          <w:rFonts w:hint="eastAsia"/>
          <w:b/>
          <w:color w:val="auto"/>
        </w:rPr>
        <w:t>8.6 用工培训</w:t>
      </w:r>
      <w:bookmarkEnd w:id="32"/>
      <w:bookmarkEnd w:id="33"/>
    </w:p>
    <w:p>
      <w:pPr>
        <w:tabs>
          <w:tab w:val="left" w:pos="1620"/>
          <w:tab w:val="left" w:pos="2340"/>
        </w:tabs>
        <w:adjustRightInd w:val="0"/>
        <w:snapToGrid w:val="0"/>
        <w:spacing w:beforeLines="0" w:after="0" w:line="360" w:lineRule="auto"/>
        <w:ind w:left="899"/>
        <w:rPr>
          <w:color w:val="auto"/>
        </w:rPr>
      </w:pPr>
      <w:r>
        <w:rPr>
          <w:rFonts w:hint="eastAsia"/>
          <w:color w:val="auto"/>
        </w:rPr>
        <w:t>⑴承包人应切实履行用工主体责任，按照《深圳市工程建设行业产业工人职业训练管理办法》等有关规定计取和使用产业工人职业训练专项经费及开展产业工人职业训练。承包人应对产业工人职业训练专项经费实行专款专用，并妥善保存经费使用情况相关资料。承包人依法将建设工程分包的，应与分包人就经费使用在分包合同中约定。发包人应对经费使用进行监督。</w:t>
      </w:r>
    </w:p>
    <w:p>
      <w:pPr>
        <w:tabs>
          <w:tab w:val="left" w:pos="1620"/>
          <w:tab w:val="left" w:pos="2340"/>
        </w:tabs>
        <w:adjustRightInd w:val="0"/>
        <w:snapToGrid w:val="0"/>
        <w:spacing w:beforeLines="0" w:after="0" w:line="360" w:lineRule="auto"/>
        <w:ind w:left="899"/>
        <w:rPr>
          <w:color w:val="auto"/>
        </w:rPr>
      </w:pPr>
      <w:r>
        <w:rPr>
          <w:rFonts w:hint="eastAsia"/>
          <w:color w:val="auto"/>
        </w:rPr>
        <w:t>⑵承包人应按照《深圳市工程建设行业产业工人职业训练管理办法》制定产业工人训练计划，组织工人参加质量安全基础训练，妥善保存产业工人年度训练计划、职业训练管理和实施情况相关资料。</w:t>
      </w:r>
    </w:p>
    <w:p>
      <w:pPr>
        <w:adjustRightInd w:val="0"/>
        <w:snapToGrid w:val="0"/>
        <w:spacing w:before="0" w:beforeLines="0" w:after="0" w:line="360" w:lineRule="auto"/>
        <w:ind w:left="178"/>
        <w:rPr>
          <w:color w:val="auto"/>
          <w:sz w:val="28"/>
        </w:rPr>
      </w:pPr>
      <w:r>
        <w:rPr>
          <w:b/>
          <w:color w:val="auto"/>
          <w:sz w:val="28"/>
        </w:rPr>
        <w:t>9</w:t>
      </w:r>
      <w:r>
        <w:rPr>
          <w:rFonts w:hint="eastAsia"/>
          <w:b/>
          <w:color w:val="auto"/>
          <w:sz w:val="28"/>
        </w:rPr>
        <w:t>施工组织设计和进度计划</w:t>
      </w:r>
    </w:p>
    <w:p>
      <w:pPr>
        <w:adjustRightInd w:val="0"/>
        <w:snapToGrid w:val="0"/>
        <w:spacing w:before="0" w:beforeLines="0" w:after="0" w:line="360" w:lineRule="auto"/>
        <w:ind w:left="359"/>
        <w:rPr>
          <w:color w:val="auto"/>
        </w:rPr>
      </w:pPr>
      <w:r>
        <w:rPr>
          <w:b/>
          <w:color w:val="auto"/>
        </w:rPr>
        <w:t>9.1</w:t>
      </w:r>
      <w:r>
        <w:rPr>
          <w:rFonts w:hint="eastAsia"/>
          <w:b/>
          <w:color w:val="auto"/>
        </w:rPr>
        <w:t>施工组织设计和进度计划的编制与提交</w:t>
      </w:r>
    </w:p>
    <w:p>
      <w:pPr>
        <w:tabs>
          <w:tab w:val="left" w:pos="1620"/>
          <w:tab w:val="left" w:pos="2340"/>
        </w:tabs>
        <w:adjustRightInd w:val="0"/>
        <w:snapToGrid w:val="0"/>
        <w:spacing w:beforeLines="0" w:after="0" w:line="360" w:lineRule="auto"/>
        <w:ind w:left="899"/>
        <w:rPr>
          <w:color w:val="auto"/>
        </w:rPr>
      </w:pPr>
      <w:r>
        <w:rPr>
          <w:rFonts w:hint="eastAsia"/>
          <w:color w:val="auto"/>
        </w:rPr>
        <w:t>⑴承包人应编制本工程和</w:t>
      </w:r>
      <w:r>
        <w:rPr>
          <w:rFonts w:hint="eastAsia"/>
          <w:b/>
          <w:i/>
          <w:color w:val="auto"/>
        </w:rPr>
        <w:t>专用条款</w:t>
      </w:r>
      <w:r>
        <w:rPr>
          <w:rFonts w:hint="eastAsia"/>
          <w:color w:val="auto"/>
        </w:rPr>
        <w:t>约定的单项工程的施工组织设计和进度计划，对合同工程的全部施工作业提出总体上的施工方法、施工安排、作业顺序和时间表。施工组织设计应包含以下内容：</w:t>
      </w:r>
    </w:p>
    <w:p>
      <w:pPr>
        <w:tabs>
          <w:tab w:val="left" w:pos="1620"/>
          <w:tab w:val="left" w:pos="2340"/>
        </w:tabs>
        <w:adjustRightInd w:val="0"/>
        <w:snapToGrid w:val="0"/>
        <w:spacing w:beforeLines="0" w:line="360" w:lineRule="auto"/>
        <w:ind w:left="1079"/>
        <w:rPr>
          <w:color w:val="auto"/>
        </w:rPr>
      </w:pPr>
      <w:r>
        <w:rPr>
          <w:rFonts w:hint="eastAsia"/>
          <w:color w:val="auto"/>
        </w:rPr>
        <w:t>①</w:t>
      </w:r>
      <w:r>
        <w:rPr>
          <w:color w:val="auto"/>
        </w:rPr>
        <w:t>施工方案</w:t>
      </w:r>
      <w:r>
        <w:rPr>
          <w:rFonts w:hint="eastAsia"/>
          <w:color w:val="auto"/>
        </w:rPr>
        <w:t>；</w:t>
      </w:r>
    </w:p>
    <w:p>
      <w:pPr>
        <w:tabs>
          <w:tab w:val="left" w:pos="1620"/>
          <w:tab w:val="left" w:pos="2340"/>
        </w:tabs>
        <w:adjustRightInd w:val="0"/>
        <w:snapToGrid w:val="0"/>
        <w:spacing w:beforeLines="0" w:line="360" w:lineRule="auto"/>
        <w:ind w:left="1079"/>
        <w:rPr>
          <w:color w:val="auto"/>
        </w:rPr>
      </w:pPr>
      <w:r>
        <w:rPr>
          <w:rFonts w:hint="eastAsia"/>
          <w:color w:val="auto"/>
        </w:rPr>
        <w:t>②</w:t>
      </w:r>
      <w:r>
        <w:rPr>
          <w:color w:val="auto"/>
        </w:rPr>
        <w:t>施工现场平面布置图；</w:t>
      </w:r>
    </w:p>
    <w:p>
      <w:pPr>
        <w:tabs>
          <w:tab w:val="left" w:pos="1620"/>
          <w:tab w:val="left" w:pos="2340"/>
        </w:tabs>
        <w:adjustRightInd w:val="0"/>
        <w:snapToGrid w:val="0"/>
        <w:spacing w:beforeLines="0" w:line="360" w:lineRule="auto"/>
        <w:ind w:left="1079"/>
        <w:rPr>
          <w:color w:val="auto"/>
        </w:rPr>
      </w:pPr>
      <w:r>
        <w:rPr>
          <w:rFonts w:hint="eastAsia"/>
          <w:color w:val="auto"/>
        </w:rPr>
        <w:t>③</w:t>
      </w:r>
      <w:r>
        <w:rPr>
          <w:color w:val="auto"/>
        </w:rPr>
        <w:t>施工进度计划和保证措施；</w:t>
      </w:r>
    </w:p>
    <w:p>
      <w:pPr>
        <w:tabs>
          <w:tab w:val="left" w:pos="1620"/>
          <w:tab w:val="left" w:pos="2340"/>
        </w:tabs>
        <w:adjustRightInd w:val="0"/>
        <w:snapToGrid w:val="0"/>
        <w:spacing w:beforeLines="0" w:line="360" w:lineRule="auto"/>
        <w:ind w:left="1079"/>
        <w:rPr>
          <w:color w:val="auto"/>
        </w:rPr>
      </w:pPr>
      <w:r>
        <w:rPr>
          <w:rFonts w:hint="eastAsia"/>
          <w:color w:val="auto"/>
        </w:rPr>
        <w:t>④</w:t>
      </w:r>
      <w:r>
        <w:rPr>
          <w:color w:val="auto"/>
        </w:rPr>
        <w:t>劳动力及材料供应计划；</w:t>
      </w:r>
    </w:p>
    <w:p>
      <w:pPr>
        <w:tabs>
          <w:tab w:val="left" w:pos="1620"/>
          <w:tab w:val="left" w:pos="2340"/>
        </w:tabs>
        <w:adjustRightInd w:val="0"/>
        <w:snapToGrid w:val="0"/>
        <w:spacing w:beforeLines="0" w:line="360" w:lineRule="auto"/>
        <w:ind w:left="1079"/>
        <w:rPr>
          <w:color w:val="auto"/>
        </w:rPr>
      </w:pPr>
      <w:r>
        <w:rPr>
          <w:rFonts w:hint="eastAsia"/>
          <w:color w:val="auto"/>
        </w:rPr>
        <w:t>⑤</w:t>
      </w:r>
      <w:r>
        <w:rPr>
          <w:color w:val="auto"/>
        </w:rPr>
        <w:t>施工机械设备的选用；</w:t>
      </w:r>
    </w:p>
    <w:p>
      <w:pPr>
        <w:tabs>
          <w:tab w:val="left" w:pos="1620"/>
          <w:tab w:val="left" w:pos="2340"/>
        </w:tabs>
        <w:adjustRightInd w:val="0"/>
        <w:snapToGrid w:val="0"/>
        <w:spacing w:beforeLines="0" w:line="360" w:lineRule="auto"/>
        <w:ind w:left="1079"/>
        <w:rPr>
          <w:color w:val="auto"/>
        </w:rPr>
      </w:pPr>
      <w:r>
        <w:rPr>
          <w:rFonts w:hint="eastAsia"/>
          <w:color w:val="auto"/>
        </w:rPr>
        <w:t>⑥</w:t>
      </w:r>
      <w:r>
        <w:rPr>
          <w:color w:val="auto"/>
        </w:rPr>
        <w:t>质量保证体系及措施；</w:t>
      </w:r>
    </w:p>
    <w:p>
      <w:pPr>
        <w:tabs>
          <w:tab w:val="left" w:pos="1620"/>
          <w:tab w:val="left" w:pos="2340"/>
        </w:tabs>
        <w:adjustRightInd w:val="0"/>
        <w:snapToGrid w:val="0"/>
        <w:spacing w:beforeLines="0" w:line="360" w:lineRule="auto"/>
        <w:ind w:left="1079"/>
        <w:rPr>
          <w:color w:val="auto"/>
        </w:rPr>
      </w:pPr>
      <w:r>
        <w:rPr>
          <w:rFonts w:hint="eastAsia"/>
          <w:color w:val="auto"/>
        </w:rPr>
        <w:t>⑦</w:t>
      </w:r>
      <w:r>
        <w:rPr>
          <w:color w:val="auto"/>
        </w:rPr>
        <w:t>安全生产、文明施工措施；</w:t>
      </w:r>
    </w:p>
    <w:p>
      <w:pPr>
        <w:tabs>
          <w:tab w:val="left" w:pos="1620"/>
          <w:tab w:val="left" w:pos="2340"/>
        </w:tabs>
        <w:adjustRightInd w:val="0"/>
        <w:snapToGrid w:val="0"/>
        <w:spacing w:beforeLines="0" w:line="360" w:lineRule="auto"/>
        <w:ind w:left="1079"/>
        <w:rPr>
          <w:color w:val="auto"/>
        </w:rPr>
      </w:pPr>
      <w:r>
        <w:rPr>
          <w:rFonts w:hint="eastAsia"/>
          <w:color w:val="auto"/>
        </w:rPr>
        <w:t>⑧</w:t>
      </w:r>
      <w:r>
        <w:rPr>
          <w:color w:val="auto"/>
        </w:rPr>
        <w:t>环境保护、成本控制措施</w:t>
      </w:r>
      <w:r>
        <w:rPr>
          <w:rFonts w:hint="eastAsia"/>
          <w:color w:val="auto"/>
        </w:rPr>
        <w:t>；</w:t>
      </w:r>
    </w:p>
    <w:p>
      <w:pPr>
        <w:tabs>
          <w:tab w:val="left" w:pos="1620"/>
          <w:tab w:val="left" w:pos="2340"/>
        </w:tabs>
        <w:adjustRightInd w:val="0"/>
        <w:snapToGrid w:val="0"/>
        <w:spacing w:beforeLines="0" w:line="360" w:lineRule="auto"/>
        <w:ind w:left="1079"/>
        <w:rPr>
          <w:color w:val="auto"/>
        </w:rPr>
      </w:pPr>
      <w:r>
        <w:rPr>
          <w:rFonts w:hint="eastAsia"/>
          <w:color w:val="auto"/>
        </w:rPr>
        <w:t>⑨承发包双方约定的其他内容</w:t>
      </w:r>
      <w:r>
        <w:rPr>
          <w:color w:val="auto"/>
        </w:rPr>
        <w:t>。</w:t>
      </w:r>
    </w:p>
    <w:p>
      <w:pPr>
        <w:tabs>
          <w:tab w:val="left" w:pos="1620"/>
          <w:tab w:val="left" w:pos="2340"/>
        </w:tabs>
        <w:adjustRightInd w:val="0"/>
        <w:snapToGrid w:val="0"/>
        <w:spacing w:beforeLines="0" w:after="0" w:line="360" w:lineRule="auto"/>
        <w:ind w:left="899"/>
        <w:rPr>
          <w:color w:val="auto"/>
        </w:rPr>
      </w:pPr>
      <w:r>
        <w:rPr>
          <w:rFonts w:hint="eastAsia"/>
          <w:color w:val="auto"/>
        </w:rPr>
        <w:t>⑵承包人应按</w:t>
      </w:r>
      <w:r>
        <w:rPr>
          <w:rFonts w:hint="eastAsia"/>
          <w:b/>
          <w:i/>
          <w:color w:val="auto"/>
        </w:rPr>
        <w:t>专用条款</w:t>
      </w:r>
      <w:r>
        <w:rPr>
          <w:rFonts w:hint="eastAsia"/>
          <w:color w:val="auto"/>
        </w:rPr>
        <w:t>中约定的时间和要求向</w:t>
      </w:r>
      <w:r>
        <w:rPr>
          <w:color w:val="auto"/>
        </w:rPr>
        <w:t>监理人</w:t>
      </w:r>
      <w:r>
        <w:rPr>
          <w:rFonts w:hint="eastAsia"/>
          <w:color w:val="auto"/>
        </w:rPr>
        <w:t>提交施工组织设计和工程进度计划。</w:t>
      </w:r>
      <w:r>
        <w:rPr>
          <w:color w:val="auto"/>
        </w:rPr>
        <w:t>监理人</w:t>
      </w:r>
      <w:r>
        <w:rPr>
          <w:rFonts w:hint="eastAsia"/>
          <w:color w:val="auto"/>
        </w:rPr>
        <w:t>应按</w:t>
      </w:r>
      <w:r>
        <w:rPr>
          <w:rFonts w:hint="eastAsia"/>
          <w:b/>
          <w:i/>
          <w:color w:val="auto"/>
        </w:rPr>
        <w:t>专用条款</w:t>
      </w:r>
      <w:r>
        <w:rPr>
          <w:rFonts w:hint="eastAsia"/>
          <w:color w:val="auto"/>
        </w:rPr>
        <w:t>中约定的时间予以确认或提出修改意见，逾期不确认也不提出修改意见的，应视为同意。</w:t>
      </w:r>
      <w:r>
        <w:rPr>
          <w:color w:val="auto"/>
        </w:rPr>
        <w:t>监理人</w:t>
      </w:r>
      <w:r>
        <w:rPr>
          <w:rFonts w:hint="eastAsia"/>
          <w:color w:val="auto"/>
        </w:rPr>
        <w:t>如期提出合理修改意见的，承包人应根据该意见按</w:t>
      </w:r>
      <w:r>
        <w:rPr>
          <w:rFonts w:hint="eastAsia"/>
          <w:b/>
          <w:i/>
          <w:color w:val="auto"/>
        </w:rPr>
        <w:t>专用条款</w:t>
      </w:r>
      <w:r>
        <w:rPr>
          <w:rFonts w:hint="eastAsia"/>
          <w:color w:val="auto"/>
        </w:rPr>
        <w:t>约定的时间或要求提交修改后的施工组织设计和工程进度计划，待</w:t>
      </w:r>
      <w:r>
        <w:rPr>
          <w:color w:val="auto"/>
        </w:rPr>
        <w:t>监理人</w:t>
      </w:r>
      <w:r>
        <w:rPr>
          <w:rFonts w:hint="eastAsia"/>
          <w:color w:val="auto"/>
        </w:rPr>
        <w:t>确认后执行。</w:t>
      </w:r>
      <w:r>
        <w:rPr>
          <w:color w:val="auto"/>
        </w:rPr>
        <w:t>监理人</w:t>
      </w:r>
      <w:r>
        <w:rPr>
          <w:rFonts w:hint="eastAsia"/>
          <w:color w:val="auto"/>
        </w:rPr>
        <w:t>对上述计划的同意，不能因此而解除承包人根据本合同约定应负的任何责任或义务。</w:t>
      </w:r>
    </w:p>
    <w:p>
      <w:pPr>
        <w:adjustRightInd w:val="0"/>
        <w:snapToGrid w:val="0"/>
        <w:spacing w:before="0" w:beforeLines="0" w:after="0" w:line="360" w:lineRule="auto"/>
        <w:ind w:left="359"/>
        <w:rPr>
          <w:color w:val="auto"/>
        </w:rPr>
      </w:pPr>
      <w:r>
        <w:rPr>
          <w:b/>
          <w:color w:val="auto"/>
        </w:rPr>
        <w:t>9.2临时设施的图纸和文件</w:t>
      </w:r>
    </w:p>
    <w:p>
      <w:pPr>
        <w:tabs>
          <w:tab w:val="left" w:pos="1620"/>
          <w:tab w:val="left" w:pos="2340"/>
        </w:tabs>
        <w:adjustRightInd w:val="0"/>
        <w:snapToGrid w:val="0"/>
        <w:spacing w:beforeLines="0" w:after="0" w:line="360" w:lineRule="auto"/>
        <w:ind w:left="899"/>
        <w:rPr>
          <w:color w:val="auto"/>
        </w:rPr>
      </w:pPr>
      <w:r>
        <w:rPr>
          <w:color w:val="auto"/>
        </w:rPr>
        <w:t>承包人应</w:t>
      </w:r>
      <w:r>
        <w:rPr>
          <w:rFonts w:hint="eastAsia"/>
          <w:color w:val="auto"/>
        </w:rPr>
        <w:t>在施工组织设计提交的同时，</w:t>
      </w:r>
      <w:r>
        <w:rPr>
          <w:color w:val="auto"/>
        </w:rPr>
        <w:t>向监理人报送本工程临时设施的图纸和资料文件。其内容包括(但不限于)临时设施总平面布置图及必要的文字说明，如生产、生活设施、</w:t>
      </w:r>
      <w:r>
        <w:rPr>
          <w:rFonts w:hint="eastAsia"/>
          <w:color w:val="auto"/>
        </w:rPr>
        <w:t>水电供应、</w:t>
      </w:r>
      <w:r>
        <w:rPr>
          <w:color w:val="auto"/>
        </w:rPr>
        <w:t>道路、排水系统、环保环卫、安全防护措施，相关管理制度(办法)等必要的文字说明和图表资料，经批准后实施。</w:t>
      </w:r>
    </w:p>
    <w:p>
      <w:pPr>
        <w:adjustRightInd w:val="0"/>
        <w:snapToGrid w:val="0"/>
        <w:spacing w:before="0" w:beforeLines="0" w:after="0" w:line="360" w:lineRule="auto"/>
        <w:ind w:left="359"/>
        <w:rPr>
          <w:color w:val="auto"/>
        </w:rPr>
      </w:pPr>
      <w:r>
        <w:rPr>
          <w:b/>
          <w:color w:val="auto"/>
        </w:rPr>
        <w:t>9.3</w:t>
      </w:r>
      <w:r>
        <w:rPr>
          <w:rFonts w:hint="eastAsia"/>
          <w:b/>
          <w:color w:val="auto"/>
        </w:rPr>
        <w:t>工程进度计划</w:t>
      </w:r>
    </w:p>
    <w:p>
      <w:pPr>
        <w:tabs>
          <w:tab w:val="left" w:pos="1620"/>
          <w:tab w:val="left" w:pos="2340"/>
        </w:tabs>
        <w:adjustRightInd w:val="0"/>
        <w:snapToGrid w:val="0"/>
        <w:spacing w:beforeLines="0" w:after="0" w:line="360" w:lineRule="auto"/>
        <w:ind w:left="899"/>
        <w:rPr>
          <w:color w:val="auto"/>
        </w:rPr>
      </w:pPr>
      <w:r>
        <w:rPr>
          <w:rFonts w:hint="eastAsia"/>
          <w:color w:val="auto"/>
        </w:rPr>
        <w:t>工程进度计划应按照关键线路网络图和主要工作横道图两种形式分别编绘，并应包括每月预计完成的工作量和形象进度，在需要时每个月修正一次。承包人必须按</w:t>
      </w:r>
      <w:r>
        <w:rPr>
          <w:color w:val="auto"/>
        </w:rPr>
        <w:t>监理人</w:t>
      </w:r>
      <w:r>
        <w:rPr>
          <w:rFonts w:hint="eastAsia"/>
          <w:color w:val="auto"/>
        </w:rPr>
        <w:t>确认的进度计划组织施工，接受</w:t>
      </w:r>
      <w:r>
        <w:rPr>
          <w:color w:val="auto"/>
        </w:rPr>
        <w:t>监理人</w:t>
      </w:r>
      <w:r>
        <w:rPr>
          <w:rFonts w:hint="eastAsia"/>
          <w:color w:val="auto"/>
        </w:rPr>
        <w:t>对进度的检查、监督。工程实际进度对于在竣工时间内完工过于迟缓或与经确认的进度计划不符时，承包人应按</w:t>
      </w:r>
      <w:r>
        <w:rPr>
          <w:color w:val="auto"/>
        </w:rPr>
        <w:t>监理人</w:t>
      </w:r>
      <w:r>
        <w:rPr>
          <w:rFonts w:hint="eastAsia"/>
          <w:color w:val="auto"/>
        </w:rPr>
        <w:t>的要求和建议进行整改并提交修订的进度计划，经</w:t>
      </w:r>
      <w:r>
        <w:rPr>
          <w:color w:val="auto"/>
        </w:rPr>
        <w:t>监理人</w:t>
      </w:r>
      <w:r>
        <w:rPr>
          <w:rFonts w:hint="eastAsia"/>
          <w:color w:val="auto"/>
        </w:rPr>
        <w:t>确认后执行。因承包人的原因导致实际进度与进度计划不符，承包人无权就改进措施提出追加合同价款。</w:t>
      </w:r>
    </w:p>
    <w:p>
      <w:pPr>
        <w:adjustRightInd w:val="0"/>
        <w:snapToGrid w:val="0"/>
        <w:spacing w:before="0" w:beforeLines="0" w:after="0" w:line="360" w:lineRule="auto"/>
        <w:ind w:left="359"/>
        <w:rPr>
          <w:color w:val="auto"/>
        </w:rPr>
      </w:pPr>
      <w:r>
        <w:rPr>
          <w:b/>
          <w:color w:val="auto"/>
        </w:rPr>
        <w:t>9.4</w:t>
      </w:r>
      <w:r>
        <w:rPr>
          <w:rFonts w:hint="eastAsia"/>
          <w:b/>
          <w:color w:val="auto"/>
        </w:rPr>
        <w:t>工程用款计划</w:t>
      </w:r>
    </w:p>
    <w:p>
      <w:pPr>
        <w:tabs>
          <w:tab w:val="left" w:pos="1620"/>
          <w:tab w:val="left" w:pos="2340"/>
        </w:tabs>
        <w:adjustRightInd w:val="0"/>
        <w:snapToGrid w:val="0"/>
        <w:spacing w:beforeLines="0" w:after="0" w:line="360" w:lineRule="auto"/>
        <w:ind w:left="899"/>
        <w:rPr>
          <w:color w:val="auto"/>
        </w:rPr>
      </w:pPr>
      <w:r>
        <w:rPr>
          <w:rFonts w:hint="eastAsia"/>
          <w:color w:val="auto"/>
        </w:rPr>
        <w:t>承包人应按</w:t>
      </w:r>
      <w:r>
        <w:rPr>
          <w:rFonts w:hint="eastAsia"/>
          <w:b/>
          <w:i/>
          <w:color w:val="auto"/>
        </w:rPr>
        <w:t>专用条款</w:t>
      </w:r>
      <w:r>
        <w:rPr>
          <w:rFonts w:hint="eastAsia"/>
          <w:color w:val="auto"/>
        </w:rPr>
        <w:t>的约定按工程进度计划向</w:t>
      </w:r>
      <w:r>
        <w:rPr>
          <w:color w:val="auto"/>
        </w:rPr>
        <w:t>监理人</w:t>
      </w:r>
      <w:r>
        <w:rPr>
          <w:rFonts w:hint="eastAsia"/>
          <w:color w:val="auto"/>
        </w:rPr>
        <w:t>提交按合同约定承包人有权得到支付的工程用款计划，以备</w:t>
      </w:r>
      <w:r>
        <w:rPr>
          <w:color w:val="auto"/>
        </w:rPr>
        <w:t>监理人</w:t>
      </w:r>
      <w:r>
        <w:rPr>
          <w:rFonts w:hint="eastAsia"/>
          <w:color w:val="auto"/>
        </w:rPr>
        <w:t>查阅。如</w:t>
      </w:r>
      <w:r>
        <w:rPr>
          <w:color w:val="auto"/>
        </w:rPr>
        <w:t>监理人</w:t>
      </w:r>
      <w:r>
        <w:rPr>
          <w:rFonts w:hint="eastAsia"/>
          <w:color w:val="auto"/>
        </w:rPr>
        <w:t>提出要求，承包人还应按要求提交修改的工程用款计划。</w:t>
      </w:r>
    </w:p>
    <w:p>
      <w:pPr>
        <w:adjustRightInd w:val="0"/>
        <w:snapToGrid w:val="0"/>
        <w:spacing w:before="0" w:beforeLines="0" w:after="0" w:line="360" w:lineRule="auto"/>
        <w:ind w:left="178"/>
        <w:rPr>
          <w:color w:val="auto"/>
          <w:sz w:val="28"/>
        </w:rPr>
      </w:pPr>
      <w:r>
        <w:rPr>
          <w:b/>
          <w:color w:val="auto"/>
          <w:sz w:val="28"/>
        </w:rPr>
        <w:t>10</w:t>
      </w:r>
      <w:r>
        <w:rPr>
          <w:rFonts w:hint="eastAsia"/>
          <w:b/>
          <w:color w:val="auto"/>
          <w:sz w:val="28"/>
        </w:rPr>
        <w:t>施工准备</w:t>
      </w:r>
    </w:p>
    <w:p>
      <w:pPr>
        <w:adjustRightInd w:val="0"/>
        <w:snapToGrid w:val="0"/>
        <w:spacing w:before="0" w:beforeLines="0" w:after="0" w:line="360" w:lineRule="auto"/>
        <w:ind w:left="359"/>
        <w:rPr>
          <w:color w:val="auto"/>
        </w:rPr>
      </w:pPr>
      <w:r>
        <w:rPr>
          <w:b/>
          <w:color w:val="auto"/>
        </w:rPr>
        <w:t>10.1</w:t>
      </w:r>
      <w:r>
        <w:rPr>
          <w:rFonts w:hint="eastAsia"/>
          <w:b/>
          <w:color w:val="auto"/>
        </w:rPr>
        <w:t>现场考察与勘察资料分析</w:t>
      </w:r>
    </w:p>
    <w:p>
      <w:pPr>
        <w:tabs>
          <w:tab w:val="left" w:pos="1620"/>
          <w:tab w:val="left" w:pos="2340"/>
        </w:tabs>
        <w:adjustRightInd w:val="0"/>
        <w:snapToGrid w:val="0"/>
        <w:spacing w:beforeLines="0" w:after="0" w:line="360" w:lineRule="auto"/>
        <w:ind w:left="899"/>
        <w:rPr>
          <w:color w:val="auto"/>
        </w:rPr>
      </w:pPr>
      <w:r>
        <w:rPr>
          <w:rFonts w:hint="eastAsia"/>
          <w:color w:val="auto"/>
        </w:rPr>
        <w:t>⑴承包人在签订合同之前，应研究和分析发包人提供的水文、地质、气象等资料，并在勘察设计文件和发包人提供的相关资料的基础上，对现场存在的管线等地下构筑物作进一步调查和了解，以取得其对施工影响的全部信息，并在施工组织设计和进度计划中作出充分的考虑。发包人应对其所提供资料的准确性负责，承包人应对其对该资料的理解、判断和应用负责。</w:t>
      </w:r>
    </w:p>
    <w:p>
      <w:pPr>
        <w:tabs>
          <w:tab w:val="left" w:pos="1620"/>
          <w:tab w:val="left" w:pos="2340"/>
        </w:tabs>
        <w:adjustRightInd w:val="0"/>
        <w:snapToGrid w:val="0"/>
        <w:spacing w:beforeLines="0" w:after="0" w:line="360" w:lineRule="auto"/>
        <w:ind w:left="899"/>
        <w:rPr>
          <w:color w:val="auto"/>
        </w:rPr>
      </w:pPr>
      <w:r>
        <w:rPr>
          <w:rFonts w:hint="eastAsia"/>
          <w:color w:val="auto"/>
        </w:rPr>
        <w:t>⑵承包人在签订合同之前，应视为已研究和察看了工地及其四周环境；已清楚知道关于通往工地的现有道路或其他交通条件、土地及工地的外形和性质、损毁物业的危险、挖掘对象的性质、进行本工程所需的工程及材料的性质、生活与施工条件；已取得影响其签订合同及进行本工程施工的资料。承包人不得以对上述事项了解不够充分而向发包人索赔，也不得免除根据合同约定须承担的责任。</w:t>
      </w:r>
    </w:p>
    <w:p>
      <w:pPr>
        <w:adjustRightInd w:val="0"/>
        <w:snapToGrid w:val="0"/>
        <w:spacing w:before="0" w:beforeLines="0" w:after="0" w:line="360" w:lineRule="auto"/>
        <w:ind w:left="359"/>
        <w:rPr>
          <w:color w:val="auto"/>
        </w:rPr>
      </w:pPr>
      <w:r>
        <w:rPr>
          <w:b/>
          <w:color w:val="auto"/>
        </w:rPr>
        <w:t>10.2</w:t>
      </w:r>
      <w:r>
        <w:rPr>
          <w:rFonts w:hint="eastAsia"/>
          <w:b/>
          <w:color w:val="auto"/>
        </w:rPr>
        <w:t>施工场地提供</w:t>
      </w:r>
    </w:p>
    <w:p>
      <w:pPr>
        <w:tabs>
          <w:tab w:val="left" w:pos="1620"/>
          <w:tab w:val="left" w:pos="2340"/>
        </w:tabs>
        <w:adjustRightInd w:val="0"/>
        <w:snapToGrid w:val="0"/>
        <w:spacing w:beforeLines="0" w:after="0" w:line="360" w:lineRule="auto"/>
        <w:ind w:left="899"/>
        <w:rPr>
          <w:color w:val="auto"/>
        </w:rPr>
      </w:pPr>
      <w:r>
        <w:rPr>
          <w:rFonts w:hint="eastAsia"/>
          <w:color w:val="auto"/>
        </w:rPr>
        <w:t>⑴发包人应按</w:t>
      </w:r>
      <w:r>
        <w:rPr>
          <w:rFonts w:hint="eastAsia"/>
          <w:b/>
          <w:i/>
          <w:color w:val="auto"/>
        </w:rPr>
        <w:t>专用条款</w:t>
      </w:r>
      <w:r>
        <w:rPr>
          <w:rFonts w:hint="eastAsia"/>
          <w:color w:val="auto"/>
        </w:rPr>
        <w:t>的约定向承包人提供施工所需的场地，以满足承包人进行本工程施工。发包人未按约定提供施工所需的场地，致使本工程或其他任何部分的进展受到影响，给承包人造成损失和(或)导致工期延误的，发包人应赔偿承包人损失，顺延延误的工期。</w:t>
      </w:r>
    </w:p>
    <w:p>
      <w:pPr>
        <w:tabs>
          <w:tab w:val="left" w:pos="1620"/>
          <w:tab w:val="left" w:pos="2340"/>
        </w:tabs>
        <w:adjustRightInd w:val="0"/>
        <w:snapToGrid w:val="0"/>
        <w:spacing w:beforeLines="0" w:after="0" w:line="360" w:lineRule="auto"/>
        <w:ind w:left="899"/>
        <w:rPr>
          <w:color w:val="auto"/>
        </w:rPr>
      </w:pPr>
      <w:r>
        <w:rPr>
          <w:rFonts w:hint="eastAsia"/>
          <w:color w:val="auto"/>
        </w:rPr>
        <w:t>⑵发包人未能按期办妥土地征用和搬迁手续，承包人在接到</w:t>
      </w:r>
      <w:r>
        <w:rPr>
          <w:color w:val="auto"/>
        </w:rPr>
        <w:t>监理人</w:t>
      </w:r>
      <w:r>
        <w:rPr>
          <w:rFonts w:hint="eastAsia"/>
          <w:color w:val="auto"/>
        </w:rPr>
        <w:t>通知后，应按</w:t>
      </w:r>
      <w:r>
        <w:rPr>
          <w:color w:val="auto"/>
        </w:rPr>
        <w:t>监理人</w:t>
      </w:r>
      <w:r>
        <w:rPr>
          <w:rFonts w:hint="eastAsia"/>
          <w:color w:val="auto"/>
        </w:rPr>
        <w:t>的指示及时调整工程组织设计和进度计划中的各项工作的施工方案和顺序，以便能够继续施工或者对施工人员和施工机械及时进行调整，以避免停工损失的发生。发包人未能按期办妥土地征用和搬迁手续，给承包人造成损失和(或)导致工期延误的，发包人应赔偿承包人损失，顺延延误的工期。</w:t>
      </w:r>
    </w:p>
    <w:p>
      <w:pPr>
        <w:tabs>
          <w:tab w:val="left" w:pos="1620"/>
          <w:tab w:val="left" w:pos="2340"/>
        </w:tabs>
        <w:adjustRightInd w:val="0"/>
        <w:snapToGrid w:val="0"/>
        <w:spacing w:beforeLines="0" w:after="0" w:line="360" w:lineRule="auto"/>
        <w:ind w:left="899"/>
        <w:rPr>
          <w:color w:val="auto"/>
        </w:rPr>
      </w:pPr>
      <w:r>
        <w:rPr>
          <w:rFonts w:hint="eastAsia"/>
          <w:color w:val="auto"/>
        </w:rPr>
        <w:t>⑶征地红线内的工程用地，在不影响施工的前提下，经发包人批准，可免费提供给承包人作施工临时用地。红线范围外的临时占地的租用，由发包人根据开工需要和施工先后顺序，分期办理租用手续，提供给承包人作施工临时用地。红线外的临时占地租用费用由发包人支付(</w:t>
      </w:r>
      <w:r>
        <w:rPr>
          <w:rFonts w:hint="eastAsia"/>
          <w:b/>
          <w:i/>
          <w:color w:val="auto"/>
        </w:rPr>
        <w:t>专用条款</w:t>
      </w:r>
      <w:r>
        <w:rPr>
          <w:rFonts w:hint="eastAsia"/>
          <w:color w:val="auto"/>
        </w:rPr>
        <w:t>另有约定除外)。临时用地使用完毕后，承包人应自费将临时用地恢复原状。</w:t>
      </w:r>
    </w:p>
    <w:p>
      <w:pPr>
        <w:adjustRightInd w:val="0"/>
        <w:snapToGrid w:val="0"/>
        <w:spacing w:before="0" w:beforeLines="0" w:after="0" w:line="360" w:lineRule="auto"/>
        <w:ind w:left="359"/>
        <w:rPr>
          <w:color w:val="auto"/>
        </w:rPr>
      </w:pPr>
      <w:r>
        <w:rPr>
          <w:b/>
          <w:color w:val="auto"/>
        </w:rPr>
        <w:t>10.3</w:t>
      </w:r>
      <w:r>
        <w:rPr>
          <w:rFonts w:hint="eastAsia"/>
          <w:b/>
          <w:color w:val="auto"/>
        </w:rPr>
        <w:t>施工放线</w:t>
      </w:r>
    </w:p>
    <w:p>
      <w:pPr>
        <w:tabs>
          <w:tab w:val="left" w:pos="1620"/>
          <w:tab w:val="left" w:pos="2340"/>
        </w:tabs>
        <w:adjustRightInd w:val="0"/>
        <w:snapToGrid w:val="0"/>
        <w:spacing w:beforeLines="0" w:after="0" w:line="360" w:lineRule="auto"/>
        <w:ind w:left="899"/>
        <w:rPr>
          <w:color w:val="auto"/>
        </w:rPr>
      </w:pPr>
      <w:r>
        <w:rPr>
          <w:rFonts w:hint="eastAsia"/>
          <w:color w:val="auto"/>
        </w:rPr>
        <w:t>⑴发包人应</w:t>
      </w:r>
      <w:r>
        <w:rPr>
          <w:color w:val="auto"/>
        </w:rPr>
        <w:t>在至迟不得晚于第</w:t>
      </w:r>
      <w:r>
        <w:rPr>
          <w:rFonts w:hint="eastAsia"/>
          <w:color w:val="auto"/>
        </w:rPr>
        <w:t>11.1款〔</w:t>
      </w:r>
      <w:r>
        <w:rPr>
          <w:color w:val="auto"/>
        </w:rPr>
        <w:t>开工</w:t>
      </w:r>
      <w:r>
        <w:rPr>
          <w:rFonts w:hint="eastAsia"/>
          <w:color w:val="auto"/>
        </w:rPr>
        <w:t>〕中开工通知书</w:t>
      </w:r>
      <w:r>
        <w:rPr>
          <w:color w:val="auto"/>
        </w:rPr>
        <w:t>载明的开工日期前7天通过监理人</w:t>
      </w:r>
      <w:r>
        <w:rPr>
          <w:rFonts w:hint="eastAsia"/>
          <w:color w:val="auto"/>
        </w:rPr>
        <w:t>向承包人提供工程施工所需的原始基准点、基准线和基准标高，以及工程项目范围内城市轨道交通隧道、给水管道、燃气管道分布情况，并对其真实准确性负责，同时承担由于其错误而引起的承包人的费用损失和工期延误的补偿责任。</w:t>
      </w:r>
    </w:p>
    <w:p>
      <w:pPr>
        <w:tabs>
          <w:tab w:val="left" w:pos="1620"/>
          <w:tab w:val="left" w:pos="2340"/>
        </w:tabs>
        <w:adjustRightInd w:val="0"/>
        <w:snapToGrid w:val="0"/>
        <w:spacing w:beforeLines="0" w:after="0" w:line="360" w:lineRule="auto"/>
        <w:ind w:left="899"/>
        <w:rPr>
          <w:color w:val="auto"/>
        </w:rPr>
      </w:pPr>
      <w:r>
        <w:rPr>
          <w:rFonts w:hint="eastAsia"/>
          <w:color w:val="auto"/>
        </w:rPr>
        <w:t>⑵承包人按上述基准负责对工程的所有部位正确定位，纠正在工程的位置、标高、尺寸或定线中的任何错误。</w:t>
      </w:r>
      <w:r>
        <w:rPr>
          <w:color w:val="auto"/>
        </w:rPr>
        <w:t>监理人</w:t>
      </w:r>
      <w:r>
        <w:rPr>
          <w:rFonts w:hint="eastAsia"/>
          <w:color w:val="auto"/>
        </w:rPr>
        <w:t>对放样、准线或标高的核查，均不应解除承包人对其准确性所负的责任。</w:t>
      </w:r>
    </w:p>
    <w:p>
      <w:pPr>
        <w:tabs>
          <w:tab w:val="left" w:pos="1620"/>
          <w:tab w:val="left" w:pos="2340"/>
        </w:tabs>
        <w:adjustRightInd w:val="0"/>
        <w:snapToGrid w:val="0"/>
        <w:spacing w:beforeLines="0" w:after="0" w:line="360" w:lineRule="auto"/>
        <w:ind w:left="899"/>
        <w:rPr>
          <w:color w:val="auto"/>
        </w:rPr>
      </w:pPr>
      <w:r>
        <w:rPr>
          <w:rFonts w:hint="eastAsia"/>
          <w:color w:val="auto"/>
        </w:rPr>
        <w:t>⑶</w:t>
      </w:r>
      <w:r>
        <w:rPr>
          <w:color w:val="auto"/>
        </w:rPr>
        <w:t>施工过程中对施工现场内水准点等测量标志物的保护工作由承包人负责。</w:t>
      </w:r>
    </w:p>
    <w:p>
      <w:pPr>
        <w:tabs>
          <w:tab w:val="left" w:pos="1620"/>
          <w:tab w:val="left" w:pos="2340"/>
        </w:tabs>
        <w:adjustRightInd w:val="0"/>
        <w:snapToGrid w:val="0"/>
        <w:spacing w:beforeLines="0" w:after="0" w:line="360" w:lineRule="auto"/>
        <w:ind w:left="899"/>
        <w:rPr>
          <w:color w:val="auto"/>
        </w:rPr>
      </w:pPr>
      <w:r>
        <w:rPr>
          <w:color w:val="auto"/>
        </w:rPr>
        <w:fldChar w:fldCharType="begin"/>
      </w:r>
      <w:r>
        <w:rPr>
          <w:color w:val="auto"/>
        </w:rPr>
        <w:instrText xml:space="preserve"> </w:instrText>
      </w:r>
      <w:r>
        <w:rPr>
          <w:rFonts w:hint="eastAsia"/>
          <w:color w:val="auto"/>
        </w:rPr>
        <w:instrText xml:space="preserve">= 4 \* GB2</w:instrText>
      </w:r>
      <w:r>
        <w:rPr>
          <w:color w:val="auto"/>
        </w:rPr>
        <w:instrText xml:space="preserve"> </w:instrText>
      </w:r>
      <w:r>
        <w:rPr>
          <w:color w:val="auto"/>
        </w:rPr>
        <w:fldChar w:fldCharType="separate"/>
      </w:r>
      <w:r>
        <w:rPr>
          <w:rFonts w:hint="eastAsia"/>
          <w:color w:val="auto"/>
        </w:rPr>
        <w:t>⑷</w:t>
      </w:r>
      <w:r>
        <w:rPr>
          <w:color w:val="auto"/>
        </w:rPr>
        <w:fldChar w:fldCharType="end"/>
      </w:r>
      <w:r>
        <w:rPr>
          <w:rFonts w:hint="eastAsia"/>
          <w:color w:val="auto"/>
        </w:rPr>
        <w:t>承包人应落实工程项目范围内城市轨道交通隧道、给水管道、燃气管道的安全保护措施。</w:t>
      </w:r>
    </w:p>
    <w:p>
      <w:pPr>
        <w:adjustRightInd w:val="0"/>
        <w:snapToGrid w:val="0"/>
        <w:spacing w:before="0" w:beforeLines="0" w:after="0" w:line="360" w:lineRule="auto"/>
        <w:ind w:left="359"/>
        <w:rPr>
          <w:color w:val="auto"/>
        </w:rPr>
      </w:pPr>
      <w:r>
        <w:rPr>
          <w:b/>
          <w:color w:val="auto"/>
        </w:rPr>
        <w:t>10.4</w:t>
      </w:r>
      <w:r>
        <w:rPr>
          <w:rFonts w:hint="eastAsia"/>
          <w:b/>
          <w:color w:val="auto"/>
        </w:rPr>
        <w:t>施工组织准备工作</w:t>
      </w:r>
    </w:p>
    <w:p>
      <w:pPr>
        <w:tabs>
          <w:tab w:val="left" w:pos="1620"/>
          <w:tab w:val="left" w:pos="2340"/>
        </w:tabs>
        <w:adjustRightInd w:val="0"/>
        <w:snapToGrid w:val="0"/>
        <w:spacing w:beforeLines="0" w:line="360" w:lineRule="auto"/>
        <w:ind w:left="899"/>
        <w:rPr>
          <w:color w:val="auto"/>
        </w:rPr>
      </w:pPr>
      <w:r>
        <w:rPr>
          <w:rFonts w:hint="eastAsia"/>
          <w:color w:val="auto"/>
        </w:rPr>
        <w:t>本</w:t>
      </w:r>
      <w:r>
        <w:rPr>
          <w:color w:val="auto"/>
        </w:rPr>
        <w:t>工程开工前，承包人应及时做好</w:t>
      </w:r>
      <w:r>
        <w:rPr>
          <w:rFonts w:hint="eastAsia"/>
          <w:color w:val="auto"/>
        </w:rPr>
        <w:t>如下</w:t>
      </w:r>
      <w:r>
        <w:rPr>
          <w:color w:val="auto"/>
        </w:rPr>
        <w:t>施工</w:t>
      </w:r>
      <w:r>
        <w:rPr>
          <w:rFonts w:hint="eastAsia"/>
          <w:color w:val="auto"/>
        </w:rPr>
        <w:t>组织</w:t>
      </w:r>
      <w:r>
        <w:rPr>
          <w:color w:val="auto"/>
        </w:rPr>
        <w:t>准备工作</w:t>
      </w:r>
      <w:r>
        <w:rPr>
          <w:rFonts w:hint="eastAsia"/>
          <w:color w:val="auto"/>
        </w:rPr>
        <w:t>(</w:t>
      </w:r>
      <w:r>
        <w:rPr>
          <w:color w:val="auto"/>
        </w:rPr>
        <w:t>包括但不限于</w:t>
      </w:r>
      <w:r>
        <w:rPr>
          <w:rFonts w:hint="eastAsia"/>
          <w:color w:val="auto"/>
        </w:rPr>
        <w:t>)</w:t>
      </w:r>
      <w:r>
        <w:rPr>
          <w:color w:val="auto"/>
        </w:rPr>
        <w:t>：</w:t>
      </w:r>
    </w:p>
    <w:p>
      <w:pPr>
        <w:tabs>
          <w:tab w:val="left" w:pos="1620"/>
          <w:tab w:val="left" w:pos="2340"/>
        </w:tabs>
        <w:adjustRightInd w:val="0"/>
        <w:snapToGrid w:val="0"/>
        <w:spacing w:beforeLines="0" w:line="360" w:lineRule="auto"/>
        <w:ind w:left="1079"/>
        <w:rPr>
          <w:color w:val="auto"/>
        </w:rPr>
      </w:pPr>
      <w:r>
        <w:rPr>
          <w:color w:val="auto"/>
        </w:rPr>
        <w:fldChar w:fldCharType="begin"/>
      </w:r>
      <w:r>
        <w:rPr>
          <w:color w:val="auto"/>
        </w:rPr>
        <w:instrText xml:space="preserve"> </w:instrText>
      </w:r>
      <w:r>
        <w:rPr>
          <w:rFonts w:hint="eastAsia"/>
          <w:color w:val="auto"/>
        </w:rPr>
        <w:instrText xml:space="preserve">= 1 \* GB2</w:instrText>
      </w:r>
      <w:r>
        <w:rPr>
          <w:color w:val="auto"/>
        </w:rPr>
        <w:instrText xml:space="preserve"> </w:instrText>
      </w:r>
      <w:r>
        <w:rPr>
          <w:color w:val="auto"/>
        </w:rPr>
        <w:fldChar w:fldCharType="separate"/>
      </w:r>
      <w:r>
        <w:rPr>
          <w:rFonts w:hint="eastAsia"/>
          <w:color w:val="auto"/>
        </w:rPr>
        <w:t>⑴</w:t>
      </w:r>
      <w:r>
        <w:rPr>
          <w:color w:val="auto"/>
        </w:rPr>
        <w:fldChar w:fldCharType="end"/>
      </w:r>
      <w:r>
        <w:rPr>
          <w:color w:val="auto"/>
        </w:rPr>
        <w:t>组建施工管理机构和专业作业队伍，并进行进场前的施工教育培训</w:t>
      </w:r>
      <w:r>
        <w:rPr>
          <w:rFonts w:hint="eastAsia"/>
          <w:color w:val="auto"/>
        </w:rPr>
        <w:t>；</w:t>
      </w:r>
    </w:p>
    <w:p>
      <w:pPr>
        <w:tabs>
          <w:tab w:val="left" w:pos="1620"/>
          <w:tab w:val="left" w:pos="2340"/>
        </w:tabs>
        <w:adjustRightInd w:val="0"/>
        <w:snapToGrid w:val="0"/>
        <w:spacing w:beforeLines="0" w:line="360" w:lineRule="auto"/>
        <w:ind w:left="1079"/>
        <w:rPr>
          <w:color w:val="auto"/>
        </w:rPr>
      </w:pPr>
      <w:r>
        <w:rPr>
          <w:color w:val="auto"/>
        </w:rPr>
        <w:fldChar w:fldCharType="begin"/>
      </w:r>
      <w:r>
        <w:rPr>
          <w:color w:val="auto"/>
        </w:rPr>
        <w:instrText xml:space="preserve"> </w:instrText>
      </w:r>
      <w:r>
        <w:rPr>
          <w:rFonts w:hint="eastAsia"/>
          <w:color w:val="auto"/>
        </w:rPr>
        <w:instrText xml:space="preserve">= 2 \* GB2</w:instrText>
      </w:r>
      <w:r>
        <w:rPr>
          <w:color w:val="auto"/>
        </w:rPr>
        <w:instrText xml:space="preserve"> </w:instrText>
      </w:r>
      <w:r>
        <w:rPr>
          <w:color w:val="auto"/>
        </w:rPr>
        <w:fldChar w:fldCharType="separate"/>
      </w:r>
      <w:r>
        <w:rPr>
          <w:rFonts w:hint="eastAsia"/>
          <w:color w:val="auto"/>
        </w:rPr>
        <w:t>⑵</w:t>
      </w:r>
      <w:r>
        <w:rPr>
          <w:color w:val="auto"/>
        </w:rPr>
        <w:fldChar w:fldCharType="end"/>
      </w:r>
      <w:r>
        <w:rPr>
          <w:color w:val="auto"/>
        </w:rPr>
        <w:t>编制材料和设备供应计划并做好供应</w:t>
      </w:r>
      <w:r>
        <w:rPr>
          <w:rFonts w:hint="eastAsia"/>
          <w:color w:val="auto"/>
        </w:rPr>
        <w:t>，</w:t>
      </w:r>
      <w:r>
        <w:rPr>
          <w:color w:val="auto"/>
        </w:rPr>
        <w:t>安排好预制构件和非标准件加工以及施工机具设备的维修保养工作</w:t>
      </w:r>
      <w:r>
        <w:rPr>
          <w:rFonts w:hint="eastAsia"/>
          <w:color w:val="auto"/>
        </w:rPr>
        <w:t>；</w:t>
      </w:r>
    </w:p>
    <w:p>
      <w:pPr>
        <w:tabs>
          <w:tab w:val="left" w:pos="1620"/>
          <w:tab w:val="left" w:pos="2340"/>
        </w:tabs>
        <w:adjustRightInd w:val="0"/>
        <w:snapToGrid w:val="0"/>
        <w:spacing w:beforeLines="0" w:line="360" w:lineRule="auto"/>
        <w:ind w:left="1079"/>
        <w:rPr>
          <w:color w:val="auto"/>
        </w:rPr>
      </w:pPr>
      <w:r>
        <w:rPr>
          <w:color w:val="auto"/>
        </w:rPr>
        <w:fldChar w:fldCharType="begin"/>
      </w:r>
      <w:r>
        <w:rPr>
          <w:color w:val="auto"/>
        </w:rPr>
        <w:instrText xml:space="preserve"> </w:instrText>
      </w:r>
      <w:r>
        <w:rPr>
          <w:rFonts w:hint="eastAsia"/>
          <w:color w:val="auto"/>
        </w:rPr>
        <w:instrText xml:space="preserve">= 3 \* GB2</w:instrText>
      </w:r>
      <w:r>
        <w:rPr>
          <w:color w:val="auto"/>
        </w:rPr>
        <w:instrText xml:space="preserve"> </w:instrText>
      </w:r>
      <w:r>
        <w:rPr>
          <w:color w:val="auto"/>
        </w:rPr>
        <w:fldChar w:fldCharType="separate"/>
      </w:r>
      <w:r>
        <w:rPr>
          <w:rFonts w:hint="eastAsia"/>
          <w:color w:val="auto"/>
        </w:rPr>
        <w:t>⑶</w:t>
      </w:r>
      <w:r>
        <w:rPr>
          <w:color w:val="auto"/>
        </w:rPr>
        <w:fldChar w:fldCharType="end"/>
      </w:r>
      <w:r>
        <w:rPr>
          <w:color w:val="auto"/>
        </w:rPr>
        <w:t>核实场内搬迁项目情况，并报监理人交由发包人与有关部门处理</w:t>
      </w:r>
      <w:r>
        <w:rPr>
          <w:rFonts w:hint="eastAsia"/>
          <w:color w:val="auto"/>
        </w:rPr>
        <w:t>；</w:t>
      </w:r>
    </w:p>
    <w:p>
      <w:pPr>
        <w:tabs>
          <w:tab w:val="left" w:pos="1620"/>
          <w:tab w:val="left" w:pos="2340"/>
        </w:tabs>
        <w:adjustRightInd w:val="0"/>
        <w:snapToGrid w:val="0"/>
        <w:spacing w:beforeLines="0" w:line="360" w:lineRule="auto"/>
        <w:ind w:left="1079"/>
        <w:rPr>
          <w:color w:val="auto"/>
        </w:rPr>
      </w:pPr>
      <w:r>
        <w:rPr>
          <w:color w:val="auto"/>
        </w:rPr>
        <w:fldChar w:fldCharType="begin"/>
      </w:r>
      <w:r>
        <w:rPr>
          <w:color w:val="auto"/>
        </w:rPr>
        <w:instrText xml:space="preserve"> </w:instrText>
      </w:r>
      <w:r>
        <w:rPr>
          <w:rFonts w:hint="eastAsia"/>
          <w:color w:val="auto"/>
        </w:rPr>
        <w:instrText xml:space="preserve">= 4 \* GB2</w:instrText>
      </w:r>
      <w:r>
        <w:rPr>
          <w:color w:val="auto"/>
        </w:rPr>
        <w:instrText xml:space="preserve"> </w:instrText>
      </w:r>
      <w:r>
        <w:rPr>
          <w:color w:val="auto"/>
        </w:rPr>
        <w:fldChar w:fldCharType="separate"/>
      </w:r>
      <w:r>
        <w:rPr>
          <w:rFonts w:hint="eastAsia"/>
          <w:color w:val="auto"/>
        </w:rPr>
        <w:t>⑷</w:t>
      </w:r>
      <w:r>
        <w:rPr>
          <w:color w:val="auto"/>
        </w:rPr>
        <w:fldChar w:fldCharType="end"/>
      </w:r>
      <w:r>
        <w:rPr>
          <w:color w:val="auto"/>
        </w:rPr>
        <w:t>架设供电线路，接通施工用水管路，确定材料、设备等运输线路</w:t>
      </w:r>
      <w:r>
        <w:rPr>
          <w:rFonts w:hint="eastAsia"/>
          <w:color w:val="auto"/>
        </w:rPr>
        <w:t>；</w:t>
      </w:r>
    </w:p>
    <w:p>
      <w:pPr>
        <w:tabs>
          <w:tab w:val="left" w:pos="1620"/>
          <w:tab w:val="left" w:pos="2340"/>
        </w:tabs>
        <w:adjustRightInd w:val="0"/>
        <w:snapToGrid w:val="0"/>
        <w:spacing w:beforeLines="0" w:line="360" w:lineRule="auto"/>
        <w:ind w:left="1079"/>
        <w:rPr>
          <w:color w:val="auto"/>
        </w:rPr>
      </w:pPr>
      <w:r>
        <w:rPr>
          <w:color w:val="auto"/>
        </w:rPr>
        <w:fldChar w:fldCharType="begin"/>
      </w:r>
      <w:r>
        <w:rPr>
          <w:color w:val="auto"/>
        </w:rPr>
        <w:instrText xml:space="preserve"> </w:instrText>
      </w:r>
      <w:r>
        <w:rPr>
          <w:rFonts w:hint="eastAsia"/>
          <w:color w:val="auto"/>
        </w:rPr>
        <w:instrText xml:space="preserve">= 5 \* GB2</w:instrText>
      </w:r>
      <w:r>
        <w:rPr>
          <w:color w:val="auto"/>
        </w:rPr>
        <w:instrText xml:space="preserve"> </w:instrText>
      </w:r>
      <w:r>
        <w:rPr>
          <w:color w:val="auto"/>
        </w:rPr>
        <w:fldChar w:fldCharType="separate"/>
      </w:r>
      <w:r>
        <w:rPr>
          <w:rFonts w:hint="eastAsia"/>
          <w:color w:val="auto"/>
        </w:rPr>
        <w:t>⑸</w:t>
      </w:r>
      <w:r>
        <w:rPr>
          <w:color w:val="auto"/>
        </w:rPr>
        <w:fldChar w:fldCharType="end"/>
      </w:r>
      <w:r>
        <w:rPr>
          <w:rFonts w:hint="eastAsia"/>
          <w:color w:val="auto"/>
        </w:rPr>
        <w:t>做好场区的临时排水、</w:t>
      </w:r>
      <w:r>
        <w:rPr>
          <w:color w:val="auto"/>
        </w:rPr>
        <w:t>泄水口</w:t>
      </w:r>
      <w:r>
        <w:rPr>
          <w:rFonts w:hint="eastAsia"/>
          <w:color w:val="auto"/>
        </w:rPr>
        <w:t>、车辆、车轮冲洗沟槽设施及场地、道路硬化等及其他全部临时工程；</w:t>
      </w:r>
    </w:p>
    <w:p>
      <w:pPr>
        <w:tabs>
          <w:tab w:val="left" w:pos="1620"/>
          <w:tab w:val="left" w:pos="2340"/>
        </w:tabs>
        <w:adjustRightInd w:val="0"/>
        <w:snapToGrid w:val="0"/>
        <w:spacing w:beforeLines="0" w:line="360" w:lineRule="auto"/>
        <w:ind w:left="1079"/>
        <w:rPr>
          <w:color w:val="auto"/>
        </w:rPr>
      </w:pPr>
      <w:r>
        <w:rPr>
          <w:color w:val="auto"/>
        </w:rPr>
        <w:fldChar w:fldCharType="begin"/>
      </w:r>
      <w:r>
        <w:rPr>
          <w:color w:val="auto"/>
        </w:rPr>
        <w:instrText xml:space="preserve"> </w:instrText>
      </w:r>
      <w:r>
        <w:rPr>
          <w:rFonts w:hint="eastAsia"/>
          <w:color w:val="auto"/>
        </w:rPr>
        <w:instrText xml:space="preserve">= 6 \* GB2</w:instrText>
      </w:r>
      <w:r>
        <w:rPr>
          <w:color w:val="auto"/>
        </w:rPr>
        <w:instrText xml:space="preserve"> </w:instrText>
      </w:r>
      <w:r>
        <w:rPr>
          <w:color w:val="auto"/>
        </w:rPr>
        <w:fldChar w:fldCharType="separate"/>
      </w:r>
      <w:r>
        <w:rPr>
          <w:rFonts w:hint="eastAsia"/>
          <w:color w:val="auto"/>
        </w:rPr>
        <w:t>⑹</w:t>
      </w:r>
      <w:r>
        <w:rPr>
          <w:color w:val="auto"/>
        </w:rPr>
        <w:fldChar w:fldCharType="end"/>
      </w:r>
      <w:r>
        <w:rPr>
          <w:color w:val="auto"/>
        </w:rPr>
        <w:t>组织施工机械设备和材料进场</w:t>
      </w:r>
      <w:r>
        <w:rPr>
          <w:rFonts w:hint="eastAsia"/>
          <w:color w:val="auto"/>
        </w:rPr>
        <w:t>；</w:t>
      </w:r>
    </w:p>
    <w:p>
      <w:pPr>
        <w:tabs>
          <w:tab w:val="left" w:pos="1620"/>
          <w:tab w:val="left" w:pos="2340"/>
        </w:tabs>
        <w:adjustRightInd w:val="0"/>
        <w:snapToGrid w:val="0"/>
        <w:spacing w:beforeLines="0" w:line="360" w:lineRule="auto"/>
        <w:ind w:left="1079"/>
        <w:rPr>
          <w:color w:val="auto"/>
        </w:rPr>
      </w:pPr>
      <w:r>
        <w:rPr>
          <w:color w:val="auto"/>
        </w:rPr>
        <w:fldChar w:fldCharType="begin"/>
      </w:r>
      <w:r>
        <w:rPr>
          <w:color w:val="auto"/>
        </w:rPr>
        <w:instrText xml:space="preserve"> </w:instrText>
      </w:r>
      <w:r>
        <w:rPr>
          <w:rFonts w:hint="eastAsia"/>
          <w:color w:val="auto"/>
        </w:rPr>
        <w:instrText xml:space="preserve">= 7 \* GB2</w:instrText>
      </w:r>
      <w:r>
        <w:rPr>
          <w:color w:val="auto"/>
        </w:rPr>
        <w:instrText xml:space="preserve"> </w:instrText>
      </w:r>
      <w:r>
        <w:rPr>
          <w:color w:val="auto"/>
        </w:rPr>
        <w:fldChar w:fldCharType="separate"/>
      </w:r>
      <w:r>
        <w:rPr>
          <w:rFonts w:hint="eastAsia"/>
          <w:color w:val="auto"/>
        </w:rPr>
        <w:t>⑺</w:t>
      </w:r>
      <w:r>
        <w:rPr>
          <w:color w:val="auto"/>
        </w:rPr>
        <w:fldChar w:fldCharType="end"/>
      </w:r>
      <w:r>
        <w:rPr>
          <w:color w:val="auto"/>
        </w:rPr>
        <w:t>落实季节性施工措施</w:t>
      </w:r>
      <w:r>
        <w:rPr>
          <w:rFonts w:hint="eastAsia"/>
          <w:color w:val="auto"/>
        </w:rPr>
        <w:t>；</w:t>
      </w:r>
    </w:p>
    <w:p>
      <w:pPr>
        <w:tabs>
          <w:tab w:val="left" w:pos="1620"/>
          <w:tab w:val="left" w:pos="2340"/>
        </w:tabs>
        <w:adjustRightInd w:val="0"/>
        <w:snapToGrid w:val="0"/>
        <w:spacing w:beforeLines="0" w:line="360" w:lineRule="auto"/>
        <w:ind w:left="1079"/>
        <w:rPr>
          <w:color w:val="auto"/>
        </w:rPr>
      </w:pPr>
      <w:r>
        <w:rPr>
          <w:color w:val="auto"/>
        </w:rPr>
        <w:fldChar w:fldCharType="begin"/>
      </w:r>
      <w:r>
        <w:rPr>
          <w:color w:val="auto"/>
        </w:rPr>
        <w:instrText xml:space="preserve"> </w:instrText>
      </w:r>
      <w:r>
        <w:rPr>
          <w:rFonts w:hint="eastAsia"/>
          <w:color w:val="auto"/>
        </w:rPr>
        <w:instrText xml:space="preserve">= 8 \* GB2</w:instrText>
      </w:r>
      <w:r>
        <w:rPr>
          <w:color w:val="auto"/>
        </w:rPr>
        <w:instrText xml:space="preserve"> </w:instrText>
      </w:r>
      <w:r>
        <w:rPr>
          <w:color w:val="auto"/>
        </w:rPr>
        <w:fldChar w:fldCharType="separate"/>
      </w:r>
      <w:r>
        <w:rPr>
          <w:rFonts w:hint="eastAsia"/>
          <w:color w:val="auto"/>
        </w:rPr>
        <w:t>⑻</w:t>
      </w:r>
      <w:r>
        <w:rPr>
          <w:color w:val="auto"/>
        </w:rPr>
        <w:fldChar w:fldCharType="end"/>
      </w:r>
      <w:r>
        <w:rPr>
          <w:color w:val="auto"/>
        </w:rPr>
        <w:t>向</w:t>
      </w:r>
      <w:r>
        <w:rPr>
          <w:rFonts w:hint="eastAsia"/>
          <w:color w:val="auto"/>
        </w:rPr>
        <w:t>监理人</w:t>
      </w:r>
      <w:r>
        <w:rPr>
          <w:color w:val="auto"/>
        </w:rPr>
        <w:t>提交安全生产</w:t>
      </w:r>
      <w:r>
        <w:rPr>
          <w:rFonts w:hint="eastAsia"/>
          <w:color w:val="auto"/>
        </w:rPr>
        <w:t>(含消防安全)</w:t>
      </w:r>
      <w:r>
        <w:rPr>
          <w:color w:val="auto"/>
        </w:rPr>
        <w:t>计划；落实安全、</w:t>
      </w:r>
      <w:r>
        <w:rPr>
          <w:rFonts w:hint="eastAsia"/>
          <w:color w:val="auto"/>
        </w:rPr>
        <w:t>消防和保安措施，以及</w:t>
      </w:r>
      <w:r>
        <w:rPr>
          <w:color w:val="auto"/>
        </w:rPr>
        <w:t>文明施工管理措施。</w:t>
      </w:r>
    </w:p>
    <w:p>
      <w:pPr>
        <w:adjustRightInd w:val="0"/>
        <w:snapToGrid w:val="0"/>
        <w:spacing w:before="0" w:beforeLines="0" w:after="0" w:line="360" w:lineRule="auto"/>
        <w:ind w:left="359"/>
        <w:rPr>
          <w:color w:val="auto"/>
        </w:rPr>
      </w:pPr>
      <w:r>
        <w:rPr>
          <w:b/>
          <w:color w:val="auto"/>
        </w:rPr>
        <w:t>10.5</w:t>
      </w:r>
      <w:r>
        <w:rPr>
          <w:rFonts w:hint="eastAsia"/>
          <w:b/>
          <w:color w:val="auto"/>
        </w:rPr>
        <w:t>施工技术准备工作</w:t>
      </w:r>
    </w:p>
    <w:p>
      <w:pPr>
        <w:tabs>
          <w:tab w:val="left" w:pos="1620"/>
          <w:tab w:val="left" w:pos="2340"/>
        </w:tabs>
        <w:adjustRightInd w:val="0"/>
        <w:snapToGrid w:val="0"/>
        <w:spacing w:beforeLines="0" w:line="360" w:lineRule="auto"/>
        <w:ind w:left="899"/>
        <w:rPr>
          <w:color w:val="auto"/>
        </w:rPr>
      </w:pPr>
      <w:r>
        <w:rPr>
          <w:rFonts w:hint="eastAsia"/>
          <w:color w:val="auto"/>
        </w:rPr>
        <w:t>本</w:t>
      </w:r>
      <w:r>
        <w:rPr>
          <w:color w:val="auto"/>
        </w:rPr>
        <w:t>工程开工前，承包人应及时做好</w:t>
      </w:r>
      <w:r>
        <w:rPr>
          <w:rFonts w:hint="eastAsia"/>
          <w:color w:val="auto"/>
        </w:rPr>
        <w:t>如下</w:t>
      </w:r>
      <w:r>
        <w:rPr>
          <w:color w:val="auto"/>
        </w:rPr>
        <w:t>施工</w:t>
      </w:r>
      <w:r>
        <w:rPr>
          <w:rFonts w:hint="eastAsia"/>
          <w:color w:val="auto"/>
        </w:rPr>
        <w:t>技术</w:t>
      </w:r>
      <w:r>
        <w:rPr>
          <w:color w:val="auto"/>
        </w:rPr>
        <w:t>准备工作</w:t>
      </w:r>
      <w:r>
        <w:rPr>
          <w:rFonts w:hint="eastAsia"/>
          <w:color w:val="auto"/>
        </w:rPr>
        <w:t>(</w:t>
      </w:r>
      <w:r>
        <w:rPr>
          <w:color w:val="auto"/>
        </w:rPr>
        <w:t>包括但不限于</w:t>
      </w:r>
      <w:r>
        <w:rPr>
          <w:rFonts w:hint="eastAsia"/>
          <w:color w:val="auto"/>
        </w:rPr>
        <w:t>)</w:t>
      </w:r>
      <w:r>
        <w:rPr>
          <w:color w:val="auto"/>
        </w:rPr>
        <w:t>：</w:t>
      </w:r>
    </w:p>
    <w:p>
      <w:pPr>
        <w:tabs>
          <w:tab w:val="left" w:pos="1620"/>
          <w:tab w:val="left" w:pos="2340"/>
        </w:tabs>
        <w:adjustRightInd w:val="0"/>
        <w:snapToGrid w:val="0"/>
        <w:spacing w:beforeLines="0" w:line="360" w:lineRule="auto"/>
        <w:ind w:left="899"/>
        <w:rPr>
          <w:color w:val="auto"/>
        </w:rPr>
      </w:pPr>
      <w:r>
        <w:rPr>
          <w:rFonts w:hint="eastAsia"/>
          <w:color w:val="auto"/>
        </w:rPr>
        <w:t>⑴</w:t>
      </w:r>
      <w:r>
        <w:rPr>
          <w:color w:val="auto"/>
        </w:rPr>
        <w:t>熟悉、审核设计图，参加监理人</w:t>
      </w:r>
      <w:r>
        <w:rPr>
          <w:rFonts w:hint="eastAsia"/>
          <w:color w:val="auto"/>
        </w:rPr>
        <w:t>组织的</w:t>
      </w:r>
      <w:r>
        <w:rPr>
          <w:color w:val="auto"/>
        </w:rPr>
        <w:t>设计交底和图纸会审</w:t>
      </w:r>
      <w:r>
        <w:rPr>
          <w:rFonts w:hint="eastAsia"/>
          <w:color w:val="auto"/>
        </w:rPr>
        <w:t>；</w:t>
      </w:r>
    </w:p>
    <w:p>
      <w:pPr>
        <w:tabs>
          <w:tab w:val="left" w:pos="1620"/>
          <w:tab w:val="left" w:pos="2340"/>
        </w:tabs>
        <w:adjustRightInd w:val="0"/>
        <w:snapToGrid w:val="0"/>
        <w:spacing w:beforeLines="0" w:line="360" w:lineRule="auto"/>
        <w:ind w:left="899"/>
        <w:rPr>
          <w:color w:val="auto"/>
        </w:rPr>
      </w:pPr>
      <w:r>
        <w:rPr>
          <w:rFonts w:hint="eastAsia"/>
          <w:color w:val="auto"/>
        </w:rPr>
        <w:t>⑵参与</w:t>
      </w:r>
      <w:r>
        <w:rPr>
          <w:color w:val="auto"/>
        </w:rPr>
        <w:t>监理人</w:t>
      </w:r>
      <w:r>
        <w:rPr>
          <w:rFonts w:hint="eastAsia"/>
          <w:color w:val="auto"/>
        </w:rPr>
        <w:t>组织的</w:t>
      </w:r>
      <w:r>
        <w:rPr>
          <w:color w:val="auto"/>
        </w:rPr>
        <w:t>测量交桩</w:t>
      </w:r>
      <w:r>
        <w:rPr>
          <w:rFonts w:hint="eastAsia"/>
          <w:color w:val="auto"/>
        </w:rPr>
        <w:t>，</w:t>
      </w:r>
      <w:r>
        <w:rPr>
          <w:color w:val="auto"/>
        </w:rPr>
        <w:t>复测控制桩和水准点，并制定测量方案和监控量测方案</w:t>
      </w:r>
      <w:r>
        <w:rPr>
          <w:rFonts w:hint="eastAsia"/>
          <w:color w:val="auto"/>
        </w:rPr>
        <w:t>；</w:t>
      </w:r>
    </w:p>
    <w:p>
      <w:pPr>
        <w:tabs>
          <w:tab w:val="left" w:pos="1620"/>
          <w:tab w:val="left" w:pos="2340"/>
        </w:tabs>
        <w:adjustRightInd w:val="0"/>
        <w:snapToGrid w:val="0"/>
        <w:spacing w:beforeLines="0" w:line="360" w:lineRule="auto"/>
        <w:ind w:left="899"/>
        <w:rPr>
          <w:color w:val="auto"/>
        </w:rPr>
      </w:pPr>
      <w:r>
        <w:rPr>
          <w:rFonts w:hint="eastAsia"/>
          <w:color w:val="auto"/>
        </w:rPr>
        <w:t>⑶</w:t>
      </w:r>
      <w:r>
        <w:rPr>
          <w:color w:val="auto"/>
        </w:rPr>
        <w:t>按监理人要求，优化施工组织设计</w:t>
      </w:r>
      <w:r>
        <w:rPr>
          <w:rFonts w:hint="eastAsia"/>
          <w:color w:val="auto"/>
        </w:rPr>
        <w:t>；</w:t>
      </w:r>
    </w:p>
    <w:p>
      <w:pPr>
        <w:tabs>
          <w:tab w:val="left" w:pos="1620"/>
          <w:tab w:val="left" w:pos="2340"/>
        </w:tabs>
        <w:adjustRightInd w:val="0"/>
        <w:snapToGrid w:val="0"/>
        <w:spacing w:beforeLines="0" w:line="360" w:lineRule="auto"/>
        <w:ind w:left="899"/>
        <w:rPr>
          <w:color w:val="auto"/>
        </w:rPr>
      </w:pPr>
      <w:r>
        <w:rPr>
          <w:rFonts w:hint="eastAsia"/>
          <w:color w:val="auto"/>
        </w:rPr>
        <w:t>⑷</w:t>
      </w:r>
      <w:r>
        <w:rPr>
          <w:color w:val="auto"/>
        </w:rPr>
        <w:t>做好技术交底和培训，安排好检验试验工作</w:t>
      </w:r>
      <w:r>
        <w:rPr>
          <w:rFonts w:hint="eastAsia"/>
          <w:color w:val="auto"/>
        </w:rPr>
        <w:t>。</w:t>
      </w:r>
    </w:p>
    <w:p>
      <w:pPr>
        <w:adjustRightInd w:val="0"/>
        <w:snapToGrid w:val="0"/>
        <w:spacing w:before="0" w:beforeLines="0" w:after="0" w:line="360" w:lineRule="auto"/>
        <w:ind w:left="359"/>
        <w:rPr>
          <w:color w:val="auto"/>
        </w:rPr>
      </w:pPr>
      <w:r>
        <w:rPr>
          <w:b/>
          <w:color w:val="auto"/>
        </w:rPr>
        <w:t>10.6</w:t>
      </w:r>
      <w:r>
        <w:rPr>
          <w:rFonts w:hint="eastAsia"/>
          <w:b/>
          <w:color w:val="auto"/>
        </w:rPr>
        <w:t>不利的外界障碍或条件</w:t>
      </w:r>
    </w:p>
    <w:p>
      <w:pPr>
        <w:tabs>
          <w:tab w:val="left" w:pos="1620"/>
          <w:tab w:val="left" w:pos="2340"/>
        </w:tabs>
        <w:adjustRightInd w:val="0"/>
        <w:snapToGrid w:val="0"/>
        <w:spacing w:beforeLines="0" w:after="0" w:line="360" w:lineRule="auto"/>
        <w:ind w:left="899"/>
        <w:rPr>
          <w:color w:val="auto"/>
        </w:rPr>
      </w:pPr>
      <w:r>
        <w:rPr>
          <w:rFonts w:hint="eastAsia"/>
          <w:color w:val="auto"/>
        </w:rPr>
        <w:t>⑴在施工期间，如遇到承包人无法预见的外界障碍或条件，给承包人造成损失和(或)导致工期延误的，发包人应顺延延误的工期，费用的承担在专用条款中另行约定。</w:t>
      </w:r>
    </w:p>
    <w:p>
      <w:pPr>
        <w:tabs>
          <w:tab w:val="left" w:pos="1620"/>
          <w:tab w:val="left" w:pos="2340"/>
        </w:tabs>
        <w:adjustRightInd w:val="0"/>
        <w:snapToGrid w:val="0"/>
        <w:spacing w:beforeLines="0" w:after="0" w:line="360" w:lineRule="auto"/>
        <w:ind w:left="899"/>
        <w:rPr>
          <w:color w:val="auto"/>
        </w:rPr>
      </w:pPr>
      <w:r>
        <w:rPr>
          <w:rFonts w:hint="eastAsia"/>
          <w:color w:val="auto"/>
        </w:rPr>
        <w:t>⑵在确定损失和(或)延误的工期时，应该考虑</w:t>
      </w:r>
      <w:r>
        <w:rPr>
          <w:color w:val="auto"/>
        </w:rPr>
        <w:t>监理人</w:t>
      </w:r>
      <w:r>
        <w:rPr>
          <w:rFonts w:hint="eastAsia"/>
          <w:color w:val="auto"/>
        </w:rPr>
        <w:t>已经发给承包人与此有关的指令，以及在没有</w:t>
      </w:r>
      <w:r>
        <w:rPr>
          <w:color w:val="auto"/>
        </w:rPr>
        <w:t>监理人</w:t>
      </w:r>
      <w:r>
        <w:rPr>
          <w:rFonts w:hint="eastAsia"/>
          <w:color w:val="auto"/>
        </w:rPr>
        <w:t>具体指令情况下，承包人所采取的合理措施。</w:t>
      </w:r>
    </w:p>
    <w:p>
      <w:pPr>
        <w:tabs>
          <w:tab w:val="left" w:pos="1620"/>
          <w:tab w:val="left" w:pos="2340"/>
        </w:tabs>
        <w:adjustRightInd w:val="0"/>
        <w:snapToGrid w:val="0"/>
        <w:spacing w:beforeLines="0" w:after="0" w:line="360" w:lineRule="auto"/>
        <w:ind w:left="899"/>
        <w:rPr>
          <w:color w:val="auto"/>
        </w:rPr>
      </w:pPr>
      <w:r>
        <w:rPr>
          <w:rFonts w:hint="eastAsia"/>
          <w:color w:val="auto"/>
        </w:rPr>
        <w:t>⑶对于</w:t>
      </w:r>
      <w:r>
        <w:rPr>
          <w:rFonts w:hint="eastAsia"/>
          <w:b/>
          <w:i/>
          <w:color w:val="auto"/>
        </w:rPr>
        <w:t>专用条款</w:t>
      </w:r>
      <w:r>
        <w:rPr>
          <w:rFonts w:hint="eastAsia"/>
          <w:color w:val="auto"/>
        </w:rPr>
        <w:t>已经明确指出的不利的外界障碍或条件，均视为承包人在接受合同时已预见其影响因素并已在投标报价中计入由于其影响而可能发生的一切费用。</w:t>
      </w:r>
    </w:p>
    <w:p>
      <w:pPr>
        <w:adjustRightInd w:val="0"/>
        <w:snapToGrid w:val="0"/>
        <w:spacing w:before="0" w:beforeLines="0" w:after="0" w:line="360" w:lineRule="auto"/>
        <w:ind w:left="178"/>
        <w:rPr>
          <w:color w:val="auto"/>
          <w:sz w:val="28"/>
        </w:rPr>
      </w:pPr>
      <w:r>
        <w:rPr>
          <w:b/>
          <w:color w:val="auto"/>
          <w:sz w:val="28"/>
        </w:rPr>
        <w:t>11</w:t>
      </w:r>
      <w:r>
        <w:rPr>
          <w:rFonts w:hint="eastAsia"/>
          <w:b/>
          <w:color w:val="auto"/>
          <w:sz w:val="28"/>
        </w:rPr>
        <w:t>开工及延期</w:t>
      </w:r>
    </w:p>
    <w:p>
      <w:pPr>
        <w:adjustRightInd w:val="0"/>
        <w:snapToGrid w:val="0"/>
        <w:spacing w:before="0" w:beforeLines="0" w:after="0" w:line="360" w:lineRule="auto"/>
        <w:ind w:left="359"/>
        <w:rPr>
          <w:color w:val="auto"/>
        </w:rPr>
      </w:pPr>
      <w:r>
        <w:rPr>
          <w:b/>
          <w:color w:val="auto"/>
        </w:rPr>
        <w:t>11.1</w:t>
      </w:r>
      <w:r>
        <w:rPr>
          <w:rFonts w:hint="eastAsia"/>
          <w:b/>
          <w:color w:val="auto"/>
        </w:rPr>
        <w:t>开工</w:t>
      </w:r>
    </w:p>
    <w:p>
      <w:pPr>
        <w:tabs>
          <w:tab w:val="left" w:pos="1620"/>
          <w:tab w:val="left" w:pos="2340"/>
        </w:tabs>
        <w:adjustRightInd w:val="0"/>
        <w:snapToGrid w:val="0"/>
        <w:spacing w:beforeLines="0" w:after="0" w:line="360" w:lineRule="auto"/>
        <w:ind w:left="899"/>
        <w:rPr>
          <w:color w:val="auto"/>
        </w:rPr>
      </w:pPr>
      <w:r>
        <w:rPr>
          <w:color w:val="auto"/>
        </w:rPr>
        <w:t>监理人</w:t>
      </w:r>
      <w:r>
        <w:rPr>
          <w:rFonts w:hint="eastAsia"/>
          <w:color w:val="auto"/>
        </w:rPr>
        <w:t>应按合同约定的开工日期在不少于7天前向承包人发出开工通知书，承包人应按合同约定的开工日期开始本工程或按专用条款13.1款约定的单项工程开工日期开始本工程中某单项工程的施工。</w:t>
      </w:r>
    </w:p>
    <w:p>
      <w:pPr>
        <w:adjustRightInd w:val="0"/>
        <w:snapToGrid w:val="0"/>
        <w:spacing w:before="0" w:beforeLines="0" w:after="0" w:line="360" w:lineRule="auto"/>
        <w:ind w:left="359"/>
        <w:rPr>
          <w:color w:val="auto"/>
        </w:rPr>
      </w:pPr>
      <w:r>
        <w:rPr>
          <w:b/>
          <w:color w:val="auto"/>
        </w:rPr>
        <w:t>11.2</w:t>
      </w:r>
      <w:r>
        <w:rPr>
          <w:rFonts w:hint="eastAsia"/>
          <w:b/>
          <w:color w:val="auto"/>
        </w:rPr>
        <w:t>开工延期</w:t>
      </w:r>
    </w:p>
    <w:p>
      <w:pPr>
        <w:tabs>
          <w:tab w:val="left" w:pos="1620"/>
          <w:tab w:val="left" w:pos="2340"/>
        </w:tabs>
        <w:adjustRightInd w:val="0"/>
        <w:snapToGrid w:val="0"/>
        <w:spacing w:beforeLines="0" w:after="0" w:line="360" w:lineRule="auto"/>
        <w:ind w:left="899"/>
        <w:rPr>
          <w:color w:val="auto"/>
        </w:rPr>
      </w:pPr>
      <w:r>
        <w:rPr>
          <w:rFonts w:hint="eastAsia"/>
          <w:color w:val="auto"/>
        </w:rPr>
        <w:t>⑴承包人因自身的原因不能按本合同约定的开工日期开工，应在不少于本合同约定的开工日期前7天，以书面形式向</w:t>
      </w:r>
      <w:r>
        <w:rPr>
          <w:color w:val="auto"/>
        </w:rPr>
        <w:t>监理人</w:t>
      </w:r>
      <w:r>
        <w:rPr>
          <w:rFonts w:hint="eastAsia"/>
          <w:color w:val="auto"/>
        </w:rPr>
        <w:t>提出开工延期的要求和理由。</w:t>
      </w:r>
      <w:r>
        <w:rPr>
          <w:color w:val="auto"/>
        </w:rPr>
        <w:t>监理人</w:t>
      </w:r>
      <w:r>
        <w:rPr>
          <w:rFonts w:hint="eastAsia"/>
          <w:color w:val="auto"/>
        </w:rPr>
        <w:t>应在接到开工延期申请后48小时内予以审核，并报发包人审批后答复承包人。发包人同意开工延期或逾期未予答复的，开工延期并相应顺延工期；发包人不同意开工延期或承包人未在约定时限内提出开工延期申请的，开工不予延期并工期不予顺延。</w:t>
      </w:r>
    </w:p>
    <w:p>
      <w:pPr>
        <w:tabs>
          <w:tab w:val="left" w:pos="1620"/>
          <w:tab w:val="left" w:pos="2340"/>
        </w:tabs>
        <w:adjustRightInd w:val="0"/>
        <w:snapToGrid w:val="0"/>
        <w:spacing w:beforeLines="0" w:after="0" w:line="360" w:lineRule="auto"/>
        <w:ind w:left="899"/>
        <w:rPr>
          <w:color w:val="auto"/>
        </w:rPr>
      </w:pPr>
      <w:r>
        <w:rPr>
          <w:rFonts w:hint="eastAsia"/>
          <w:color w:val="auto"/>
        </w:rPr>
        <w:t>⑵因发包人的原因造成承包人不能在本合同约定的开工日期开工，</w:t>
      </w:r>
      <w:r>
        <w:rPr>
          <w:color w:val="auto"/>
        </w:rPr>
        <w:t>监理人</w:t>
      </w:r>
      <w:r>
        <w:rPr>
          <w:rFonts w:hint="eastAsia"/>
          <w:color w:val="auto"/>
        </w:rPr>
        <w:t>应在不少于本合同约定的开工日期前7天，以书面形式通知承包人，延期开工并相应顺延工期。因发包人的原因延期开工给承包人造成损失的，发包人应赔偿承包人损失。</w:t>
      </w:r>
    </w:p>
    <w:p>
      <w:pPr>
        <w:tabs>
          <w:tab w:val="left" w:pos="1620"/>
          <w:tab w:val="left" w:pos="2340"/>
        </w:tabs>
        <w:adjustRightInd w:val="0"/>
        <w:snapToGrid w:val="0"/>
        <w:spacing w:beforeLines="0" w:after="0" w:line="360" w:lineRule="auto"/>
        <w:ind w:left="899"/>
        <w:rPr>
          <w:color w:val="auto"/>
        </w:rPr>
      </w:pPr>
      <w:r>
        <w:rPr>
          <w:rFonts w:hint="eastAsia"/>
          <w:color w:val="auto"/>
        </w:rPr>
        <w:t>⑶按照11.2⑴、⑵款情形确定延期开工后，</w:t>
      </w:r>
      <w:r>
        <w:rPr>
          <w:color w:val="auto"/>
        </w:rPr>
        <w:t>监理人</w:t>
      </w:r>
      <w:r>
        <w:rPr>
          <w:rFonts w:hint="eastAsia"/>
          <w:color w:val="auto"/>
        </w:rPr>
        <w:t>应在具备开工条件后至少提前7天向承包人发出开工通知书。</w:t>
      </w:r>
    </w:p>
    <w:p>
      <w:pPr>
        <w:adjustRightInd w:val="0"/>
        <w:snapToGrid w:val="0"/>
        <w:spacing w:before="0" w:beforeLines="0" w:after="0" w:line="360" w:lineRule="auto"/>
        <w:ind w:left="178"/>
        <w:rPr>
          <w:color w:val="auto"/>
          <w:sz w:val="28"/>
        </w:rPr>
      </w:pPr>
      <w:r>
        <w:rPr>
          <w:b/>
          <w:color w:val="auto"/>
          <w:sz w:val="28"/>
        </w:rPr>
        <w:t>12</w:t>
      </w:r>
      <w:r>
        <w:rPr>
          <w:rFonts w:hint="eastAsia"/>
          <w:b/>
          <w:color w:val="auto"/>
          <w:sz w:val="28"/>
        </w:rPr>
        <w:t>暂停施工和恢复施工</w:t>
      </w:r>
    </w:p>
    <w:p>
      <w:pPr>
        <w:adjustRightInd w:val="0"/>
        <w:snapToGrid w:val="0"/>
        <w:spacing w:before="0" w:beforeLines="0" w:after="0" w:line="360" w:lineRule="auto"/>
        <w:ind w:left="359"/>
        <w:rPr>
          <w:color w:val="auto"/>
        </w:rPr>
      </w:pPr>
      <w:r>
        <w:rPr>
          <w:b/>
          <w:color w:val="auto"/>
        </w:rPr>
        <w:t>12.1发包人原因引起的暂停施工</w:t>
      </w:r>
    </w:p>
    <w:p>
      <w:pPr>
        <w:tabs>
          <w:tab w:val="left" w:pos="1620"/>
          <w:tab w:val="left" w:pos="2340"/>
        </w:tabs>
        <w:adjustRightInd w:val="0"/>
        <w:snapToGrid w:val="0"/>
        <w:spacing w:beforeLines="0" w:after="0" w:line="360" w:lineRule="auto"/>
        <w:ind w:left="899"/>
        <w:rPr>
          <w:color w:val="auto"/>
        </w:rPr>
      </w:pPr>
      <w:r>
        <w:rPr>
          <w:color w:val="auto"/>
        </w:rPr>
        <w:t>因发包人原因引起暂停施工的，监理人经发包人同意后，应及时下达暂停施工指示。情况紧急且监理人未及时下达暂停施工指示的，按照第</w:t>
      </w:r>
      <w:r>
        <w:rPr>
          <w:rFonts w:hint="eastAsia"/>
          <w:color w:val="auto"/>
        </w:rPr>
        <w:t>12</w:t>
      </w:r>
      <w:r>
        <w:rPr>
          <w:color w:val="auto"/>
        </w:rPr>
        <w:t>.4</w:t>
      </w:r>
      <w:r>
        <w:rPr>
          <w:rFonts w:hint="eastAsia"/>
          <w:color w:val="auto"/>
        </w:rPr>
        <w:t>款〔</w:t>
      </w:r>
      <w:r>
        <w:rPr>
          <w:color w:val="auto"/>
        </w:rPr>
        <w:t>紧急情况下的暂停施工</w:t>
      </w:r>
      <w:r>
        <w:rPr>
          <w:rFonts w:hint="eastAsia"/>
          <w:color w:val="auto"/>
        </w:rPr>
        <w:t>〕</w:t>
      </w:r>
      <w:r>
        <w:rPr>
          <w:color w:val="auto"/>
        </w:rPr>
        <w:t>执行。</w:t>
      </w:r>
    </w:p>
    <w:p>
      <w:pPr>
        <w:tabs>
          <w:tab w:val="left" w:pos="1620"/>
          <w:tab w:val="left" w:pos="2340"/>
        </w:tabs>
        <w:adjustRightInd w:val="0"/>
        <w:snapToGrid w:val="0"/>
        <w:spacing w:beforeLines="0" w:after="0" w:line="360" w:lineRule="auto"/>
        <w:ind w:left="899"/>
        <w:rPr>
          <w:color w:val="auto"/>
        </w:rPr>
      </w:pPr>
      <w:r>
        <w:rPr>
          <w:color w:val="auto"/>
        </w:rPr>
        <w:t>因发包人原因引起的暂停施工，发包人应承担由此增加的费用和（或）延误的工期，并支付承包人合理的利润。</w:t>
      </w:r>
    </w:p>
    <w:p>
      <w:pPr>
        <w:adjustRightInd w:val="0"/>
        <w:snapToGrid w:val="0"/>
        <w:spacing w:before="0" w:beforeLines="0" w:after="0" w:line="360" w:lineRule="auto"/>
        <w:ind w:left="359"/>
        <w:rPr>
          <w:color w:val="auto"/>
        </w:rPr>
      </w:pPr>
      <w:r>
        <w:rPr>
          <w:b/>
          <w:color w:val="auto"/>
        </w:rPr>
        <w:t>12.2承包人原因引起的暂停施工</w:t>
      </w:r>
    </w:p>
    <w:p>
      <w:pPr>
        <w:tabs>
          <w:tab w:val="left" w:pos="1620"/>
          <w:tab w:val="left" w:pos="2340"/>
        </w:tabs>
        <w:adjustRightInd w:val="0"/>
        <w:snapToGrid w:val="0"/>
        <w:spacing w:beforeLines="0" w:after="0" w:line="360" w:lineRule="auto"/>
        <w:ind w:left="899"/>
        <w:rPr>
          <w:color w:val="auto"/>
        </w:rPr>
      </w:pPr>
      <w:r>
        <w:rPr>
          <w:color w:val="auto"/>
        </w:rPr>
        <w:t>因承包人原因引起的暂停施工，承包人应承担由此增加的费用和（或）延误的工期，且承包人在收到监理人复工指示后</w:t>
      </w:r>
      <w:r>
        <w:rPr>
          <w:rFonts w:hint="eastAsia"/>
          <w:color w:val="auto"/>
        </w:rPr>
        <w:t>在</w:t>
      </w:r>
      <w:r>
        <w:rPr>
          <w:rFonts w:hint="eastAsia"/>
          <w:b/>
          <w:i/>
          <w:color w:val="auto"/>
        </w:rPr>
        <w:t>专用条款</w:t>
      </w:r>
      <w:r>
        <w:rPr>
          <w:rFonts w:hint="eastAsia"/>
          <w:color w:val="auto"/>
        </w:rPr>
        <w:t>约定的期限</w:t>
      </w:r>
      <w:r>
        <w:rPr>
          <w:color w:val="auto"/>
        </w:rPr>
        <w:t>内仍未复工的，视为第</w:t>
      </w:r>
      <w:r>
        <w:rPr>
          <w:rFonts w:hint="eastAsia"/>
          <w:color w:val="auto"/>
        </w:rPr>
        <w:t>28.2款〔</w:t>
      </w:r>
      <w:r>
        <w:rPr>
          <w:color w:val="auto"/>
        </w:rPr>
        <w:t>承包人违约</w:t>
      </w:r>
      <w:r>
        <w:rPr>
          <w:rFonts w:hint="eastAsia"/>
          <w:color w:val="auto"/>
        </w:rPr>
        <w:t>〕第⑺</w:t>
      </w:r>
      <w:r>
        <w:rPr>
          <w:color w:val="auto"/>
        </w:rPr>
        <w:t>项约定的承包人无法继续履行合同的情形。</w:t>
      </w:r>
    </w:p>
    <w:p>
      <w:pPr>
        <w:adjustRightInd w:val="0"/>
        <w:snapToGrid w:val="0"/>
        <w:spacing w:before="0" w:beforeLines="0" w:after="0" w:line="360" w:lineRule="auto"/>
        <w:ind w:left="359"/>
        <w:rPr>
          <w:color w:val="auto"/>
        </w:rPr>
      </w:pPr>
      <w:r>
        <w:rPr>
          <w:b/>
          <w:color w:val="auto"/>
        </w:rPr>
        <w:t>12.3指示暂停施工</w:t>
      </w:r>
    </w:p>
    <w:p>
      <w:pPr>
        <w:tabs>
          <w:tab w:val="left" w:pos="1620"/>
          <w:tab w:val="left" w:pos="2340"/>
        </w:tabs>
        <w:adjustRightInd w:val="0"/>
        <w:snapToGrid w:val="0"/>
        <w:spacing w:beforeLines="0" w:after="0" w:line="360" w:lineRule="auto"/>
        <w:ind w:left="899"/>
        <w:rPr>
          <w:color w:val="auto"/>
        </w:rPr>
      </w:pPr>
      <w:r>
        <w:rPr>
          <w:color w:val="auto"/>
        </w:rPr>
        <w:t>监理人认为有必要时，并经发包人批准后，可向承包人作出暂停施工的指示，承包人应按监理人指示暂停施工。</w:t>
      </w:r>
    </w:p>
    <w:p>
      <w:pPr>
        <w:adjustRightInd w:val="0"/>
        <w:snapToGrid w:val="0"/>
        <w:spacing w:before="0" w:beforeLines="0" w:after="0" w:line="360" w:lineRule="auto"/>
        <w:ind w:left="359"/>
        <w:rPr>
          <w:color w:val="auto"/>
        </w:rPr>
      </w:pPr>
      <w:r>
        <w:rPr>
          <w:b/>
          <w:color w:val="auto"/>
        </w:rPr>
        <w:t>12.4紧急情况下的暂停施工</w:t>
      </w:r>
    </w:p>
    <w:p>
      <w:pPr>
        <w:tabs>
          <w:tab w:val="left" w:pos="1620"/>
          <w:tab w:val="left" w:pos="2340"/>
        </w:tabs>
        <w:adjustRightInd w:val="0"/>
        <w:snapToGrid w:val="0"/>
        <w:spacing w:beforeLines="0" w:after="0" w:line="360" w:lineRule="auto"/>
        <w:ind w:left="899"/>
        <w:rPr>
          <w:color w:val="auto"/>
        </w:rPr>
      </w:pPr>
      <w:r>
        <w:rPr>
          <w:color w:val="auto"/>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w:t>
      </w:r>
      <w:r>
        <w:rPr>
          <w:rFonts w:hint="eastAsia"/>
          <w:color w:val="auto"/>
        </w:rPr>
        <w:t>30</w:t>
      </w:r>
      <w:r>
        <w:rPr>
          <w:color w:val="auto"/>
        </w:rPr>
        <w:t>条</w:t>
      </w:r>
      <w:r>
        <w:rPr>
          <w:rFonts w:hint="eastAsia"/>
          <w:color w:val="auto"/>
        </w:rPr>
        <w:t>〔</w:t>
      </w:r>
      <w:r>
        <w:rPr>
          <w:color w:val="auto"/>
        </w:rPr>
        <w:t>争议解决</w:t>
      </w:r>
      <w:r>
        <w:rPr>
          <w:rFonts w:hint="eastAsia"/>
          <w:color w:val="auto"/>
        </w:rPr>
        <w:t>〕</w:t>
      </w:r>
      <w:r>
        <w:rPr>
          <w:color w:val="auto"/>
        </w:rPr>
        <w:t>约定处理。</w:t>
      </w:r>
    </w:p>
    <w:p>
      <w:pPr>
        <w:adjustRightInd w:val="0"/>
        <w:snapToGrid w:val="0"/>
        <w:spacing w:before="0" w:beforeLines="0" w:after="0" w:line="360" w:lineRule="auto"/>
        <w:ind w:left="359"/>
        <w:rPr>
          <w:color w:val="auto"/>
        </w:rPr>
      </w:pPr>
      <w:r>
        <w:rPr>
          <w:b/>
          <w:color w:val="auto"/>
        </w:rPr>
        <w:t>12.5暂停施工后的复工</w:t>
      </w:r>
    </w:p>
    <w:p>
      <w:pPr>
        <w:tabs>
          <w:tab w:val="left" w:pos="1620"/>
          <w:tab w:val="left" w:pos="2340"/>
        </w:tabs>
        <w:adjustRightInd w:val="0"/>
        <w:snapToGrid w:val="0"/>
        <w:spacing w:beforeLines="0" w:after="0" w:line="360" w:lineRule="auto"/>
        <w:ind w:left="899"/>
        <w:rPr>
          <w:color w:val="auto"/>
        </w:rPr>
      </w:pPr>
      <w:r>
        <w:rPr>
          <w:color w:val="auto"/>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tabs>
          <w:tab w:val="left" w:pos="1620"/>
          <w:tab w:val="left" w:pos="2340"/>
        </w:tabs>
        <w:adjustRightInd w:val="0"/>
        <w:snapToGrid w:val="0"/>
        <w:spacing w:beforeLines="0" w:after="0" w:line="360" w:lineRule="auto"/>
        <w:ind w:left="899"/>
        <w:rPr>
          <w:color w:val="auto"/>
        </w:rPr>
      </w:pPr>
      <w:r>
        <w:rPr>
          <w:color w:val="auto"/>
        </w:rPr>
        <w:t>承包人无故拖延和拒绝复工的，承包人承担由此增加的费用和（或）延误的工期；因发包人原因无法按时复工的，按照第</w:t>
      </w:r>
      <w:r>
        <w:rPr>
          <w:rFonts w:hint="eastAsia"/>
          <w:color w:val="auto"/>
        </w:rPr>
        <w:t>13.2款〔</w:t>
      </w:r>
      <w:r>
        <w:rPr>
          <w:color w:val="auto"/>
        </w:rPr>
        <w:t>因发包人原因导致工期延误</w:t>
      </w:r>
      <w:r>
        <w:rPr>
          <w:rFonts w:hint="eastAsia"/>
          <w:color w:val="auto"/>
        </w:rPr>
        <w:t>〕</w:t>
      </w:r>
      <w:r>
        <w:rPr>
          <w:color w:val="auto"/>
        </w:rPr>
        <w:t>约定办理。</w:t>
      </w:r>
    </w:p>
    <w:p>
      <w:pPr>
        <w:adjustRightInd w:val="0"/>
        <w:snapToGrid w:val="0"/>
        <w:spacing w:before="0" w:beforeLines="0" w:after="0" w:line="360" w:lineRule="auto"/>
        <w:ind w:left="359"/>
        <w:rPr>
          <w:color w:val="auto"/>
        </w:rPr>
      </w:pPr>
      <w:r>
        <w:rPr>
          <w:b/>
          <w:color w:val="auto"/>
        </w:rPr>
        <w:t>12.6暂停施工期间的工程照管</w:t>
      </w:r>
    </w:p>
    <w:p>
      <w:pPr>
        <w:tabs>
          <w:tab w:val="left" w:pos="1620"/>
          <w:tab w:val="left" w:pos="2340"/>
        </w:tabs>
        <w:adjustRightInd w:val="0"/>
        <w:snapToGrid w:val="0"/>
        <w:spacing w:beforeLines="0" w:after="0" w:line="360" w:lineRule="auto"/>
        <w:ind w:left="899"/>
        <w:rPr>
          <w:color w:val="auto"/>
        </w:rPr>
      </w:pPr>
      <w:r>
        <w:rPr>
          <w:color w:val="auto"/>
        </w:rPr>
        <w:t>暂停施工期间，承包人应负责妥善照管工程并提供安全保障，由此增加的费用由责任方承担。</w:t>
      </w:r>
    </w:p>
    <w:p>
      <w:pPr>
        <w:adjustRightInd w:val="0"/>
        <w:snapToGrid w:val="0"/>
        <w:spacing w:before="0" w:beforeLines="0" w:after="0" w:line="360" w:lineRule="auto"/>
        <w:ind w:left="178"/>
        <w:rPr>
          <w:color w:val="auto"/>
          <w:sz w:val="28"/>
        </w:rPr>
      </w:pPr>
      <w:r>
        <w:rPr>
          <w:b/>
          <w:color w:val="auto"/>
          <w:sz w:val="28"/>
        </w:rPr>
        <w:t>13</w:t>
      </w:r>
      <w:r>
        <w:rPr>
          <w:rFonts w:hint="eastAsia"/>
          <w:b/>
          <w:color w:val="auto"/>
          <w:sz w:val="28"/>
        </w:rPr>
        <w:t>工期及延误</w:t>
      </w:r>
    </w:p>
    <w:p>
      <w:pPr>
        <w:adjustRightInd w:val="0"/>
        <w:snapToGrid w:val="0"/>
        <w:spacing w:before="0" w:beforeLines="0" w:after="0" w:line="360" w:lineRule="auto"/>
        <w:ind w:left="359"/>
        <w:rPr>
          <w:color w:val="auto"/>
        </w:rPr>
      </w:pPr>
      <w:r>
        <w:rPr>
          <w:b/>
          <w:color w:val="auto"/>
        </w:rPr>
        <w:t>13.1</w:t>
      </w:r>
      <w:r>
        <w:rPr>
          <w:rFonts w:hint="eastAsia"/>
          <w:b/>
          <w:color w:val="auto"/>
        </w:rPr>
        <w:t>工期</w:t>
      </w:r>
    </w:p>
    <w:p>
      <w:pPr>
        <w:tabs>
          <w:tab w:val="left" w:pos="1620"/>
          <w:tab w:val="left" w:pos="2340"/>
        </w:tabs>
        <w:adjustRightInd w:val="0"/>
        <w:snapToGrid w:val="0"/>
        <w:spacing w:beforeLines="0" w:after="0" w:line="360" w:lineRule="auto"/>
        <w:ind w:left="899"/>
        <w:rPr>
          <w:color w:val="auto"/>
        </w:rPr>
      </w:pPr>
      <w:r>
        <w:rPr>
          <w:rFonts w:hint="eastAsia"/>
          <w:color w:val="auto"/>
        </w:rPr>
        <w:t>本工程须在本合同协议书中约定的时间内完成，或在根据第13.2款［因发包人原因导致工期延误］约定的延长期限内完成。本工程的任何单项工程须在</w:t>
      </w:r>
      <w:r>
        <w:rPr>
          <w:rFonts w:hint="eastAsia"/>
          <w:b/>
          <w:i/>
          <w:color w:val="auto"/>
        </w:rPr>
        <w:t>专用条款</w:t>
      </w:r>
      <w:r>
        <w:rPr>
          <w:rFonts w:hint="eastAsia"/>
          <w:color w:val="auto"/>
        </w:rPr>
        <w:t>约定的各段时间内完成，或在根据第13.2款［因发包人原因导致工期延误］约定的延长期限内完成。</w:t>
      </w:r>
    </w:p>
    <w:p>
      <w:pPr>
        <w:adjustRightInd w:val="0"/>
        <w:snapToGrid w:val="0"/>
        <w:spacing w:before="0" w:beforeLines="0" w:after="0" w:line="360" w:lineRule="auto"/>
        <w:ind w:left="359"/>
        <w:rPr>
          <w:color w:val="auto"/>
        </w:rPr>
      </w:pPr>
      <w:r>
        <w:rPr>
          <w:b/>
          <w:color w:val="auto"/>
        </w:rPr>
        <w:t>13.2因发包人原因导致工期延误</w:t>
      </w:r>
    </w:p>
    <w:p>
      <w:pPr>
        <w:tabs>
          <w:tab w:val="left" w:pos="1620"/>
          <w:tab w:val="left" w:pos="2340"/>
        </w:tabs>
        <w:adjustRightInd w:val="0"/>
        <w:snapToGrid w:val="0"/>
        <w:spacing w:beforeLines="0" w:after="0" w:line="360" w:lineRule="auto"/>
        <w:ind w:left="899"/>
        <w:rPr>
          <w:color w:val="auto"/>
        </w:rPr>
      </w:pPr>
      <w:r>
        <w:rPr>
          <w:color w:val="auto"/>
        </w:rPr>
        <w:t>在合同履行过程中，因下列情况导致工期延误和（或）费用增加的，由发包人承担由此延误的工期和（或）增加的费用，且发包人应支付承包人合理的利润：</w:t>
      </w:r>
    </w:p>
    <w:p>
      <w:pPr>
        <w:tabs>
          <w:tab w:val="left" w:pos="1620"/>
          <w:tab w:val="left" w:pos="2340"/>
        </w:tabs>
        <w:adjustRightInd w:val="0"/>
        <w:snapToGrid w:val="0"/>
        <w:spacing w:beforeLines="0" w:after="0" w:line="360" w:lineRule="auto"/>
        <w:ind w:left="899"/>
        <w:rPr>
          <w:color w:val="auto"/>
        </w:rPr>
      </w:pPr>
      <w:r>
        <w:rPr>
          <w:color w:val="auto"/>
        </w:rPr>
        <w:fldChar w:fldCharType="begin"/>
      </w:r>
      <w:r>
        <w:rPr>
          <w:color w:val="auto"/>
        </w:rPr>
        <w:instrText xml:space="preserve"> </w:instrText>
      </w:r>
      <w:r>
        <w:rPr>
          <w:rFonts w:hint="eastAsia"/>
          <w:color w:val="auto"/>
        </w:rPr>
        <w:instrText xml:space="preserve">= 1 \* GB2</w:instrText>
      </w:r>
      <w:r>
        <w:rPr>
          <w:color w:val="auto"/>
        </w:rPr>
        <w:instrText xml:space="preserve"> </w:instrText>
      </w:r>
      <w:r>
        <w:rPr>
          <w:color w:val="auto"/>
        </w:rPr>
        <w:fldChar w:fldCharType="separate"/>
      </w:r>
      <w:r>
        <w:rPr>
          <w:rFonts w:hint="eastAsia"/>
          <w:color w:val="auto"/>
        </w:rPr>
        <w:t>⑴</w:t>
      </w:r>
      <w:r>
        <w:rPr>
          <w:color w:val="auto"/>
        </w:rPr>
        <w:fldChar w:fldCharType="end"/>
      </w:r>
      <w:r>
        <w:rPr>
          <w:color w:val="auto"/>
        </w:rPr>
        <w:t>发包人未能按合同约定提供图纸或所提供图纸不符合合同约定的；</w:t>
      </w:r>
    </w:p>
    <w:p>
      <w:pPr>
        <w:tabs>
          <w:tab w:val="left" w:pos="1620"/>
          <w:tab w:val="left" w:pos="2340"/>
        </w:tabs>
        <w:adjustRightInd w:val="0"/>
        <w:snapToGrid w:val="0"/>
        <w:spacing w:beforeLines="0" w:after="0" w:line="360" w:lineRule="auto"/>
        <w:ind w:left="899"/>
        <w:rPr>
          <w:color w:val="auto"/>
        </w:rPr>
      </w:pPr>
      <w:r>
        <w:rPr>
          <w:color w:val="auto"/>
        </w:rPr>
        <w:fldChar w:fldCharType="begin"/>
      </w:r>
      <w:r>
        <w:rPr>
          <w:color w:val="auto"/>
        </w:rPr>
        <w:instrText xml:space="preserve"> </w:instrText>
      </w:r>
      <w:r>
        <w:rPr>
          <w:rFonts w:hint="eastAsia"/>
          <w:color w:val="auto"/>
        </w:rPr>
        <w:instrText xml:space="preserve">= 2 \* GB2</w:instrText>
      </w:r>
      <w:r>
        <w:rPr>
          <w:color w:val="auto"/>
        </w:rPr>
        <w:instrText xml:space="preserve"> </w:instrText>
      </w:r>
      <w:r>
        <w:rPr>
          <w:color w:val="auto"/>
        </w:rPr>
        <w:fldChar w:fldCharType="separate"/>
      </w:r>
      <w:r>
        <w:rPr>
          <w:rFonts w:hint="eastAsia"/>
          <w:color w:val="auto"/>
        </w:rPr>
        <w:t>⑵</w:t>
      </w:r>
      <w:r>
        <w:rPr>
          <w:color w:val="auto"/>
        </w:rPr>
        <w:fldChar w:fldCharType="end"/>
      </w:r>
      <w:r>
        <w:rPr>
          <w:color w:val="auto"/>
        </w:rPr>
        <w:t>发包人未能按合同约定提供施工现场、施工条件、基础资料、许可、批准等开工条件的；</w:t>
      </w:r>
    </w:p>
    <w:p>
      <w:pPr>
        <w:tabs>
          <w:tab w:val="left" w:pos="1620"/>
          <w:tab w:val="left" w:pos="2340"/>
        </w:tabs>
        <w:adjustRightInd w:val="0"/>
        <w:snapToGrid w:val="0"/>
        <w:spacing w:beforeLines="0" w:after="0" w:line="360" w:lineRule="auto"/>
        <w:ind w:left="899"/>
        <w:rPr>
          <w:color w:val="auto"/>
        </w:rPr>
      </w:pPr>
      <w:r>
        <w:rPr>
          <w:color w:val="auto"/>
        </w:rPr>
        <w:fldChar w:fldCharType="begin"/>
      </w:r>
      <w:r>
        <w:rPr>
          <w:color w:val="auto"/>
        </w:rPr>
        <w:instrText xml:space="preserve"> </w:instrText>
      </w:r>
      <w:r>
        <w:rPr>
          <w:rFonts w:hint="eastAsia"/>
          <w:color w:val="auto"/>
        </w:rPr>
        <w:instrText xml:space="preserve">= 3 \* GB2</w:instrText>
      </w:r>
      <w:r>
        <w:rPr>
          <w:color w:val="auto"/>
        </w:rPr>
        <w:instrText xml:space="preserve"> </w:instrText>
      </w:r>
      <w:r>
        <w:rPr>
          <w:color w:val="auto"/>
        </w:rPr>
        <w:fldChar w:fldCharType="separate"/>
      </w:r>
      <w:r>
        <w:rPr>
          <w:rFonts w:hint="eastAsia"/>
          <w:color w:val="auto"/>
        </w:rPr>
        <w:t>⑶</w:t>
      </w:r>
      <w:r>
        <w:rPr>
          <w:color w:val="auto"/>
        </w:rPr>
        <w:fldChar w:fldCharType="end"/>
      </w:r>
      <w:r>
        <w:rPr>
          <w:color w:val="auto"/>
        </w:rPr>
        <w:t>发包人提供的测量基准点、基准线和水准点及其书面资料存在错误或疏漏的；</w:t>
      </w:r>
    </w:p>
    <w:p>
      <w:pPr>
        <w:tabs>
          <w:tab w:val="left" w:pos="1620"/>
          <w:tab w:val="left" w:pos="2340"/>
        </w:tabs>
        <w:adjustRightInd w:val="0"/>
        <w:snapToGrid w:val="0"/>
        <w:spacing w:beforeLines="0" w:after="0" w:line="360" w:lineRule="auto"/>
        <w:ind w:left="899"/>
        <w:rPr>
          <w:color w:val="auto"/>
        </w:rPr>
      </w:pPr>
      <w:r>
        <w:rPr>
          <w:color w:val="auto"/>
        </w:rPr>
        <w:fldChar w:fldCharType="begin"/>
      </w:r>
      <w:r>
        <w:rPr>
          <w:color w:val="auto"/>
        </w:rPr>
        <w:instrText xml:space="preserve"> </w:instrText>
      </w:r>
      <w:r>
        <w:rPr>
          <w:rFonts w:hint="eastAsia"/>
          <w:color w:val="auto"/>
        </w:rPr>
        <w:instrText xml:space="preserve">= 4 \* GB2</w:instrText>
      </w:r>
      <w:r>
        <w:rPr>
          <w:color w:val="auto"/>
        </w:rPr>
        <w:instrText xml:space="preserve"> </w:instrText>
      </w:r>
      <w:r>
        <w:rPr>
          <w:color w:val="auto"/>
        </w:rPr>
        <w:fldChar w:fldCharType="separate"/>
      </w:r>
      <w:r>
        <w:rPr>
          <w:rFonts w:hint="eastAsia"/>
          <w:color w:val="auto"/>
        </w:rPr>
        <w:t>⑷</w:t>
      </w:r>
      <w:r>
        <w:rPr>
          <w:color w:val="auto"/>
        </w:rPr>
        <w:fldChar w:fldCharType="end"/>
      </w:r>
      <w:r>
        <w:rPr>
          <w:color w:val="auto"/>
        </w:rPr>
        <w:t>发包人未能在计划开工日期之日起7天内同意下达开工通知的；</w:t>
      </w:r>
    </w:p>
    <w:p>
      <w:pPr>
        <w:tabs>
          <w:tab w:val="left" w:pos="1620"/>
          <w:tab w:val="left" w:pos="2340"/>
        </w:tabs>
        <w:adjustRightInd w:val="0"/>
        <w:snapToGrid w:val="0"/>
        <w:spacing w:beforeLines="0" w:after="0" w:line="360" w:lineRule="auto"/>
        <w:ind w:left="899"/>
        <w:rPr>
          <w:color w:val="auto"/>
        </w:rPr>
      </w:pPr>
      <w:r>
        <w:rPr>
          <w:color w:val="auto"/>
        </w:rPr>
        <w:fldChar w:fldCharType="begin"/>
      </w:r>
      <w:r>
        <w:rPr>
          <w:color w:val="auto"/>
        </w:rPr>
        <w:instrText xml:space="preserve"> </w:instrText>
      </w:r>
      <w:r>
        <w:rPr>
          <w:rFonts w:hint="eastAsia"/>
          <w:color w:val="auto"/>
        </w:rPr>
        <w:instrText xml:space="preserve">= 5 \* GB2</w:instrText>
      </w:r>
      <w:r>
        <w:rPr>
          <w:color w:val="auto"/>
        </w:rPr>
        <w:instrText xml:space="preserve"> </w:instrText>
      </w:r>
      <w:r>
        <w:rPr>
          <w:color w:val="auto"/>
        </w:rPr>
        <w:fldChar w:fldCharType="separate"/>
      </w:r>
      <w:r>
        <w:rPr>
          <w:rFonts w:hint="eastAsia"/>
          <w:color w:val="auto"/>
        </w:rPr>
        <w:t>⑸</w:t>
      </w:r>
      <w:r>
        <w:rPr>
          <w:color w:val="auto"/>
        </w:rPr>
        <w:fldChar w:fldCharType="end"/>
      </w:r>
      <w:r>
        <w:rPr>
          <w:color w:val="auto"/>
        </w:rPr>
        <w:t>发包人未能按合同约定日期支付工程预付款、进度款或竣工结算款的；</w:t>
      </w:r>
    </w:p>
    <w:p>
      <w:pPr>
        <w:tabs>
          <w:tab w:val="left" w:pos="1620"/>
          <w:tab w:val="left" w:pos="2340"/>
        </w:tabs>
        <w:adjustRightInd w:val="0"/>
        <w:snapToGrid w:val="0"/>
        <w:spacing w:beforeLines="0" w:after="0" w:line="360" w:lineRule="auto"/>
        <w:ind w:left="899"/>
        <w:rPr>
          <w:color w:val="auto"/>
        </w:rPr>
      </w:pPr>
      <w:r>
        <w:rPr>
          <w:color w:val="auto"/>
        </w:rPr>
        <w:fldChar w:fldCharType="begin"/>
      </w:r>
      <w:r>
        <w:rPr>
          <w:color w:val="auto"/>
        </w:rPr>
        <w:instrText xml:space="preserve"> </w:instrText>
      </w:r>
      <w:r>
        <w:rPr>
          <w:rFonts w:hint="eastAsia"/>
          <w:color w:val="auto"/>
        </w:rPr>
        <w:instrText xml:space="preserve">= 6 \* GB2</w:instrText>
      </w:r>
      <w:r>
        <w:rPr>
          <w:color w:val="auto"/>
        </w:rPr>
        <w:instrText xml:space="preserve"> </w:instrText>
      </w:r>
      <w:r>
        <w:rPr>
          <w:color w:val="auto"/>
        </w:rPr>
        <w:fldChar w:fldCharType="separate"/>
      </w:r>
      <w:r>
        <w:rPr>
          <w:rFonts w:hint="eastAsia"/>
          <w:color w:val="auto"/>
        </w:rPr>
        <w:t>⑹</w:t>
      </w:r>
      <w:r>
        <w:rPr>
          <w:color w:val="auto"/>
        </w:rPr>
        <w:fldChar w:fldCharType="end"/>
      </w:r>
      <w:r>
        <w:rPr>
          <w:color w:val="auto"/>
        </w:rPr>
        <w:t>监理人未按合同约定发出指示、批准等文件的；</w:t>
      </w:r>
    </w:p>
    <w:p>
      <w:pPr>
        <w:tabs>
          <w:tab w:val="left" w:pos="1620"/>
          <w:tab w:val="left" w:pos="2340"/>
        </w:tabs>
        <w:adjustRightInd w:val="0"/>
        <w:snapToGrid w:val="0"/>
        <w:spacing w:beforeLines="0" w:after="0" w:line="360" w:lineRule="auto"/>
        <w:ind w:left="899"/>
        <w:rPr>
          <w:color w:val="auto"/>
        </w:rPr>
      </w:pPr>
      <w:r>
        <w:rPr>
          <w:color w:val="auto"/>
        </w:rPr>
        <w:fldChar w:fldCharType="begin"/>
      </w:r>
      <w:r>
        <w:rPr>
          <w:color w:val="auto"/>
        </w:rPr>
        <w:instrText xml:space="preserve"> </w:instrText>
      </w:r>
      <w:r>
        <w:rPr>
          <w:rFonts w:hint="eastAsia"/>
          <w:color w:val="auto"/>
        </w:rPr>
        <w:instrText xml:space="preserve">= 7 \* GB2</w:instrText>
      </w:r>
      <w:r>
        <w:rPr>
          <w:color w:val="auto"/>
        </w:rPr>
        <w:instrText xml:space="preserve"> </w:instrText>
      </w:r>
      <w:r>
        <w:rPr>
          <w:color w:val="auto"/>
        </w:rPr>
        <w:fldChar w:fldCharType="separate"/>
      </w:r>
      <w:r>
        <w:rPr>
          <w:rFonts w:hint="eastAsia"/>
          <w:color w:val="auto"/>
        </w:rPr>
        <w:t>⑺</w:t>
      </w:r>
      <w:r>
        <w:rPr>
          <w:color w:val="auto"/>
        </w:rPr>
        <w:fldChar w:fldCharType="end"/>
      </w:r>
      <w:r>
        <w:rPr>
          <w:b/>
          <w:i/>
          <w:color w:val="auto"/>
        </w:rPr>
        <w:t>专用条款</w:t>
      </w:r>
      <w:r>
        <w:rPr>
          <w:color w:val="auto"/>
        </w:rPr>
        <w:t>中约定的其他情形。</w:t>
      </w:r>
    </w:p>
    <w:p>
      <w:pPr>
        <w:tabs>
          <w:tab w:val="left" w:pos="1620"/>
          <w:tab w:val="left" w:pos="2340"/>
        </w:tabs>
        <w:adjustRightInd w:val="0"/>
        <w:snapToGrid w:val="0"/>
        <w:spacing w:beforeLines="0" w:after="0" w:line="360" w:lineRule="auto"/>
        <w:ind w:left="899"/>
        <w:rPr>
          <w:color w:val="auto"/>
        </w:rPr>
      </w:pPr>
      <w:r>
        <w:rPr>
          <w:color w:val="auto"/>
        </w:rPr>
        <w:t>因发包人原因未按计划开工日期开工的，发包人应按实际开工日期顺延竣工日期，确保实际工期不低于合同约定的工期总日历天数。因发包人原因导致工期延误需要修订施工进度计划的，按照第9.3</w:t>
      </w:r>
      <w:r>
        <w:rPr>
          <w:rFonts w:hint="eastAsia"/>
          <w:color w:val="auto"/>
        </w:rPr>
        <w:t>条〔工程</w:t>
      </w:r>
      <w:r>
        <w:rPr>
          <w:color w:val="auto"/>
        </w:rPr>
        <w:t>进度计划</w:t>
      </w:r>
      <w:r>
        <w:rPr>
          <w:rFonts w:hint="eastAsia"/>
          <w:color w:val="auto"/>
        </w:rPr>
        <w:t>〕对进度计划进行修订</w:t>
      </w:r>
      <w:r>
        <w:rPr>
          <w:color w:val="auto"/>
        </w:rPr>
        <w:t>。</w:t>
      </w:r>
    </w:p>
    <w:p>
      <w:pPr>
        <w:adjustRightInd w:val="0"/>
        <w:snapToGrid w:val="0"/>
        <w:spacing w:before="0" w:beforeLines="0" w:after="0" w:line="360" w:lineRule="auto"/>
        <w:ind w:left="359"/>
        <w:rPr>
          <w:color w:val="auto"/>
        </w:rPr>
      </w:pPr>
      <w:r>
        <w:rPr>
          <w:b/>
          <w:color w:val="auto"/>
        </w:rPr>
        <w:t>13.3因承包人原因导致工期延误</w:t>
      </w:r>
    </w:p>
    <w:p>
      <w:pPr>
        <w:tabs>
          <w:tab w:val="left" w:pos="1620"/>
          <w:tab w:val="left" w:pos="2340"/>
        </w:tabs>
        <w:adjustRightInd w:val="0"/>
        <w:snapToGrid w:val="0"/>
        <w:spacing w:beforeLines="0" w:after="0" w:line="360" w:lineRule="auto"/>
        <w:ind w:left="899"/>
        <w:rPr>
          <w:color w:val="auto"/>
        </w:rPr>
      </w:pPr>
      <w:r>
        <w:rPr>
          <w:color w:val="auto"/>
        </w:rPr>
        <w:t>因承包人原因造成工期延误的，可在</w:t>
      </w:r>
      <w:r>
        <w:rPr>
          <w:b/>
          <w:i/>
          <w:color w:val="auto"/>
        </w:rPr>
        <w:t>专用条款</w:t>
      </w:r>
      <w:r>
        <w:rPr>
          <w:color w:val="auto"/>
        </w:rPr>
        <w:t>中约定逾期竣工违约金的计算方法和逾期竣工违约金的上限。承包人支付逾期竣工违约金后，不免除承包人继续完成工程及修补缺陷的义务。</w:t>
      </w:r>
    </w:p>
    <w:p>
      <w:pPr>
        <w:adjustRightInd w:val="0"/>
        <w:snapToGrid w:val="0"/>
        <w:spacing w:before="0" w:beforeLines="0" w:after="0" w:line="360" w:lineRule="auto"/>
        <w:ind w:left="359"/>
        <w:rPr>
          <w:color w:val="auto"/>
        </w:rPr>
      </w:pPr>
      <w:r>
        <w:rPr>
          <w:b/>
          <w:color w:val="auto"/>
        </w:rPr>
        <w:t>13.4</w:t>
      </w:r>
      <w:r>
        <w:rPr>
          <w:rFonts w:hint="eastAsia"/>
          <w:b/>
          <w:color w:val="auto"/>
        </w:rPr>
        <w:t>提前竣工</w:t>
      </w:r>
    </w:p>
    <w:p>
      <w:pPr>
        <w:tabs>
          <w:tab w:val="left" w:pos="1620"/>
          <w:tab w:val="left" w:pos="2340"/>
        </w:tabs>
        <w:adjustRightInd w:val="0"/>
        <w:snapToGrid w:val="0"/>
        <w:spacing w:beforeLines="0" w:after="0" w:line="360" w:lineRule="auto"/>
        <w:ind w:left="899"/>
        <w:rPr>
          <w:color w:val="auto"/>
        </w:rPr>
      </w:pPr>
      <w:r>
        <w:rPr>
          <w:rFonts w:hint="eastAsia"/>
          <w:color w:val="auto"/>
        </w:rPr>
        <w:t>⑴</w:t>
      </w:r>
      <w:r>
        <w:rPr>
          <w:color w:val="auto"/>
        </w:rPr>
        <w:t>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color w:val="auto"/>
        </w:rPr>
        <w:t>承包人认为提前竣工指示无法执行的，应向</w:t>
      </w:r>
      <w:r>
        <w:rPr>
          <w:color w:val="auto"/>
        </w:rPr>
        <w:t>监理人</w:t>
      </w:r>
      <w:r>
        <w:rPr>
          <w:rFonts w:hint="eastAsia"/>
          <w:color w:val="auto"/>
        </w:rPr>
        <w:t>和发包人提出书面异议，发包人和</w:t>
      </w:r>
      <w:r>
        <w:rPr>
          <w:color w:val="auto"/>
        </w:rPr>
        <w:t>监理人</w:t>
      </w:r>
      <w:r>
        <w:rPr>
          <w:rFonts w:hint="eastAsia"/>
          <w:color w:val="auto"/>
        </w:rPr>
        <w:t>应在收到异议后7天内予以答复。任何情况下，发包人不得压缩合理工期。</w:t>
      </w:r>
    </w:p>
    <w:p>
      <w:pPr>
        <w:tabs>
          <w:tab w:val="left" w:pos="1620"/>
          <w:tab w:val="left" w:pos="2340"/>
        </w:tabs>
        <w:adjustRightInd w:val="0"/>
        <w:snapToGrid w:val="0"/>
        <w:spacing w:beforeLines="0" w:after="0" w:line="360" w:lineRule="auto"/>
        <w:ind w:left="899"/>
        <w:rPr>
          <w:color w:val="auto"/>
        </w:rPr>
      </w:pPr>
      <w:r>
        <w:rPr>
          <w:rFonts w:hint="eastAsia"/>
          <w:color w:val="auto"/>
        </w:rPr>
        <w:t>⑵承包人提出提前竣工的，应</w:t>
      </w:r>
      <w:r>
        <w:rPr>
          <w:color w:val="auto"/>
        </w:rPr>
        <w:t>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w:t>
      </w:r>
      <w:r>
        <w:rPr>
          <w:rFonts w:hint="eastAsia"/>
          <w:color w:val="auto"/>
        </w:rPr>
        <w:t>和承包人协商</w:t>
      </w:r>
      <w:r>
        <w:rPr>
          <w:color w:val="auto"/>
        </w:rPr>
        <w:t>承担。</w:t>
      </w:r>
    </w:p>
    <w:p>
      <w:pPr>
        <w:tabs>
          <w:tab w:val="left" w:pos="1620"/>
          <w:tab w:val="left" w:pos="2340"/>
        </w:tabs>
        <w:adjustRightInd w:val="0"/>
        <w:snapToGrid w:val="0"/>
        <w:spacing w:beforeLines="0" w:after="0" w:line="360" w:lineRule="auto"/>
        <w:ind w:left="899"/>
        <w:rPr>
          <w:color w:val="auto"/>
        </w:rPr>
      </w:pPr>
      <w:r>
        <w:rPr>
          <w:rFonts w:hint="eastAsia"/>
          <w:color w:val="auto"/>
        </w:rPr>
        <w:t>⑶</w:t>
      </w:r>
      <w:r>
        <w:rPr>
          <w:color w:val="auto"/>
        </w:rPr>
        <w:t>发包人要求承包人提前竣工，或承包人提出提前竣工的建议能够给发包人带来效益的，承发包双方可以在</w:t>
      </w:r>
      <w:r>
        <w:rPr>
          <w:b/>
          <w:i/>
          <w:color w:val="auto"/>
        </w:rPr>
        <w:t>专用条款</w:t>
      </w:r>
      <w:r>
        <w:rPr>
          <w:color w:val="auto"/>
        </w:rPr>
        <w:t>中约定提前竣工的奖励。</w:t>
      </w:r>
    </w:p>
    <w:p>
      <w:pPr>
        <w:tabs>
          <w:tab w:val="left" w:pos="1620"/>
          <w:tab w:val="left" w:pos="2340"/>
        </w:tabs>
        <w:adjustRightInd w:val="0"/>
        <w:snapToGrid w:val="0"/>
        <w:spacing w:beforeLines="0" w:after="0" w:line="360" w:lineRule="auto"/>
        <w:ind w:left="899"/>
        <w:rPr>
          <w:color w:val="auto"/>
        </w:rPr>
      </w:pPr>
      <w:r>
        <w:rPr>
          <w:rFonts w:hint="eastAsia"/>
          <w:color w:val="auto"/>
        </w:rPr>
        <w:t>⑷发包人要求承包人提前竣工的，若工期压缩超过按《深圳市建设工程施工工期定额》计算所得本工程定额工期20%的，应按现行《深圳市建设工程计价费率标准》规定的方法和推荐系数计算赶工措施费和夜间施工费，并扣除本工程招标控制价中已列明的赶工措施费和夜间施工费后向承包人支付补偿费用，补偿费用支付后，发包人不再按照13.4.(3)项的约定向承包人支付提前竣工奖励费。《深圳市建设工程施工工期定额》缺项的专业工程，或需采取特殊措施以缩短工期的，由发包人、承包人在</w:t>
      </w:r>
      <w:r>
        <w:rPr>
          <w:rFonts w:hint="eastAsia"/>
          <w:b/>
          <w:i/>
          <w:color w:val="auto"/>
        </w:rPr>
        <w:t>专用条款</w:t>
      </w:r>
      <w:r>
        <w:rPr>
          <w:rFonts w:hint="eastAsia"/>
          <w:color w:val="auto"/>
        </w:rPr>
        <w:t>中约定压缩工期补偿费用计算方法。</w:t>
      </w:r>
    </w:p>
    <w:p>
      <w:pPr>
        <w:adjustRightInd w:val="0"/>
        <w:snapToGrid w:val="0"/>
        <w:spacing w:before="0" w:beforeLines="0" w:after="0" w:line="360" w:lineRule="auto"/>
        <w:ind w:left="359"/>
        <w:rPr>
          <w:color w:val="auto"/>
        </w:rPr>
      </w:pPr>
      <w:r>
        <w:rPr>
          <w:b/>
          <w:color w:val="auto"/>
        </w:rPr>
        <w:t>13.5</w:t>
      </w:r>
      <w:r>
        <w:rPr>
          <w:rFonts w:hint="eastAsia"/>
          <w:b/>
          <w:color w:val="auto"/>
        </w:rPr>
        <w:t>工作时间的限制</w:t>
      </w:r>
    </w:p>
    <w:p>
      <w:pPr>
        <w:tabs>
          <w:tab w:val="left" w:pos="1620"/>
          <w:tab w:val="left" w:pos="2340"/>
        </w:tabs>
        <w:adjustRightInd w:val="0"/>
        <w:snapToGrid w:val="0"/>
        <w:spacing w:beforeLines="0" w:after="0" w:line="360" w:lineRule="auto"/>
        <w:ind w:left="899"/>
        <w:rPr>
          <w:color w:val="auto"/>
        </w:rPr>
      </w:pPr>
      <w:r>
        <w:rPr>
          <w:rFonts w:hint="eastAsia"/>
          <w:color w:val="auto"/>
        </w:rPr>
        <w:t>承包人在夜间或国家规定的节假日进行永久工程的施工应经</w:t>
      </w:r>
      <w:r>
        <w:rPr>
          <w:color w:val="auto"/>
        </w:rPr>
        <w:t>监理人</w:t>
      </w:r>
      <w:r>
        <w:rPr>
          <w:rFonts w:hint="eastAsia"/>
          <w:color w:val="auto"/>
        </w:rPr>
        <w:t>的认可，并应遵守当地政府的有关规定或取得有关部门的批准，但是为了抢救生命或保护财产，或为了工程的安全、质量而不可避免的或绝对必要的作业，则不必事先经</w:t>
      </w:r>
      <w:r>
        <w:rPr>
          <w:color w:val="auto"/>
        </w:rPr>
        <w:t>监理人</w:t>
      </w:r>
      <w:r>
        <w:rPr>
          <w:rFonts w:hint="eastAsia"/>
          <w:color w:val="auto"/>
        </w:rPr>
        <w:t>的许可，但应在事后立即向</w:t>
      </w:r>
      <w:r>
        <w:rPr>
          <w:color w:val="auto"/>
        </w:rPr>
        <w:t>监理人</w:t>
      </w:r>
      <w:r>
        <w:rPr>
          <w:rFonts w:hint="eastAsia"/>
          <w:color w:val="auto"/>
        </w:rPr>
        <w:t>报告。</w:t>
      </w:r>
    </w:p>
    <w:p>
      <w:pPr>
        <w:adjustRightInd w:val="0"/>
        <w:snapToGrid w:val="0"/>
        <w:spacing w:before="0" w:beforeLines="0" w:after="0" w:line="360" w:lineRule="auto"/>
        <w:ind w:left="178"/>
        <w:rPr>
          <w:color w:val="auto"/>
          <w:sz w:val="28"/>
        </w:rPr>
      </w:pPr>
      <w:r>
        <w:rPr>
          <w:b/>
          <w:color w:val="auto"/>
          <w:sz w:val="28"/>
        </w:rPr>
        <w:t>14</w:t>
      </w:r>
      <w:r>
        <w:rPr>
          <w:rFonts w:hint="eastAsia"/>
          <w:b/>
          <w:color w:val="auto"/>
          <w:sz w:val="28"/>
        </w:rPr>
        <w:t>材料设备的供应和检验</w:t>
      </w:r>
    </w:p>
    <w:p>
      <w:pPr>
        <w:adjustRightInd w:val="0"/>
        <w:snapToGrid w:val="0"/>
        <w:spacing w:before="0" w:beforeLines="0" w:after="0" w:line="360" w:lineRule="auto"/>
        <w:ind w:left="359"/>
        <w:rPr>
          <w:color w:val="auto"/>
        </w:rPr>
      </w:pPr>
      <w:r>
        <w:rPr>
          <w:b/>
          <w:color w:val="auto"/>
        </w:rPr>
        <w:t>14.1</w:t>
      </w:r>
      <w:r>
        <w:rPr>
          <w:rFonts w:hint="eastAsia"/>
          <w:b/>
          <w:color w:val="auto"/>
        </w:rPr>
        <w:t>发包人供应材料设备</w:t>
      </w:r>
    </w:p>
    <w:p>
      <w:pPr>
        <w:tabs>
          <w:tab w:val="left" w:pos="1620"/>
          <w:tab w:val="left" w:pos="2340"/>
        </w:tabs>
        <w:adjustRightInd w:val="0"/>
        <w:snapToGrid w:val="0"/>
        <w:spacing w:beforeLines="0" w:after="0" w:line="360" w:lineRule="auto"/>
        <w:ind w:left="899"/>
        <w:rPr>
          <w:color w:val="auto"/>
        </w:rPr>
      </w:pPr>
      <w:r>
        <w:rPr>
          <w:rFonts w:hint="eastAsia"/>
          <w:color w:val="auto"/>
        </w:rPr>
        <w:t>⑴发包人供应材料设备的，应在</w:t>
      </w:r>
      <w:r>
        <w:rPr>
          <w:rFonts w:hint="eastAsia"/>
          <w:b/>
          <w:i/>
          <w:color w:val="auto"/>
        </w:rPr>
        <w:t>专用条款</w:t>
      </w:r>
      <w:r>
        <w:rPr>
          <w:rFonts w:hint="eastAsia"/>
          <w:color w:val="auto"/>
        </w:rPr>
        <w:t>中列出相应材料设备清单。材料设备清单中应约定发包人供应材料设备的品种、规格、型号、数量、单价、质量等级、提供时间和地点。发包人应按材料设备清单中的约定向承包人提供材料设备，并提供产品质量合格证明，对材料设备质量负责。</w:t>
      </w:r>
      <w:r>
        <w:rPr>
          <w:color w:val="auto"/>
        </w:rPr>
        <w:t>承包人按照第</w:t>
      </w:r>
      <w:r>
        <w:rPr>
          <w:rFonts w:hint="eastAsia"/>
          <w:color w:val="auto"/>
        </w:rPr>
        <w:t>9.3条〔工程</w:t>
      </w:r>
      <w:r>
        <w:rPr>
          <w:color w:val="auto"/>
        </w:rPr>
        <w:t>进度计划</w:t>
      </w:r>
      <w:r>
        <w:rPr>
          <w:rFonts w:hint="eastAsia"/>
          <w:color w:val="auto"/>
        </w:rPr>
        <w:t>〕</w:t>
      </w:r>
      <w:r>
        <w:rPr>
          <w:color w:val="auto"/>
        </w:rPr>
        <w:t>约定修订施工进度计划时，需同时提交经修订后的发包人供应材料与工程设备的进场计划。</w:t>
      </w:r>
    </w:p>
    <w:p>
      <w:pPr>
        <w:tabs>
          <w:tab w:val="left" w:pos="1620"/>
          <w:tab w:val="left" w:pos="2340"/>
        </w:tabs>
        <w:adjustRightInd w:val="0"/>
        <w:snapToGrid w:val="0"/>
        <w:spacing w:beforeLines="0" w:after="0" w:line="360" w:lineRule="auto"/>
        <w:ind w:left="899"/>
        <w:rPr>
          <w:color w:val="auto"/>
        </w:rPr>
      </w:pPr>
      <w:r>
        <w:rPr>
          <w:rFonts w:hint="eastAsia"/>
          <w:color w:val="auto"/>
        </w:rPr>
        <w:t>⑵</w:t>
      </w:r>
      <w:r>
        <w:rPr>
          <w:color w:val="auto"/>
        </w:rPr>
        <w:t>承包人应提前30天通过监理人以书面形式通知发包人供应材料与工程设备进场。</w:t>
      </w:r>
      <w:r>
        <w:rPr>
          <w:rFonts w:hint="eastAsia"/>
          <w:color w:val="auto"/>
        </w:rPr>
        <w:t>发包人在所供材料设备到货前24小时通知承包人，</w:t>
      </w:r>
      <w:r>
        <w:rPr>
          <w:color w:val="auto"/>
        </w:rPr>
        <w:t>货物运到施工场地后，</w:t>
      </w:r>
      <w:r>
        <w:rPr>
          <w:rFonts w:hint="eastAsia"/>
          <w:color w:val="auto"/>
        </w:rPr>
        <w:t>发包人和</w:t>
      </w:r>
      <w:r>
        <w:rPr>
          <w:color w:val="auto"/>
        </w:rPr>
        <w:t>承包人</w:t>
      </w:r>
      <w:r>
        <w:rPr>
          <w:rFonts w:hint="eastAsia"/>
          <w:color w:val="auto"/>
        </w:rPr>
        <w:t>双方在</w:t>
      </w:r>
      <w:r>
        <w:rPr>
          <w:color w:val="auto"/>
        </w:rPr>
        <w:t>监理人</w:t>
      </w:r>
      <w:r>
        <w:rPr>
          <w:rFonts w:hint="eastAsia"/>
          <w:color w:val="auto"/>
        </w:rPr>
        <w:t>的见证下进行验收交接，并按承包人指定的地点和方式堆放。承发包双方完成交验后，发包人仍应对由其提供的材料设备承担有关质量责任。</w:t>
      </w:r>
    </w:p>
    <w:p>
      <w:pPr>
        <w:tabs>
          <w:tab w:val="left" w:pos="1620"/>
          <w:tab w:val="left" w:pos="2340"/>
        </w:tabs>
        <w:adjustRightInd w:val="0"/>
        <w:snapToGrid w:val="0"/>
        <w:spacing w:beforeLines="0" w:after="0" w:line="360" w:lineRule="auto"/>
        <w:ind w:left="899"/>
        <w:rPr>
          <w:color w:val="auto"/>
        </w:rPr>
      </w:pPr>
      <w:r>
        <w:rPr>
          <w:rFonts w:hint="eastAsia"/>
          <w:color w:val="auto"/>
        </w:rPr>
        <w:t>⑶发包人对其供应的材料设备履行完毕14.1⑵款约定验交程序，且承包人接收后，由承包人负责保管，因承包人原因发生的丢失、盗失、毁损等由承包人负责赔偿。发包人按</w:t>
      </w:r>
      <w:r>
        <w:rPr>
          <w:rFonts w:hint="eastAsia"/>
          <w:b/>
          <w:i/>
          <w:color w:val="auto"/>
        </w:rPr>
        <w:t>专用条款</w:t>
      </w:r>
      <w:r>
        <w:rPr>
          <w:rFonts w:hint="eastAsia"/>
          <w:color w:val="auto"/>
        </w:rPr>
        <w:t>约定向承包人支付发包人供应材料设备保管费。发包人供应材料设备保管费是指承包人对发包人自行采购的材料设备进行保管服务及现场管理所需的费用。发包人供应材料设备保管费的计算基数为发包人供应材料设备结算价款。</w:t>
      </w:r>
    </w:p>
    <w:p>
      <w:pPr>
        <w:tabs>
          <w:tab w:val="left" w:pos="1620"/>
          <w:tab w:val="left" w:pos="2340"/>
        </w:tabs>
        <w:adjustRightInd w:val="0"/>
        <w:snapToGrid w:val="0"/>
        <w:spacing w:beforeLines="0" w:after="0" w:line="360" w:lineRule="auto"/>
        <w:ind w:left="899"/>
        <w:rPr>
          <w:color w:val="auto"/>
        </w:rPr>
      </w:pPr>
      <w:r>
        <w:rPr>
          <w:rFonts w:hint="eastAsia"/>
          <w:color w:val="auto"/>
        </w:rPr>
        <w:t>⑷如发包人未履行14.1⑵款约定的验交程序，则承包人不负责保管，发生的丢失、盗失、毁损等由发包人负责，但承包人没有提出异议，且已收取发包人支付的相应保管费用的除外。承包人</w:t>
      </w:r>
      <w:r>
        <w:rPr>
          <w:color w:val="auto"/>
        </w:rPr>
        <w:t>未</w:t>
      </w:r>
      <w:r>
        <w:rPr>
          <w:rFonts w:hint="eastAsia"/>
          <w:color w:val="auto"/>
        </w:rPr>
        <w:t>按发包人通知要求参加</w:t>
      </w:r>
      <w:r>
        <w:rPr>
          <w:color w:val="auto"/>
        </w:rPr>
        <w:t>验收的，视为承包人已验收合格，相应的保管责任由承包人承担。</w:t>
      </w:r>
    </w:p>
    <w:p>
      <w:pPr>
        <w:adjustRightInd w:val="0"/>
        <w:snapToGrid w:val="0"/>
        <w:spacing w:before="0" w:beforeLines="0" w:after="0" w:line="360" w:lineRule="auto"/>
        <w:ind w:left="359"/>
        <w:rPr>
          <w:color w:val="auto"/>
        </w:rPr>
      </w:pPr>
      <w:r>
        <w:rPr>
          <w:b/>
          <w:color w:val="auto"/>
        </w:rPr>
        <w:t>14.2</w:t>
      </w:r>
      <w:r>
        <w:rPr>
          <w:rFonts w:hint="eastAsia"/>
          <w:b/>
          <w:color w:val="auto"/>
        </w:rPr>
        <w:t>发包人供应材料设备的结算</w:t>
      </w:r>
    </w:p>
    <w:p>
      <w:pPr>
        <w:tabs>
          <w:tab w:val="left" w:pos="1620"/>
          <w:tab w:val="left" w:pos="2340"/>
        </w:tabs>
        <w:adjustRightInd w:val="0"/>
        <w:snapToGrid w:val="0"/>
        <w:spacing w:beforeLines="0" w:line="360" w:lineRule="auto"/>
        <w:ind w:left="899"/>
        <w:rPr>
          <w:color w:val="auto"/>
        </w:rPr>
      </w:pPr>
      <w:r>
        <w:rPr>
          <w:rFonts w:hint="eastAsia"/>
          <w:color w:val="auto"/>
        </w:rPr>
        <w:t>除非</w:t>
      </w:r>
      <w:r>
        <w:rPr>
          <w:rFonts w:hint="eastAsia"/>
          <w:b/>
          <w:i/>
          <w:color w:val="auto"/>
        </w:rPr>
        <w:t>专用条款</w:t>
      </w:r>
      <w:r>
        <w:rPr>
          <w:rFonts w:hint="eastAsia"/>
          <w:color w:val="auto"/>
        </w:rPr>
        <w:t>中另有约定，</w:t>
      </w:r>
      <w:r>
        <w:rPr>
          <w:color w:val="auto"/>
        </w:rPr>
        <w:t>本工程发包</w:t>
      </w:r>
      <w:r>
        <w:rPr>
          <w:rFonts w:hint="eastAsia"/>
          <w:color w:val="auto"/>
        </w:rPr>
        <w:t>人供应材料设备</w:t>
      </w:r>
      <w:r>
        <w:rPr>
          <w:color w:val="auto"/>
        </w:rPr>
        <w:t>按如下方式结算：</w:t>
      </w:r>
    </w:p>
    <w:p>
      <w:pPr>
        <w:tabs>
          <w:tab w:val="left" w:pos="1620"/>
          <w:tab w:val="left" w:pos="2340"/>
        </w:tabs>
        <w:adjustRightInd w:val="0"/>
        <w:snapToGrid w:val="0"/>
        <w:spacing w:beforeLines="0" w:line="360" w:lineRule="auto"/>
        <w:ind w:left="1079"/>
        <w:rPr>
          <w:color w:val="auto"/>
        </w:rPr>
      </w:pPr>
      <w:r>
        <w:rPr>
          <w:rFonts w:hint="eastAsia"/>
          <w:color w:val="auto"/>
        </w:rPr>
        <w:t>⑴承包人</w:t>
      </w:r>
      <w:r>
        <w:rPr>
          <w:color w:val="auto"/>
        </w:rPr>
        <w:t>按发包人要求、竣工图纸和工程造价管理机构发布的相关</w:t>
      </w:r>
      <w:r>
        <w:rPr>
          <w:rFonts w:hint="eastAsia"/>
          <w:color w:val="auto"/>
        </w:rPr>
        <w:t>消耗量</w:t>
      </w:r>
      <w:r>
        <w:rPr>
          <w:color w:val="auto"/>
        </w:rPr>
        <w:t>定额计算本工程需用的发包</w:t>
      </w:r>
      <w:r>
        <w:rPr>
          <w:rFonts w:hint="eastAsia"/>
          <w:color w:val="auto"/>
        </w:rPr>
        <w:t>人供应材料设备的</w:t>
      </w:r>
      <w:r>
        <w:rPr>
          <w:color w:val="auto"/>
        </w:rPr>
        <w:t>合理数量</w:t>
      </w:r>
      <w:r>
        <w:rPr>
          <w:rFonts w:hint="eastAsia"/>
          <w:color w:val="auto"/>
        </w:rPr>
        <w:t>，经</w:t>
      </w:r>
      <w:r>
        <w:rPr>
          <w:color w:val="auto"/>
        </w:rPr>
        <w:t>监理人</w:t>
      </w:r>
      <w:r>
        <w:rPr>
          <w:rFonts w:hint="eastAsia"/>
          <w:color w:val="auto"/>
        </w:rPr>
        <w:t>审核后报发包人确认</w:t>
      </w:r>
      <w:r>
        <w:rPr>
          <w:color w:val="auto"/>
        </w:rPr>
        <w:t>；</w:t>
      </w:r>
    </w:p>
    <w:p>
      <w:pPr>
        <w:tabs>
          <w:tab w:val="left" w:pos="1620"/>
          <w:tab w:val="left" w:pos="2340"/>
        </w:tabs>
        <w:adjustRightInd w:val="0"/>
        <w:snapToGrid w:val="0"/>
        <w:spacing w:beforeLines="0" w:line="360" w:lineRule="auto"/>
        <w:ind w:left="1079"/>
        <w:rPr>
          <w:color w:val="auto"/>
        </w:rPr>
      </w:pPr>
      <w:r>
        <w:rPr>
          <w:rFonts w:hint="eastAsia"/>
          <w:color w:val="auto"/>
        </w:rPr>
        <w:t>⑵</w:t>
      </w:r>
      <w:r>
        <w:rPr>
          <w:color w:val="auto"/>
        </w:rPr>
        <w:t>发包</w:t>
      </w:r>
      <w:r>
        <w:rPr>
          <w:rFonts w:hint="eastAsia"/>
          <w:color w:val="auto"/>
        </w:rPr>
        <w:t>人供应材料设备</w:t>
      </w:r>
      <w:r>
        <w:rPr>
          <w:color w:val="auto"/>
        </w:rPr>
        <w:t>的结算单价按照发包人通过招标</w:t>
      </w:r>
      <w:r>
        <w:rPr>
          <w:rFonts w:hint="eastAsia"/>
          <w:color w:val="auto"/>
        </w:rPr>
        <w:t>或询价采购等</w:t>
      </w:r>
      <w:r>
        <w:rPr>
          <w:color w:val="auto"/>
        </w:rPr>
        <w:t>方式确定的</w:t>
      </w:r>
      <w:r>
        <w:rPr>
          <w:rFonts w:hint="eastAsia"/>
          <w:color w:val="auto"/>
        </w:rPr>
        <w:t>材料设备</w:t>
      </w:r>
      <w:r>
        <w:rPr>
          <w:color w:val="auto"/>
        </w:rPr>
        <w:t>单价计算</w:t>
      </w:r>
      <w:r>
        <w:rPr>
          <w:rFonts w:hint="eastAsia"/>
          <w:color w:val="auto"/>
        </w:rPr>
        <w:t>；</w:t>
      </w:r>
    </w:p>
    <w:p>
      <w:pPr>
        <w:tabs>
          <w:tab w:val="left" w:pos="1620"/>
          <w:tab w:val="left" w:pos="2340"/>
        </w:tabs>
        <w:adjustRightInd w:val="0"/>
        <w:snapToGrid w:val="0"/>
        <w:spacing w:beforeLines="0" w:line="360" w:lineRule="auto"/>
        <w:ind w:left="1079"/>
        <w:rPr>
          <w:color w:val="auto"/>
        </w:rPr>
      </w:pPr>
      <w:r>
        <w:rPr>
          <w:rFonts w:hint="eastAsia"/>
          <w:color w:val="auto"/>
        </w:rPr>
        <w:t>⑶</w:t>
      </w:r>
      <w:r>
        <w:rPr>
          <w:color w:val="auto"/>
        </w:rPr>
        <w:t>承包人实际</w:t>
      </w:r>
      <w:r>
        <w:rPr>
          <w:rFonts w:hint="eastAsia"/>
          <w:color w:val="auto"/>
        </w:rPr>
        <w:t>使用</w:t>
      </w:r>
      <w:r>
        <w:rPr>
          <w:color w:val="auto"/>
        </w:rPr>
        <w:t>发包</w:t>
      </w:r>
      <w:r>
        <w:rPr>
          <w:rFonts w:hint="eastAsia"/>
          <w:color w:val="auto"/>
        </w:rPr>
        <w:t>人供应材料设备的</w:t>
      </w:r>
      <w:r>
        <w:rPr>
          <w:color w:val="auto"/>
        </w:rPr>
        <w:t>数量</w:t>
      </w:r>
      <w:r>
        <w:rPr>
          <w:rFonts w:hint="eastAsia"/>
          <w:color w:val="auto"/>
        </w:rPr>
        <w:t>超过14.2⑴款确认的</w:t>
      </w:r>
      <w:r>
        <w:rPr>
          <w:color w:val="auto"/>
        </w:rPr>
        <w:t>合理数量</w:t>
      </w:r>
      <w:r>
        <w:rPr>
          <w:rFonts w:hint="eastAsia"/>
          <w:color w:val="auto"/>
        </w:rPr>
        <w:t>，超出部分的费用由承包人承担；承包人实际使用</w:t>
      </w:r>
      <w:r>
        <w:rPr>
          <w:color w:val="auto"/>
        </w:rPr>
        <w:t>发包</w:t>
      </w:r>
      <w:r>
        <w:rPr>
          <w:rFonts w:hint="eastAsia"/>
          <w:color w:val="auto"/>
        </w:rPr>
        <w:t>人供应材料设备的数量小于14.2⑴款确认的</w:t>
      </w:r>
      <w:r>
        <w:rPr>
          <w:color w:val="auto"/>
        </w:rPr>
        <w:t>合理数量</w:t>
      </w:r>
      <w:r>
        <w:rPr>
          <w:rFonts w:hint="eastAsia"/>
          <w:color w:val="auto"/>
        </w:rPr>
        <w:t>，节约的费用按</w:t>
      </w:r>
      <w:r>
        <w:rPr>
          <w:rFonts w:hint="eastAsia"/>
          <w:b/>
          <w:i/>
          <w:color w:val="auto"/>
        </w:rPr>
        <w:t>专用条款</w:t>
      </w:r>
      <w:r>
        <w:rPr>
          <w:rFonts w:hint="eastAsia"/>
          <w:color w:val="auto"/>
        </w:rPr>
        <w:t>约定进行分配；</w:t>
      </w:r>
    </w:p>
    <w:p>
      <w:pPr>
        <w:tabs>
          <w:tab w:val="left" w:pos="1620"/>
          <w:tab w:val="left" w:pos="2340"/>
        </w:tabs>
        <w:adjustRightInd w:val="0"/>
        <w:snapToGrid w:val="0"/>
        <w:spacing w:beforeLines="0" w:line="360" w:lineRule="auto"/>
        <w:ind w:left="1079"/>
        <w:rPr>
          <w:color w:val="auto"/>
        </w:rPr>
      </w:pPr>
      <w:r>
        <w:rPr>
          <w:rFonts w:hint="eastAsia"/>
          <w:color w:val="auto"/>
        </w:rPr>
        <w:t>⑷</w:t>
      </w:r>
      <w:r>
        <w:rPr>
          <w:color w:val="auto"/>
        </w:rPr>
        <w:t>承包人</w:t>
      </w:r>
      <w:r>
        <w:rPr>
          <w:rFonts w:hint="eastAsia"/>
          <w:color w:val="auto"/>
        </w:rPr>
        <w:t>的投标报价中已包括</w:t>
      </w:r>
      <w:r>
        <w:rPr>
          <w:color w:val="auto"/>
        </w:rPr>
        <w:t>发包人供应材料设备</w:t>
      </w:r>
      <w:r>
        <w:rPr>
          <w:rFonts w:hint="eastAsia"/>
          <w:color w:val="auto"/>
        </w:rPr>
        <w:t>的场内运输费、</w:t>
      </w:r>
      <w:r>
        <w:rPr>
          <w:color w:val="auto"/>
        </w:rPr>
        <w:t>安装</w:t>
      </w:r>
      <w:r>
        <w:rPr>
          <w:rFonts w:hint="eastAsia"/>
          <w:color w:val="auto"/>
        </w:rPr>
        <w:t>费，</w:t>
      </w:r>
      <w:r>
        <w:rPr>
          <w:color w:val="auto"/>
        </w:rPr>
        <w:t>结算时不因发包人供应材料设备</w:t>
      </w:r>
      <w:r>
        <w:rPr>
          <w:rFonts w:hint="eastAsia"/>
          <w:color w:val="auto"/>
        </w:rPr>
        <w:t>单价的</w:t>
      </w:r>
      <w:r>
        <w:rPr>
          <w:color w:val="auto"/>
        </w:rPr>
        <w:t>变化而调整。</w:t>
      </w:r>
    </w:p>
    <w:p>
      <w:pPr>
        <w:adjustRightInd w:val="0"/>
        <w:snapToGrid w:val="0"/>
        <w:spacing w:before="0" w:beforeLines="0" w:after="0" w:line="360" w:lineRule="auto"/>
        <w:ind w:left="359"/>
        <w:rPr>
          <w:color w:val="auto"/>
        </w:rPr>
      </w:pPr>
      <w:r>
        <w:rPr>
          <w:b/>
          <w:color w:val="auto"/>
        </w:rPr>
        <w:t>14.3</w:t>
      </w:r>
      <w:r>
        <w:rPr>
          <w:rFonts w:hint="eastAsia"/>
          <w:b/>
          <w:color w:val="auto"/>
        </w:rPr>
        <w:t>发包人供应材料设备承担的责任</w:t>
      </w:r>
    </w:p>
    <w:p>
      <w:pPr>
        <w:tabs>
          <w:tab w:val="left" w:pos="1620"/>
          <w:tab w:val="left" w:pos="2340"/>
        </w:tabs>
        <w:adjustRightInd w:val="0"/>
        <w:snapToGrid w:val="0"/>
        <w:spacing w:beforeLines="0" w:line="360" w:lineRule="auto"/>
        <w:ind w:left="899"/>
        <w:rPr>
          <w:color w:val="auto"/>
        </w:rPr>
      </w:pPr>
      <w:r>
        <w:rPr>
          <w:rFonts w:hint="eastAsia"/>
          <w:color w:val="auto"/>
        </w:rPr>
        <w:t>发包人供应的材料设备与专用条款14.1(1)发包人供应材料设备清单中的约定不符时，发包人承担相关责任，具体如下：</w:t>
      </w:r>
    </w:p>
    <w:p>
      <w:pPr>
        <w:tabs>
          <w:tab w:val="left" w:pos="1620"/>
          <w:tab w:val="left" w:pos="2340"/>
        </w:tabs>
        <w:adjustRightInd w:val="0"/>
        <w:snapToGrid w:val="0"/>
        <w:spacing w:beforeLines="0" w:line="360" w:lineRule="auto"/>
        <w:ind w:left="1079"/>
        <w:rPr>
          <w:color w:val="auto"/>
        </w:rPr>
      </w:pPr>
      <w:r>
        <w:rPr>
          <w:rFonts w:hint="eastAsia"/>
          <w:color w:val="auto"/>
        </w:rPr>
        <w:t>⑴材料设备单价不符合约定，由发包人承担所有价差；</w:t>
      </w:r>
    </w:p>
    <w:p>
      <w:pPr>
        <w:tabs>
          <w:tab w:val="left" w:pos="1620"/>
          <w:tab w:val="left" w:pos="2340"/>
        </w:tabs>
        <w:adjustRightInd w:val="0"/>
        <w:snapToGrid w:val="0"/>
        <w:spacing w:beforeLines="0" w:line="360" w:lineRule="auto"/>
        <w:ind w:left="1079"/>
        <w:rPr>
          <w:color w:val="auto"/>
        </w:rPr>
      </w:pPr>
      <w:r>
        <w:rPr>
          <w:rFonts w:hint="eastAsia"/>
          <w:color w:val="auto"/>
        </w:rPr>
        <w:t>⑵材料设备的品种、规格、型号、质量等级不符合约定，承包人可拒绝接收、保管，由发包人负责运出施工场地并重新采购；</w:t>
      </w:r>
    </w:p>
    <w:p>
      <w:pPr>
        <w:tabs>
          <w:tab w:val="left" w:pos="1620"/>
          <w:tab w:val="left" w:pos="2340"/>
        </w:tabs>
        <w:adjustRightInd w:val="0"/>
        <w:snapToGrid w:val="0"/>
        <w:spacing w:beforeLines="0" w:line="360" w:lineRule="auto"/>
        <w:ind w:left="1079"/>
        <w:rPr>
          <w:color w:val="auto"/>
        </w:rPr>
      </w:pPr>
      <w:r>
        <w:rPr>
          <w:rFonts w:hint="eastAsia"/>
          <w:color w:val="auto"/>
        </w:rPr>
        <w:t>⑶材料设备的到货地点不符合约定，由发包人负责运至材料设备清单约定的地点；</w:t>
      </w:r>
    </w:p>
    <w:p>
      <w:pPr>
        <w:tabs>
          <w:tab w:val="left" w:pos="1620"/>
          <w:tab w:val="left" w:pos="2340"/>
        </w:tabs>
        <w:adjustRightInd w:val="0"/>
        <w:snapToGrid w:val="0"/>
        <w:spacing w:beforeLines="0" w:line="360" w:lineRule="auto"/>
        <w:ind w:left="1079"/>
        <w:rPr>
          <w:color w:val="auto"/>
        </w:rPr>
      </w:pPr>
      <w:r>
        <w:rPr>
          <w:rFonts w:hint="eastAsia"/>
          <w:color w:val="auto"/>
        </w:rPr>
        <w:t>⑷材料设备供应数量不符合约定，多于清单中约定的数量时由发包人负责运出施工场地，少于清单中约定数量时由发包人负责补齐；</w:t>
      </w:r>
    </w:p>
    <w:p>
      <w:pPr>
        <w:tabs>
          <w:tab w:val="left" w:pos="1620"/>
          <w:tab w:val="left" w:pos="2340"/>
        </w:tabs>
        <w:adjustRightInd w:val="0"/>
        <w:snapToGrid w:val="0"/>
        <w:spacing w:beforeLines="0" w:line="360" w:lineRule="auto"/>
        <w:ind w:left="1079"/>
        <w:rPr>
          <w:color w:val="auto"/>
        </w:rPr>
      </w:pPr>
      <w:r>
        <w:rPr>
          <w:rFonts w:hint="eastAsia"/>
          <w:color w:val="auto"/>
        </w:rPr>
        <w:t>⑸材料设备到货交接时间不符合约定，早于约定时间的由发包人承担因此产生的保管费用，迟于约定时间给承包人造成损失和(或)导致工期延误的，发包人应赔偿承包人损失，顺延延误的工期。</w:t>
      </w:r>
    </w:p>
    <w:p>
      <w:pPr>
        <w:adjustRightInd w:val="0"/>
        <w:snapToGrid w:val="0"/>
        <w:spacing w:before="0" w:beforeLines="0" w:after="0" w:line="360" w:lineRule="auto"/>
        <w:ind w:left="359"/>
        <w:rPr>
          <w:color w:val="auto"/>
        </w:rPr>
      </w:pPr>
      <w:r>
        <w:rPr>
          <w:b/>
          <w:color w:val="auto"/>
        </w:rPr>
        <w:t>14.4</w:t>
      </w:r>
      <w:r>
        <w:rPr>
          <w:rFonts w:hint="eastAsia"/>
          <w:b/>
          <w:color w:val="auto"/>
        </w:rPr>
        <w:t>承包人采购材料设备</w:t>
      </w:r>
    </w:p>
    <w:p>
      <w:pPr>
        <w:tabs>
          <w:tab w:val="left" w:pos="1620"/>
          <w:tab w:val="left" w:pos="2340"/>
        </w:tabs>
        <w:adjustRightInd w:val="0"/>
        <w:snapToGrid w:val="0"/>
        <w:spacing w:beforeLines="0" w:after="0" w:line="360" w:lineRule="auto"/>
        <w:ind w:left="899"/>
        <w:rPr>
          <w:color w:val="auto"/>
        </w:rPr>
      </w:pPr>
      <w:r>
        <w:rPr>
          <w:rFonts w:hint="eastAsia"/>
          <w:color w:val="auto"/>
        </w:rPr>
        <w:t>承包人负责采购的材料设备，应符合设计、标准、规范、招标文件、</w:t>
      </w:r>
      <w:r>
        <w:rPr>
          <w:rFonts w:hint="eastAsia"/>
          <w:b/>
          <w:i/>
          <w:color w:val="auto"/>
        </w:rPr>
        <w:t>专用条款</w:t>
      </w:r>
      <w:r>
        <w:rPr>
          <w:rFonts w:hint="eastAsia"/>
          <w:color w:val="auto"/>
        </w:rPr>
        <w:t>约定的要求以及投标文件的承诺，并提供产品质量合格证明，承包人对材料设备质量负责。</w:t>
      </w:r>
      <w:r>
        <w:rPr>
          <w:color w:val="auto"/>
        </w:rPr>
        <w:t>合同约定由承包人采购的材料、工程设备，发包人不得指定生产厂家或供应商，发包人违反本款约定指定生产厂家或供应商的，承包人有权拒绝。</w:t>
      </w:r>
    </w:p>
    <w:p>
      <w:pPr>
        <w:tabs>
          <w:tab w:val="left" w:pos="1620"/>
          <w:tab w:val="left" w:pos="2340"/>
        </w:tabs>
        <w:adjustRightInd w:val="0"/>
        <w:snapToGrid w:val="0"/>
        <w:spacing w:beforeLines="0" w:after="0" w:line="360" w:lineRule="auto"/>
        <w:ind w:left="899"/>
        <w:rPr>
          <w:color w:val="auto"/>
        </w:rPr>
      </w:pPr>
      <w:r>
        <w:rPr>
          <w:rFonts w:hint="eastAsia"/>
          <w:color w:val="auto"/>
        </w:rPr>
        <w:t>承包人应负责其采购的所有材料设备的包装、运输、接收、装卸、存储和保护，并承担因货物运输引起的民事和(或)刑事责任。承包人应在材料设备到货前24小时通知发包人，双方在</w:t>
      </w:r>
      <w:r>
        <w:rPr>
          <w:color w:val="auto"/>
        </w:rPr>
        <w:t>监理人</w:t>
      </w:r>
      <w:r>
        <w:rPr>
          <w:rFonts w:hint="eastAsia"/>
          <w:color w:val="auto"/>
        </w:rPr>
        <w:t>的见证下进行联合验收。</w:t>
      </w:r>
    </w:p>
    <w:p>
      <w:pPr>
        <w:adjustRightInd w:val="0"/>
        <w:snapToGrid w:val="0"/>
        <w:spacing w:before="0" w:beforeLines="0" w:after="0" w:line="360" w:lineRule="auto"/>
        <w:ind w:left="359"/>
        <w:rPr>
          <w:color w:val="auto"/>
        </w:rPr>
      </w:pPr>
      <w:r>
        <w:rPr>
          <w:b/>
          <w:color w:val="auto"/>
        </w:rPr>
        <w:t>14.5</w:t>
      </w:r>
      <w:r>
        <w:rPr>
          <w:rFonts w:hint="eastAsia"/>
          <w:b/>
          <w:color w:val="auto"/>
        </w:rPr>
        <w:t>承包人采购材料设备承担的责任</w:t>
      </w:r>
    </w:p>
    <w:p>
      <w:pPr>
        <w:tabs>
          <w:tab w:val="left" w:pos="1620"/>
          <w:tab w:val="left" w:pos="2340"/>
        </w:tabs>
        <w:adjustRightInd w:val="0"/>
        <w:snapToGrid w:val="0"/>
        <w:spacing w:beforeLines="0" w:after="0" w:line="360" w:lineRule="auto"/>
        <w:ind w:left="899"/>
        <w:rPr>
          <w:color w:val="auto"/>
        </w:rPr>
      </w:pPr>
      <w:r>
        <w:rPr>
          <w:rFonts w:hint="eastAsia"/>
          <w:color w:val="auto"/>
        </w:rPr>
        <w:t>⑴承包人采购的材料设备与14.4款约定的要求不符时，承包人应按</w:t>
      </w:r>
      <w:r>
        <w:rPr>
          <w:color w:val="auto"/>
        </w:rPr>
        <w:t>监理人</w:t>
      </w:r>
      <w:r>
        <w:rPr>
          <w:rFonts w:hint="eastAsia"/>
          <w:color w:val="auto"/>
        </w:rPr>
        <w:t>要求的时间运出施工场地，重新采购符合要求的材料设备，承担因此产生的费用，由此延误的工期不予顺延。</w:t>
      </w:r>
    </w:p>
    <w:p>
      <w:pPr>
        <w:tabs>
          <w:tab w:val="left" w:pos="1620"/>
          <w:tab w:val="left" w:pos="2340"/>
        </w:tabs>
        <w:adjustRightInd w:val="0"/>
        <w:snapToGrid w:val="0"/>
        <w:spacing w:beforeLines="0" w:after="0" w:line="360" w:lineRule="auto"/>
        <w:ind w:left="899"/>
        <w:rPr>
          <w:color w:val="auto"/>
        </w:rPr>
      </w:pPr>
      <w:r>
        <w:rPr>
          <w:rFonts w:hint="eastAsia"/>
          <w:color w:val="auto"/>
        </w:rPr>
        <w:t>⑵承包人使用了不符合14.4款约定要求的材料设备，则应按</w:t>
      </w:r>
      <w:r>
        <w:rPr>
          <w:color w:val="auto"/>
        </w:rPr>
        <w:t>监理人</w:t>
      </w:r>
      <w:r>
        <w:rPr>
          <w:rFonts w:hint="eastAsia"/>
          <w:color w:val="auto"/>
        </w:rPr>
        <w:t>的指令负责修复、拆除或重新采购，并承担因此产生的费用，由此延误的工期不予顺延。</w:t>
      </w:r>
    </w:p>
    <w:p>
      <w:pPr>
        <w:adjustRightInd w:val="0"/>
        <w:snapToGrid w:val="0"/>
        <w:spacing w:before="0" w:beforeLines="0" w:after="0" w:line="360" w:lineRule="auto"/>
        <w:ind w:left="359"/>
        <w:rPr>
          <w:color w:val="auto"/>
        </w:rPr>
      </w:pPr>
      <w:r>
        <w:rPr>
          <w:b/>
          <w:color w:val="auto"/>
        </w:rPr>
        <w:t>14.6</w:t>
      </w:r>
      <w:r>
        <w:rPr>
          <w:rFonts w:hint="eastAsia"/>
          <w:b/>
          <w:color w:val="auto"/>
        </w:rPr>
        <w:t>材料和工程设备的替代</w:t>
      </w:r>
    </w:p>
    <w:p>
      <w:pPr>
        <w:tabs>
          <w:tab w:val="left" w:pos="1620"/>
          <w:tab w:val="left" w:pos="2340"/>
        </w:tabs>
        <w:adjustRightInd w:val="0"/>
        <w:snapToGrid w:val="0"/>
        <w:spacing w:beforeLines="0" w:after="0" w:line="360" w:lineRule="auto"/>
        <w:ind w:left="972" w:leftChars="405" w:firstLine="105" w:firstLineChars="44"/>
        <w:rPr>
          <w:color w:val="auto"/>
        </w:rPr>
      </w:pPr>
      <w:r>
        <w:rPr>
          <w:rFonts w:hint="eastAsia"/>
          <w:color w:val="auto"/>
        </w:rPr>
        <w:t>⑴</w:t>
      </w:r>
      <w:r>
        <w:rPr>
          <w:color w:val="auto"/>
        </w:rPr>
        <w:t>出现下列情况需要使用替代材料和工程设备的，承包人应按照第</w:t>
      </w:r>
      <w:r>
        <w:rPr>
          <w:rFonts w:hint="eastAsia"/>
          <w:color w:val="auto"/>
        </w:rPr>
        <w:t>14</w:t>
      </w:r>
      <w:r>
        <w:rPr>
          <w:color w:val="auto"/>
        </w:rPr>
        <w:t>.</w:t>
      </w:r>
      <w:r>
        <w:rPr>
          <w:rFonts w:hint="eastAsia"/>
          <w:color w:val="auto"/>
        </w:rPr>
        <w:t>6</w:t>
      </w:r>
      <w:r>
        <w:rPr>
          <w:color w:val="auto"/>
        </w:rPr>
        <w:t>.</w:t>
      </w:r>
      <w:r>
        <w:rPr>
          <w:rFonts w:hint="eastAsia"/>
          <w:color w:val="auto"/>
        </w:rPr>
        <w:t>(2)</w:t>
      </w:r>
      <w:r>
        <w:rPr>
          <w:color w:val="auto"/>
        </w:rPr>
        <w:t>项约定的程序执行：</w:t>
      </w:r>
    </w:p>
    <w:p>
      <w:pPr>
        <w:tabs>
          <w:tab w:val="left" w:pos="1620"/>
          <w:tab w:val="left" w:pos="2340"/>
        </w:tabs>
        <w:adjustRightInd w:val="0"/>
        <w:snapToGrid w:val="0"/>
        <w:spacing w:beforeLines="0" w:after="0" w:line="360" w:lineRule="auto"/>
        <w:ind w:left="1267" w:leftChars="528"/>
        <w:rPr>
          <w:color w:val="auto"/>
        </w:rPr>
      </w:pPr>
      <w:r>
        <w:rPr>
          <w:rFonts w:hint="eastAsia"/>
          <w:color w:val="auto"/>
        </w:rPr>
        <w:t>①</w:t>
      </w:r>
      <w:r>
        <w:rPr>
          <w:color w:val="auto"/>
        </w:rPr>
        <w:t>基准日</w:t>
      </w:r>
      <w:r>
        <w:rPr>
          <w:rFonts w:hint="eastAsia"/>
          <w:color w:val="auto"/>
        </w:rPr>
        <w:t>期</w:t>
      </w:r>
      <w:r>
        <w:rPr>
          <w:color w:val="auto"/>
        </w:rPr>
        <w:t>后生效的法律规定禁止使用的；</w:t>
      </w:r>
    </w:p>
    <w:p>
      <w:pPr>
        <w:tabs>
          <w:tab w:val="left" w:pos="1620"/>
          <w:tab w:val="left" w:pos="2340"/>
        </w:tabs>
        <w:adjustRightInd w:val="0"/>
        <w:snapToGrid w:val="0"/>
        <w:spacing w:beforeLines="0" w:after="0" w:line="360" w:lineRule="auto"/>
        <w:ind w:left="1267" w:leftChars="528"/>
        <w:rPr>
          <w:color w:val="auto"/>
        </w:rPr>
      </w:pPr>
      <w:r>
        <w:rPr>
          <w:rFonts w:hint="eastAsia"/>
          <w:color w:val="auto"/>
        </w:rPr>
        <w:t>②</w:t>
      </w:r>
      <w:r>
        <w:rPr>
          <w:color w:val="auto"/>
        </w:rPr>
        <w:t>发包人要求使用替代品的；</w:t>
      </w:r>
    </w:p>
    <w:p>
      <w:pPr>
        <w:tabs>
          <w:tab w:val="left" w:pos="1620"/>
          <w:tab w:val="left" w:pos="2340"/>
        </w:tabs>
        <w:adjustRightInd w:val="0"/>
        <w:snapToGrid w:val="0"/>
        <w:spacing w:beforeLines="0" w:after="0" w:line="360" w:lineRule="auto"/>
        <w:ind w:left="1267" w:leftChars="528"/>
        <w:rPr>
          <w:color w:val="auto"/>
        </w:rPr>
      </w:pPr>
      <w:r>
        <w:rPr>
          <w:rFonts w:hint="eastAsia"/>
          <w:color w:val="auto"/>
        </w:rPr>
        <w:t>③</w:t>
      </w:r>
      <w:r>
        <w:rPr>
          <w:color w:val="auto"/>
        </w:rPr>
        <w:t>因其他原因必须使用替代品的。</w:t>
      </w:r>
    </w:p>
    <w:p>
      <w:pPr>
        <w:tabs>
          <w:tab w:val="left" w:pos="1620"/>
          <w:tab w:val="left" w:pos="2340"/>
        </w:tabs>
        <w:adjustRightInd w:val="0"/>
        <w:snapToGrid w:val="0"/>
        <w:spacing w:beforeLines="0" w:after="0" w:line="360" w:lineRule="auto"/>
        <w:ind w:left="899"/>
        <w:rPr>
          <w:color w:val="auto"/>
        </w:rPr>
      </w:pPr>
      <w:r>
        <w:rPr>
          <w:rFonts w:hint="eastAsia"/>
          <w:color w:val="auto"/>
        </w:rPr>
        <w:t>⑵承包人需要使用替代材料设备应在</w:t>
      </w:r>
      <w:r>
        <w:rPr>
          <w:rFonts w:hint="eastAsia"/>
          <w:b/>
          <w:i/>
          <w:color w:val="auto"/>
        </w:rPr>
        <w:t>专用条款</w:t>
      </w:r>
      <w:r>
        <w:rPr>
          <w:rFonts w:hint="eastAsia"/>
          <w:color w:val="auto"/>
        </w:rPr>
        <w:t>约定的时限前向</w:t>
      </w:r>
      <w:r>
        <w:rPr>
          <w:color w:val="auto"/>
        </w:rPr>
        <w:t>监理人</w:t>
      </w:r>
      <w:r>
        <w:rPr>
          <w:rFonts w:hint="eastAsia"/>
          <w:color w:val="auto"/>
        </w:rPr>
        <w:t>提出申请，</w:t>
      </w:r>
      <w:r>
        <w:rPr>
          <w:color w:val="auto"/>
        </w:rPr>
        <w:t>监理人</w:t>
      </w:r>
      <w:r>
        <w:rPr>
          <w:rFonts w:hint="eastAsia"/>
          <w:color w:val="auto"/>
        </w:rPr>
        <w:t>应在</w:t>
      </w:r>
      <w:r>
        <w:rPr>
          <w:rFonts w:hint="eastAsia"/>
          <w:b/>
          <w:i/>
          <w:color w:val="auto"/>
        </w:rPr>
        <w:t>专用条款</w:t>
      </w:r>
      <w:r>
        <w:rPr>
          <w:rFonts w:hint="eastAsia"/>
          <w:color w:val="auto"/>
        </w:rPr>
        <w:t>约定的时限内发书面指示报发包人，</w:t>
      </w:r>
      <w:r>
        <w:rPr>
          <w:color w:val="auto"/>
        </w:rPr>
        <w:t>监理人逾期发出书面指示的，视为发包人和监理人同意使用替代品。</w:t>
      </w:r>
      <w:r>
        <w:rPr>
          <w:rFonts w:hint="eastAsia"/>
          <w:color w:val="auto"/>
        </w:rPr>
        <w:t>替代</w:t>
      </w:r>
      <w:r>
        <w:rPr>
          <w:color w:val="auto"/>
        </w:rPr>
        <w:t>材料</w:t>
      </w:r>
      <w:r>
        <w:rPr>
          <w:rFonts w:hint="eastAsia"/>
          <w:color w:val="auto"/>
        </w:rPr>
        <w:t>设备的</w:t>
      </w:r>
      <w:r>
        <w:rPr>
          <w:color w:val="auto"/>
        </w:rPr>
        <w:t>品质</w:t>
      </w:r>
      <w:r>
        <w:rPr>
          <w:rFonts w:hint="eastAsia"/>
          <w:color w:val="auto"/>
        </w:rPr>
        <w:t>、</w:t>
      </w:r>
      <w:r>
        <w:rPr>
          <w:color w:val="auto"/>
        </w:rPr>
        <w:t>标准、性能不能低于被</w:t>
      </w:r>
      <w:r>
        <w:rPr>
          <w:rFonts w:hint="eastAsia"/>
          <w:color w:val="auto"/>
        </w:rPr>
        <w:t>替代</w:t>
      </w:r>
      <w:r>
        <w:rPr>
          <w:color w:val="auto"/>
        </w:rPr>
        <w:t>材料，</w:t>
      </w:r>
      <w:r>
        <w:rPr>
          <w:rFonts w:hint="eastAsia"/>
          <w:color w:val="auto"/>
        </w:rPr>
        <w:t>因此增减的合同价格和产生的费用的承担，承发包双方在</w:t>
      </w:r>
      <w:r>
        <w:rPr>
          <w:rFonts w:hint="eastAsia"/>
          <w:b/>
          <w:i/>
          <w:color w:val="auto"/>
        </w:rPr>
        <w:t>专用条款</w:t>
      </w:r>
      <w:r>
        <w:rPr>
          <w:rFonts w:hint="eastAsia"/>
          <w:color w:val="auto"/>
        </w:rPr>
        <w:t>中约定。</w:t>
      </w:r>
    </w:p>
    <w:p>
      <w:pPr>
        <w:adjustRightInd w:val="0"/>
        <w:snapToGrid w:val="0"/>
        <w:spacing w:before="0" w:beforeLines="0" w:after="0" w:line="360" w:lineRule="auto"/>
        <w:ind w:left="359"/>
        <w:rPr>
          <w:color w:val="auto"/>
        </w:rPr>
      </w:pPr>
      <w:r>
        <w:rPr>
          <w:b/>
          <w:color w:val="auto"/>
        </w:rPr>
        <w:t>14.7</w:t>
      </w:r>
      <w:r>
        <w:rPr>
          <w:rFonts w:hint="eastAsia"/>
          <w:b/>
          <w:color w:val="auto"/>
        </w:rPr>
        <w:t>材料设备的检验</w:t>
      </w:r>
    </w:p>
    <w:p>
      <w:pPr>
        <w:tabs>
          <w:tab w:val="left" w:pos="1620"/>
          <w:tab w:val="left" w:pos="2340"/>
        </w:tabs>
        <w:adjustRightInd w:val="0"/>
        <w:snapToGrid w:val="0"/>
        <w:spacing w:beforeLines="0" w:after="0" w:line="360" w:lineRule="auto"/>
        <w:ind w:left="899"/>
        <w:rPr>
          <w:color w:val="auto"/>
        </w:rPr>
      </w:pPr>
      <w:r>
        <w:rPr>
          <w:rFonts w:hint="eastAsia"/>
          <w:color w:val="auto"/>
        </w:rPr>
        <w:t>⑴本工程一切材料设备在用于本工程之前，均应按照法律、法规、规章和有关标准、规范的规定以及</w:t>
      </w:r>
      <w:r>
        <w:rPr>
          <w:rFonts w:hint="eastAsia"/>
          <w:b/>
          <w:i/>
          <w:color w:val="auto"/>
        </w:rPr>
        <w:t>专用条款</w:t>
      </w:r>
      <w:r>
        <w:rPr>
          <w:rFonts w:hint="eastAsia"/>
          <w:color w:val="auto"/>
        </w:rPr>
        <w:t>约定的检验时间和地点、取样办法、检验频次和内容等要求，在</w:t>
      </w:r>
      <w:r>
        <w:rPr>
          <w:color w:val="auto"/>
        </w:rPr>
        <w:t>监理人</w:t>
      </w:r>
      <w:r>
        <w:rPr>
          <w:rFonts w:hint="eastAsia"/>
          <w:color w:val="auto"/>
        </w:rPr>
        <w:t>的监督、见证下，由承包人负责取样并送</w:t>
      </w:r>
      <w:r>
        <w:rPr>
          <w:rFonts w:hint="eastAsia"/>
          <w:b/>
          <w:i/>
          <w:color w:val="auto"/>
        </w:rPr>
        <w:t>专用条款</w:t>
      </w:r>
      <w:r>
        <w:rPr>
          <w:rFonts w:hint="eastAsia"/>
          <w:color w:val="auto"/>
        </w:rPr>
        <w:t>指定的检验机构进行检验，不合格的不得使用。</w:t>
      </w:r>
    </w:p>
    <w:p>
      <w:pPr>
        <w:tabs>
          <w:tab w:val="left" w:pos="1620"/>
          <w:tab w:val="left" w:pos="2340"/>
        </w:tabs>
        <w:adjustRightInd w:val="0"/>
        <w:snapToGrid w:val="0"/>
        <w:spacing w:beforeLines="0" w:after="0" w:line="360" w:lineRule="auto"/>
        <w:ind w:left="899"/>
        <w:rPr>
          <w:color w:val="auto"/>
        </w:rPr>
      </w:pPr>
      <w:r>
        <w:rPr>
          <w:rFonts w:hint="eastAsia"/>
          <w:color w:val="auto"/>
        </w:rPr>
        <w:t>⑵拟用于本工程的材料设备应当经检验合格后使用。发包人供应的材料设备的检验费用由发包人承担；承包人采购的材料设备检验费用由承包人承担。</w:t>
      </w:r>
    </w:p>
    <w:p>
      <w:pPr>
        <w:tabs>
          <w:tab w:val="left" w:pos="1620"/>
          <w:tab w:val="left" w:pos="2340"/>
        </w:tabs>
        <w:adjustRightInd w:val="0"/>
        <w:snapToGrid w:val="0"/>
        <w:spacing w:beforeLines="0" w:after="0" w:line="360" w:lineRule="auto"/>
        <w:ind w:left="899"/>
        <w:rPr>
          <w:color w:val="auto"/>
        </w:rPr>
      </w:pPr>
      <w:r>
        <w:rPr>
          <w:rFonts w:hint="eastAsia"/>
          <w:color w:val="auto"/>
        </w:rPr>
        <w:t>⑶发包人对具有出厂合格证明材料设备的检验，构件的破坏性检验、其他特殊要求的检验及发包人委托检测机构进行的检测，如经检验合格的，检验费用由发包人承担；若检验不合格且为承包人采购的材料设备，检验费用由承包人承担。</w:t>
      </w:r>
    </w:p>
    <w:p>
      <w:pPr>
        <w:adjustRightInd w:val="0"/>
        <w:snapToGrid w:val="0"/>
        <w:spacing w:before="0" w:beforeLines="0" w:after="0" w:line="360" w:lineRule="auto"/>
        <w:ind w:left="359"/>
        <w:rPr>
          <w:color w:val="auto"/>
        </w:rPr>
      </w:pPr>
      <w:r>
        <w:rPr>
          <w:b/>
          <w:color w:val="auto"/>
        </w:rPr>
        <w:t>14.8</w:t>
      </w:r>
      <w:r>
        <w:rPr>
          <w:rFonts w:hint="eastAsia"/>
          <w:b/>
          <w:color w:val="auto"/>
        </w:rPr>
        <w:t>材料设备的再次检验和随时检查</w:t>
      </w:r>
    </w:p>
    <w:p>
      <w:pPr>
        <w:tabs>
          <w:tab w:val="left" w:pos="1620"/>
          <w:tab w:val="left" w:pos="2340"/>
        </w:tabs>
        <w:adjustRightInd w:val="0"/>
        <w:snapToGrid w:val="0"/>
        <w:spacing w:beforeLines="0" w:after="0" w:line="360" w:lineRule="auto"/>
        <w:ind w:left="899"/>
        <w:rPr>
          <w:color w:val="auto"/>
        </w:rPr>
      </w:pPr>
      <w:r>
        <w:rPr>
          <w:rFonts w:hint="eastAsia"/>
          <w:color w:val="auto"/>
        </w:rPr>
        <w:t>⑴如</w:t>
      </w:r>
      <w:r>
        <w:rPr>
          <w:color w:val="auto"/>
        </w:rPr>
        <w:t>监理人</w:t>
      </w:r>
      <w:r>
        <w:rPr>
          <w:rFonts w:hint="eastAsia"/>
          <w:color w:val="auto"/>
        </w:rPr>
        <w:t>认为需要，可要求对材料设备进行再次检验。发包人供应的材料设备，再次检验费用由发包人承担。承包人采购的材料设备，如再次检验结果表明该材料设备不符合有关标准、规范的规定或本合同的约定，检验费用由承包人承担，否则由发包人承担。</w:t>
      </w:r>
    </w:p>
    <w:p>
      <w:pPr>
        <w:tabs>
          <w:tab w:val="left" w:pos="1620"/>
          <w:tab w:val="left" w:pos="2340"/>
        </w:tabs>
        <w:adjustRightInd w:val="0"/>
        <w:snapToGrid w:val="0"/>
        <w:spacing w:beforeLines="0" w:after="0" w:line="360" w:lineRule="auto"/>
        <w:ind w:left="899"/>
        <w:rPr>
          <w:color w:val="auto"/>
        </w:rPr>
      </w:pPr>
      <w:r>
        <w:rPr>
          <w:rFonts w:hint="eastAsia"/>
          <w:color w:val="auto"/>
        </w:rPr>
        <w:t>⑵</w:t>
      </w:r>
      <w:r>
        <w:rPr>
          <w:color w:val="auto"/>
        </w:rPr>
        <w:t>监理人</w:t>
      </w:r>
      <w:r>
        <w:rPr>
          <w:rFonts w:hint="eastAsia"/>
          <w:color w:val="auto"/>
        </w:rPr>
        <w:t>在一切合理的时间内均应能进入施工现场以及半成品的制造、加工或制配的所有车间和场所，承包人应为其进入上述场所提供一切便利和协助。</w:t>
      </w:r>
    </w:p>
    <w:p>
      <w:pPr>
        <w:adjustRightInd w:val="0"/>
        <w:snapToGrid w:val="0"/>
        <w:spacing w:before="0" w:beforeLines="0" w:after="0" w:line="360" w:lineRule="auto"/>
        <w:ind w:left="178"/>
        <w:rPr>
          <w:color w:val="auto"/>
          <w:sz w:val="28"/>
        </w:rPr>
      </w:pPr>
      <w:r>
        <w:rPr>
          <w:b/>
          <w:color w:val="auto"/>
          <w:sz w:val="28"/>
        </w:rPr>
        <w:t>15</w:t>
      </w:r>
      <w:r>
        <w:rPr>
          <w:rFonts w:hint="eastAsia"/>
          <w:b/>
          <w:color w:val="auto"/>
          <w:sz w:val="28"/>
        </w:rPr>
        <w:t>工程质量和检测</w:t>
      </w:r>
    </w:p>
    <w:p>
      <w:pPr>
        <w:adjustRightInd w:val="0"/>
        <w:snapToGrid w:val="0"/>
        <w:spacing w:before="0" w:beforeLines="0" w:after="0" w:line="360" w:lineRule="auto"/>
        <w:ind w:left="359"/>
        <w:rPr>
          <w:color w:val="auto"/>
        </w:rPr>
      </w:pPr>
      <w:r>
        <w:rPr>
          <w:b/>
          <w:color w:val="auto"/>
        </w:rPr>
        <w:t>15.1</w:t>
      </w:r>
      <w:r>
        <w:rPr>
          <w:rFonts w:hint="eastAsia"/>
          <w:b/>
          <w:color w:val="auto"/>
        </w:rPr>
        <w:t>工程质量</w:t>
      </w:r>
    </w:p>
    <w:p>
      <w:pPr>
        <w:tabs>
          <w:tab w:val="left" w:pos="1620"/>
          <w:tab w:val="left" w:pos="2340"/>
        </w:tabs>
        <w:adjustRightInd w:val="0"/>
        <w:snapToGrid w:val="0"/>
        <w:spacing w:beforeLines="0" w:after="0" w:line="360" w:lineRule="auto"/>
        <w:ind w:left="899"/>
        <w:rPr>
          <w:color w:val="auto"/>
        </w:rPr>
      </w:pPr>
      <w:r>
        <w:rPr>
          <w:rFonts w:hint="eastAsia"/>
          <w:color w:val="auto"/>
        </w:rPr>
        <w:t>⑴工程质量应达到本合同协议书中约定的质量标准，工程质量标准的评定应以本合同约定的标准、规范为依据，</w:t>
      </w:r>
      <w:r>
        <w:rPr>
          <w:rFonts w:hint="eastAsia"/>
          <w:caps/>
          <w:color w:val="auto"/>
          <w:szCs w:val="21"/>
        </w:rPr>
        <w:t>合同没有约定的，以国家或行业的质量检验评定标准为依据。</w:t>
      </w:r>
    </w:p>
    <w:p>
      <w:pPr>
        <w:tabs>
          <w:tab w:val="left" w:pos="1620"/>
          <w:tab w:val="left" w:pos="2340"/>
        </w:tabs>
        <w:adjustRightInd w:val="0"/>
        <w:snapToGrid w:val="0"/>
        <w:spacing w:beforeLines="0" w:after="0" w:line="360" w:lineRule="auto"/>
        <w:ind w:left="899"/>
        <w:rPr>
          <w:color w:val="auto"/>
        </w:rPr>
      </w:pPr>
      <w:r>
        <w:rPr>
          <w:rFonts w:hint="eastAsia"/>
          <w:color w:val="auto"/>
        </w:rPr>
        <w:t>⑵承包人应建立质量保证体系，</w:t>
      </w:r>
      <w:r>
        <w:rPr>
          <w:color w:val="auto"/>
        </w:rPr>
        <w:t>监理人</w:t>
      </w:r>
      <w:r>
        <w:rPr>
          <w:rFonts w:hint="eastAsia"/>
          <w:color w:val="auto"/>
        </w:rPr>
        <w:t>有权对体系的任何方面进行审查。遵守质量保证体系不应解除合同约定的承包人的任何义务和职责。</w:t>
      </w:r>
    </w:p>
    <w:p>
      <w:pPr>
        <w:tabs>
          <w:tab w:val="left" w:pos="1620"/>
          <w:tab w:val="left" w:pos="2340"/>
        </w:tabs>
        <w:adjustRightInd w:val="0"/>
        <w:snapToGrid w:val="0"/>
        <w:spacing w:beforeLines="0" w:after="0" w:line="360" w:lineRule="auto"/>
        <w:ind w:left="899"/>
        <w:rPr>
          <w:color w:val="auto"/>
        </w:rPr>
      </w:pPr>
      <w:r>
        <w:rPr>
          <w:rFonts w:hint="eastAsia"/>
          <w:color w:val="auto"/>
        </w:rPr>
        <w:t>⑶</w:t>
      </w:r>
      <w:r>
        <w:rPr>
          <w:color w:val="auto"/>
        </w:rPr>
        <w:t>因发包人原因造成工程质量未达到合同约定标准的，由发包人承担由此增加的费用和（或）延误的工期。</w:t>
      </w:r>
    </w:p>
    <w:p>
      <w:pPr>
        <w:tabs>
          <w:tab w:val="left" w:pos="1620"/>
          <w:tab w:val="left" w:pos="2340"/>
        </w:tabs>
        <w:adjustRightInd w:val="0"/>
        <w:snapToGrid w:val="0"/>
        <w:spacing w:beforeLines="0" w:after="0" w:line="360" w:lineRule="auto"/>
        <w:ind w:left="899"/>
        <w:rPr>
          <w:color w:val="auto"/>
        </w:rPr>
      </w:pPr>
      <w:r>
        <w:rPr>
          <w:rFonts w:hint="eastAsia"/>
          <w:color w:val="auto"/>
        </w:rPr>
        <w:t>⑷</w:t>
      </w:r>
      <w:r>
        <w:rPr>
          <w:color w:val="auto"/>
        </w:rPr>
        <w:t>因承包人原因造成工程质量未达到合同约定标准的，发包人有权要求承包人返工直至工程质量达到合同约定的标准为止，并由承包人承担由此增加的费用和（或）延误的工期。</w:t>
      </w:r>
    </w:p>
    <w:p>
      <w:pPr>
        <w:adjustRightInd w:val="0"/>
        <w:snapToGrid w:val="0"/>
        <w:spacing w:before="0" w:beforeLines="0" w:after="0" w:line="360" w:lineRule="auto"/>
        <w:ind w:left="359"/>
        <w:rPr>
          <w:color w:val="auto"/>
        </w:rPr>
      </w:pPr>
      <w:r>
        <w:rPr>
          <w:b/>
          <w:color w:val="auto"/>
        </w:rPr>
        <w:t>15.2</w:t>
      </w:r>
      <w:r>
        <w:rPr>
          <w:rFonts w:hint="eastAsia"/>
          <w:b/>
          <w:color w:val="auto"/>
        </w:rPr>
        <w:t>发包人质量控制责任</w:t>
      </w:r>
    </w:p>
    <w:p>
      <w:pPr>
        <w:tabs>
          <w:tab w:val="left" w:pos="1620"/>
          <w:tab w:val="left" w:pos="2340"/>
        </w:tabs>
        <w:adjustRightInd w:val="0"/>
        <w:snapToGrid w:val="0"/>
        <w:spacing w:beforeLines="0" w:after="0" w:line="360" w:lineRule="auto"/>
        <w:ind w:left="899"/>
        <w:rPr>
          <w:color w:val="auto"/>
        </w:rPr>
      </w:pPr>
      <w:r>
        <w:rPr>
          <w:color w:val="auto"/>
        </w:rPr>
        <w:t>发包人应按照法律规定及合同约定完成与工程质量有关的各项工作</w:t>
      </w:r>
      <w:r>
        <w:rPr>
          <w:rFonts w:hint="eastAsia"/>
          <w:color w:val="auto"/>
        </w:rPr>
        <w:t>，其职责包括但不限于下列内容：</w:t>
      </w:r>
    </w:p>
    <w:p>
      <w:pPr>
        <w:tabs>
          <w:tab w:val="left" w:pos="1620"/>
          <w:tab w:val="left" w:pos="2340"/>
        </w:tabs>
        <w:adjustRightInd w:val="0"/>
        <w:snapToGrid w:val="0"/>
        <w:spacing w:beforeLines="0" w:line="360" w:lineRule="auto"/>
        <w:ind w:left="899"/>
        <w:rPr>
          <w:color w:val="auto"/>
        </w:rPr>
      </w:pPr>
      <w:r>
        <w:rPr>
          <w:rFonts w:hint="eastAsia"/>
          <w:color w:val="auto"/>
        </w:rPr>
        <w:t>⑴向有关的勘察、设计、施工、工程监理等单位提供与建设工程有关的原始资料。原始资料必须真实、准确、齐全。</w:t>
      </w:r>
    </w:p>
    <w:p>
      <w:pPr>
        <w:tabs>
          <w:tab w:val="left" w:pos="1620"/>
          <w:tab w:val="left" w:pos="2340"/>
        </w:tabs>
        <w:adjustRightInd w:val="0"/>
        <w:snapToGrid w:val="0"/>
        <w:spacing w:beforeLines="0" w:line="360" w:lineRule="auto"/>
        <w:ind w:left="899"/>
        <w:rPr>
          <w:color w:val="auto"/>
        </w:rPr>
      </w:pPr>
      <w:r>
        <w:rPr>
          <w:rFonts w:hint="eastAsia"/>
          <w:color w:val="auto"/>
        </w:rPr>
        <w:t>⑵不得迫使承包方以低于成本的价格竞标，不得任意压缩合理工期。</w:t>
      </w:r>
    </w:p>
    <w:p>
      <w:pPr>
        <w:tabs>
          <w:tab w:val="left" w:pos="1620"/>
          <w:tab w:val="left" w:pos="2340"/>
        </w:tabs>
        <w:adjustRightInd w:val="0"/>
        <w:snapToGrid w:val="0"/>
        <w:spacing w:beforeLines="0" w:line="360" w:lineRule="auto"/>
        <w:ind w:left="899"/>
        <w:rPr>
          <w:color w:val="auto"/>
        </w:rPr>
      </w:pPr>
      <w:r>
        <w:rPr>
          <w:rFonts w:hint="eastAsia"/>
          <w:color w:val="auto"/>
        </w:rPr>
        <w:t>⑶将施工图设计文件报建设行政主管部门或者其他有关部门审查。施工图设计文件未经审查批准的，不得使用。</w:t>
      </w:r>
    </w:p>
    <w:p>
      <w:pPr>
        <w:tabs>
          <w:tab w:val="left" w:pos="1620"/>
          <w:tab w:val="left" w:pos="2340"/>
        </w:tabs>
        <w:adjustRightInd w:val="0"/>
        <w:snapToGrid w:val="0"/>
        <w:spacing w:beforeLines="0" w:line="360" w:lineRule="auto"/>
        <w:ind w:left="899"/>
        <w:rPr>
          <w:color w:val="auto"/>
        </w:rPr>
      </w:pPr>
      <w:r>
        <w:rPr>
          <w:rFonts w:hint="eastAsia"/>
          <w:color w:val="auto"/>
        </w:rPr>
        <w:t>⑷按照合同约定，由发包人采购材料、设备的，应保证其符合设计文件和合同要求。</w:t>
      </w:r>
    </w:p>
    <w:p>
      <w:pPr>
        <w:tabs>
          <w:tab w:val="left" w:pos="1620"/>
          <w:tab w:val="left" w:pos="2340"/>
        </w:tabs>
        <w:adjustRightInd w:val="0"/>
        <w:snapToGrid w:val="0"/>
        <w:spacing w:beforeLines="0" w:line="360" w:lineRule="auto"/>
        <w:ind w:left="899"/>
        <w:rPr>
          <w:color w:val="auto"/>
        </w:rPr>
      </w:pPr>
      <w:r>
        <w:rPr>
          <w:rFonts w:hint="eastAsia"/>
          <w:color w:val="auto"/>
        </w:rPr>
        <w:t>⑸收到建设工程竣工报告后，组织设计、施工、工程监理等有关单位进行竣工验收。经验收合格的，方可交付使用。</w:t>
      </w:r>
    </w:p>
    <w:p>
      <w:pPr>
        <w:tabs>
          <w:tab w:val="left" w:pos="1620"/>
          <w:tab w:val="left" w:pos="2340"/>
        </w:tabs>
        <w:adjustRightInd w:val="0"/>
        <w:snapToGrid w:val="0"/>
        <w:spacing w:beforeLines="0" w:line="360" w:lineRule="auto"/>
        <w:ind w:left="899"/>
        <w:rPr>
          <w:color w:val="auto"/>
        </w:rPr>
      </w:pPr>
      <w:r>
        <w:rPr>
          <w:rFonts w:hint="eastAsia"/>
          <w:color w:val="auto"/>
        </w:rPr>
        <w:t>⑹应严格按照国家有关档案管理的规定，及时收集、整理建设项目各环节的文件资料，建立、健全建设项目档案，并在建设工程竣工验收后，及时向建设行政主管部门或者其他有关部门移交建设项目档案。</w:t>
      </w:r>
    </w:p>
    <w:p>
      <w:pPr>
        <w:adjustRightInd w:val="0"/>
        <w:snapToGrid w:val="0"/>
        <w:spacing w:before="0" w:beforeLines="0" w:after="0" w:line="360" w:lineRule="auto"/>
        <w:ind w:left="359"/>
        <w:rPr>
          <w:color w:val="auto"/>
        </w:rPr>
      </w:pPr>
      <w:r>
        <w:rPr>
          <w:b/>
          <w:color w:val="auto"/>
        </w:rPr>
        <w:t>15.3</w:t>
      </w:r>
      <w:r>
        <w:rPr>
          <w:rFonts w:hint="eastAsia"/>
          <w:b/>
          <w:color w:val="auto"/>
        </w:rPr>
        <w:t>承包人质量控制责任</w:t>
      </w:r>
    </w:p>
    <w:p>
      <w:pPr>
        <w:tabs>
          <w:tab w:val="left" w:pos="1620"/>
          <w:tab w:val="left" w:pos="2340"/>
        </w:tabs>
        <w:adjustRightInd w:val="0"/>
        <w:snapToGrid w:val="0"/>
        <w:spacing w:beforeLines="0" w:after="0" w:line="360" w:lineRule="auto"/>
        <w:ind w:left="899"/>
        <w:rPr>
          <w:color w:val="auto"/>
        </w:rPr>
      </w:pPr>
      <w:r>
        <w:rPr>
          <w:rFonts w:hint="eastAsia"/>
          <w:color w:val="auto"/>
        </w:rPr>
        <w:t>承包人就本工程的工程质量向发包人负责，其职责包括但不限于下列内容：</w:t>
      </w:r>
    </w:p>
    <w:p>
      <w:pPr>
        <w:tabs>
          <w:tab w:val="left" w:pos="1620"/>
          <w:tab w:val="left" w:pos="2340"/>
        </w:tabs>
        <w:adjustRightInd w:val="0"/>
        <w:snapToGrid w:val="0"/>
        <w:spacing w:beforeLines="0" w:line="360" w:lineRule="auto"/>
        <w:ind w:left="899"/>
        <w:rPr>
          <w:color w:val="auto"/>
        </w:rPr>
      </w:pPr>
      <w:r>
        <w:rPr>
          <w:rFonts w:hint="eastAsia"/>
          <w:color w:val="auto"/>
        </w:rPr>
        <w:t>⑴编制和审查施工技术方案，确定特殊工程的施工技术措施，制定工程质量保证体系；</w:t>
      </w:r>
    </w:p>
    <w:p>
      <w:pPr>
        <w:tabs>
          <w:tab w:val="left" w:pos="1620"/>
          <w:tab w:val="left" w:pos="2340"/>
        </w:tabs>
        <w:adjustRightInd w:val="0"/>
        <w:snapToGrid w:val="0"/>
        <w:spacing w:beforeLines="0" w:line="360" w:lineRule="auto"/>
        <w:ind w:left="899"/>
        <w:rPr>
          <w:color w:val="auto"/>
        </w:rPr>
      </w:pPr>
      <w:r>
        <w:rPr>
          <w:rFonts w:hint="eastAsia"/>
          <w:color w:val="auto"/>
        </w:rPr>
        <w:t>⑵提供和组织足够的工程质量控制和检测人员，检查和控制工程施工质量；</w:t>
      </w:r>
    </w:p>
    <w:p>
      <w:pPr>
        <w:tabs>
          <w:tab w:val="left" w:pos="1620"/>
          <w:tab w:val="left" w:pos="2340"/>
        </w:tabs>
        <w:adjustRightInd w:val="0"/>
        <w:snapToGrid w:val="0"/>
        <w:spacing w:beforeLines="0" w:line="360" w:lineRule="auto"/>
        <w:ind w:left="899"/>
        <w:rPr>
          <w:color w:val="auto"/>
        </w:rPr>
      </w:pPr>
      <w:r>
        <w:rPr>
          <w:rFonts w:hint="eastAsia"/>
          <w:color w:val="auto"/>
        </w:rPr>
        <w:t>⑶控制施工所用的材料、设备，包括承包人、分包人采购的材料、设备，使其不低于标准、规范、设计文件和合同约定的标准；</w:t>
      </w:r>
    </w:p>
    <w:p>
      <w:pPr>
        <w:tabs>
          <w:tab w:val="left" w:pos="1620"/>
          <w:tab w:val="left" w:pos="2340"/>
        </w:tabs>
        <w:adjustRightInd w:val="0"/>
        <w:snapToGrid w:val="0"/>
        <w:spacing w:beforeLines="0" w:line="360" w:lineRule="auto"/>
        <w:ind w:left="899"/>
        <w:rPr>
          <w:color w:val="auto"/>
        </w:rPr>
      </w:pPr>
      <w:r>
        <w:rPr>
          <w:rFonts w:hint="eastAsia"/>
          <w:color w:val="auto"/>
        </w:rPr>
        <w:t>⑷参加所有工程的验收工作，包括隐蔽验收、中间验收和竣工验收，并组织分包人参加工程竣工验收；</w:t>
      </w:r>
    </w:p>
    <w:p>
      <w:pPr>
        <w:tabs>
          <w:tab w:val="left" w:pos="1620"/>
          <w:tab w:val="left" w:pos="2340"/>
        </w:tabs>
        <w:adjustRightInd w:val="0"/>
        <w:snapToGrid w:val="0"/>
        <w:spacing w:beforeLines="0" w:line="360" w:lineRule="auto"/>
        <w:ind w:left="899"/>
        <w:rPr>
          <w:color w:val="auto"/>
        </w:rPr>
      </w:pPr>
      <w:r>
        <w:rPr>
          <w:rFonts w:hint="eastAsia"/>
          <w:color w:val="auto"/>
        </w:rPr>
        <w:t>⑸按照有关信息化管理的要求，在深圳市质量安全监管职能平台及时上传、报送有关质量检查、监测和整改情况</w:t>
      </w:r>
      <w:r>
        <w:rPr>
          <w:color w:val="auto"/>
        </w:rPr>
        <w:t>；</w:t>
      </w:r>
    </w:p>
    <w:p>
      <w:pPr>
        <w:tabs>
          <w:tab w:val="left" w:pos="1620"/>
          <w:tab w:val="left" w:pos="2340"/>
        </w:tabs>
        <w:adjustRightInd w:val="0"/>
        <w:snapToGrid w:val="0"/>
        <w:spacing w:beforeLines="0" w:line="360" w:lineRule="auto"/>
        <w:ind w:left="899"/>
        <w:rPr>
          <w:color w:val="auto"/>
        </w:rPr>
      </w:pPr>
      <w:r>
        <w:rPr>
          <w:rFonts w:hint="eastAsia"/>
          <w:color w:val="auto"/>
        </w:rPr>
        <w:t>⑹负责组织分包人共同承担缺陷责任期的工程保修责任。</w:t>
      </w:r>
    </w:p>
    <w:p>
      <w:pPr>
        <w:adjustRightInd w:val="0"/>
        <w:snapToGrid w:val="0"/>
        <w:spacing w:before="0" w:beforeLines="0" w:after="0" w:line="360" w:lineRule="auto"/>
        <w:ind w:left="359"/>
        <w:rPr>
          <w:color w:val="auto"/>
        </w:rPr>
      </w:pPr>
      <w:r>
        <w:rPr>
          <w:b/>
          <w:color w:val="auto"/>
        </w:rPr>
        <w:t>15.4监理人</w:t>
      </w:r>
      <w:r>
        <w:rPr>
          <w:rFonts w:hint="eastAsia"/>
          <w:b/>
          <w:color w:val="auto"/>
        </w:rPr>
        <w:t>质量控制责任</w:t>
      </w:r>
    </w:p>
    <w:p>
      <w:pPr>
        <w:tabs>
          <w:tab w:val="left" w:pos="1620"/>
          <w:tab w:val="left" w:pos="2340"/>
        </w:tabs>
        <w:adjustRightInd w:val="0"/>
        <w:snapToGrid w:val="0"/>
        <w:spacing w:beforeLines="0" w:after="0" w:line="360" w:lineRule="auto"/>
        <w:ind w:left="899"/>
        <w:rPr>
          <w:color w:val="auto"/>
        </w:rPr>
      </w:pPr>
      <w:r>
        <w:rPr>
          <w:rFonts w:hint="eastAsia"/>
          <w:color w:val="auto"/>
        </w:rPr>
        <w:t>监理</w:t>
      </w:r>
      <w:r>
        <w:rPr>
          <w:color w:val="auto"/>
        </w:rPr>
        <w:t>人应按照法律规定及合同约定完成与工程质量有关的各项工作</w:t>
      </w:r>
      <w:r>
        <w:rPr>
          <w:rFonts w:hint="eastAsia"/>
          <w:color w:val="auto"/>
        </w:rPr>
        <w:t>，其职责包括但不限于下列内容：</w:t>
      </w:r>
    </w:p>
    <w:p>
      <w:pPr>
        <w:tabs>
          <w:tab w:val="left" w:pos="1620"/>
          <w:tab w:val="left" w:pos="2340"/>
        </w:tabs>
        <w:adjustRightInd w:val="0"/>
        <w:snapToGrid w:val="0"/>
        <w:spacing w:beforeLines="0" w:line="360" w:lineRule="auto"/>
        <w:ind w:left="899"/>
        <w:rPr>
          <w:color w:val="auto"/>
        </w:rPr>
      </w:pPr>
      <w:r>
        <w:rPr>
          <w:rFonts w:hint="eastAsia"/>
          <w:color w:val="auto"/>
        </w:rPr>
        <w:t>⑴</w:t>
      </w:r>
      <w:r>
        <w:rPr>
          <w:color w:val="auto"/>
        </w:rPr>
        <w:t>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w:t>
      </w:r>
      <w:r>
        <w:rPr>
          <w:rFonts w:hint="eastAsia"/>
          <w:color w:val="auto"/>
        </w:rPr>
        <w:t>。</w:t>
      </w:r>
      <w:r>
        <w:rPr>
          <w:color w:val="auto"/>
        </w:rPr>
        <w:t>监理人为此进行的检查和检验，不免除或减轻承包人按照合同约定应当承担的责任。</w:t>
      </w:r>
    </w:p>
    <w:p>
      <w:pPr>
        <w:tabs>
          <w:tab w:val="left" w:pos="1620"/>
          <w:tab w:val="left" w:pos="2340"/>
        </w:tabs>
        <w:adjustRightInd w:val="0"/>
        <w:snapToGrid w:val="0"/>
        <w:spacing w:beforeLines="0" w:after="0" w:line="360" w:lineRule="auto"/>
        <w:ind w:left="899"/>
        <w:rPr>
          <w:color w:val="auto"/>
        </w:rPr>
      </w:pPr>
      <w:r>
        <w:rPr>
          <w:rFonts w:hint="eastAsia"/>
          <w:color w:val="auto"/>
        </w:rPr>
        <w:t>⑵</w:t>
      </w:r>
      <w:r>
        <w:rPr>
          <w:color w:val="auto"/>
        </w:rPr>
        <w:t>监理人的检查和检验影响施工正常进行的，且经检查检验不合格的，影响正常施工的费用由承包人承担，工期不予顺延；经检查检验合格的，由此增加的费用和（或）延误的工期由发包人承担。</w:t>
      </w:r>
    </w:p>
    <w:p>
      <w:pPr>
        <w:adjustRightInd w:val="0"/>
        <w:snapToGrid w:val="0"/>
        <w:spacing w:before="0" w:beforeLines="0" w:after="0" w:line="360" w:lineRule="auto"/>
        <w:ind w:left="359"/>
        <w:rPr>
          <w:color w:val="auto"/>
        </w:rPr>
      </w:pPr>
      <w:r>
        <w:rPr>
          <w:b/>
          <w:color w:val="auto"/>
        </w:rPr>
        <w:t>15.5</w:t>
      </w:r>
      <w:r>
        <w:rPr>
          <w:rFonts w:hint="eastAsia"/>
          <w:b/>
          <w:color w:val="auto"/>
        </w:rPr>
        <w:t>工程隐蔽前的检测</w:t>
      </w:r>
    </w:p>
    <w:p>
      <w:pPr>
        <w:tabs>
          <w:tab w:val="left" w:pos="1620"/>
          <w:tab w:val="left" w:pos="2340"/>
        </w:tabs>
        <w:adjustRightInd w:val="0"/>
        <w:snapToGrid w:val="0"/>
        <w:spacing w:beforeLines="0" w:after="0" w:line="360" w:lineRule="auto"/>
        <w:ind w:left="899"/>
        <w:rPr>
          <w:color w:val="auto"/>
        </w:rPr>
      </w:pPr>
      <w:r>
        <w:rPr>
          <w:rFonts w:hint="eastAsia"/>
          <w:color w:val="auto"/>
        </w:rPr>
        <w:t>⑴</w:t>
      </w:r>
      <w:r>
        <w:rPr>
          <w:color w:val="auto"/>
        </w:rPr>
        <w:t>承包人应当对工程隐蔽部位进行自检，并经自检确认是否具备覆盖条件。</w:t>
      </w:r>
    </w:p>
    <w:p>
      <w:pPr>
        <w:tabs>
          <w:tab w:val="left" w:pos="1620"/>
          <w:tab w:val="left" w:pos="2340"/>
        </w:tabs>
        <w:adjustRightInd w:val="0"/>
        <w:snapToGrid w:val="0"/>
        <w:spacing w:beforeLines="0" w:after="0" w:line="360" w:lineRule="auto"/>
        <w:ind w:left="899"/>
        <w:rPr>
          <w:color w:val="auto"/>
        </w:rPr>
      </w:pPr>
      <w:r>
        <w:rPr>
          <w:rFonts w:hint="eastAsia"/>
          <w:color w:val="auto"/>
        </w:rPr>
        <w:t>⑵没有</w:t>
      </w:r>
      <w:r>
        <w:rPr>
          <w:color w:val="auto"/>
        </w:rPr>
        <w:t>监理人</w:t>
      </w:r>
      <w:r>
        <w:rPr>
          <w:rFonts w:hint="eastAsia"/>
          <w:color w:val="auto"/>
        </w:rPr>
        <w:t>的批准，任何工程均不得隐蔽。当本工程任何部分具备隐蔽条件时，承包人应提前24小时通知</w:t>
      </w:r>
      <w:r>
        <w:rPr>
          <w:color w:val="auto"/>
        </w:rPr>
        <w:t>监理人</w:t>
      </w:r>
      <w:r>
        <w:rPr>
          <w:rFonts w:hint="eastAsia"/>
          <w:color w:val="auto"/>
        </w:rPr>
        <w:t>，告知检测的时间、内容和地点，保证</w:t>
      </w:r>
      <w:r>
        <w:rPr>
          <w:color w:val="auto"/>
        </w:rPr>
        <w:t>监理人</w:t>
      </w:r>
      <w:r>
        <w:rPr>
          <w:rFonts w:hint="eastAsia"/>
          <w:color w:val="auto"/>
        </w:rPr>
        <w:t>有充分的时间对隐蔽工程进行检测，并为</w:t>
      </w:r>
      <w:r>
        <w:rPr>
          <w:color w:val="auto"/>
        </w:rPr>
        <w:t>监理人</w:t>
      </w:r>
      <w:r>
        <w:rPr>
          <w:rFonts w:hint="eastAsia"/>
          <w:color w:val="auto"/>
        </w:rPr>
        <w:t>提供一切必要的资料和协助。</w:t>
      </w:r>
      <w:r>
        <w:rPr>
          <w:color w:val="auto"/>
        </w:rPr>
        <w:t>监理人</w:t>
      </w:r>
      <w:r>
        <w:rPr>
          <w:rFonts w:hint="eastAsia"/>
          <w:color w:val="auto"/>
        </w:rPr>
        <w:t>应按时参加隐蔽工程的检测，不得无故拖延，除非认为没有必要检测，并就此通知承包人。</w:t>
      </w:r>
      <w:r>
        <w:rPr>
          <w:color w:val="auto"/>
        </w:rPr>
        <w:t>监理人</w:t>
      </w:r>
      <w:r>
        <w:rPr>
          <w:rFonts w:hint="eastAsia"/>
          <w:color w:val="auto"/>
        </w:rPr>
        <w:t>在组织隐蔽工程验收时，应通知发包人及政府有关部门派人参加。</w:t>
      </w:r>
    </w:p>
    <w:p>
      <w:pPr>
        <w:tabs>
          <w:tab w:val="left" w:pos="1620"/>
          <w:tab w:val="left" w:pos="2340"/>
        </w:tabs>
        <w:adjustRightInd w:val="0"/>
        <w:snapToGrid w:val="0"/>
        <w:spacing w:beforeLines="0" w:after="0" w:line="360" w:lineRule="auto"/>
        <w:ind w:left="899"/>
        <w:rPr>
          <w:color w:val="auto"/>
        </w:rPr>
      </w:pPr>
      <w:r>
        <w:rPr>
          <w:color w:val="auto"/>
        </w:rPr>
        <w:t>⑶</w:t>
      </w:r>
      <w:r>
        <w:rPr>
          <w:rFonts w:hint="eastAsia"/>
          <w:color w:val="auto"/>
        </w:rPr>
        <w:t>无论</w:t>
      </w:r>
      <w:r>
        <w:rPr>
          <w:color w:val="auto"/>
        </w:rPr>
        <w:t>监理人</w:t>
      </w:r>
      <w:r>
        <w:rPr>
          <w:rFonts w:hint="eastAsia"/>
          <w:color w:val="auto"/>
        </w:rPr>
        <w:t>是否进行验收，当其要求对已经隐蔽的工程重新检测时，承包人应按要求进行剥离或开孔，并在检测后重新隐蔽。如检测合格，则发包人承担因此发生的全部增加费用，赔偿承包人损失和(或)相应顺延工期；如检测不合格，则承包人应按</w:t>
      </w:r>
      <w:r>
        <w:rPr>
          <w:color w:val="auto"/>
        </w:rPr>
        <w:t>监理人</w:t>
      </w:r>
      <w:r>
        <w:rPr>
          <w:rFonts w:hint="eastAsia"/>
          <w:color w:val="auto"/>
        </w:rPr>
        <w:t>的指令重新施工，直到检测合格，并承担由此发生的全部费用，工期不予顺延。</w:t>
      </w:r>
    </w:p>
    <w:p>
      <w:pPr>
        <w:tabs>
          <w:tab w:val="left" w:pos="1620"/>
          <w:tab w:val="left" w:pos="2340"/>
        </w:tabs>
        <w:adjustRightInd w:val="0"/>
        <w:snapToGrid w:val="0"/>
        <w:spacing w:beforeLines="0" w:after="0" w:line="360" w:lineRule="auto"/>
        <w:ind w:left="899"/>
        <w:rPr>
          <w:color w:val="auto"/>
        </w:rPr>
      </w:pPr>
      <w:r>
        <w:rPr>
          <w:color w:val="auto"/>
        </w:rPr>
        <w:t>⑷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w:t>
      </w:r>
    </w:p>
    <w:p>
      <w:pPr>
        <w:adjustRightInd w:val="0"/>
        <w:snapToGrid w:val="0"/>
        <w:spacing w:before="0" w:beforeLines="0" w:after="0" w:line="360" w:lineRule="auto"/>
        <w:ind w:left="359"/>
        <w:rPr>
          <w:color w:val="auto"/>
        </w:rPr>
      </w:pPr>
      <w:r>
        <w:rPr>
          <w:b/>
          <w:color w:val="auto"/>
        </w:rPr>
        <w:t>15.6</w:t>
      </w:r>
      <w:r>
        <w:rPr>
          <w:rFonts w:hint="eastAsia"/>
          <w:b/>
          <w:color w:val="auto"/>
        </w:rPr>
        <w:t>防水检测</w:t>
      </w:r>
    </w:p>
    <w:p>
      <w:pPr>
        <w:tabs>
          <w:tab w:val="left" w:pos="1620"/>
          <w:tab w:val="left" w:pos="2340"/>
        </w:tabs>
        <w:adjustRightInd w:val="0"/>
        <w:snapToGrid w:val="0"/>
        <w:spacing w:beforeLines="0" w:after="0" w:line="360" w:lineRule="auto"/>
        <w:ind w:left="899"/>
        <w:rPr>
          <w:color w:val="auto"/>
        </w:rPr>
      </w:pPr>
      <w:r>
        <w:rPr>
          <w:rFonts w:hint="eastAsia"/>
          <w:color w:val="auto"/>
        </w:rPr>
        <w:t>本工程有防水要求的部位，在下道工序施工进行前，需按要求进行闭水试验，费用已含在相应分部分项工程的综合单价中，由承包人承担。未发现渗漏水的才可进行下道工序施工，如发现渗漏水，承包人应限期自费进行整改直到符合防水要求，由此延误的工期不予顺延。</w:t>
      </w:r>
    </w:p>
    <w:p>
      <w:pPr>
        <w:adjustRightInd w:val="0"/>
        <w:snapToGrid w:val="0"/>
        <w:spacing w:before="0" w:beforeLines="0" w:after="0" w:line="360" w:lineRule="auto"/>
        <w:ind w:left="359"/>
        <w:rPr>
          <w:color w:val="auto"/>
        </w:rPr>
      </w:pPr>
      <w:r>
        <w:rPr>
          <w:b/>
          <w:color w:val="auto"/>
        </w:rPr>
        <w:t>15.7</w:t>
      </w:r>
      <w:r>
        <w:rPr>
          <w:rFonts w:hint="eastAsia"/>
          <w:b/>
          <w:color w:val="auto"/>
        </w:rPr>
        <w:t>工程质量检测费用</w:t>
      </w:r>
    </w:p>
    <w:p>
      <w:pPr>
        <w:tabs>
          <w:tab w:val="left" w:pos="1620"/>
          <w:tab w:val="left" w:pos="2340"/>
        </w:tabs>
        <w:adjustRightInd w:val="0"/>
        <w:snapToGrid w:val="0"/>
        <w:spacing w:beforeLines="0" w:after="0" w:line="360" w:lineRule="auto"/>
        <w:ind w:left="899"/>
        <w:rPr>
          <w:color w:val="auto"/>
        </w:rPr>
      </w:pPr>
      <w:r>
        <w:rPr>
          <w:rFonts w:hint="eastAsia"/>
          <w:color w:val="auto"/>
        </w:rPr>
        <w:t>工程质量检验检测项目在</w:t>
      </w:r>
      <w:r>
        <w:rPr>
          <w:rFonts w:hint="eastAsia"/>
          <w:b/>
          <w:i/>
          <w:color w:val="auto"/>
        </w:rPr>
        <w:t>专用条款</w:t>
      </w:r>
      <w:r>
        <w:rPr>
          <w:rFonts w:hint="eastAsia"/>
          <w:color w:val="auto"/>
        </w:rPr>
        <w:t>中约定，检测费用由发包人承担。因承包人原因导致检测结果不合格的，承包人承担本次检测的所有检测费用，并无偿返工、负责修复。</w:t>
      </w:r>
    </w:p>
    <w:p>
      <w:pPr>
        <w:adjustRightInd w:val="0"/>
        <w:snapToGrid w:val="0"/>
        <w:spacing w:before="0" w:beforeLines="0" w:after="0" w:line="360" w:lineRule="auto"/>
        <w:ind w:left="359"/>
        <w:rPr>
          <w:color w:val="auto"/>
        </w:rPr>
      </w:pPr>
      <w:r>
        <w:rPr>
          <w:b/>
          <w:color w:val="auto"/>
        </w:rPr>
        <w:t>15.8</w:t>
      </w:r>
      <w:r>
        <w:rPr>
          <w:rFonts w:hint="eastAsia"/>
          <w:b/>
          <w:color w:val="auto"/>
        </w:rPr>
        <w:t>质量争议检测</w:t>
      </w:r>
    </w:p>
    <w:p>
      <w:pPr>
        <w:tabs>
          <w:tab w:val="left" w:pos="1620"/>
          <w:tab w:val="left" w:pos="2340"/>
        </w:tabs>
        <w:adjustRightInd w:val="0"/>
        <w:snapToGrid w:val="0"/>
        <w:spacing w:beforeLines="0" w:after="0" w:line="360" w:lineRule="auto"/>
        <w:ind w:left="899"/>
        <w:rPr>
          <w:color w:val="auto"/>
        </w:rPr>
      </w:pPr>
      <w:r>
        <w:rPr>
          <w:color w:val="auto"/>
        </w:rPr>
        <w:t>承发包双方对工程质量有争议的，由双方协商确定的工程质量检测机构鉴定，由此产生的费用及因此造成的损失，由责任方承担。承发包双方均有责任的，由双方根据其责任分别承担。</w:t>
      </w:r>
    </w:p>
    <w:p>
      <w:pPr>
        <w:adjustRightInd w:val="0"/>
        <w:snapToGrid w:val="0"/>
        <w:spacing w:before="0" w:beforeLines="0" w:after="0" w:line="360" w:lineRule="auto"/>
        <w:ind w:left="178"/>
        <w:rPr>
          <w:color w:val="auto"/>
          <w:sz w:val="28"/>
        </w:rPr>
      </w:pPr>
      <w:r>
        <w:rPr>
          <w:b/>
          <w:color w:val="auto"/>
          <w:sz w:val="28"/>
        </w:rPr>
        <w:t>16</w:t>
      </w:r>
      <w:r>
        <w:rPr>
          <w:rFonts w:hint="eastAsia"/>
          <w:b/>
          <w:color w:val="auto"/>
          <w:sz w:val="28"/>
        </w:rPr>
        <w:t>工程试运行</w:t>
      </w:r>
    </w:p>
    <w:p>
      <w:pPr>
        <w:adjustRightInd w:val="0"/>
        <w:snapToGrid w:val="0"/>
        <w:spacing w:before="0" w:beforeLines="0" w:after="0" w:line="360" w:lineRule="auto"/>
        <w:ind w:left="359"/>
        <w:rPr>
          <w:color w:val="auto"/>
        </w:rPr>
      </w:pPr>
      <w:r>
        <w:rPr>
          <w:b/>
          <w:color w:val="auto"/>
        </w:rPr>
        <w:t>16.1</w:t>
      </w:r>
      <w:r>
        <w:rPr>
          <w:rFonts w:hint="eastAsia"/>
          <w:b/>
          <w:color w:val="auto"/>
        </w:rPr>
        <w:t>工程试运行内容和程序</w:t>
      </w:r>
    </w:p>
    <w:p>
      <w:pPr>
        <w:tabs>
          <w:tab w:val="left" w:pos="1620"/>
          <w:tab w:val="left" w:pos="2340"/>
        </w:tabs>
        <w:adjustRightInd w:val="0"/>
        <w:snapToGrid w:val="0"/>
        <w:spacing w:beforeLines="0" w:line="360" w:lineRule="auto"/>
        <w:ind w:left="899"/>
        <w:rPr>
          <w:color w:val="auto"/>
        </w:rPr>
      </w:pPr>
      <w:r>
        <w:rPr>
          <w:rFonts w:hint="eastAsia"/>
          <w:color w:val="auto"/>
        </w:rPr>
        <w:t>如发包人和承包人约定本工程需要试运行的，双方在</w:t>
      </w:r>
      <w:r>
        <w:rPr>
          <w:rFonts w:hint="eastAsia"/>
          <w:b/>
          <w:i/>
          <w:color w:val="auto"/>
        </w:rPr>
        <w:t>专用条款</w:t>
      </w:r>
      <w:r>
        <w:rPr>
          <w:rFonts w:hint="eastAsia"/>
          <w:color w:val="auto"/>
        </w:rPr>
        <w:t>中约定试运行的内容和费用承担。本工程试运行应按如下程序进行：</w:t>
      </w:r>
    </w:p>
    <w:p>
      <w:pPr>
        <w:tabs>
          <w:tab w:val="left" w:pos="1620"/>
          <w:tab w:val="left" w:pos="2340"/>
        </w:tabs>
        <w:adjustRightInd w:val="0"/>
        <w:snapToGrid w:val="0"/>
        <w:spacing w:beforeLines="0" w:line="360" w:lineRule="auto"/>
        <w:ind w:left="1079"/>
        <w:rPr>
          <w:color w:val="auto"/>
        </w:rPr>
      </w:pPr>
      <w:r>
        <w:rPr>
          <w:color w:val="auto"/>
        </w:rPr>
        <w:t>⑴</w:t>
      </w:r>
      <w:r>
        <w:rPr>
          <w:rFonts w:hint="eastAsia"/>
          <w:color w:val="auto"/>
        </w:rPr>
        <w:t>设备安装工程具备单机无负荷试运行条件，承包人组织试运行，并在试运行前48小时通知</w:t>
      </w:r>
      <w:r>
        <w:rPr>
          <w:color w:val="auto"/>
        </w:rPr>
        <w:t>监理人</w:t>
      </w:r>
      <w:r>
        <w:rPr>
          <w:rFonts w:hint="eastAsia"/>
          <w:color w:val="auto"/>
        </w:rPr>
        <w:t>，告知试运行的时间、内容和地点。承包人准备试运行记录，发包人应为试运行提供必要条件。</w:t>
      </w:r>
      <w:r>
        <w:rPr>
          <w:color w:val="auto"/>
        </w:rPr>
        <w:t>监理人</w:t>
      </w:r>
      <w:r>
        <w:rPr>
          <w:rFonts w:hint="eastAsia"/>
          <w:color w:val="auto"/>
        </w:rPr>
        <w:t>应按时参加试运行，试运行合格，</w:t>
      </w:r>
      <w:r>
        <w:rPr>
          <w:color w:val="auto"/>
        </w:rPr>
        <w:t>监理人</w:t>
      </w:r>
      <w:r>
        <w:rPr>
          <w:rFonts w:hint="eastAsia"/>
          <w:color w:val="auto"/>
        </w:rPr>
        <w:t>在试运行记录上签字。如在上述约定时间后12小时内，</w:t>
      </w:r>
      <w:r>
        <w:rPr>
          <w:color w:val="auto"/>
        </w:rPr>
        <w:t>监理人</w:t>
      </w:r>
      <w:r>
        <w:rPr>
          <w:rFonts w:hint="eastAsia"/>
          <w:color w:val="auto"/>
        </w:rPr>
        <w:t>未能到场参加试运行，承包人可自行试运行，事后</w:t>
      </w:r>
      <w:r>
        <w:rPr>
          <w:color w:val="auto"/>
        </w:rPr>
        <w:t>监理人</w:t>
      </w:r>
      <w:r>
        <w:rPr>
          <w:rFonts w:hint="eastAsia"/>
          <w:color w:val="auto"/>
        </w:rPr>
        <w:t>应认可承包人所作的试运行记录。</w:t>
      </w:r>
    </w:p>
    <w:p>
      <w:pPr>
        <w:tabs>
          <w:tab w:val="left" w:pos="1620"/>
          <w:tab w:val="left" w:pos="2340"/>
        </w:tabs>
        <w:adjustRightInd w:val="0"/>
        <w:snapToGrid w:val="0"/>
        <w:spacing w:beforeLines="0" w:line="360" w:lineRule="auto"/>
        <w:ind w:left="1079"/>
        <w:rPr>
          <w:color w:val="auto"/>
        </w:rPr>
      </w:pPr>
      <w:r>
        <w:rPr>
          <w:color w:val="auto"/>
        </w:rPr>
        <w:t>⑵</w:t>
      </w:r>
      <w:r>
        <w:rPr>
          <w:rFonts w:hint="eastAsia"/>
          <w:color w:val="auto"/>
        </w:rPr>
        <w:t>设备安装工程具备无负荷联动试运行条件，发包人组织试运行，并在试运行前48小时通知承包人，告知试运行的时间、内容、地点和对承包人的要求，承包人按要求做好准备工作。试运行合格，双方在试运行记录上签字。</w:t>
      </w:r>
    </w:p>
    <w:p>
      <w:pPr>
        <w:tabs>
          <w:tab w:val="left" w:pos="1620"/>
          <w:tab w:val="left" w:pos="2340"/>
        </w:tabs>
        <w:adjustRightInd w:val="0"/>
        <w:snapToGrid w:val="0"/>
        <w:spacing w:beforeLines="0" w:line="360" w:lineRule="auto"/>
        <w:ind w:left="1079"/>
        <w:rPr>
          <w:color w:val="auto"/>
        </w:rPr>
      </w:pPr>
      <w:r>
        <w:rPr>
          <w:color w:val="auto"/>
        </w:rPr>
        <w:t>⑶</w:t>
      </w:r>
      <w:r>
        <w:rPr>
          <w:rFonts w:hint="eastAsia"/>
          <w:color w:val="auto"/>
        </w:rPr>
        <w:t>投料试运行应在工程竣工验收后由发包人负责，如发包人要求在工程竣工验收前进行或需要承包人配合时，应征得承包人同意，并另行签订补充协议。</w:t>
      </w:r>
    </w:p>
    <w:p>
      <w:pPr>
        <w:adjustRightInd w:val="0"/>
        <w:snapToGrid w:val="0"/>
        <w:spacing w:before="0" w:beforeLines="0" w:after="0" w:line="360" w:lineRule="auto"/>
        <w:ind w:left="359"/>
        <w:rPr>
          <w:color w:val="auto"/>
        </w:rPr>
      </w:pPr>
      <w:r>
        <w:rPr>
          <w:b/>
          <w:color w:val="auto"/>
        </w:rPr>
        <w:t>16.2</w:t>
      </w:r>
      <w:r>
        <w:rPr>
          <w:rFonts w:hint="eastAsia"/>
          <w:b/>
          <w:color w:val="auto"/>
        </w:rPr>
        <w:t>工程试运行中双方的责任</w:t>
      </w:r>
    </w:p>
    <w:p>
      <w:pPr>
        <w:tabs>
          <w:tab w:val="left" w:pos="1620"/>
          <w:tab w:val="left" w:pos="2340"/>
        </w:tabs>
        <w:adjustRightInd w:val="0"/>
        <w:snapToGrid w:val="0"/>
        <w:spacing w:beforeLines="0" w:after="0" w:line="360" w:lineRule="auto"/>
        <w:ind w:left="899"/>
        <w:rPr>
          <w:color w:val="auto"/>
        </w:rPr>
      </w:pPr>
      <w:r>
        <w:rPr>
          <w:color w:val="auto"/>
        </w:rPr>
        <w:t>⑴</w:t>
      </w:r>
      <w:r>
        <w:rPr>
          <w:rFonts w:hint="eastAsia"/>
          <w:color w:val="auto"/>
        </w:rPr>
        <w:t>由于设计原因试运行达不到验收要求，发包人应要求</w:t>
      </w:r>
      <w:r>
        <w:rPr>
          <w:color w:val="auto"/>
        </w:rPr>
        <w:t>设计人</w:t>
      </w:r>
      <w:r>
        <w:rPr>
          <w:rFonts w:hint="eastAsia"/>
          <w:color w:val="auto"/>
        </w:rPr>
        <w:t>修改设计，承包人按修改后的设计重新安装。发包人承担修改、拆除及重新安装的费用，工期相应顺延。</w:t>
      </w:r>
    </w:p>
    <w:p>
      <w:pPr>
        <w:tabs>
          <w:tab w:val="left" w:pos="1620"/>
          <w:tab w:val="left" w:pos="2340"/>
        </w:tabs>
        <w:adjustRightInd w:val="0"/>
        <w:snapToGrid w:val="0"/>
        <w:spacing w:beforeLines="0" w:after="0" w:line="360" w:lineRule="auto"/>
        <w:ind w:left="899"/>
        <w:rPr>
          <w:color w:val="auto"/>
        </w:rPr>
      </w:pPr>
      <w:r>
        <w:rPr>
          <w:color w:val="auto"/>
        </w:rPr>
        <w:t>⑵</w:t>
      </w:r>
      <w:r>
        <w:rPr>
          <w:rFonts w:hint="eastAsia"/>
          <w:color w:val="auto"/>
        </w:rPr>
        <w:t>由于设备制造原因试运行达不到验收要求，如该设备由承包人采购的，则承包人负责修理或重新购置、拆除和重新安装并承担有关费用，工期不予顺延；如该设备由发包人采购的，则发包人负责修理或重新购置，并由承包人进行拆除和重新安装，发包人承担有关费用，工期相应顺延。</w:t>
      </w:r>
    </w:p>
    <w:p>
      <w:pPr>
        <w:tabs>
          <w:tab w:val="left" w:pos="1620"/>
          <w:tab w:val="left" w:pos="2340"/>
        </w:tabs>
        <w:adjustRightInd w:val="0"/>
        <w:snapToGrid w:val="0"/>
        <w:spacing w:beforeLines="0" w:after="0" w:line="360" w:lineRule="auto"/>
        <w:ind w:left="899"/>
        <w:rPr>
          <w:color w:val="auto"/>
        </w:rPr>
      </w:pPr>
      <w:r>
        <w:rPr>
          <w:color w:val="auto"/>
        </w:rPr>
        <w:t>⑶</w:t>
      </w:r>
      <w:r>
        <w:rPr>
          <w:rFonts w:hint="eastAsia"/>
          <w:color w:val="auto"/>
        </w:rPr>
        <w:t>由于承包人施工原因试运行达不到验收要求，承包人应按</w:t>
      </w:r>
      <w:r>
        <w:rPr>
          <w:color w:val="auto"/>
        </w:rPr>
        <w:t>监理人</w:t>
      </w:r>
      <w:r>
        <w:rPr>
          <w:rFonts w:hint="eastAsia"/>
          <w:color w:val="auto"/>
        </w:rPr>
        <w:t>要求重新安装和试运行，并承担有关费用，工期不予顺延。</w:t>
      </w:r>
    </w:p>
    <w:p>
      <w:pPr>
        <w:tabs>
          <w:tab w:val="left" w:pos="1620"/>
          <w:tab w:val="left" w:pos="2340"/>
        </w:tabs>
        <w:adjustRightInd w:val="0"/>
        <w:snapToGrid w:val="0"/>
        <w:spacing w:beforeLines="0" w:after="0" w:line="360" w:lineRule="auto"/>
        <w:ind w:left="899"/>
        <w:rPr>
          <w:color w:val="auto"/>
        </w:rPr>
      </w:pPr>
      <w:r>
        <w:rPr>
          <w:color w:val="auto"/>
        </w:rPr>
        <w:t>⑷监理人</w:t>
      </w:r>
      <w:r>
        <w:rPr>
          <w:rFonts w:hint="eastAsia"/>
          <w:color w:val="auto"/>
        </w:rPr>
        <w:t>在试运行合格后不在试运行记录上签字，试运行结束24小时后，视为</w:t>
      </w:r>
      <w:r>
        <w:rPr>
          <w:color w:val="auto"/>
        </w:rPr>
        <w:t>监理人</w:t>
      </w:r>
      <w:r>
        <w:rPr>
          <w:rFonts w:hint="eastAsia"/>
          <w:color w:val="auto"/>
        </w:rPr>
        <w:t>已认可试运行记录，承包人可继续施工或办理竣工手续。</w:t>
      </w:r>
    </w:p>
    <w:p>
      <w:pPr>
        <w:tabs>
          <w:tab w:val="left" w:pos="1620"/>
          <w:tab w:val="left" w:pos="2340"/>
        </w:tabs>
        <w:adjustRightInd w:val="0"/>
        <w:snapToGrid w:val="0"/>
        <w:spacing w:beforeLines="0" w:after="0" w:line="360" w:lineRule="auto"/>
        <w:ind w:left="899"/>
        <w:rPr>
          <w:color w:val="auto"/>
        </w:rPr>
      </w:pPr>
      <w:r>
        <w:rPr>
          <w:color w:val="auto"/>
        </w:rPr>
        <w:t>⑸</w:t>
      </w:r>
      <w:r>
        <w:rPr>
          <w:rFonts w:hint="eastAsia"/>
          <w:color w:val="auto"/>
        </w:rPr>
        <w:t>试运行费用除已包括在签约合同价之内的或专用条款另有约定的，均由发包人承担。</w:t>
      </w:r>
    </w:p>
    <w:p>
      <w:pPr>
        <w:adjustRightInd w:val="0"/>
        <w:snapToGrid w:val="0"/>
        <w:spacing w:before="0" w:beforeLines="0" w:after="0" w:line="360" w:lineRule="auto"/>
        <w:ind w:left="178"/>
        <w:rPr>
          <w:color w:val="auto"/>
          <w:sz w:val="28"/>
        </w:rPr>
      </w:pPr>
      <w:r>
        <w:rPr>
          <w:b/>
          <w:color w:val="auto"/>
          <w:sz w:val="28"/>
        </w:rPr>
        <w:t>17</w:t>
      </w:r>
      <w:r>
        <w:rPr>
          <w:rFonts w:hint="eastAsia"/>
          <w:b/>
          <w:color w:val="auto"/>
          <w:sz w:val="28"/>
        </w:rPr>
        <w:t>安全文明施工与环境保护</w:t>
      </w:r>
    </w:p>
    <w:p>
      <w:pPr>
        <w:adjustRightInd w:val="0"/>
        <w:snapToGrid w:val="0"/>
        <w:spacing w:before="0" w:beforeLines="0" w:after="0" w:line="360" w:lineRule="auto"/>
        <w:ind w:left="359"/>
        <w:rPr>
          <w:color w:val="auto"/>
        </w:rPr>
      </w:pPr>
      <w:r>
        <w:rPr>
          <w:b/>
          <w:color w:val="auto"/>
        </w:rPr>
        <w:t>17.1</w:t>
      </w:r>
      <w:r>
        <w:rPr>
          <w:rFonts w:hint="eastAsia"/>
          <w:b/>
          <w:color w:val="auto"/>
        </w:rPr>
        <w:t>发包人的安全文明施工责任</w:t>
      </w:r>
    </w:p>
    <w:p>
      <w:pPr>
        <w:tabs>
          <w:tab w:val="left" w:pos="1620"/>
          <w:tab w:val="left" w:pos="2340"/>
        </w:tabs>
        <w:adjustRightInd w:val="0"/>
        <w:snapToGrid w:val="0"/>
        <w:spacing w:beforeLines="0" w:after="0" w:line="360" w:lineRule="auto"/>
        <w:ind w:left="899"/>
        <w:rPr>
          <w:color w:val="auto"/>
        </w:rPr>
      </w:pPr>
      <w:r>
        <w:rPr>
          <w:color w:val="auto"/>
        </w:rPr>
        <w:t>⑴</w:t>
      </w:r>
      <w:r>
        <w:rPr>
          <w:rFonts w:hint="eastAsia"/>
          <w:color w:val="auto"/>
        </w:rPr>
        <w:t>发包人应按照深圳市建设行政主管部门发布的施工安全文明施工措施费清单管理与支付办法，编制安全文明施工措施费清单并向承包人按时足额支付安全文明措施费。</w:t>
      </w:r>
    </w:p>
    <w:p>
      <w:pPr>
        <w:tabs>
          <w:tab w:val="left" w:pos="1620"/>
          <w:tab w:val="left" w:pos="2340"/>
        </w:tabs>
        <w:adjustRightInd w:val="0"/>
        <w:snapToGrid w:val="0"/>
        <w:spacing w:beforeLines="0" w:after="0" w:line="360" w:lineRule="auto"/>
        <w:ind w:left="899"/>
        <w:rPr>
          <w:color w:val="auto"/>
        </w:rPr>
      </w:pPr>
      <w:r>
        <w:rPr>
          <w:color w:val="auto"/>
        </w:rPr>
        <w:t>⑵</w:t>
      </w:r>
      <w:r>
        <w:rPr>
          <w:rFonts w:hint="eastAsia"/>
          <w:color w:val="auto"/>
        </w:rPr>
        <w:t>发包人应督促承包人落实安全文明施工标准化管理的相关措施和要求，对安全文明施工措施费的专款专用进行核查。</w:t>
      </w:r>
    </w:p>
    <w:p>
      <w:pPr>
        <w:tabs>
          <w:tab w:val="left" w:pos="1620"/>
          <w:tab w:val="left" w:pos="2340"/>
        </w:tabs>
        <w:adjustRightInd w:val="0"/>
        <w:snapToGrid w:val="0"/>
        <w:spacing w:beforeLines="0" w:after="0" w:line="360" w:lineRule="auto"/>
        <w:ind w:left="899"/>
        <w:rPr>
          <w:color w:val="auto"/>
        </w:rPr>
      </w:pPr>
      <w:r>
        <w:rPr>
          <w:color w:val="auto"/>
        </w:rPr>
        <w:t>⑶</w:t>
      </w:r>
      <w:r>
        <w:rPr>
          <w:rFonts w:hint="eastAsia"/>
          <w:color w:val="auto"/>
        </w:rPr>
        <w:t>发包人应对其在施工现场的工作人员进行安全教育，并对他们的安全负责。</w:t>
      </w:r>
    </w:p>
    <w:p>
      <w:pPr>
        <w:tabs>
          <w:tab w:val="left" w:pos="1620"/>
          <w:tab w:val="left" w:pos="2340"/>
        </w:tabs>
        <w:adjustRightInd w:val="0"/>
        <w:snapToGrid w:val="0"/>
        <w:spacing w:beforeLines="0" w:after="0" w:line="360" w:lineRule="auto"/>
        <w:ind w:left="899"/>
        <w:rPr>
          <w:color w:val="auto"/>
        </w:rPr>
      </w:pPr>
      <w:r>
        <w:rPr>
          <w:color w:val="auto"/>
        </w:rPr>
        <w:t>⑷</w:t>
      </w:r>
      <w:r>
        <w:rPr>
          <w:rFonts w:hint="eastAsia"/>
          <w:color w:val="auto"/>
        </w:rPr>
        <w:t>发包人不得要求承包人违反安全文明施工的规定进行施工。</w:t>
      </w:r>
    </w:p>
    <w:p>
      <w:pPr>
        <w:tabs>
          <w:tab w:val="left" w:pos="1620"/>
          <w:tab w:val="left" w:pos="2340"/>
        </w:tabs>
        <w:adjustRightInd w:val="0"/>
        <w:snapToGrid w:val="0"/>
        <w:spacing w:beforeLines="0" w:after="0" w:line="360" w:lineRule="auto"/>
        <w:ind w:left="899"/>
        <w:rPr>
          <w:color w:val="auto"/>
        </w:rPr>
      </w:pPr>
      <w:r>
        <w:rPr>
          <w:rFonts w:hint="eastAsia"/>
          <w:color w:val="auto"/>
        </w:rPr>
        <w:t>⑸由于发包人原因造成的安全事故，由发包人承担相应责任及发生的费用，并顺延延误的工期。</w:t>
      </w:r>
    </w:p>
    <w:p>
      <w:pPr>
        <w:tabs>
          <w:tab w:val="left" w:pos="1620"/>
          <w:tab w:val="left" w:pos="2340"/>
        </w:tabs>
        <w:adjustRightInd w:val="0"/>
        <w:snapToGrid w:val="0"/>
        <w:spacing w:beforeLines="0" w:after="0" w:line="360" w:lineRule="auto"/>
        <w:ind w:left="899"/>
        <w:rPr>
          <w:color w:val="auto"/>
        </w:rPr>
      </w:pPr>
      <w:r>
        <w:rPr>
          <w:rFonts w:hint="eastAsia"/>
          <w:color w:val="auto"/>
        </w:rPr>
        <w:t>⑹</w:t>
      </w:r>
      <w:r>
        <w:rPr>
          <w:rFonts w:hint="eastAsia"/>
          <w:b/>
          <w:i/>
          <w:color w:val="auto"/>
        </w:rPr>
        <w:t>专用条款</w:t>
      </w:r>
      <w:r>
        <w:rPr>
          <w:rFonts w:hint="eastAsia"/>
          <w:color w:val="auto"/>
        </w:rPr>
        <w:t>约定的安全文明施工责任。</w:t>
      </w:r>
    </w:p>
    <w:p>
      <w:pPr>
        <w:adjustRightInd w:val="0"/>
        <w:snapToGrid w:val="0"/>
        <w:spacing w:before="0" w:beforeLines="0" w:after="0" w:line="360" w:lineRule="auto"/>
        <w:ind w:left="359"/>
        <w:rPr>
          <w:color w:val="auto"/>
        </w:rPr>
      </w:pPr>
      <w:r>
        <w:rPr>
          <w:b/>
          <w:color w:val="auto"/>
        </w:rPr>
        <w:t>17.2</w:t>
      </w:r>
      <w:r>
        <w:rPr>
          <w:rFonts w:hint="eastAsia"/>
          <w:b/>
          <w:color w:val="auto"/>
        </w:rPr>
        <w:t>承包人的安全文明施工责任</w:t>
      </w:r>
    </w:p>
    <w:p>
      <w:pPr>
        <w:tabs>
          <w:tab w:val="left" w:pos="1620"/>
          <w:tab w:val="left" w:pos="2340"/>
        </w:tabs>
        <w:adjustRightInd w:val="0"/>
        <w:snapToGrid w:val="0"/>
        <w:spacing w:beforeLines="0" w:after="0" w:line="360" w:lineRule="auto"/>
        <w:ind w:left="899"/>
        <w:rPr>
          <w:color w:val="auto"/>
        </w:rPr>
      </w:pPr>
      <w:r>
        <w:rPr>
          <w:color w:val="auto"/>
        </w:rPr>
        <w:t>⑴</w:t>
      </w:r>
      <w:r>
        <w:rPr>
          <w:rFonts w:hint="eastAsia"/>
          <w:color w:val="auto"/>
        </w:rPr>
        <w:t>承包人应按照《深圳市建设工程安全文明施工标准》等行业现行的规范、标准，以及发包人提供的安全文明施工措施费清单，编制安全施工专项方案及文明施工专项方案，落实安全防护用品和设施配备、施工风险源管控、安全教育培训、应急管理等方面的安全生产标准化以及文明形象、环境保护、现场卫生、职业健康、信息化管理等方面的文明施工标准化。安全施工专项方案及文明施工专项方案应以书面形式提交给监理人。对监理人要求需采取特殊安全防护措施的分项工程施工前，应编制专项安全施工组织设计，并采取安全技术措施；报请监理人和发包人批准后，方可施工。</w:t>
      </w:r>
    </w:p>
    <w:p>
      <w:pPr>
        <w:tabs>
          <w:tab w:val="left" w:pos="1620"/>
          <w:tab w:val="left" w:pos="2340"/>
        </w:tabs>
        <w:adjustRightInd w:val="0"/>
        <w:snapToGrid w:val="0"/>
        <w:spacing w:beforeLines="0" w:after="0" w:line="360" w:lineRule="auto"/>
        <w:ind w:left="899"/>
        <w:rPr>
          <w:color w:val="auto"/>
        </w:rPr>
      </w:pPr>
      <w:r>
        <w:rPr>
          <w:color w:val="auto"/>
        </w:rPr>
        <w:t>⑵</w:t>
      </w:r>
      <w:r>
        <w:rPr>
          <w:rFonts w:hint="eastAsia"/>
          <w:color w:val="auto"/>
        </w:rPr>
        <w:t>承包人应按照安全施工专项方案及文明施工专项方案组织施工，采取必要的安全防护措施，消除事故隐患，并随时接受行业安全检查人员依法实施的监督检查。承包人安全生产管理机构和专职安全生产管理人员负责对施工企业现场安全文明措施的组织实施进行现场监督检查，并及时向</w:t>
      </w:r>
      <w:r>
        <w:rPr>
          <w:color w:val="auto"/>
        </w:rPr>
        <w:t>监理人</w:t>
      </w:r>
      <w:r>
        <w:rPr>
          <w:rFonts w:hint="eastAsia"/>
          <w:color w:val="auto"/>
        </w:rPr>
        <w:t>、发包人和建设行政主管部门反映情况。</w:t>
      </w:r>
    </w:p>
    <w:p>
      <w:pPr>
        <w:tabs>
          <w:tab w:val="left" w:pos="1620"/>
          <w:tab w:val="left" w:pos="2340"/>
        </w:tabs>
        <w:adjustRightInd w:val="0"/>
        <w:snapToGrid w:val="0"/>
        <w:spacing w:beforeLines="0" w:after="0" w:line="360" w:lineRule="auto"/>
        <w:ind w:left="899"/>
        <w:rPr>
          <w:color w:val="auto"/>
        </w:rPr>
      </w:pPr>
      <w:r>
        <w:rPr>
          <w:color w:val="auto"/>
        </w:rPr>
        <w:t>⑶承包人</w:t>
      </w:r>
      <w:r>
        <w:rPr>
          <w:rFonts w:hint="eastAsia"/>
          <w:color w:val="auto"/>
        </w:rPr>
        <w:t>施工现场应</w:t>
      </w:r>
      <w:r>
        <w:rPr>
          <w:color w:val="auto"/>
        </w:rPr>
        <w:t>配置必要的安全、文明施工设施与保护器材，设立安全警告标志牌，并为</w:t>
      </w:r>
      <w:r>
        <w:rPr>
          <w:rFonts w:hint="eastAsia"/>
          <w:color w:val="auto"/>
        </w:rPr>
        <w:t>施工</w:t>
      </w:r>
      <w:r>
        <w:rPr>
          <w:color w:val="auto"/>
        </w:rPr>
        <w:t>现场</w:t>
      </w:r>
      <w:r>
        <w:rPr>
          <w:rFonts w:hint="eastAsia"/>
          <w:color w:val="auto"/>
        </w:rPr>
        <w:t>人员</w:t>
      </w:r>
      <w:r>
        <w:rPr>
          <w:color w:val="auto"/>
        </w:rPr>
        <w:t>(包括发包人代表、监理人人员)提供必要的安全防护和劳动保护用品</w:t>
      </w:r>
      <w:r>
        <w:rPr>
          <w:rFonts w:hint="eastAsia"/>
          <w:b/>
          <w:bCs/>
          <w:color w:val="auto"/>
        </w:rPr>
        <w:t>。</w:t>
      </w:r>
      <w:r>
        <w:rPr>
          <w:color w:val="auto"/>
        </w:rPr>
        <w:t>施工作业人员未经安全生产教育培训，不得上岗作业。承包人有责任管制无关人员进入施工现场。</w:t>
      </w:r>
    </w:p>
    <w:p>
      <w:pPr>
        <w:tabs>
          <w:tab w:val="left" w:pos="1620"/>
          <w:tab w:val="left" w:pos="2340"/>
        </w:tabs>
        <w:adjustRightInd w:val="0"/>
        <w:snapToGrid w:val="0"/>
        <w:spacing w:beforeLines="0" w:after="0" w:line="360" w:lineRule="auto"/>
        <w:ind w:left="899"/>
        <w:rPr>
          <w:color w:val="auto"/>
        </w:rPr>
      </w:pPr>
      <w:r>
        <w:rPr>
          <w:color w:val="auto"/>
        </w:rPr>
        <w:t>⑷</w:t>
      </w:r>
      <w:r>
        <w:rPr>
          <w:rFonts w:hint="eastAsia"/>
          <w:color w:val="auto"/>
        </w:rPr>
        <w:t>承包人与分包人应当在分包合同中明确施工现场安全文明措施费由承包人统一管理，并对其使用负责。施工现场安全文明措施由分包人实施的，由分包人提出专项安全文明措施和方案，经承包人批准后及时支付所需费用。</w:t>
      </w:r>
    </w:p>
    <w:p>
      <w:pPr>
        <w:tabs>
          <w:tab w:val="left" w:pos="1620"/>
          <w:tab w:val="left" w:pos="2340"/>
        </w:tabs>
        <w:adjustRightInd w:val="0"/>
        <w:snapToGrid w:val="0"/>
        <w:spacing w:beforeLines="0" w:after="0" w:line="360" w:lineRule="auto"/>
        <w:ind w:left="899"/>
        <w:rPr>
          <w:color w:val="auto"/>
        </w:rPr>
      </w:pPr>
      <w:r>
        <w:rPr>
          <w:rFonts w:hint="eastAsia"/>
          <w:color w:val="auto"/>
        </w:rPr>
        <w:t>⑸发生重大伤亡及其他安全事故，承包人应通知</w:t>
      </w:r>
      <w:r>
        <w:rPr>
          <w:color w:val="auto"/>
        </w:rPr>
        <w:t>监理人</w:t>
      </w:r>
      <w:r>
        <w:rPr>
          <w:rFonts w:hint="eastAsia"/>
          <w:color w:val="auto"/>
        </w:rPr>
        <w:t>并按相关规定立即上报政府有关部门，同时按政府有关部门要求处理。发包人和承包人对事故责任有争议时，由政府有关部门认定。由于承包人原因造成的安全事故，由承包人承担相应责任及发生的费用，工期不予顺延。</w:t>
      </w:r>
    </w:p>
    <w:p>
      <w:pPr>
        <w:tabs>
          <w:tab w:val="left" w:pos="1620"/>
          <w:tab w:val="left" w:pos="2340"/>
        </w:tabs>
        <w:adjustRightInd w:val="0"/>
        <w:snapToGrid w:val="0"/>
        <w:spacing w:beforeLines="0" w:after="0" w:line="360" w:lineRule="auto"/>
        <w:ind w:left="899"/>
        <w:rPr>
          <w:color w:val="auto"/>
        </w:rPr>
      </w:pPr>
      <w:r>
        <w:rPr>
          <w:rFonts w:hint="eastAsia"/>
          <w:color w:val="auto"/>
        </w:rPr>
        <w:t>⑹</w:t>
      </w:r>
      <w:r>
        <w:rPr>
          <w:color w:val="auto"/>
        </w:rPr>
        <w:t>承包人有责任维护发包人</w:t>
      </w:r>
      <w:r>
        <w:rPr>
          <w:rFonts w:hint="eastAsia"/>
          <w:color w:val="auto"/>
        </w:rPr>
        <w:t>的社会</w:t>
      </w:r>
      <w:r>
        <w:rPr>
          <w:color w:val="auto"/>
        </w:rPr>
        <w:t>形象，避免由于施工引起安全、文明施工和环境保护</w:t>
      </w:r>
      <w:r>
        <w:rPr>
          <w:rFonts w:hint="eastAsia"/>
          <w:color w:val="auto"/>
        </w:rPr>
        <w:t>(</w:t>
      </w:r>
      <w:r>
        <w:rPr>
          <w:color w:val="auto"/>
        </w:rPr>
        <w:t>如噪音、粉尘、排污等</w:t>
      </w:r>
      <w:r>
        <w:rPr>
          <w:rFonts w:hint="eastAsia"/>
          <w:color w:val="auto"/>
        </w:rPr>
        <w:t>)</w:t>
      </w:r>
      <w:r>
        <w:rPr>
          <w:color w:val="auto"/>
        </w:rPr>
        <w:t>问题而造成对发包人的索赔。由于上述问题造成的索赔由承包人承担全部责任</w:t>
      </w:r>
      <w:r>
        <w:rPr>
          <w:rFonts w:hint="eastAsia"/>
          <w:color w:val="auto"/>
        </w:rPr>
        <w:t>。</w:t>
      </w:r>
    </w:p>
    <w:p>
      <w:pPr>
        <w:tabs>
          <w:tab w:val="left" w:pos="1620"/>
          <w:tab w:val="left" w:pos="2340"/>
        </w:tabs>
        <w:adjustRightInd w:val="0"/>
        <w:snapToGrid w:val="0"/>
        <w:spacing w:beforeLines="0" w:after="0" w:line="360" w:lineRule="auto"/>
        <w:ind w:left="899"/>
        <w:rPr>
          <w:color w:val="auto"/>
        </w:rPr>
      </w:pPr>
      <w:r>
        <w:rPr>
          <w:rFonts w:hint="eastAsia"/>
          <w:color w:val="auto"/>
        </w:rPr>
        <w:t>⑺</w:t>
      </w:r>
      <w:r>
        <w:rPr>
          <w:color w:val="auto"/>
        </w:rPr>
        <w:t>在施工过程中，如遇到突发的地质变动、事先未知的地下施工障碍等影响施工安全的紧急情况，</w:t>
      </w:r>
      <w:r>
        <w:rPr>
          <w:rFonts w:hint="eastAsia"/>
          <w:color w:val="auto"/>
        </w:rPr>
        <w:t>承包人应及时报告</w:t>
      </w:r>
      <w:r>
        <w:rPr>
          <w:color w:val="auto"/>
        </w:rPr>
        <w:t>监理人</w:t>
      </w:r>
      <w:r>
        <w:rPr>
          <w:rFonts w:hint="eastAsia"/>
          <w:color w:val="auto"/>
        </w:rPr>
        <w:t>和发包人，按相关</w:t>
      </w:r>
      <w:r>
        <w:rPr>
          <w:color w:val="auto"/>
        </w:rPr>
        <w:t>部门</w:t>
      </w:r>
      <w:r>
        <w:rPr>
          <w:rFonts w:hint="eastAsia"/>
          <w:color w:val="auto"/>
        </w:rPr>
        <w:t>要求</w:t>
      </w:r>
      <w:r>
        <w:rPr>
          <w:color w:val="auto"/>
        </w:rPr>
        <w:t>采取应急措施。</w:t>
      </w:r>
    </w:p>
    <w:p>
      <w:pPr>
        <w:tabs>
          <w:tab w:val="left" w:pos="1620"/>
          <w:tab w:val="left" w:pos="2340"/>
        </w:tabs>
        <w:adjustRightInd w:val="0"/>
        <w:snapToGrid w:val="0"/>
        <w:spacing w:beforeLines="0" w:after="0" w:line="360" w:lineRule="auto"/>
        <w:ind w:left="899"/>
        <w:rPr>
          <w:color w:val="auto"/>
        </w:rPr>
      </w:pPr>
      <w:r>
        <w:rPr>
          <w:rFonts w:hint="eastAsia"/>
          <w:color w:val="auto"/>
        </w:rPr>
        <w:t>⑻承包人应按照有关信息化管理的要求，在深圳市质量安全监管职能平台及时上传、报送有关安全隐患检查和安全隐患整改情况。</w:t>
      </w:r>
    </w:p>
    <w:p>
      <w:pPr>
        <w:tabs>
          <w:tab w:val="left" w:pos="1620"/>
          <w:tab w:val="left" w:pos="2340"/>
        </w:tabs>
        <w:adjustRightInd w:val="0"/>
        <w:snapToGrid w:val="0"/>
        <w:spacing w:beforeLines="0" w:after="0" w:line="360" w:lineRule="auto"/>
        <w:ind w:left="899"/>
        <w:rPr>
          <w:color w:val="auto"/>
        </w:rPr>
      </w:pPr>
      <w:r>
        <w:rPr>
          <w:rFonts w:hint="eastAsia"/>
          <w:color w:val="auto"/>
        </w:rPr>
        <w:t>⑼</w:t>
      </w:r>
      <w:r>
        <w:rPr>
          <w:rFonts w:hint="eastAsia"/>
          <w:b/>
          <w:i/>
          <w:color w:val="auto"/>
        </w:rPr>
        <w:t>专用条款</w:t>
      </w:r>
      <w:r>
        <w:rPr>
          <w:rFonts w:hint="eastAsia"/>
          <w:color w:val="auto"/>
        </w:rPr>
        <w:t>约定的安全文明施工责任。</w:t>
      </w:r>
    </w:p>
    <w:p>
      <w:pPr>
        <w:adjustRightInd w:val="0"/>
        <w:snapToGrid w:val="0"/>
        <w:spacing w:before="0" w:beforeLines="0" w:after="0" w:line="360" w:lineRule="auto"/>
        <w:ind w:left="359"/>
        <w:rPr>
          <w:color w:val="auto"/>
        </w:rPr>
      </w:pPr>
      <w:r>
        <w:rPr>
          <w:b/>
          <w:color w:val="auto"/>
        </w:rPr>
        <w:t>17.3监理人</w:t>
      </w:r>
      <w:r>
        <w:rPr>
          <w:rFonts w:hint="eastAsia"/>
          <w:b/>
          <w:color w:val="auto"/>
        </w:rPr>
        <w:t>对安全文明的监督</w:t>
      </w:r>
    </w:p>
    <w:p>
      <w:pPr>
        <w:tabs>
          <w:tab w:val="left" w:pos="1620"/>
          <w:tab w:val="left" w:pos="2340"/>
        </w:tabs>
        <w:adjustRightInd w:val="0"/>
        <w:snapToGrid w:val="0"/>
        <w:spacing w:beforeLines="0" w:after="0" w:line="360" w:lineRule="auto"/>
        <w:ind w:left="899"/>
        <w:rPr>
          <w:color w:val="auto"/>
        </w:rPr>
      </w:pPr>
      <w:r>
        <w:rPr>
          <w:color w:val="auto"/>
        </w:rPr>
        <w:t>监理人</w:t>
      </w:r>
      <w:r>
        <w:rPr>
          <w:rFonts w:hint="eastAsia"/>
          <w:color w:val="auto"/>
        </w:rPr>
        <w:t>应当对承包人落实施工现场安全文明措施情况进行现场监督。对承包人已经落实的安全文明措施，</w:t>
      </w:r>
      <w:r>
        <w:rPr>
          <w:color w:val="auto"/>
        </w:rPr>
        <w:t>监理人</w:t>
      </w:r>
      <w:r>
        <w:rPr>
          <w:rFonts w:hint="eastAsia"/>
          <w:color w:val="auto"/>
        </w:rPr>
        <w:t>应当及时审查确认。</w:t>
      </w:r>
      <w:r>
        <w:rPr>
          <w:color w:val="auto"/>
        </w:rPr>
        <w:t>监理人</w:t>
      </w:r>
      <w:r>
        <w:rPr>
          <w:rFonts w:hint="eastAsia"/>
          <w:color w:val="auto"/>
        </w:rPr>
        <w:t>发现承包人未落实施工组织设计及专项施工方案中安全防护和文明施工措施的，有权责令其立即整改，承包人拒不整改或未按期限要求完成整改的，</w:t>
      </w:r>
      <w:r>
        <w:rPr>
          <w:color w:val="auto"/>
        </w:rPr>
        <w:t>监理人</w:t>
      </w:r>
      <w:r>
        <w:rPr>
          <w:rFonts w:hint="eastAsia"/>
          <w:color w:val="auto"/>
        </w:rPr>
        <w:t>应当及时向发包人和建设行政主管部门报告，必要时责令其暂停施工。</w:t>
      </w:r>
    </w:p>
    <w:p>
      <w:pPr>
        <w:adjustRightInd w:val="0"/>
        <w:snapToGrid w:val="0"/>
        <w:spacing w:before="0" w:beforeLines="0" w:after="0" w:line="360" w:lineRule="auto"/>
        <w:ind w:left="359"/>
        <w:rPr>
          <w:color w:val="auto"/>
        </w:rPr>
      </w:pPr>
      <w:r>
        <w:rPr>
          <w:b/>
          <w:color w:val="auto"/>
        </w:rPr>
        <w:t>17.4</w:t>
      </w:r>
      <w:r>
        <w:rPr>
          <w:rFonts w:hint="eastAsia"/>
          <w:b/>
          <w:color w:val="auto"/>
        </w:rPr>
        <w:t>安全文明措施费的专款专用</w:t>
      </w:r>
    </w:p>
    <w:p>
      <w:pPr>
        <w:tabs>
          <w:tab w:val="left" w:pos="1620"/>
          <w:tab w:val="left" w:pos="2340"/>
        </w:tabs>
        <w:adjustRightInd w:val="0"/>
        <w:snapToGrid w:val="0"/>
        <w:spacing w:beforeLines="0" w:after="0" w:line="360" w:lineRule="auto"/>
        <w:ind w:left="899"/>
        <w:rPr>
          <w:color w:val="auto"/>
        </w:rPr>
      </w:pPr>
      <w:r>
        <w:rPr>
          <w:rFonts w:hint="eastAsia"/>
          <w:color w:val="auto"/>
        </w:rPr>
        <w:t>⑴承包人应确保施工现场安全文明措施费专款专用，在财务管理中单独列出安全文明措施项目费用清单及金额备查，并设立单独的安全文明措施费银行账户，接受发包人的监管。</w:t>
      </w:r>
    </w:p>
    <w:p>
      <w:pPr>
        <w:tabs>
          <w:tab w:val="left" w:pos="1620"/>
          <w:tab w:val="left" w:pos="2340"/>
        </w:tabs>
        <w:adjustRightInd w:val="0"/>
        <w:snapToGrid w:val="0"/>
        <w:spacing w:beforeLines="0" w:after="0" w:line="360" w:lineRule="auto"/>
        <w:ind w:left="899"/>
        <w:rPr>
          <w:color w:val="auto"/>
        </w:rPr>
      </w:pPr>
      <w:r>
        <w:rPr>
          <w:rFonts w:hint="eastAsia"/>
          <w:color w:val="auto"/>
        </w:rPr>
        <w:t>⑵承包人应当按照分包合同约定及时向分包人支付施工现场安全文明措施费。承包人不按约定支付费用，造成分包人不能及时落实安全防护措施导致发生事故的，由承包人负主要责任。</w:t>
      </w:r>
    </w:p>
    <w:p>
      <w:pPr>
        <w:adjustRightInd w:val="0"/>
        <w:snapToGrid w:val="0"/>
        <w:spacing w:before="0" w:beforeLines="0" w:after="0" w:line="360" w:lineRule="auto"/>
        <w:ind w:left="359"/>
        <w:rPr>
          <w:color w:val="auto"/>
        </w:rPr>
      </w:pPr>
      <w:r>
        <w:rPr>
          <w:b/>
          <w:color w:val="auto"/>
        </w:rPr>
        <w:t>17.5</w:t>
      </w:r>
      <w:r>
        <w:rPr>
          <w:rFonts w:hint="eastAsia"/>
          <w:b/>
          <w:color w:val="auto"/>
        </w:rPr>
        <w:t>承包人的安全防护和现场作业</w:t>
      </w:r>
    </w:p>
    <w:p>
      <w:pPr>
        <w:tabs>
          <w:tab w:val="left" w:pos="1620"/>
          <w:tab w:val="left" w:pos="2340"/>
        </w:tabs>
        <w:adjustRightInd w:val="0"/>
        <w:snapToGrid w:val="0"/>
        <w:spacing w:beforeLines="0" w:after="0" w:line="360" w:lineRule="auto"/>
        <w:ind w:left="899"/>
        <w:rPr>
          <w:color w:val="auto"/>
        </w:rPr>
      </w:pPr>
      <w:r>
        <w:rPr>
          <w:rFonts w:hint="eastAsia"/>
          <w:color w:val="auto"/>
        </w:rPr>
        <w:t>⑴</w:t>
      </w:r>
      <w:r>
        <w:rPr>
          <w:color w:val="auto"/>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tabs>
          <w:tab w:val="left" w:pos="1620"/>
          <w:tab w:val="left" w:pos="2340"/>
        </w:tabs>
        <w:adjustRightInd w:val="0"/>
        <w:snapToGrid w:val="0"/>
        <w:spacing w:beforeLines="0" w:after="0" w:line="360" w:lineRule="auto"/>
        <w:ind w:left="899"/>
        <w:rPr>
          <w:color w:val="auto"/>
        </w:rPr>
      </w:pPr>
      <w:r>
        <w:rPr>
          <w:rFonts w:hint="eastAsia"/>
          <w:color w:val="auto"/>
        </w:rPr>
        <w:t>⑵承包人在动力设备、输电线路、地下管道、密封防震车间、易燃易爆地段、临街交通要道附近、放射毒害性环境中施工以及实施爆破作业、使用毒害性腐蚀性物品施工时，施工前应向</w:t>
      </w:r>
      <w:r>
        <w:rPr>
          <w:color w:val="auto"/>
        </w:rPr>
        <w:t>监理人</w:t>
      </w:r>
      <w:r>
        <w:rPr>
          <w:rFonts w:hint="eastAsia"/>
          <w:color w:val="auto"/>
        </w:rPr>
        <w:t>提出安全防护措施，经</w:t>
      </w:r>
      <w:r>
        <w:rPr>
          <w:color w:val="auto"/>
        </w:rPr>
        <w:t>监理人</w:t>
      </w:r>
      <w:r>
        <w:rPr>
          <w:rFonts w:hint="eastAsia"/>
          <w:color w:val="auto"/>
        </w:rPr>
        <w:t>认可后实施，由发包人承担相应安全防护措施费用。</w:t>
      </w:r>
    </w:p>
    <w:p>
      <w:pPr>
        <w:tabs>
          <w:tab w:val="left" w:pos="1620"/>
          <w:tab w:val="left" w:pos="2340"/>
        </w:tabs>
        <w:adjustRightInd w:val="0"/>
        <w:snapToGrid w:val="0"/>
        <w:spacing w:beforeLines="0" w:after="0" w:line="360" w:lineRule="auto"/>
        <w:ind w:left="899"/>
        <w:rPr>
          <w:color w:val="auto"/>
        </w:rPr>
      </w:pPr>
      <w:r>
        <w:rPr>
          <w:rFonts w:hint="eastAsia"/>
          <w:color w:val="auto"/>
        </w:rPr>
        <w:t>⑶承包人应将其作业限制在现场内。在施工期间，承包人应保持现场没有障碍物，妥善存放和处理材料设备和承包人装备，及时从现场清除并运走任何残物、垃圾和不再需要的临时工程。</w:t>
      </w:r>
    </w:p>
    <w:p>
      <w:pPr>
        <w:tabs>
          <w:tab w:val="left" w:pos="1620"/>
          <w:tab w:val="left" w:pos="2340"/>
        </w:tabs>
        <w:adjustRightInd w:val="0"/>
        <w:snapToGrid w:val="0"/>
        <w:spacing w:beforeLines="0" w:after="0" w:line="360" w:lineRule="auto"/>
        <w:ind w:left="899"/>
        <w:rPr>
          <w:color w:val="auto"/>
        </w:rPr>
      </w:pPr>
      <w:r>
        <w:rPr>
          <w:rFonts w:hint="eastAsia"/>
          <w:color w:val="auto"/>
        </w:rPr>
        <w:t>⑷承包人应按照本市相关要求和根据工程性质规模，建立现场视频采集系统，开展实时监控。承包人应当按照建筑从业人员实名制管理的相关要求，利用人脸、虹膜等生物活体信息技术，在工地出入口设立实名闸机通道，实行联网运行。</w:t>
      </w:r>
    </w:p>
    <w:p>
      <w:pPr>
        <w:adjustRightInd w:val="0"/>
        <w:snapToGrid w:val="0"/>
        <w:spacing w:before="0" w:beforeLines="0" w:after="0" w:line="360" w:lineRule="auto"/>
        <w:ind w:left="359"/>
        <w:rPr>
          <w:color w:val="auto"/>
        </w:rPr>
      </w:pPr>
      <w:r>
        <w:rPr>
          <w:b/>
          <w:color w:val="auto"/>
        </w:rPr>
        <w:t>17.6紧急情况</w:t>
      </w:r>
      <w:r>
        <w:rPr>
          <w:rFonts w:hint="eastAsia"/>
          <w:b/>
          <w:color w:val="auto"/>
        </w:rPr>
        <w:t>处理</w:t>
      </w:r>
    </w:p>
    <w:p>
      <w:pPr>
        <w:tabs>
          <w:tab w:val="left" w:pos="1620"/>
          <w:tab w:val="left" w:pos="2340"/>
        </w:tabs>
        <w:adjustRightInd w:val="0"/>
        <w:snapToGrid w:val="0"/>
        <w:spacing w:beforeLines="0" w:after="0" w:line="360" w:lineRule="auto"/>
        <w:ind w:left="899"/>
        <w:rPr>
          <w:color w:val="auto"/>
        </w:rPr>
      </w:pPr>
      <w:r>
        <w:rPr>
          <w:color w:val="auto"/>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djustRightInd w:val="0"/>
        <w:snapToGrid w:val="0"/>
        <w:spacing w:before="0" w:beforeLines="0" w:after="0" w:line="360" w:lineRule="auto"/>
        <w:ind w:left="359"/>
        <w:rPr>
          <w:color w:val="auto"/>
        </w:rPr>
      </w:pPr>
      <w:r>
        <w:rPr>
          <w:b/>
          <w:color w:val="auto"/>
        </w:rPr>
        <w:t>17.7</w:t>
      </w:r>
      <w:r>
        <w:rPr>
          <w:rFonts w:hint="eastAsia"/>
          <w:b/>
          <w:color w:val="auto"/>
        </w:rPr>
        <w:t>事故处理</w:t>
      </w:r>
    </w:p>
    <w:p>
      <w:pPr>
        <w:tabs>
          <w:tab w:val="left" w:pos="1620"/>
          <w:tab w:val="left" w:pos="2340"/>
        </w:tabs>
        <w:adjustRightInd w:val="0"/>
        <w:snapToGrid w:val="0"/>
        <w:spacing w:beforeLines="0" w:after="0" w:line="360" w:lineRule="auto"/>
        <w:ind w:left="899"/>
        <w:rPr>
          <w:color w:val="auto"/>
        </w:rPr>
      </w:pPr>
      <w:r>
        <w:rPr>
          <w:color w:val="auto"/>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djustRightInd w:val="0"/>
        <w:snapToGrid w:val="0"/>
        <w:spacing w:before="0" w:beforeLines="0" w:after="0" w:line="360" w:lineRule="auto"/>
        <w:ind w:left="359"/>
        <w:rPr>
          <w:color w:val="auto"/>
        </w:rPr>
      </w:pPr>
      <w:r>
        <w:rPr>
          <w:b/>
          <w:color w:val="auto"/>
        </w:rPr>
        <w:t>17.8</w:t>
      </w:r>
      <w:r>
        <w:rPr>
          <w:rFonts w:hint="eastAsia"/>
          <w:b/>
          <w:color w:val="auto"/>
        </w:rPr>
        <w:t>承包人的环境保护责任</w:t>
      </w:r>
    </w:p>
    <w:p>
      <w:pPr>
        <w:tabs>
          <w:tab w:val="left" w:pos="1620"/>
          <w:tab w:val="left" w:pos="2340"/>
        </w:tabs>
        <w:adjustRightInd w:val="0"/>
        <w:snapToGrid w:val="0"/>
        <w:spacing w:beforeLines="0" w:after="0" w:line="360" w:lineRule="auto"/>
        <w:ind w:left="899"/>
        <w:rPr>
          <w:color w:val="auto"/>
        </w:rPr>
      </w:pPr>
      <w:r>
        <w:rPr>
          <w:rFonts w:hint="eastAsia"/>
          <w:color w:val="auto"/>
        </w:rPr>
        <w:t>(</w:t>
      </w:r>
      <w:r>
        <w:rPr>
          <w:color w:val="auto"/>
        </w:rPr>
        <w:t>1)</w:t>
      </w:r>
      <w:r>
        <w:rPr>
          <w:rFonts w:hint="eastAsia"/>
          <w:color w:val="auto"/>
        </w:rPr>
        <w:t>发包人和承包人应按照《深圳市建筑废弃物管理办法》规定，在</w:t>
      </w:r>
      <w:r>
        <w:rPr>
          <w:rFonts w:hint="eastAsia"/>
          <w:i/>
          <w:color w:val="auto"/>
        </w:rPr>
        <w:t>专用条款</w:t>
      </w:r>
      <w:r>
        <w:rPr>
          <w:rFonts w:hint="eastAsia"/>
          <w:color w:val="auto"/>
        </w:rPr>
        <w:t>中约定施工现场建筑废弃物减量化目标、要求和措施，明确承包人在施工现场建筑废弃物规范排放、分类处理、禁止混合排放等方面的要求和措施，以及建筑废弃物综合利用产品的相关使用要求，并约定相应违约责任。承包人向施工场地外排放建筑废弃物的，应按规定在排放前向建设、交通运输或水务部门申请建筑废弃物排放核准。</w:t>
      </w:r>
    </w:p>
    <w:p>
      <w:pPr>
        <w:tabs>
          <w:tab w:val="left" w:pos="1620"/>
          <w:tab w:val="left" w:pos="2340"/>
        </w:tabs>
        <w:adjustRightInd w:val="0"/>
        <w:snapToGrid w:val="0"/>
        <w:spacing w:beforeLines="0" w:after="0" w:line="360" w:lineRule="auto"/>
        <w:ind w:left="899"/>
        <w:rPr>
          <w:color w:val="auto"/>
        </w:rPr>
      </w:pPr>
      <w:r>
        <w:rPr>
          <w:rFonts w:hint="eastAsia"/>
          <w:color w:val="auto"/>
        </w:rPr>
        <w:t>(</w:t>
      </w:r>
      <w:r>
        <w:rPr>
          <w:color w:val="auto"/>
        </w:rPr>
        <w:t>2)</w:t>
      </w:r>
      <w:r>
        <w:rPr>
          <w:rFonts w:hint="eastAsia"/>
          <w:color w:val="auto"/>
        </w:rPr>
        <w:t>承包人应采取一切适当措施，保护施工现场内外环境，防治扬尘、噪音、废气、废水、废渣等污染，限制由其施工作业引起的污染对公众和财产造成的损害和妨害。承包人应确保因其活动产生的扬尘、气体排放、地面排水及排污等，不超过政府部门规范要求。</w:t>
      </w:r>
    </w:p>
    <w:p>
      <w:pPr>
        <w:tabs>
          <w:tab w:val="left" w:pos="1620"/>
          <w:tab w:val="left" w:pos="2340"/>
        </w:tabs>
        <w:adjustRightInd w:val="0"/>
        <w:snapToGrid w:val="0"/>
        <w:spacing w:beforeLines="0" w:after="0" w:line="360" w:lineRule="auto"/>
        <w:ind w:left="899"/>
        <w:rPr>
          <w:color w:val="auto"/>
        </w:rPr>
      </w:pPr>
      <w:r>
        <w:rPr>
          <w:rFonts w:hint="eastAsia"/>
          <w:color w:val="auto"/>
        </w:rPr>
        <w:t>(</w:t>
      </w:r>
      <w:r>
        <w:rPr>
          <w:color w:val="auto"/>
        </w:rPr>
        <w:t>3)承包人在施工期间，应</w:t>
      </w:r>
      <w:r>
        <w:rPr>
          <w:rFonts w:hint="eastAsia"/>
          <w:color w:val="auto"/>
        </w:rPr>
        <w:t>严格</w:t>
      </w:r>
      <w:r>
        <w:rPr>
          <w:color w:val="auto"/>
        </w:rPr>
        <w:t>执行《广东省建设项目环境管理条例》、《深圳经济特区环境保护条例》和《深圳经济特区环境噪声污染防治条例》等有关法规的规定，依法文明施工，尽可能减少施工对居民生活的影响。</w:t>
      </w:r>
    </w:p>
    <w:p>
      <w:pPr>
        <w:tabs>
          <w:tab w:val="left" w:pos="1620"/>
          <w:tab w:val="left" w:pos="2340"/>
        </w:tabs>
        <w:adjustRightInd w:val="0"/>
        <w:snapToGrid w:val="0"/>
        <w:spacing w:beforeLines="0" w:after="0" w:line="360" w:lineRule="auto"/>
        <w:ind w:left="899"/>
        <w:rPr>
          <w:color w:val="auto"/>
        </w:rPr>
      </w:pPr>
      <w:r>
        <w:rPr>
          <w:rFonts w:hint="eastAsia"/>
          <w:color w:val="auto"/>
        </w:rPr>
        <w:t>(</w:t>
      </w:r>
      <w:r>
        <w:rPr>
          <w:color w:val="auto"/>
        </w:rPr>
        <w:t>4)承包人在开工前应向</w:t>
      </w:r>
      <w:r>
        <w:rPr>
          <w:rFonts w:hint="eastAsia"/>
          <w:color w:val="auto"/>
        </w:rPr>
        <w:t>政府</w:t>
      </w:r>
      <w:r>
        <w:rPr>
          <w:color w:val="auto"/>
        </w:rPr>
        <w:t>环保部门申报施工期的环保方案。如需夜间连续施工，必须提前到</w:t>
      </w:r>
      <w:r>
        <w:rPr>
          <w:rFonts w:hint="eastAsia"/>
          <w:color w:val="auto"/>
        </w:rPr>
        <w:t>政府</w:t>
      </w:r>
      <w:r>
        <w:rPr>
          <w:color w:val="auto"/>
        </w:rPr>
        <w:t>环保部门申请核准手续。</w:t>
      </w:r>
    </w:p>
    <w:p>
      <w:pPr>
        <w:tabs>
          <w:tab w:val="left" w:pos="1620"/>
          <w:tab w:val="left" w:pos="2340"/>
        </w:tabs>
        <w:adjustRightInd w:val="0"/>
        <w:snapToGrid w:val="0"/>
        <w:spacing w:beforeLines="0" w:after="0" w:line="360" w:lineRule="auto"/>
        <w:ind w:left="899"/>
        <w:rPr>
          <w:color w:val="auto"/>
        </w:rPr>
      </w:pPr>
      <w:r>
        <w:rPr>
          <w:rFonts w:hint="eastAsia"/>
          <w:color w:val="auto"/>
        </w:rPr>
        <w:t>(</w:t>
      </w:r>
      <w:r>
        <w:rPr>
          <w:color w:val="auto"/>
        </w:rPr>
        <w:t>5)</w:t>
      </w:r>
      <w:r>
        <w:rPr>
          <w:rFonts w:hint="eastAsia"/>
          <w:color w:val="auto"/>
        </w:rPr>
        <w:t>承包人应使用符合《在用非道路移动机械用柴油机排气烟度排放限值及测量方法》（SZJG49-2015）特区技术规范要求的非道路移动机械。</w:t>
      </w:r>
    </w:p>
    <w:p>
      <w:pPr>
        <w:adjustRightInd w:val="0"/>
        <w:snapToGrid w:val="0"/>
        <w:spacing w:before="0" w:beforeLines="0" w:after="0" w:line="360" w:lineRule="auto"/>
        <w:ind w:left="178"/>
        <w:rPr>
          <w:color w:val="auto"/>
          <w:sz w:val="28"/>
        </w:rPr>
      </w:pPr>
      <w:r>
        <w:rPr>
          <w:b/>
          <w:color w:val="auto"/>
          <w:sz w:val="28"/>
        </w:rPr>
        <w:t>18</w:t>
      </w:r>
      <w:r>
        <w:rPr>
          <w:rFonts w:hint="eastAsia"/>
          <w:b/>
          <w:color w:val="auto"/>
          <w:sz w:val="28"/>
        </w:rPr>
        <w:t>余泥渣土运输车辆要求</w:t>
      </w:r>
    </w:p>
    <w:p>
      <w:pPr>
        <w:adjustRightInd w:val="0"/>
        <w:snapToGrid w:val="0"/>
        <w:spacing w:before="0" w:beforeLines="0" w:after="0" w:line="360" w:lineRule="auto"/>
        <w:ind w:left="359"/>
        <w:rPr>
          <w:color w:val="auto"/>
        </w:rPr>
      </w:pPr>
      <w:r>
        <w:rPr>
          <w:b/>
          <w:color w:val="auto"/>
        </w:rPr>
        <w:t>18.1余泥渣土运输车辆</w:t>
      </w:r>
      <w:r>
        <w:rPr>
          <w:rFonts w:hint="eastAsia"/>
          <w:b/>
          <w:color w:val="auto"/>
        </w:rPr>
        <w:t>证件要求</w:t>
      </w:r>
    </w:p>
    <w:p>
      <w:pPr>
        <w:tabs>
          <w:tab w:val="left" w:pos="1620"/>
          <w:tab w:val="left" w:pos="2340"/>
        </w:tabs>
        <w:adjustRightInd w:val="0"/>
        <w:snapToGrid w:val="0"/>
        <w:spacing w:beforeLines="0" w:line="360" w:lineRule="auto"/>
        <w:ind w:left="899"/>
        <w:rPr>
          <w:color w:val="auto"/>
        </w:rPr>
      </w:pPr>
      <w:r>
        <w:rPr>
          <w:rFonts w:hint="eastAsia"/>
          <w:color w:val="auto"/>
        </w:rPr>
        <w:t>承</w:t>
      </w:r>
      <w:r>
        <w:rPr>
          <w:color w:val="auto"/>
        </w:rPr>
        <w:t>担本</w:t>
      </w:r>
      <w:r>
        <w:rPr>
          <w:rFonts w:hint="eastAsia"/>
          <w:color w:val="auto"/>
        </w:rPr>
        <w:t>工程</w:t>
      </w:r>
      <w:r>
        <w:rPr>
          <w:color w:val="auto"/>
        </w:rPr>
        <w:t>余泥渣土运输任务的专业运输单位及其营运的余泥渣土运输车辆应当</w:t>
      </w:r>
      <w:r>
        <w:rPr>
          <w:rFonts w:hint="eastAsia"/>
          <w:color w:val="auto"/>
        </w:rPr>
        <w:t>持有</w:t>
      </w:r>
      <w:r>
        <w:rPr>
          <w:color w:val="auto"/>
        </w:rPr>
        <w:t>相关职能部门核发的下列</w:t>
      </w:r>
      <w:r>
        <w:rPr>
          <w:rFonts w:hint="eastAsia"/>
          <w:color w:val="auto"/>
        </w:rPr>
        <w:t>有效</w:t>
      </w:r>
      <w:r>
        <w:rPr>
          <w:color w:val="auto"/>
        </w:rPr>
        <w:t>证件：</w:t>
      </w:r>
    </w:p>
    <w:p>
      <w:pPr>
        <w:tabs>
          <w:tab w:val="left" w:pos="1620"/>
          <w:tab w:val="left" w:pos="2340"/>
        </w:tabs>
        <w:adjustRightInd w:val="0"/>
        <w:snapToGrid w:val="0"/>
        <w:spacing w:beforeLines="0" w:line="360" w:lineRule="auto"/>
        <w:ind w:left="1079"/>
        <w:rPr>
          <w:color w:val="auto"/>
        </w:rPr>
      </w:pPr>
      <w:r>
        <w:rPr>
          <w:rFonts w:hint="eastAsia"/>
          <w:color w:val="auto"/>
        </w:rPr>
        <w:t>⑴</w:t>
      </w:r>
      <w:r>
        <w:rPr>
          <w:color w:val="auto"/>
        </w:rPr>
        <w:t>专业运输单位应</w:t>
      </w:r>
      <w:r>
        <w:rPr>
          <w:rFonts w:hint="eastAsia"/>
          <w:color w:val="auto"/>
        </w:rPr>
        <w:t>持有营业执照和交通部门核发的《</w:t>
      </w:r>
      <w:r>
        <w:rPr>
          <w:color w:val="auto"/>
        </w:rPr>
        <w:t>道路运输经营许可证》；</w:t>
      </w:r>
    </w:p>
    <w:p>
      <w:pPr>
        <w:tabs>
          <w:tab w:val="left" w:pos="1620"/>
          <w:tab w:val="left" w:pos="2340"/>
        </w:tabs>
        <w:adjustRightInd w:val="0"/>
        <w:snapToGrid w:val="0"/>
        <w:spacing w:beforeLines="0" w:line="360" w:lineRule="auto"/>
        <w:ind w:left="1079"/>
        <w:rPr>
          <w:color w:val="auto"/>
        </w:rPr>
      </w:pPr>
      <w:r>
        <w:rPr>
          <w:rFonts w:hint="eastAsia"/>
          <w:color w:val="auto"/>
        </w:rPr>
        <w:t>⑵</w:t>
      </w:r>
      <w:r>
        <w:rPr>
          <w:color w:val="auto"/>
        </w:rPr>
        <w:t>余泥渣土运输车辆应</w:t>
      </w:r>
      <w:r>
        <w:rPr>
          <w:rFonts w:hint="eastAsia"/>
          <w:color w:val="auto"/>
        </w:rPr>
        <w:t>持有：</w:t>
      </w:r>
    </w:p>
    <w:p>
      <w:pPr>
        <w:tabs>
          <w:tab w:val="left" w:pos="1620"/>
          <w:tab w:val="left" w:pos="2340"/>
        </w:tabs>
        <w:adjustRightInd w:val="0"/>
        <w:snapToGrid w:val="0"/>
        <w:spacing w:beforeLines="0" w:line="360" w:lineRule="auto"/>
        <w:ind w:left="1260"/>
        <w:rPr>
          <w:color w:val="auto"/>
        </w:rPr>
      </w:pPr>
      <w:r>
        <w:rPr>
          <w:rFonts w:hint="eastAsia"/>
          <w:color w:val="auto"/>
        </w:rPr>
        <w:t>①交通部门核发的</w:t>
      </w:r>
      <w:r>
        <w:rPr>
          <w:color w:val="auto"/>
        </w:rPr>
        <w:t>《道路运输许可证》</w:t>
      </w:r>
      <w:r>
        <w:rPr>
          <w:rFonts w:hint="eastAsia"/>
          <w:color w:val="auto"/>
        </w:rPr>
        <w:t>；</w:t>
      </w:r>
    </w:p>
    <w:p>
      <w:pPr>
        <w:tabs>
          <w:tab w:val="left" w:pos="1620"/>
          <w:tab w:val="left" w:pos="2340"/>
        </w:tabs>
        <w:adjustRightInd w:val="0"/>
        <w:snapToGrid w:val="0"/>
        <w:spacing w:beforeLines="0" w:line="360" w:lineRule="auto"/>
        <w:ind w:left="1260"/>
        <w:rPr>
          <w:color w:val="auto"/>
        </w:rPr>
      </w:pPr>
      <w:r>
        <w:rPr>
          <w:rFonts w:hint="eastAsia"/>
          <w:color w:val="auto"/>
        </w:rPr>
        <w:t>②城管部门核发的</w:t>
      </w:r>
      <w:r>
        <w:rPr>
          <w:color w:val="auto"/>
        </w:rPr>
        <w:t>《城市建筑垃圾准运证》</w:t>
      </w:r>
      <w:r>
        <w:rPr>
          <w:rFonts w:hint="eastAsia"/>
          <w:color w:val="auto"/>
        </w:rPr>
        <w:t>；</w:t>
      </w:r>
    </w:p>
    <w:p>
      <w:pPr>
        <w:tabs>
          <w:tab w:val="left" w:pos="1620"/>
          <w:tab w:val="left" w:pos="2340"/>
        </w:tabs>
        <w:adjustRightInd w:val="0"/>
        <w:snapToGrid w:val="0"/>
        <w:spacing w:beforeLines="0" w:line="360" w:lineRule="auto"/>
        <w:ind w:left="1260"/>
        <w:rPr>
          <w:color w:val="auto"/>
        </w:rPr>
      </w:pPr>
      <w:r>
        <w:rPr>
          <w:rFonts w:hint="eastAsia"/>
          <w:color w:val="auto"/>
        </w:rPr>
        <w:t>③公安交警部门核发的《机动车行驶证》、</w:t>
      </w:r>
      <w:r>
        <w:rPr>
          <w:color w:val="auto"/>
        </w:rPr>
        <w:t>《深圳市余泥渣土运输车辆临时通行证》。</w:t>
      </w:r>
    </w:p>
    <w:p>
      <w:pPr>
        <w:tabs>
          <w:tab w:val="left" w:pos="1620"/>
          <w:tab w:val="left" w:pos="2340"/>
        </w:tabs>
        <w:adjustRightInd w:val="0"/>
        <w:snapToGrid w:val="0"/>
        <w:spacing w:beforeLines="0" w:line="360" w:lineRule="auto"/>
        <w:ind w:left="1079"/>
        <w:rPr>
          <w:color w:val="auto"/>
        </w:rPr>
      </w:pPr>
      <w:r>
        <w:rPr>
          <w:rFonts w:hint="eastAsia"/>
          <w:color w:val="auto"/>
        </w:rPr>
        <w:t>⑶</w:t>
      </w:r>
      <w:r>
        <w:rPr>
          <w:color w:val="auto"/>
        </w:rPr>
        <w:t>余泥渣土运输车辆</w:t>
      </w:r>
      <w:r>
        <w:rPr>
          <w:rFonts w:hint="eastAsia"/>
          <w:color w:val="auto"/>
        </w:rPr>
        <w:t>驾驶员应持有相应的资格证件。</w:t>
      </w:r>
    </w:p>
    <w:p>
      <w:pPr>
        <w:adjustRightInd w:val="0"/>
        <w:snapToGrid w:val="0"/>
        <w:spacing w:before="0" w:beforeLines="0" w:after="0" w:line="360" w:lineRule="auto"/>
        <w:ind w:left="359"/>
        <w:rPr>
          <w:color w:val="auto"/>
        </w:rPr>
      </w:pPr>
      <w:r>
        <w:rPr>
          <w:b/>
          <w:color w:val="auto"/>
        </w:rPr>
        <w:t>18.2</w:t>
      </w:r>
      <w:r>
        <w:rPr>
          <w:rFonts w:hint="eastAsia"/>
          <w:b/>
          <w:color w:val="auto"/>
        </w:rPr>
        <w:t>承包人自行运输</w:t>
      </w:r>
    </w:p>
    <w:p>
      <w:pPr>
        <w:tabs>
          <w:tab w:val="left" w:pos="1620"/>
          <w:tab w:val="left" w:pos="2340"/>
        </w:tabs>
        <w:adjustRightInd w:val="0"/>
        <w:snapToGrid w:val="0"/>
        <w:spacing w:beforeLines="0" w:after="0" w:line="360" w:lineRule="auto"/>
        <w:ind w:left="899"/>
        <w:rPr>
          <w:color w:val="auto"/>
        </w:rPr>
      </w:pPr>
      <w:r>
        <w:rPr>
          <w:rFonts w:hint="eastAsia"/>
          <w:color w:val="auto"/>
        </w:rPr>
        <w:t>⑴</w:t>
      </w:r>
      <w:r>
        <w:rPr>
          <w:color w:val="auto"/>
        </w:rPr>
        <w:t>承包人</w:t>
      </w:r>
      <w:r>
        <w:rPr>
          <w:rFonts w:hint="eastAsia"/>
          <w:color w:val="auto"/>
        </w:rPr>
        <w:t>持有</w:t>
      </w:r>
      <w:r>
        <w:rPr>
          <w:color w:val="auto"/>
        </w:rPr>
        <w:t>第</w:t>
      </w:r>
      <w:r>
        <w:rPr>
          <w:rFonts w:hint="eastAsia"/>
          <w:color w:val="auto"/>
        </w:rPr>
        <w:t>18</w:t>
      </w:r>
      <w:r>
        <w:rPr>
          <w:color w:val="auto"/>
        </w:rPr>
        <w:t>.1款</w:t>
      </w:r>
      <w:r>
        <w:rPr>
          <w:rFonts w:hint="eastAsia"/>
          <w:color w:val="auto"/>
        </w:rPr>
        <w:t>相关</w:t>
      </w:r>
      <w:r>
        <w:rPr>
          <w:color w:val="auto"/>
        </w:rPr>
        <w:t>证件，</w:t>
      </w:r>
      <w:r>
        <w:rPr>
          <w:rFonts w:hint="eastAsia"/>
          <w:color w:val="auto"/>
        </w:rPr>
        <w:t>具备</w:t>
      </w:r>
      <w:r>
        <w:rPr>
          <w:color w:val="auto"/>
        </w:rPr>
        <w:t>余泥渣土运输任务</w:t>
      </w:r>
      <w:r>
        <w:rPr>
          <w:rFonts w:hint="eastAsia"/>
          <w:color w:val="auto"/>
        </w:rPr>
        <w:t>能力的，</w:t>
      </w:r>
      <w:r>
        <w:rPr>
          <w:color w:val="auto"/>
        </w:rPr>
        <w:t>可自行组织完成本合同约定的余泥渣土运输任务。</w:t>
      </w:r>
    </w:p>
    <w:p>
      <w:pPr>
        <w:tabs>
          <w:tab w:val="left" w:pos="1620"/>
          <w:tab w:val="left" w:pos="2340"/>
        </w:tabs>
        <w:adjustRightInd w:val="0"/>
        <w:snapToGrid w:val="0"/>
        <w:spacing w:beforeLines="0" w:after="0" w:line="360" w:lineRule="auto"/>
        <w:ind w:left="899"/>
        <w:rPr>
          <w:color w:val="auto"/>
        </w:rPr>
      </w:pPr>
      <w:r>
        <w:rPr>
          <w:rFonts w:hint="eastAsia"/>
          <w:color w:val="auto"/>
        </w:rPr>
        <w:t>⑵</w:t>
      </w:r>
      <w:r>
        <w:rPr>
          <w:color w:val="auto"/>
        </w:rPr>
        <w:t>承包人不</w:t>
      </w:r>
      <w:r>
        <w:rPr>
          <w:rFonts w:hint="eastAsia"/>
          <w:color w:val="auto"/>
        </w:rPr>
        <w:t>持有</w:t>
      </w:r>
      <w:r>
        <w:rPr>
          <w:color w:val="auto"/>
        </w:rPr>
        <w:t>第</w:t>
      </w:r>
      <w:r>
        <w:rPr>
          <w:rFonts w:hint="eastAsia"/>
          <w:color w:val="auto"/>
        </w:rPr>
        <w:t>18</w:t>
      </w:r>
      <w:r>
        <w:rPr>
          <w:color w:val="auto"/>
        </w:rPr>
        <w:t>.1款</w:t>
      </w:r>
      <w:r>
        <w:rPr>
          <w:rFonts w:hint="eastAsia"/>
          <w:color w:val="auto"/>
        </w:rPr>
        <w:t>相关</w:t>
      </w:r>
      <w:r>
        <w:rPr>
          <w:color w:val="auto"/>
        </w:rPr>
        <w:t>证件</w:t>
      </w:r>
      <w:r>
        <w:rPr>
          <w:rFonts w:hint="eastAsia"/>
          <w:color w:val="auto"/>
        </w:rPr>
        <w:t>，不具备</w:t>
      </w:r>
      <w:r>
        <w:rPr>
          <w:color w:val="auto"/>
        </w:rPr>
        <w:t>余泥渣土运输任务</w:t>
      </w:r>
      <w:r>
        <w:rPr>
          <w:rFonts w:hint="eastAsia"/>
          <w:color w:val="auto"/>
        </w:rPr>
        <w:t>能力</w:t>
      </w:r>
      <w:r>
        <w:rPr>
          <w:color w:val="auto"/>
        </w:rPr>
        <w:t>而自行承担余泥渣土运输任务，应按照</w:t>
      </w:r>
      <w:r>
        <w:rPr>
          <w:b/>
          <w:i/>
          <w:color w:val="auto"/>
        </w:rPr>
        <w:t>专用条款</w:t>
      </w:r>
      <w:r>
        <w:rPr>
          <w:color w:val="auto"/>
        </w:rPr>
        <w:t>的约定承担违约责任。同时，</w:t>
      </w:r>
      <w:r>
        <w:rPr>
          <w:rFonts w:hint="eastAsia"/>
          <w:color w:val="auto"/>
        </w:rPr>
        <w:t>上述</w:t>
      </w:r>
      <w:r>
        <w:rPr>
          <w:color w:val="auto"/>
        </w:rPr>
        <w:t>违约行为导致的工期延误和</w:t>
      </w:r>
      <w:r>
        <w:rPr>
          <w:rFonts w:hint="eastAsia"/>
          <w:color w:val="auto"/>
        </w:rPr>
        <w:t>(</w:t>
      </w:r>
      <w:r>
        <w:rPr>
          <w:color w:val="auto"/>
        </w:rPr>
        <w:t>或</w:t>
      </w:r>
      <w:r>
        <w:rPr>
          <w:rFonts w:hint="eastAsia"/>
          <w:color w:val="auto"/>
        </w:rPr>
        <w:t>)</w:t>
      </w:r>
      <w:r>
        <w:rPr>
          <w:color w:val="auto"/>
        </w:rPr>
        <w:t>费用增加，</w:t>
      </w:r>
      <w:r>
        <w:rPr>
          <w:rFonts w:hint="eastAsia"/>
          <w:color w:val="auto"/>
        </w:rPr>
        <w:t>由</w:t>
      </w:r>
      <w:r>
        <w:rPr>
          <w:color w:val="auto"/>
        </w:rPr>
        <w:t>承包人</w:t>
      </w:r>
      <w:r>
        <w:rPr>
          <w:rFonts w:hint="eastAsia"/>
          <w:color w:val="auto"/>
        </w:rPr>
        <w:t>承担</w:t>
      </w:r>
      <w:r>
        <w:rPr>
          <w:color w:val="auto"/>
        </w:rPr>
        <w:t>责任。</w:t>
      </w:r>
    </w:p>
    <w:p>
      <w:pPr>
        <w:adjustRightInd w:val="0"/>
        <w:snapToGrid w:val="0"/>
        <w:spacing w:before="0" w:beforeLines="0" w:after="0" w:line="360" w:lineRule="auto"/>
        <w:ind w:left="359"/>
        <w:rPr>
          <w:color w:val="auto"/>
        </w:rPr>
      </w:pPr>
      <w:r>
        <w:rPr>
          <w:b/>
          <w:color w:val="auto"/>
        </w:rPr>
        <w:t>18.3余泥渣土运输</w:t>
      </w:r>
      <w:r>
        <w:rPr>
          <w:rFonts w:hint="eastAsia"/>
          <w:b/>
          <w:color w:val="auto"/>
        </w:rPr>
        <w:t>分包</w:t>
      </w:r>
    </w:p>
    <w:p>
      <w:pPr>
        <w:tabs>
          <w:tab w:val="left" w:pos="1620"/>
          <w:tab w:val="left" w:pos="2340"/>
        </w:tabs>
        <w:adjustRightInd w:val="0"/>
        <w:snapToGrid w:val="0"/>
        <w:spacing w:beforeLines="0" w:after="0" w:line="360" w:lineRule="auto"/>
        <w:ind w:left="899"/>
        <w:rPr>
          <w:color w:val="auto"/>
        </w:rPr>
      </w:pPr>
      <w:r>
        <w:rPr>
          <w:rFonts w:hint="eastAsia"/>
          <w:color w:val="auto"/>
        </w:rPr>
        <w:t>⑴</w:t>
      </w:r>
      <w:r>
        <w:rPr>
          <w:color w:val="auto"/>
        </w:rPr>
        <w:t>承包人不</w:t>
      </w:r>
      <w:r>
        <w:rPr>
          <w:rFonts w:hint="eastAsia"/>
          <w:color w:val="auto"/>
        </w:rPr>
        <w:t>持有</w:t>
      </w:r>
      <w:r>
        <w:rPr>
          <w:color w:val="auto"/>
        </w:rPr>
        <w:t>第</w:t>
      </w:r>
      <w:r>
        <w:rPr>
          <w:rFonts w:hint="eastAsia"/>
          <w:color w:val="auto"/>
        </w:rPr>
        <w:t>18</w:t>
      </w:r>
      <w:r>
        <w:rPr>
          <w:color w:val="auto"/>
        </w:rPr>
        <w:t>.1款</w:t>
      </w:r>
      <w:r>
        <w:rPr>
          <w:rFonts w:hint="eastAsia"/>
          <w:color w:val="auto"/>
        </w:rPr>
        <w:t>相关</w:t>
      </w:r>
      <w:r>
        <w:rPr>
          <w:color w:val="auto"/>
        </w:rPr>
        <w:t>证件，</w:t>
      </w:r>
      <w:r>
        <w:rPr>
          <w:rFonts w:hint="eastAsia"/>
          <w:color w:val="auto"/>
        </w:rPr>
        <w:t>不具备</w:t>
      </w:r>
      <w:r>
        <w:rPr>
          <w:color w:val="auto"/>
        </w:rPr>
        <w:t>余泥渣土运输任务</w:t>
      </w:r>
      <w:r>
        <w:rPr>
          <w:rFonts w:hint="eastAsia"/>
          <w:color w:val="auto"/>
        </w:rPr>
        <w:t>能力的，</w:t>
      </w:r>
      <w:r>
        <w:rPr>
          <w:color w:val="auto"/>
        </w:rPr>
        <w:t>经发包人同意，承包人应将余泥渣土运输任务分包给符合第</w:t>
      </w:r>
      <w:r>
        <w:rPr>
          <w:rFonts w:hint="eastAsia"/>
          <w:color w:val="auto"/>
        </w:rPr>
        <w:t>18</w:t>
      </w:r>
      <w:r>
        <w:rPr>
          <w:color w:val="auto"/>
        </w:rPr>
        <w:t>.1款</w:t>
      </w:r>
      <w:r>
        <w:rPr>
          <w:rFonts w:hint="eastAsia"/>
          <w:color w:val="auto"/>
        </w:rPr>
        <w:t>相关</w:t>
      </w:r>
      <w:r>
        <w:rPr>
          <w:color w:val="auto"/>
        </w:rPr>
        <w:t>证件要求的专业运输单位</w:t>
      </w:r>
      <w:r>
        <w:rPr>
          <w:rFonts w:hint="eastAsia"/>
          <w:color w:val="auto"/>
        </w:rPr>
        <w:t>，并报</w:t>
      </w:r>
      <w:r>
        <w:rPr>
          <w:color w:val="auto"/>
        </w:rPr>
        <w:t>监理人</w:t>
      </w:r>
      <w:r>
        <w:rPr>
          <w:rFonts w:hint="eastAsia"/>
          <w:color w:val="auto"/>
        </w:rPr>
        <w:t>审核和</w:t>
      </w:r>
      <w:r>
        <w:rPr>
          <w:color w:val="auto"/>
        </w:rPr>
        <w:t>发包人</w:t>
      </w:r>
      <w:r>
        <w:rPr>
          <w:rFonts w:hint="eastAsia"/>
          <w:color w:val="auto"/>
        </w:rPr>
        <w:t>批准</w:t>
      </w:r>
      <w:r>
        <w:rPr>
          <w:color w:val="auto"/>
        </w:rPr>
        <w:t>。</w:t>
      </w:r>
    </w:p>
    <w:p>
      <w:pPr>
        <w:tabs>
          <w:tab w:val="left" w:pos="1620"/>
          <w:tab w:val="left" w:pos="2340"/>
        </w:tabs>
        <w:adjustRightInd w:val="0"/>
        <w:snapToGrid w:val="0"/>
        <w:spacing w:beforeLines="0" w:after="0" w:line="360" w:lineRule="auto"/>
        <w:ind w:left="899"/>
        <w:rPr>
          <w:color w:val="auto"/>
        </w:rPr>
      </w:pPr>
      <w:r>
        <w:rPr>
          <w:rFonts w:hint="eastAsia"/>
          <w:color w:val="auto"/>
        </w:rPr>
        <w:t>⑵</w:t>
      </w:r>
      <w:r>
        <w:rPr>
          <w:color w:val="auto"/>
        </w:rPr>
        <w:t>承包人应将余泥渣土运输分包合同</w:t>
      </w:r>
      <w:r>
        <w:rPr>
          <w:rFonts w:hint="eastAsia"/>
          <w:color w:val="auto"/>
        </w:rPr>
        <w:t>、专业运输单位和</w:t>
      </w:r>
      <w:r>
        <w:rPr>
          <w:color w:val="auto"/>
        </w:rPr>
        <w:t>余泥渣土运输</w:t>
      </w:r>
      <w:r>
        <w:rPr>
          <w:rFonts w:hint="eastAsia"/>
          <w:color w:val="auto"/>
        </w:rPr>
        <w:t>车辆的</w:t>
      </w:r>
      <w:r>
        <w:rPr>
          <w:color w:val="auto"/>
        </w:rPr>
        <w:t>相关资料送发包人和监理人</w:t>
      </w:r>
      <w:r>
        <w:rPr>
          <w:rFonts w:hint="eastAsia"/>
          <w:color w:val="auto"/>
        </w:rPr>
        <w:t>备案</w:t>
      </w:r>
      <w:r>
        <w:rPr>
          <w:color w:val="auto"/>
        </w:rPr>
        <w:t>。此审核并不免除承包人应承担的本合同</w:t>
      </w:r>
      <w:r>
        <w:rPr>
          <w:rFonts w:hint="eastAsia"/>
          <w:color w:val="auto"/>
        </w:rPr>
        <w:t>约定</w:t>
      </w:r>
      <w:r>
        <w:rPr>
          <w:color w:val="auto"/>
        </w:rPr>
        <w:t>义务。</w:t>
      </w:r>
    </w:p>
    <w:p>
      <w:pPr>
        <w:tabs>
          <w:tab w:val="left" w:pos="1620"/>
          <w:tab w:val="left" w:pos="2340"/>
        </w:tabs>
        <w:adjustRightInd w:val="0"/>
        <w:snapToGrid w:val="0"/>
        <w:spacing w:beforeLines="0" w:after="0" w:line="360" w:lineRule="auto"/>
        <w:ind w:left="899"/>
        <w:rPr>
          <w:color w:val="auto"/>
        </w:rPr>
      </w:pPr>
      <w:r>
        <w:rPr>
          <w:rFonts w:hint="eastAsia"/>
          <w:color w:val="auto"/>
        </w:rPr>
        <w:t>⑶</w:t>
      </w:r>
      <w:r>
        <w:rPr>
          <w:color w:val="auto"/>
        </w:rPr>
        <w:t>承包人将余泥渣土运输任务分包给不符合第</w:t>
      </w:r>
      <w:r>
        <w:rPr>
          <w:rFonts w:hint="eastAsia"/>
          <w:color w:val="auto"/>
        </w:rPr>
        <w:t>18</w:t>
      </w:r>
      <w:r>
        <w:rPr>
          <w:color w:val="auto"/>
        </w:rPr>
        <w:t>.1款</w:t>
      </w:r>
      <w:r>
        <w:rPr>
          <w:rFonts w:hint="eastAsia"/>
          <w:color w:val="auto"/>
        </w:rPr>
        <w:t>相关</w:t>
      </w:r>
      <w:r>
        <w:rPr>
          <w:color w:val="auto"/>
        </w:rPr>
        <w:t>证件要求的专业运输单位，应按照</w:t>
      </w:r>
      <w:r>
        <w:rPr>
          <w:b/>
          <w:i/>
          <w:color w:val="auto"/>
        </w:rPr>
        <w:t>专用条款</w:t>
      </w:r>
      <w:r>
        <w:rPr>
          <w:color w:val="auto"/>
        </w:rPr>
        <w:t>的约定承担违约责任。同时，上述违约行为导致的工期延误和</w:t>
      </w:r>
      <w:r>
        <w:rPr>
          <w:rFonts w:hint="eastAsia"/>
          <w:color w:val="auto"/>
        </w:rPr>
        <w:t>(</w:t>
      </w:r>
      <w:r>
        <w:rPr>
          <w:color w:val="auto"/>
        </w:rPr>
        <w:t>或</w:t>
      </w:r>
      <w:r>
        <w:rPr>
          <w:rFonts w:hint="eastAsia"/>
          <w:color w:val="auto"/>
        </w:rPr>
        <w:t>)</w:t>
      </w:r>
      <w:r>
        <w:rPr>
          <w:color w:val="auto"/>
        </w:rPr>
        <w:t>费用增加，</w:t>
      </w:r>
      <w:r>
        <w:rPr>
          <w:rFonts w:hint="eastAsia"/>
          <w:color w:val="auto"/>
        </w:rPr>
        <w:t>由</w:t>
      </w:r>
      <w:r>
        <w:rPr>
          <w:color w:val="auto"/>
        </w:rPr>
        <w:t>承包人</w:t>
      </w:r>
      <w:r>
        <w:rPr>
          <w:rFonts w:hint="eastAsia"/>
          <w:color w:val="auto"/>
        </w:rPr>
        <w:t>承担</w:t>
      </w:r>
      <w:r>
        <w:rPr>
          <w:color w:val="auto"/>
        </w:rPr>
        <w:t>责任。</w:t>
      </w:r>
    </w:p>
    <w:p>
      <w:pPr>
        <w:adjustRightInd w:val="0"/>
        <w:snapToGrid w:val="0"/>
        <w:spacing w:before="0" w:beforeLines="0" w:after="0" w:line="360" w:lineRule="auto"/>
        <w:ind w:left="359"/>
        <w:rPr>
          <w:color w:val="auto"/>
        </w:rPr>
      </w:pPr>
      <w:r>
        <w:rPr>
          <w:b/>
          <w:color w:val="auto"/>
        </w:rPr>
        <w:t>18.4余泥渣土运输</w:t>
      </w:r>
      <w:r>
        <w:rPr>
          <w:rFonts w:hint="eastAsia"/>
          <w:b/>
          <w:color w:val="auto"/>
        </w:rPr>
        <w:t>车辆保险</w:t>
      </w:r>
    </w:p>
    <w:p>
      <w:pPr>
        <w:tabs>
          <w:tab w:val="left" w:pos="1620"/>
          <w:tab w:val="left" w:pos="2340"/>
        </w:tabs>
        <w:adjustRightInd w:val="0"/>
        <w:snapToGrid w:val="0"/>
        <w:spacing w:beforeLines="0" w:after="0" w:line="360" w:lineRule="auto"/>
        <w:ind w:left="899"/>
        <w:rPr>
          <w:color w:val="auto"/>
        </w:rPr>
      </w:pPr>
      <w:r>
        <w:rPr>
          <w:rFonts w:hint="eastAsia"/>
          <w:color w:val="auto"/>
        </w:rPr>
        <w:t>⑴承担本工程</w:t>
      </w:r>
      <w:r>
        <w:rPr>
          <w:color w:val="auto"/>
        </w:rPr>
        <w:t>余泥渣土运输</w:t>
      </w:r>
      <w:r>
        <w:rPr>
          <w:rFonts w:hint="eastAsia"/>
          <w:color w:val="auto"/>
        </w:rPr>
        <w:t>任务的</w:t>
      </w:r>
      <w:r>
        <w:rPr>
          <w:color w:val="auto"/>
        </w:rPr>
        <w:t>车辆</w:t>
      </w:r>
      <w:r>
        <w:rPr>
          <w:rFonts w:hint="eastAsia"/>
          <w:color w:val="auto"/>
        </w:rPr>
        <w:t>应当向有关保险公司投保，并取得车辆保险单。如因未投保的</w:t>
      </w:r>
      <w:r>
        <w:rPr>
          <w:color w:val="auto"/>
        </w:rPr>
        <w:t>余泥渣土运输车辆</w:t>
      </w:r>
      <w:r>
        <w:rPr>
          <w:rFonts w:hint="eastAsia"/>
          <w:color w:val="auto"/>
        </w:rPr>
        <w:t>造成第三人财产损失和(或)人身伤亡，</w:t>
      </w:r>
      <w:r>
        <w:rPr>
          <w:color w:val="auto"/>
        </w:rPr>
        <w:t>余泥渣土运输车辆</w:t>
      </w:r>
      <w:r>
        <w:rPr>
          <w:rFonts w:hint="eastAsia"/>
          <w:color w:val="auto"/>
        </w:rPr>
        <w:t>所属专业运输单位应承担连带责任。</w:t>
      </w:r>
    </w:p>
    <w:p>
      <w:pPr>
        <w:tabs>
          <w:tab w:val="left" w:pos="1620"/>
          <w:tab w:val="left" w:pos="2340"/>
        </w:tabs>
        <w:adjustRightInd w:val="0"/>
        <w:snapToGrid w:val="0"/>
        <w:spacing w:beforeLines="0" w:after="0" w:line="360" w:lineRule="auto"/>
        <w:ind w:left="899"/>
        <w:rPr>
          <w:color w:val="auto"/>
        </w:rPr>
      </w:pPr>
      <w:r>
        <w:rPr>
          <w:rFonts w:hint="eastAsia"/>
          <w:color w:val="auto"/>
        </w:rPr>
        <w:t>⑵承包人</w:t>
      </w:r>
      <w:r>
        <w:rPr>
          <w:color w:val="auto"/>
        </w:rPr>
        <w:t>将余泥渣土运输任务分包</w:t>
      </w:r>
      <w:r>
        <w:rPr>
          <w:rFonts w:hint="eastAsia"/>
          <w:color w:val="auto"/>
        </w:rPr>
        <w:t>时</w:t>
      </w:r>
      <w:r>
        <w:rPr>
          <w:color w:val="auto"/>
        </w:rPr>
        <w:t>，承包人和车辆运输分包人应在余泥渣土运输分包合同中明确</w:t>
      </w:r>
      <w:r>
        <w:rPr>
          <w:rFonts w:hint="eastAsia"/>
          <w:color w:val="auto"/>
        </w:rPr>
        <w:t>本款所述的连带责任</w:t>
      </w:r>
      <w:r>
        <w:rPr>
          <w:color w:val="auto"/>
        </w:rPr>
        <w:t>。</w:t>
      </w:r>
    </w:p>
    <w:p>
      <w:pPr>
        <w:adjustRightInd w:val="0"/>
        <w:snapToGrid w:val="0"/>
        <w:spacing w:before="0" w:beforeLines="0" w:after="0" w:line="360" w:lineRule="auto"/>
        <w:ind w:left="359"/>
        <w:rPr>
          <w:color w:val="auto"/>
        </w:rPr>
      </w:pPr>
      <w:r>
        <w:rPr>
          <w:b/>
          <w:color w:val="auto"/>
        </w:rPr>
        <w:t>18.5余泥渣土运输车辆和</w:t>
      </w:r>
      <w:r>
        <w:rPr>
          <w:rFonts w:hint="eastAsia"/>
          <w:b/>
          <w:color w:val="auto"/>
        </w:rPr>
        <w:t>驾驶员</w:t>
      </w:r>
    </w:p>
    <w:p>
      <w:pPr>
        <w:tabs>
          <w:tab w:val="left" w:pos="1620"/>
          <w:tab w:val="left" w:pos="2340"/>
        </w:tabs>
        <w:adjustRightInd w:val="0"/>
        <w:snapToGrid w:val="0"/>
        <w:spacing w:beforeLines="0" w:after="0" w:line="360" w:lineRule="auto"/>
        <w:ind w:left="899"/>
        <w:rPr>
          <w:color w:val="auto"/>
        </w:rPr>
      </w:pPr>
      <w:r>
        <w:rPr>
          <w:rFonts w:hint="eastAsia"/>
          <w:color w:val="auto"/>
        </w:rPr>
        <w:t>⑴</w:t>
      </w:r>
      <w:r>
        <w:rPr>
          <w:color w:val="auto"/>
        </w:rPr>
        <w:t>承担本工程余泥渣土运输任务的车辆</w:t>
      </w:r>
      <w:r>
        <w:rPr>
          <w:rFonts w:hint="eastAsia"/>
          <w:color w:val="auto"/>
        </w:rPr>
        <w:t>和驾驶员</w:t>
      </w:r>
      <w:r>
        <w:rPr>
          <w:color w:val="auto"/>
        </w:rPr>
        <w:t>应当符合第</w:t>
      </w:r>
      <w:r>
        <w:rPr>
          <w:rFonts w:hint="eastAsia"/>
          <w:color w:val="auto"/>
        </w:rPr>
        <w:t>18</w:t>
      </w:r>
      <w:r>
        <w:rPr>
          <w:color w:val="auto"/>
        </w:rPr>
        <w:t>.1款</w:t>
      </w:r>
      <w:r>
        <w:rPr>
          <w:rFonts w:hint="eastAsia"/>
          <w:color w:val="auto"/>
        </w:rPr>
        <w:t>相关</w:t>
      </w:r>
      <w:r>
        <w:rPr>
          <w:color w:val="auto"/>
        </w:rPr>
        <w:t>证件要求</w:t>
      </w:r>
      <w:r>
        <w:rPr>
          <w:rFonts w:hint="eastAsia"/>
          <w:color w:val="auto"/>
        </w:rPr>
        <w:t>，同时车辆还应具有第18.4⑴款所要求的车辆保险单，车辆应为符合《常用重型货车(泥头车)数据信息对照表》外形数据的重型车辆。</w:t>
      </w:r>
    </w:p>
    <w:p>
      <w:pPr>
        <w:tabs>
          <w:tab w:val="left" w:pos="1620"/>
          <w:tab w:val="left" w:pos="2340"/>
        </w:tabs>
        <w:adjustRightInd w:val="0"/>
        <w:snapToGrid w:val="0"/>
        <w:spacing w:beforeLines="0" w:after="0" w:line="360" w:lineRule="auto"/>
        <w:ind w:left="899"/>
        <w:rPr>
          <w:color w:val="auto"/>
        </w:rPr>
      </w:pPr>
      <w:r>
        <w:rPr>
          <w:rFonts w:hint="eastAsia"/>
          <w:color w:val="auto"/>
        </w:rPr>
        <w:t>⑵承包人按18.2款自行完成</w:t>
      </w:r>
      <w:r>
        <w:rPr>
          <w:color w:val="auto"/>
        </w:rPr>
        <w:t>余泥渣土运输任务</w:t>
      </w:r>
      <w:r>
        <w:rPr>
          <w:rFonts w:hint="eastAsia"/>
          <w:color w:val="auto"/>
        </w:rPr>
        <w:t>时</w:t>
      </w:r>
      <w:r>
        <w:rPr>
          <w:color w:val="auto"/>
        </w:rPr>
        <w:t>，发包人和承包人应在</w:t>
      </w:r>
      <w:r>
        <w:rPr>
          <w:b/>
          <w:i/>
          <w:color w:val="auto"/>
        </w:rPr>
        <w:t>专用条款</w:t>
      </w:r>
      <w:r>
        <w:rPr>
          <w:color w:val="auto"/>
        </w:rPr>
        <w:t>中</w:t>
      </w:r>
      <w:r>
        <w:rPr>
          <w:rFonts w:hint="eastAsia"/>
          <w:color w:val="auto"/>
        </w:rPr>
        <w:t>载明所有参加本工程</w:t>
      </w:r>
      <w:r>
        <w:rPr>
          <w:color w:val="auto"/>
        </w:rPr>
        <w:t>余泥渣土运输车辆</w:t>
      </w:r>
      <w:r>
        <w:rPr>
          <w:rFonts w:hint="eastAsia"/>
          <w:color w:val="auto"/>
        </w:rPr>
        <w:t>的数量、证件、车牌号码、驾驶员姓名、驾驶证件等信息</w:t>
      </w:r>
      <w:r>
        <w:rPr>
          <w:color w:val="auto"/>
        </w:rPr>
        <w:t>。</w:t>
      </w:r>
    </w:p>
    <w:p>
      <w:pPr>
        <w:tabs>
          <w:tab w:val="left" w:pos="1620"/>
          <w:tab w:val="left" w:pos="2340"/>
        </w:tabs>
        <w:adjustRightInd w:val="0"/>
        <w:snapToGrid w:val="0"/>
        <w:spacing w:beforeLines="0" w:after="0" w:line="360" w:lineRule="auto"/>
        <w:ind w:left="899"/>
        <w:rPr>
          <w:color w:val="auto"/>
        </w:rPr>
      </w:pPr>
      <w:r>
        <w:rPr>
          <w:rFonts w:hint="eastAsia"/>
          <w:color w:val="auto"/>
        </w:rPr>
        <w:t>⑶承包人按18.3款</w:t>
      </w:r>
      <w:r>
        <w:rPr>
          <w:color w:val="auto"/>
        </w:rPr>
        <w:t>将余泥渣土运输任务分包</w:t>
      </w:r>
      <w:r>
        <w:rPr>
          <w:rFonts w:hint="eastAsia"/>
          <w:color w:val="auto"/>
        </w:rPr>
        <w:t>时</w:t>
      </w:r>
      <w:r>
        <w:rPr>
          <w:color w:val="auto"/>
        </w:rPr>
        <w:t>，承包人和运输分包人应在余泥渣土运输分包合同中</w:t>
      </w:r>
      <w:r>
        <w:rPr>
          <w:rFonts w:hint="eastAsia"/>
          <w:color w:val="auto"/>
        </w:rPr>
        <w:t>载明所有参加本工程</w:t>
      </w:r>
      <w:r>
        <w:rPr>
          <w:color w:val="auto"/>
        </w:rPr>
        <w:t>余泥渣土运输车辆</w:t>
      </w:r>
      <w:r>
        <w:rPr>
          <w:rFonts w:hint="eastAsia"/>
          <w:color w:val="auto"/>
        </w:rPr>
        <w:t>的数量、证件、车牌号码、驾驶员姓名、驾驶证件等信息，并将名单报</w:t>
      </w:r>
      <w:r>
        <w:rPr>
          <w:color w:val="auto"/>
        </w:rPr>
        <w:t>监理人</w:t>
      </w:r>
      <w:r>
        <w:rPr>
          <w:rFonts w:hint="eastAsia"/>
          <w:color w:val="auto"/>
        </w:rPr>
        <w:t>备案。</w:t>
      </w:r>
    </w:p>
    <w:p>
      <w:pPr>
        <w:tabs>
          <w:tab w:val="left" w:pos="1620"/>
          <w:tab w:val="left" w:pos="2340"/>
        </w:tabs>
        <w:adjustRightInd w:val="0"/>
        <w:snapToGrid w:val="0"/>
        <w:spacing w:beforeLines="0" w:after="0" w:line="360" w:lineRule="auto"/>
        <w:ind w:left="899"/>
        <w:rPr>
          <w:color w:val="auto"/>
        </w:rPr>
      </w:pPr>
      <w:r>
        <w:rPr>
          <w:rFonts w:hint="eastAsia"/>
          <w:color w:val="auto"/>
        </w:rPr>
        <w:t>⑷</w:t>
      </w:r>
      <w:r>
        <w:rPr>
          <w:color w:val="auto"/>
        </w:rPr>
        <w:t>对上述情形，如需改变已提交的车辆和驾驶员名单，承包人或运输分包人应在确定改变前7</w:t>
      </w:r>
      <w:r>
        <w:rPr>
          <w:rFonts w:hint="eastAsia"/>
          <w:color w:val="auto"/>
        </w:rPr>
        <w:t>天</w:t>
      </w:r>
      <w:r>
        <w:rPr>
          <w:color w:val="auto"/>
        </w:rPr>
        <w:t>将拟改变的名单提交监理人审核确认。</w:t>
      </w:r>
    </w:p>
    <w:p>
      <w:pPr>
        <w:tabs>
          <w:tab w:val="left" w:pos="1620"/>
          <w:tab w:val="left" w:pos="2340"/>
        </w:tabs>
        <w:adjustRightInd w:val="0"/>
        <w:snapToGrid w:val="0"/>
        <w:spacing w:beforeLines="0" w:after="0" w:line="360" w:lineRule="auto"/>
        <w:ind w:left="899"/>
        <w:rPr>
          <w:color w:val="auto"/>
        </w:rPr>
      </w:pPr>
      <w:r>
        <w:rPr>
          <w:rFonts w:hint="eastAsia"/>
          <w:color w:val="auto"/>
        </w:rPr>
        <w:t>⑸</w:t>
      </w:r>
      <w:r>
        <w:rPr>
          <w:color w:val="auto"/>
        </w:rPr>
        <w:t>若承包人违反</w:t>
      </w:r>
      <w:r>
        <w:rPr>
          <w:rFonts w:hint="eastAsia"/>
          <w:color w:val="auto"/>
        </w:rPr>
        <w:t>本款</w:t>
      </w:r>
      <w:r>
        <w:rPr>
          <w:color w:val="auto"/>
        </w:rPr>
        <w:t>规定，应承担</w:t>
      </w:r>
      <w:r>
        <w:rPr>
          <w:b/>
          <w:i/>
          <w:color w:val="auto"/>
        </w:rPr>
        <w:t>专用条款</w:t>
      </w:r>
      <w:r>
        <w:rPr>
          <w:color w:val="auto"/>
        </w:rPr>
        <w:t>中约定的违约责任；对于车辆运输分包人违反上述规定，承包人亦应在运输分包合同中约定此违约责任</w:t>
      </w:r>
      <w:r>
        <w:rPr>
          <w:rFonts w:hint="eastAsia"/>
          <w:color w:val="auto"/>
        </w:rPr>
        <w:t>，并承担连带责任</w:t>
      </w:r>
      <w:r>
        <w:rPr>
          <w:color w:val="auto"/>
        </w:rPr>
        <w:t>。</w:t>
      </w:r>
    </w:p>
    <w:p>
      <w:pPr>
        <w:adjustRightInd w:val="0"/>
        <w:snapToGrid w:val="0"/>
        <w:spacing w:before="0" w:beforeLines="0" w:after="0" w:line="360" w:lineRule="auto"/>
        <w:ind w:left="359"/>
        <w:rPr>
          <w:color w:val="auto"/>
        </w:rPr>
      </w:pPr>
      <w:r>
        <w:rPr>
          <w:b/>
          <w:color w:val="auto"/>
        </w:rPr>
        <w:t>18.6</w:t>
      </w:r>
      <w:r>
        <w:rPr>
          <w:rFonts w:hint="eastAsia"/>
          <w:b/>
          <w:color w:val="auto"/>
        </w:rPr>
        <w:t>专职检查人员</w:t>
      </w:r>
    </w:p>
    <w:p>
      <w:pPr>
        <w:tabs>
          <w:tab w:val="left" w:pos="1620"/>
          <w:tab w:val="left" w:pos="2340"/>
        </w:tabs>
        <w:adjustRightInd w:val="0"/>
        <w:snapToGrid w:val="0"/>
        <w:spacing w:beforeLines="0" w:after="0" w:line="360" w:lineRule="auto"/>
        <w:ind w:left="899"/>
        <w:rPr>
          <w:color w:val="auto"/>
        </w:rPr>
      </w:pPr>
      <w:r>
        <w:rPr>
          <w:color w:val="auto"/>
        </w:rPr>
        <w:t>承包人应安排专职检查人员对余泥渣土运输车辆和专职驾驶员依</w:t>
      </w:r>
      <w:r>
        <w:rPr>
          <w:rFonts w:hint="eastAsia"/>
          <w:color w:val="auto"/>
        </w:rPr>
        <w:t>本</w:t>
      </w:r>
      <w:r>
        <w:rPr>
          <w:color w:val="auto"/>
        </w:rPr>
        <w:t>合同约定的内容进行检查。对违反合同约定的检查结果，承包人应责令相关方限期整改。整改期间，整改所涉余泥渣土运输车辆不得承担本工程约定的运输任务。承包人安排的专职检查人员和检查内容在</w:t>
      </w:r>
      <w:r>
        <w:rPr>
          <w:b/>
          <w:i/>
          <w:color w:val="auto"/>
        </w:rPr>
        <w:t>专用条款</w:t>
      </w:r>
      <w:r>
        <w:rPr>
          <w:color w:val="auto"/>
        </w:rPr>
        <w:t>中明确。</w:t>
      </w:r>
    </w:p>
    <w:p>
      <w:pPr>
        <w:adjustRightInd w:val="0"/>
        <w:snapToGrid w:val="0"/>
        <w:spacing w:before="0" w:beforeLines="0" w:after="0" w:line="360" w:lineRule="auto"/>
        <w:ind w:left="359"/>
        <w:rPr>
          <w:color w:val="auto"/>
        </w:rPr>
      </w:pPr>
      <w:r>
        <w:rPr>
          <w:b/>
          <w:color w:val="auto"/>
        </w:rPr>
        <w:t>18.7余泥渣土</w:t>
      </w:r>
      <w:r>
        <w:rPr>
          <w:rFonts w:hint="eastAsia"/>
          <w:b/>
          <w:color w:val="auto"/>
        </w:rPr>
        <w:t>安全文明运输</w:t>
      </w:r>
    </w:p>
    <w:p>
      <w:pPr>
        <w:tabs>
          <w:tab w:val="left" w:pos="1620"/>
          <w:tab w:val="left" w:pos="2340"/>
        </w:tabs>
        <w:adjustRightInd w:val="0"/>
        <w:snapToGrid w:val="0"/>
        <w:spacing w:beforeLines="0" w:after="0" w:line="360" w:lineRule="auto"/>
        <w:ind w:left="899"/>
        <w:rPr>
          <w:color w:val="auto"/>
        </w:rPr>
      </w:pPr>
      <w:r>
        <w:rPr>
          <w:color w:val="auto"/>
        </w:rPr>
        <w:t>承包人对余泥渣土运输车辆在离开施工现场前核查是否存在超载、车盖密封不严等违反城市道路管理、环境保护等相关规定及安全隐患的问题。如发现上述问题，承包人应指派专职检查人员责令相关方采取纠正措施至符合相关规定和(或)合同约定。对存在问题拒不纠正或纠正仍不符合相关规定和(或)合同约定的，该专职检查人员不得放行其离开施工现场，并立即通知项目经理和余泥渣土运输分包人(如有)。若承包人对本款发现的问题拒不履行合同义务，将承担</w:t>
      </w:r>
      <w:r>
        <w:rPr>
          <w:b/>
          <w:i/>
          <w:color w:val="auto"/>
        </w:rPr>
        <w:t>专用条款</w:t>
      </w:r>
      <w:r>
        <w:rPr>
          <w:color w:val="auto"/>
        </w:rPr>
        <w:t>约定的违约责任</w:t>
      </w:r>
      <w:r>
        <w:rPr>
          <w:rFonts w:hint="eastAsia"/>
          <w:color w:val="auto"/>
        </w:rPr>
        <w:t>。</w:t>
      </w:r>
    </w:p>
    <w:p>
      <w:pPr>
        <w:adjustRightInd w:val="0"/>
        <w:snapToGrid w:val="0"/>
        <w:spacing w:before="0" w:beforeLines="0" w:after="0" w:line="360" w:lineRule="auto"/>
        <w:ind w:left="359"/>
        <w:rPr>
          <w:color w:val="auto"/>
        </w:rPr>
      </w:pPr>
      <w:r>
        <w:rPr>
          <w:b/>
          <w:color w:val="auto"/>
        </w:rPr>
        <w:t>18.8</w:t>
      </w:r>
      <w:r>
        <w:rPr>
          <w:rFonts w:hint="eastAsia"/>
          <w:b/>
          <w:color w:val="auto"/>
        </w:rPr>
        <w:t>检查纠正责任</w:t>
      </w:r>
    </w:p>
    <w:p>
      <w:pPr>
        <w:tabs>
          <w:tab w:val="left" w:pos="1620"/>
          <w:tab w:val="left" w:pos="2340"/>
        </w:tabs>
        <w:adjustRightInd w:val="0"/>
        <w:snapToGrid w:val="0"/>
        <w:spacing w:beforeLines="0" w:after="0" w:line="360" w:lineRule="auto"/>
        <w:ind w:left="899"/>
        <w:rPr>
          <w:color w:val="auto"/>
        </w:rPr>
      </w:pPr>
      <w:r>
        <w:rPr>
          <w:color w:val="auto"/>
        </w:rPr>
        <w:t>承包人应对</w:t>
      </w:r>
      <w:r>
        <w:rPr>
          <w:rFonts w:hint="eastAsia"/>
          <w:color w:val="auto"/>
        </w:rPr>
        <w:t>18</w:t>
      </w:r>
      <w:r>
        <w:rPr>
          <w:color w:val="auto"/>
        </w:rPr>
        <w:t>.</w:t>
      </w:r>
      <w:r>
        <w:rPr>
          <w:rFonts w:hint="eastAsia"/>
          <w:color w:val="auto"/>
        </w:rPr>
        <w:t>6</w:t>
      </w:r>
      <w:r>
        <w:rPr>
          <w:color w:val="auto"/>
        </w:rPr>
        <w:t>款和</w:t>
      </w:r>
      <w:r>
        <w:rPr>
          <w:rFonts w:hint="eastAsia"/>
          <w:color w:val="auto"/>
        </w:rPr>
        <w:t>18</w:t>
      </w:r>
      <w:r>
        <w:rPr>
          <w:color w:val="auto"/>
        </w:rPr>
        <w:t>.</w:t>
      </w:r>
      <w:r>
        <w:rPr>
          <w:rFonts w:hint="eastAsia"/>
          <w:color w:val="auto"/>
        </w:rPr>
        <w:t>7</w:t>
      </w:r>
      <w:r>
        <w:rPr>
          <w:color w:val="auto"/>
        </w:rPr>
        <w:t>款约定的检查纠正工作制定专项工作程序，并监督和督促专职检查人员认真履行合同约定的职责。此项监督和督促并不免除承包人应承担的本合同义务。若承包人指定的专职检查人员</w:t>
      </w:r>
      <w:r>
        <w:rPr>
          <w:rFonts w:hint="eastAsia"/>
          <w:color w:val="auto"/>
        </w:rPr>
        <w:t>未履行</w:t>
      </w:r>
      <w:r>
        <w:rPr>
          <w:color w:val="auto"/>
        </w:rPr>
        <w:t>合同约定的检查纠正职责，承包人应承担</w:t>
      </w:r>
      <w:r>
        <w:rPr>
          <w:b/>
          <w:i/>
          <w:color w:val="auto"/>
        </w:rPr>
        <w:t>专用条款</w:t>
      </w:r>
      <w:r>
        <w:rPr>
          <w:color w:val="auto"/>
        </w:rPr>
        <w:t>约定的违约责任。</w:t>
      </w:r>
    </w:p>
    <w:p>
      <w:pPr>
        <w:adjustRightInd w:val="0"/>
        <w:snapToGrid w:val="0"/>
        <w:spacing w:before="0" w:beforeLines="0" w:after="0" w:line="360" w:lineRule="auto"/>
        <w:ind w:left="178"/>
        <w:rPr>
          <w:color w:val="auto"/>
          <w:sz w:val="28"/>
        </w:rPr>
      </w:pPr>
      <w:r>
        <w:rPr>
          <w:b/>
          <w:color w:val="auto"/>
          <w:sz w:val="28"/>
        </w:rPr>
        <w:t>19</w:t>
      </w:r>
      <w:r>
        <w:rPr>
          <w:rFonts w:hint="eastAsia"/>
          <w:b/>
          <w:color w:val="auto"/>
          <w:sz w:val="28"/>
        </w:rPr>
        <w:t>工程的保护</w:t>
      </w:r>
    </w:p>
    <w:p>
      <w:pPr>
        <w:adjustRightInd w:val="0"/>
        <w:snapToGrid w:val="0"/>
        <w:spacing w:before="0" w:beforeLines="0" w:after="0" w:line="360" w:lineRule="auto"/>
        <w:ind w:left="359"/>
        <w:rPr>
          <w:color w:val="auto"/>
        </w:rPr>
      </w:pPr>
      <w:r>
        <w:rPr>
          <w:b/>
          <w:color w:val="auto"/>
        </w:rPr>
        <w:t>19.1</w:t>
      </w:r>
      <w:r>
        <w:rPr>
          <w:rFonts w:hint="eastAsia"/>
          <w:b/>
          <w:color w:val="auto"/>
        </w:rPr>
        <w:t>工程的保护</w:t>
      </w:r>
    </w:p>
    <w:p>
      <w:pPr>
        <w:tabs>
          <w:tab w:val="left" w:pos="1620"/>
          <w:tab w:val="left" w:pos="2340"/>
        </w:tabs>
        <w:adjustRightInd w:val="0"/>
        <w:snapToGrid w:val="0"/>
        <w:spacing w:beforeLines="0" w:after="0" w:line="360" w:lineRule="auto"/>
        <w:ind w:left="899"/>
        <w:rPr>
          <w:color w:val="auto"/>
        </w:rPr>
      </w:pPr>
      <w:r>
        <w:rPr>
          <w:rFonts w:hint="eastAsia"/>
          <w:color w:val="auto"/>
        </w:rPr>
        <w:t>⑴从开工之日起，承包人应全面负责照管本工程及将用于和安装在本工程中的材料、设备，直到本工程交接证书签发之日止。此后，上述照管责任即交给发包人。如在整个工程交接证书颁发前，已就其中任何单项工程颁发了交接证书，则从交接证书签发之日起承包人无须对该单项工程负责保护，而转由发包人负责。但是，承包人对其在缺陷责任期内承担的尚未完成的工程和将用于和安装在工程中的材料、设备的照管负责，直到该工程完工为止。</w:t>
      </w:r>
    </w:p>
    <w:p>
      <w:pPr>
        <w:tabs>
          <w:tab w:val="left" w:pos="1620"/>
          <w:tab w:val="left" w:pos="2340"/>
        </w:tabs>
        <w:adjustRightInd w:val="0"/>
        <w:snapToGrid w:val="0"/>
        <w:spacing w:beforeLines="0" w:after="0" w:line="360" w:lineRule="auto"/>
        <w:ind w:left="899"/>
        <w:rPr>
          <w:color w:val="auto"/>
        </w:rPr>
      </w:pPr>
      <w:r>
        <w:rPr>
          <w:rFonts w:hint="eastAsia"/>
          <w:color w:val="auto"/>
        </w:rPr>
        <w:t>⑵本款所述照管责任是指照管责任人应对因丢失、盗失、毁损等行为引起的材料、设备使用状态和存在状态不符合合同约定承担修复、赔偿、损失自担等责任。</w:t>
      </w:r>
    </w:p>
    <w:p>
      <w:pPr>
        <w:adjustRightInd w:val="0"/>
        <w:snapToGrid w:val="0"/>
        <w:spacing w:before="0" w:beforeLines="0" w:after="0" w:line="360" w:lineRule="auto"/>
        <w:ind w:left="359"/>
        <w:rPr>
          <w:color w:val="auto"/>
        </w:rPr>
      </w:pPr>
      <w:r>
        <w:rPr>
          <w:b/>
          <w:color w:val="auto"/>
        </w:rPr>
        <w:t>19.2</w:t>
      </w:r>
      <w:r>
        <w:rPr>
          <w:rFonts w:hint="eastAsia"/>
          <w:b/>
          <w:color w:val="auto"/>
        </w:rPr>
        <w:t>成品、半成品保护</w:t>
      </w:r>
    </w:p>
    <w:p>
      <w:pPr>
        <w:tabs>
          <w:tab w:val="left" w:pos="1620"/>
          <w:tab w:val="left" w:pos="2340"/>
        </w:tabs>
        <w:adjustRightInd w:val="0"/>
        <w:snapToGrid w:val="0"/>
        <w:spacing w:beforeLines="0" w:after="0" w:line="360" w:lineRule="auto"/>
        <w:ind w:left="899"/>
        <w:rPr>
          <w:color w:val="auto"/>
        </w:rPr>
      </w:pPr>
      <w:r>
        <w:rPr>
          <w:rFonts w:hint="eastAsia"/>
          <w:color w:val="auto"/>
        </w:rPr>
        <w:t>对工程中分期完成的成品、半成品，在工程竣工移交前，承包人负保护责任，任何其他分包人对其使用或在其基础上施工，必须得到承包人的许可。对</w:t>
      </w:r>
      <w:r>
        <w:rPr>
          <w:color w:val="auto"/>
        </w:rPr>
        <w:t>监理人</w:t>
      </w:r>
      <w:r>
        <w:rPr>
          <w:rFonts w:hint="eastAsia"/>
          <w:color w:val="auto"/>
        </w:rPr>
        <w:t>确认因承包人保护措施不当造成的损坏，由承包人负责修复；对分包人在施工过程中造成的损坏由责任人负责修复。</w:t>
      </w:r>
    </w:p>
    <w:p>
      <w:pPr>
        <w:adjustRightInd w:val="0"/>
        <w:snapToGrid w:val="0"/>
        <w:spacing w:before="0" w:beforeLines="0" w:after="0" w:line="360" w:lineRule="auto"/>
        <w:ind w:left="359"/>
        <w:rPr>
          <w:color w:val="auto"/>
        </w:rPr>
      </w:pPr>
      <w:r>
        <w:rPr>
          <w:b/>
          <w:color w:val="auto"/>
        </w:rPr>
        <w:t>19.3</w:t>
      </w:r>
      <w:r>
        <w:rPr>
          <w:rFonts w:hint="eastAsia"/>
          <w:b/>
          <w:color w:val="auto"/>
        </w:rPr>
        <w:t>工程的修复</w:t>
      </w:r>
    </w:p>
    <w:p>
      <w:pPr>
        <w:tabs>
          <w:tab w:val="left" w:pos="1620"/>
          <w:tab w:val="left" w:pos="2340"/>
        </w:tabs>
        <w:adjustRightInd w:val="0"/>
        <w:snapToGrid w:val="0"/>
        <w:spacing w:beforeLines="0" w:after="0" w:line="360" w:lineRule="auto"/>
        <w:ind w:left="899"/>
        <w:rPr>
          <w:color w:val="auto"/>
        </w:rPr>
      </w:pPr>
      <w:r>
        <w:rPr>
          <w:rFonts w:hint="eastAsia"/>
          <w:color w:val="auto"/>
        </w:rPr>
        <w:t>承包人在负责照管期间，如因承包人自身或(和)第三方原因造成本工程或其任何部分，以及材料、设备、装备、临时工程的毁损，承包人均应自费弥补上述损坏、损失或损伤，以使工程在各方面都符合合同约定的标准。</w:t>
      </w:r>
    </w:p>
    <w:p>
      <w:pPr>
        <w:adjustRightInd w:val="0"/>
        <w:snapToGrid w:val="0"/>
        <w:spacing w:before="0" w:beforeLines="0" w:after="0" w:line="360" w:lineRule="auto"/>
        <w:ind w:left="178"/>
        <w:rPr>
          <w:color w:val="auto"/>
          <w:sz w:val="28"/>
        </w:rPr>
      </w:pPr>
      <w:r>
        <w:rPr>
          <w:b/>
          <w:color w:val="auto"/>
          <w:sz w:val="28"/>
        </w:rPr>
        <w:t>20</w:t>
      </w:r>
      <w:r>
        <w:rPr>
          <w:rFonts w:hint="eastAsia"/>
          <w:b/>
          <w:color w:val="auto"/>
          <w:sz w:val="28"/>
        </w:rPr>
        <w:t>合同价格的确定和调整</w:t>
      </w:r>
    </w:p>
    <w:p>
      <w:pPr>
        <w:adjustRightInd w:val="0"/>
        <w:snapToGrid w:val="0"/>
        <w:spacing w:before="0" w:beforeLines="0" w:after="0" w:line="360" w:lineRule="auto"/>
        <w:ind w:left="359"/>
        <w:rPr>
          <w:color w:val="auto"/>
        </w:rPr>
      </w:pPr>
      <w:r>
        <w:rPr>
          <w:b/>
          <w:color w:val="auto"/>
        </w:rPr>
        <w:t>20.1</w:t>
      </w:r>
      <w:r>
        <w:rPr>
          <w:rFonts w:hint="eastAsia"/>
          <w:b/>
          <w:color w:val="auto"/>
        </w:rPr>
        <w:t>签约合同价的确定</w:t>
      </w:r>
    </w:p>
    <w:p>
      <w:pPr>
        <w:tabs>
          <w:tab w:val="left" w:pos="1620"/>
          <w:tab w:val="left" w:pos="2340"/>
        </w:tabs>
        <w:adjustRightInd w:val="0"/>
        <w:snapToGrid w:val="0"/>
        <w:spacing w:beforeLines="0" w:after="0" w:line="360" w:lineRule="auto"/>
        <w:ind w:left="899"/>
        <w:rPr>
          <w:color w:val="auto"/>
        </w:rPr>
      </w:pPr>
      <w:r>
        <w:rPr>
          <w:rFonts w:hint="eastAsia"/>
          <w:color w:val="auto"/>
        </w:rPr>
        <w:t>⑴本工程签约合同价由发包人和承包人依据中标通知书中的中标价(即承包人的投标报价)在本合同协议书中约定。签约合同价在本合同协议书中约定后，任何一方不得擅自改变。</w:t>
      </w:r>
    </w:p>
    <w:p>
      <w:pPr>
        <w:tabs>
          <w:tab w:val="left" w:pos="1620"/>
          <w:tab w:val="left" w:pos="2340"/>
        </w:tabs>
        <w:adjustRightInd w:val="0"/>
        <w:snapToGrid w:val="0"/>
        <w:spacing w:beforeLines="0" w:after="0" w:line="360" w:lineRule="auto"/>
        <w:ind w:left="899"/>
        <w:rPr>
          <w:color w:val="auto"/>
        </w:rPr>
      </w:pPr>
      <w:r>
        <w:rPr>
          <w:rFonts w:hint="eastAsia"/>
          <w:color w:val="auto"/>
        </w:rPr>
        <w:t>⑵本合同采用</w:t>
      </w:r>
      <w:r>
        <w:rPr>
          <w:rFonts w:hint="eastAsia"/>
          <w:b/>
          <w:color w:val="auto"/>
        </w:rPr>
        <w:t>固定单价</w:t>
      </w:r>
      <w:r>
        <w:rPr>
          <w:rFonts w:hint="eastAsia"/>
          <w:color w:val="auto"/>
        </w:rPr>
        <w:t>的合同形式。承包人投标报价中的</w:t>
      </w:r>
      <w:r>
        <w:rPr>
          <w:rFonts w:hint="eastAsia"/>
          <w:color w:val="auto"/>
          <w:szCs w:val="21"/>
        </w:rPr>
        <w:t>工程量清单项目单价</w:t>
      </w:r>
      <w:r>
        <w:rPr>
          <w:rFonts w:hint="eastAsia"/>
          <w:color w:val="auto"/>
        </w:rPr>
        <w:t>即为构成签约合同价的项目单价。除本合同另有约定，构成签约合同价的项目单价一经发包人和承包人签订合同确定后不作调整。</w:t>
      </w:r>
    </w:p>
    <w:p>
      <w:pPr>
        <w:tabs>
          <w:tab w:val="left" w:pos="1620"/>
          <w:tab w:val="left" w:pos="2340"/>
        </w:tabs>
        <w:adjustRightInd w:val="0"/>
        <w:snapToGrid w:val="0"/>
        <w:spacing w:beforeLines="0" w:after="0" w:line="360" w:lineRule="auto"/>
        <w:ind w:left="899"/>
        <w:rPr>
          <w:color w:val="auto"/>
        </w:rPr>
      </w:pPr>
      <w:r>
        <w:rPr>
          <w:rFonts w:hint="eastAsia"/>
          <w:color w:val="auto"/>
        </w:rPr>
        <w:t>⑶</w:t>
      </w:r>
      <w:r>
        <w:rPr>
          <w:color w:val="auto"/>
        </w:rPr>
        <w:t>承发包双方应在</w:t>
      </w:r>
      <w:r>
        <w:rPr>
          <w:b/>
          <w:i/>
          <w:color w:val="auto"/>
        </w:rPr>
        <w:t>专用条款</w:t>
      </w:r>
      <w:r>
        <w:rPr>
          <w:color w:val="auto"/>
        </w:rPr>
        <w:t>中约定综合单价包含的风险范围</w:t>
      </w:r>
      <w:r>
        <w:rPr>
          <w:rFonts w:hint="eastAsia"/>
          <w:color w:val="auto"/>
        </w:rPr>
        <w:t>。</w:t>
      </w:r>
    </w:p>
    <w:p>
      <w:pPr>
        <w:tabs>
          <w:tab w:val="left" w:pos="1620"/>
          <w:tab w:val="left" w:pos="2340"/>
        </w:tabs>
        <w:adjustRightInd w:val="0"/>
        <w:snapToGrid w:val="0"/>
        <w:spacing w:beforeLines="0" w:after="0" w:line="360" w:lineRule="auto"/>
        <w:ind w:left="899"/>
        <w:rPr>
          <w:color w:val="auto"/>
        </w:rPr>
      </w:pPr>
      <w:r>
        <w:rPr>
          <w:rFonts w:hint="eastAsia"/>
          <w:color w:val="auto"/>
        </w:rPr>
        <w:t>⑷除合同另有约定以外，按照国家现行税法和有关部门现行规定，承包人或其分包人需缴纳的一切税金和费用，均应由承包人或其分包人承担并支付。</w:t>
      </w:r>
    </w:p>
    <w:p>
      <w:pPr>
        <w:adjustRightInd w:val="0"/>
        <w:snapToGrid w:val="0"/>
        <w:spacing w:before="0" w:beforeLines="0" w:after="0" w:line="360" w:lineRule="auto"/>
        <w:ind w:left="359"/>
        <w:rPr>
          <w:color w:val="auto"/>
        </w:rPr>
      </w:pPr>
      <w:r>
        <w:rPr>
          <w:b/>
          <w:color w:val="auto"/>
        </w:rPr>
        <w:t>20.2</w:t>
      </w:r>
      <w:r>
        <w:rPr>
          <w:rFonts w:hint="eastAsia"/>
          <w:b/>
          <w:color w:val="auto"/>
        </w:rPr>
        <w:t>合同价格的调整</w:t>
      </w:r>
    </w:p>
    <w:p>
      <w:pPr>
        <w:tabs>
          <w:tab w:val="left" w:pos="1620"/>
          <w:tab w:val="left" w:pos="2340"/>
        </w:tabs>
        <w:adjustRightInd w:val="0"/>
        <w:snapToGrid w:val="0"/>
        <w:spacing w:before="0" w:beforeLines="0" w:line="360" w:lineRule="auto"/>
        <w:ind w:left="899"/>
        <w:rPr>
          <w:color w:val="auto"/>
        </w:rPr>
      </w:pPr>
      <w:r>
        <w:rPr>
          <w:rFonts w:hint="eastAsia"/>
          <w:color w:val="auto"/>
        </w:rPr>
        <w:t>发生以下情形，合同价格可作调整：</w:t>
      </w:r>
    </w:p>
    <w:p>
      <w:pPr>
        <w:tabs>
          <w:tab w:val="left" w:pos="1620"/>
          <w:tab w:val="left" w:pos="2340"/>
        </w:tabs>
        <w:adjustRightInd w:val="0"/>
        <w:snapToGrid w:val="0"/>
        <w:spacing w:beforeLines="0" w:line="360" w:lineRule="auto"/>
        <w:ind w:left="1079"/>
        <w:rPr>
          <w:color w:val="auto"/>
        </w:rPr>
      </w:pPr>
      <w:r>
        <w:rPr>
          <w:rFonts w:hint="eastAsia"/>
          <w:color w:val="auto"/>
        </w:rPr>
        <w:t>⑴按照第13条确定的提前竣工、延期竣工及赶工补偿；</w:t>
      </w:r>
    </w:p>
    <w:p>
      <w:pPr>
        <w:tabs>
          <w:tab w:val="left" w:pos="1620"/>
          <w:tab w:val="left" w:pos="2340"/>
        </w:tabs>
        <w:adjustRightInd w:val="0"/>
        <w:snapToGrid w:val="0"/>
        <w:spacing w:beforeLines="0" w:line="360" w:lineRule="auto"/>
        <w:ind w:left="1079"/>
        <w:rPr>
          <w:color w:val="auto"/>
        </w:rPr>
      </w:pPr>
      <w:r>
        <w:rPr>
          <w:rFonts w:hint="eastAsia"/>
          <w:color w:val="auto"/>
        </w:rPr>
        <w:t>⑵按照第20.3款确定的法律、法规的变化；</w:t>
      </w:r>
    </w:p>
    <w:p>
      <w:pPr>
        <w:tabs>
          <w:tab w:val="left" w:pos="1620"/>
          <w:tab w:val="left" w:pos="2340"/>
        </w:tabs>
        <w:adjustRightInd w:val="0"/>
        <w:snapToGrid w:val="0"/>
        <w:spacing w:beforeLines="0" w:line="360" w:lineRule="auto"/>
        <w:ind w:left="1079"/>
        <w:rPr>
          <w:color w:val="auto"/>
        </w:rPr>
      </w:pPr>
      <w:r>
        <w:rPr>
          <w:rFonts w:hint="eastAsia"/>
          <w:color w:val="auto"/>
        </w:rPr>
        <w:t>⑶按照第20.4款确定工料机调差；</w:t>
      </w:r>
    </w:p>
    <w:p>
      <w:pPr>
        <w:tabs>
          <w:tab w:val="left" w:pos="1620"/>
          <w:tab w:val="left" w:pos="2340"/>
        </w:tabs>
        <w:adjustRightInd w:val="0"/>
        <w:snapToGrid w:val="0"/>
        <w:spacing w:beforeLines="0" w:line="360" w:lineRule="auto"/>
        <w:ind w:left="1079"/>
        <w:rPr>
          <w:color w:val="auto"/>
        </w:rPr>
      </w:pPr>
      <w:r>
        <w:rPr>
          <w:rFonts w:hint="eastAsia"/>
          <w:color w:val="auto"/>
        </w:rPr>
        <w:t>⑷按照第21条确定的暂估价、暂列金额；</w:t>
      </w:r>
    </w:p>
    <w:p>
      <w:pPr>
        <w:tabs>
          <w:tab w:val="left" w:pos="1620"/>
          <w:tab w:val="left" w:pos="2340"/>
        </w:tabs>
        <w:adjustRightInd w:val="0"/>
        <w:snapToGrid w:val="0"/>
        <w:spacing w:beforeLines="0" w:line="360" w:lineRule="auto"/>
        <w:ind w:left="1079"/>
        <w:rPr>
          <w:color w:val="auto"/>
        </w:rPr>
      </w:pPr>
      <w:r>
        <w:rPr>
          <w:rFonts w:hint="eastAsia"/>
          <w:color w:val="auto"/>
        </w:rPr>
        <w:t>⑸按照第22条确定的工程量清单缺项、项目特征不符；</w:t>
      </w:r>
    </w:p>
    <w:p>
      <w:pPr>
        <w:tabs>
          <w:tab w:val="left" w:pos="1620"/>
          <w:tab w:val="left" w:pos="2340"/>
        </w:tabs>
        <w:adjustRightInd w:val="0"/>
        <w:snapToGrid w:val="0"/>
        <w:spacing w:beforeLines="0" w:line="360" w:lineRule="auto"/>
        <w:ind w:left="1079"/>
        <w:rPr>
          <w:color w:val="auto"/>
        </w:rPr>
      </w:pPr>
      <w:r>
        <w:rPr>
          <w:rFonts w:hint="eastAsia"/>
          <w:color w:val="auto"/>
        </w:rPr>
        <w:t>⑹按照第24、25条确定的工程变更、签证、工程量偏差以及价值工程费用或收益；</w:t>
      </w:r>
    </w:p>
    <w:p>
      <w:pPr>
        <w:tabs>
          <w:tab w:val="left" w:pos="1620"/>
          <w:tab w:val="left" w:pos="2340"/>
        </w:tabs>
        <w:adjustRightInd w:val="0"/>
        <w:snapToGrid w:val="0"/>
        <w:spacing w:beforeLines="0" w:line="360" w:lineRule="auto"/>
        <w:ind w:left="1079"/>
        <w:rPr>
          <w:color w:val="auto"/>
        </w:rPr>
      </w:pPr>
      <w:r>
        <w:rPr>
          <w:rFonts w:hint="eastAsia"/>
          <w:color w:val="auto"/>
        </w:rPr>
        <w:t>⑺按照第28条及本合同其它条款中确定的违约责任；</w:t>
      </w:r>
    </w:p>
    <w:p>
      <w:pPr>
        <w:tabs>
          <w:tab w:val="left" w:pos="1620"/>
          <w:tab w:val="left" w:pos="2340"/>
        </w:tabs>
        <w:adjustRightInd w:val="0"/>
        <w:snapToGrid w:val="0"/>
        <w:spacing w:beforeLines="0" w:line="360" w:lineRule="auto"/>
        <w:ind w:left="1079"/>
        <w:rPr>
          <w:color w:val="auto"/>
        </w:rPr>
      </w:pPr>
      <w:r>
        <w:rPr>
          <w:rFonts w:hint="eastAsia"/>
          <w:color w:val="auto"/>
        </w:rPr>
        <w:t>⑻按照第29条确定的费用索赔事件；</w:t>
      </w:r>
    </w:p>
    <w:p>
      <w:pPr>
        <w:tabs>
          <w:tab w:val="left" w:pos="1620"/>
          <w:tab w:val="left" w:pos="2340"/>
        </w:tabs>
        <w:adjustRightInd w:val="0"/>
        <w:snapToGrid w:val="0"/>
        <w:spacing w:beforeLines="0" w:line="360" w:lineRule="auto"/>
        <w:ind w:left="1079"/>
        <w:rPr>
          <w:color w:val="auto"/>
        </w:rPr>
      </w:pPr>
      <w:r>
        <w:rPr>
          <w:rFonts w:hint="eastAsia"/>
          <w:color w:val="auto"/>
        </w:rPr>
        <w:t>⑼按照第32条确定的应由发包人承担的不可抗力损失费用；</w:t>
      </w:r>
    </w:p>
    <w:p>
      <w:pPr>
        <w:tabs>
          <w:tab w:val="left" w:pos="1620"/>
          <w:tab w:val="left" w:pos="2340"/>
        </w:tabs>
        <w:adjustRightInd w:val="0"/>
        <w:snapToGrid w:val="0"/>
        <w:spacing w:beforeLines="0" w:line="360" w:lineRule="auto"/>
        <w:ind w:left="1079"/>
        <w:rPr>
          <w:color w:val="auto"/>
        </w:rPr>
      </w:pPr>
      <w:r>
        <w:rPr>
          <w:rFonts w:hint="eastAsia"/>
          <w:color w:val="auto"/>
        </w:rPr>
        <w:t>⑽市</w:t>
      </w:r>
      <w:r>
        <w:rPr>
          <w:color w:val="auto"/>
        </w:rPr>
        <w:t>工程造价管理机构</w:t>
      </w:r>
      <w:r>
        <w:rPr>
          <w:rFonts w:hint="eastAsia"/>
          <w:color w:val="auto"/>
        </w:rPr>
        <w:t>发布</w:t>
      </w:r>
      <w:r>
        <w:rPr>
          <w:color w:val="auto"/>
        </w:rPr>
        <w:t>的</w:t>
      </w:r>
      <w:r>
        <w:rPr>
          <w:rFonts w:hint="eastAsia"/>
          <w:color w:val="auto"/>
        </w:rPr>
        <w:t>工程造价</w:t>
      </w:r>
      <w:r>
        <w:rPr>
          <w:color w:val="auto"/>
        </w:rPr>
        <w:t>调整</w:t>
      </w:r>
      <w:r>
        <w:rPr>
          <w:rFonts w:hint="eastAsia"/>
          <w:color w:val="auto"/>
        </w:rPr>
        <w:t>政策；</w:t>
      </w:r>
    </w:p>
    <w:p>
      <w:pPr>
        <w:tabs>
          <w:tab w:val="left" w:pos="1620"/>
          <w:tab w:val="left" w:pos="2340"/>
        </w:tabs>
        <w:adjustRightInd w:val="0"/>
        <w:snapToGrid w:val="0"/>
        <w:spacing w:beforeLines="0" w:line="360" w:lineRule="auto"/>
        <w:ind w:left="1079"/>
        <w:rPr>
          <w:color w:val="auto"/>
        </w:rPr>
      </w:pPr>
      <w:r>
        <w:rPr>
          <w:rFonts w:hint="eastAsia"/>
          <w:color w:val="auto"/>
        </w:rPr>
        <w:t>⑾本合同条款以及</w:t>
      </w:r>
      <w:r>
        <w:rPr>
          <w:rFonts w:hint="eastAsia"/>
          <w:b/>
          <w:i/>
          <w:color w:val="auto"/>
        </w:rPr>
        <w:t>专用条款</w:t>
      </w:r>
      <w:r>
        <w:rPr>
          <w:rFonts w:hint="eastAsia"/>
          <w:color w:val="auto"/>
        </w:rPr>
        <w:t>约定的其他调整因素。</w:t>
      </w:r>
    </w:p>
    <w:p>
      <w:pPr>
        <w:adjustRightInd w:val="0"/>
        <w:snapToGrid w:val="0"/>
        <w:spacing w:before="0" w:beforeLines="0" w:after="0" w:line="360" w:lineRule="auto"/>
        <w:ind w:left="359"/>
        <w:rPr>
          <w:color w:val="auto"/>
        </w:rPr>
      </w:pPr>
      <w:r>
        <w:rPr>
          <w:b/>
          <w:color w:val="auto"/>
        </w:rPr>
        <w:t>20.3</w:t>
      </w:r>
      <w:r>
        <w:rPr>
          <w:rFonts w:hint="eastAsia"/>
          <w:b/>
          <w:color w:val="auto"/>
        </w:rPr>
        <w:t>法律法规的改变</w:t>
      </w:r>
    </w:p>
    <w:p>
      <w:pPr>
        <w:tabs>
          <w:tab w:val="left" w:pos="1620"/>
          <w:tab w:val="left" w:pos="2340"/>
        </w:tabs>
        <w:adjustRightInd w:val="0"/>
        <w:snapToGrid w:val="0"/>
        <w:spacing w:beforeLines="0" w:after="0" w:line="360" w:lineRule="auto"/>
        <w:ind w:left="899"/>
        <w:rPr>
          <w:color w:val="auto"/>
        </w:rPr>
      </w:pPr>
      <w:r>
        <w:rPr>
          <w:rFonts w:hint="eastAsia"/>
          <w:color w:val="auto"/>
        </w:rPr>
        <w:t>⑴合同签订后,因国家法律、法规、规章和政策的改变对合同价格产生影响的,合同价格应作调整。发包人和承包人应根据法律法规改变造成的实际影响，按照市工程造价管理机构发布的相应办法进行调整。</w:t>
      </w:r>
    </w:p>
    <w:p>
      <w:pPr>
        <w:tabs>
          <w:tab w:val="left" w:pos="1620"/>
          <w:tab w:val="left" w:pos="2340"/>
        </w:tabs>
        <w:adjustRightInd w:val="0"/>
        <w:snapToGrid w:val="0"/>
        <w:spacing w:beforeLines="0" w:after="0" w:line="360" w:lineRule="auto"/>
        <w:ind w:left="899"/>
        <w:rPr>
          <w:color w:val="auto"/>
        </w:rPr>
      </w:pPr>
      <w:r>
        <w:rPr>
          <w:rFonts w:hint="eastAsia"/>
          <w:color w:val="auto"/>
        </w:rPr>
        <w:t>⑵按前款情形对合同价格进行调整时，因承包人原因导致工期延误的，在本合同约定竣工日期之后，合同价格调增的不予调整，合同价格调减的予以调整。</w:t>
      </w:r>
    </w:p>
    <w:p>
      <w:pPr>
        <w:tabs>
          <w:tab w:val="left" w:pos="1620"/>
          <w:tab w:val="left" w:pos="2340"/>
        </w:tabs>
        <w:adjustRightInd w:val="0"/>
        <w:snapToGrid w:val="0"/>
        <w:spacing w:beforeLines="0" w:after="0" w:line="360" w:lineRule="auto"/>
        <w:ind w:left="899"/>
        <w:rPr>
          <w:color w:val="auto"/>
        </w:rPr>
      </w:pPr>
      <w:r>
        <w:rPr>
          <w:rFonts w:hint="eastAsia"/>
          <w:color w:val="auto"/>
        </w:rPr>
        <w:t>⑶</w:t>
      </w:r>
      <w:r>
        <w:rPr>
          <w:color w:val="auto"/>
        </w:rPr>
        <w:t>因承包人原因造成工期延误，在工期延误期间出现法律变化的，由此增加的费用和（或）延误的工期由承包人承担。</w:t>
      </w:r>
    </w:p>
    <w:p>
      <w:pPr>
        <w:tabs>
          <w:tab w:val="left" w:pos="1620"/>
          <w:tab w:val="left" w:pos="2340"/>
        </w:tabs>
        <w:adjustRightInd w:val="0"/>
        <w:snapToGrid w:val="0"/>
        <w:spacing w:beforeLines="0" w:after="0" w:line="360" w:lineRule="auto"/>
        <w:ind w:left="899"/>
        <w:rPr>
          <w:color w:val="auto"/>
        </w:rPr>
      </w:pPr>
      <w:r>
        <w:rPr>
          <w:rFonts w:hint="eastAsia"/>
          <w:color w:val="auto"/>
        </w:rPr>
        <w:t>⑷因法律变化引起的合同价格和工期调整，承发包双方无法达成一致的，按第30条［争议解决］处理。</w:t>
      </w:r>
    </w:p>
    <w:p>
      <w:pPr>
        <w:adjustRightInd w:val="0"/>
        <w:snapToGrid w:val="0"/>
        <w:spacing w:before="0" w:beforeLines="0" w:after="0" w:line="360" w:lineRule="auto"/>
        <w:ind w:left="359"/>
        <w:rPr>
          <w:color w:val="auto"/>
        </w:rPr>
      </w:pPr>
      <w:r>
        <w:rPr>
          <w:b/>
          <w:color w:val="auto"/>
        </w:rPr>
        <w:t>20.4</w:t>
      </w:r>
      <w:r>
        <w:rPr>
          <w:rFonts w:hint="eastAsia"/>
          <w:b/>
          <w:color w:val="auto"/>
        </w:rPr>
        <w:t>工料机调差</w:t>
      </w:r>
    </w:p>
    <w:p>
      <w:pPr>
        <w:tabs>
          <w:tab w:val="left" w:pos="1620"/>
          <w:tab w:val="left" w:pos="2340"/>
        </w:tabs>
        <w:adjustRightInd w:val="0"/>
        <w:snapToGrid w:val="0"/>
        <w:spacing w:beforeLines="0" w:after="0" w:line="360" w:lineRule="auto"/>
        <w:ind w:left="899"/>
        <w:rPr>
          <w:color w:val="auto"/>
        </w:rPr>
      </w:pPr>
      <w:r>
        <w:rPr>
          <w:rFonts w:hint="eastAsia"/>
          <w:color w:val="auto"/>
        </w:rPr>
        <w:t>⑴承包人应充分考虑本工程施工期间因材料或劳务市场价格波动等任何有可能引起施工成本增加的风险(本合同约定可调差情形除外)，并不得据此提出索赔。</w:t>
      </w:r>
    </w:p>
    <w:p>
      <w:pPr>
        <w:tabs>
          <w:tab w:val="left" w:pos="1620"/>
          <w:tab w:val="left" w:pos="2340"/>
        </w:tabs>
        <w:adjustRightInd w:val="0"/>
        <w:snapToGrid w:val="0"/>
        <w:spacing w:beforeLines="0" w:after="0" w:line="360" w:lineRule="auto"/>
        <w:ind w:left="899"/>
        <w:rPr>
          <w:color w:val="auto"/>
        </w:rPr>
      </w:pPr>
      <w:r>
        <w:rPr>
          <w:rFonts w:hint="eastAsia"/>
          <w:color w:val="auto"/>
        </w:rPr>
        <w:t>⑵除</w:t>
      </w:r>
      <w:r>
        <w:rPr>
          <w:rFonts w:hint="eastAsia"/>
          <w:b/>
          <w:i/>
          <w:color w:val="auto"/>
        </w:rPr>
        <w:t>专用条款</w:t>
      </w:r>
      <w:r>
        <w:rPr>
          <w:rFonts w:hint="eastAsia"/>
          <w:color w:val="auto"/>
        </w:rPr>
        <w:t>另有约定外，由于非承包人原因引起的用于本工程的人工、主要材料及机械使用的价格波动超过</w:t>
      </w:r>
      <w:r>
        <w:rPr>
          <w:rFonts w:hint="eastAsia"/>
          <w:b/>
          <w:color w:val="auto"/>
        </w:rPr>
        <w:t>±5%</w:t>
      </w:r>
      <w:r>
        <w:rPr>
          <w:rFonts w:hint="eastAsia"/>
          <w:color w:val="auto"/>
        </w:rPr>
        <w:t>时，其超过部分的合同价格应按20.5款、20.6款方法在与其相关的工程完工后一次性进行调整。</w:t>
      </w:r>
    </w:p>
    <w:p>
      <w:pPr>
        <w:tabs>
          <w:tab w:val="left" w:pos="1620"/>
          <w:tab w:val="left" w:pos="2340"/>
        </w:tabs>
        <w:adjustRightInd w:val="0"/>
        <w:snapToGrid w:val="0"/>
        <w:spacing w:beforeLines="0" w:after="0" w:line="360" w:lineRule="auto"/>
        <w:ind w:left="899"/>
        <w:rPr>
          <w:color w:val="auto"/>
        </w:rPr>
      </w:pPr>
      <w:r>
        <w:rPr>
          <w:rFonts w:hint="eastAsia"/>
          <w:color w:val="auto"/>
        </w:rPr>
        <w:t>⑶主要材料是指用于本工程的某种材料价格总额达到签约合同价</w:t>
      </w:r>
      <w:r>
        <w:rPr>
          <w:rFonts w:hint="eastAsia"/>
          <w:b/>
          <w:color w:val="auto"/>
        </w:rPr>
        <w:t>5%</w:t>
      </w:r>
      <w:r>
        <w:rPr>
          <w:rFonts w:hint="eastAsia"/>
          <w:color w:val="auto"/>
        </w:rPr>
        <w:t>或</w:t>
      </w:r>
      <w:r>
        <w:rPr>
          <w:rFonts w:hint="eastAsia"/>
          <w:b/>
          <w:i/>
          <w:color w:val="auto"/>
        </w:rPr>
        <w:t>专用条款</w:t>
      </w:r>
      <w:r>
        <w:rPr>
          <w:rFonts w:hint="eastAsia"/>
          <w:color w:val="auto"/>
        </w:rPr>
        <w:t>约定比例及以上的材料。</w:t>
      </w:r>
    </w:p>
    <w:p>
      <w:pPr>
        <w:tabs>
          <w:tab w:val="left" w:pos="1620"/>
          <w:tab w:val="left" w:pos="2340"/>
        </w:tabs>
        <w:adjustRightInd w:val="0"/>
        <w:snapToGrid w:val="0"/>
        <w:spacing w:beforeLines="0" w:after="0" w:line="360" w:lineRule="auto"/>
        <w:ind w:left="899"/>
        <w:rPr>
          <w:color w:val="auto"/>
        </w:rPr>
      </w:pPr>
      <w:r>
        <w:rPr>
          <w:rFonts w:hint="eastAsia"/>
          <w:color w:val="auto"/>
        </w:rPr>
        <w:t>⑷发包人和承包人可根据本工程的具体实际，在</w:t>
      </w:r>
      <w:r>
        <w:rPr>
          <w:rFonts w:hint="eastAsia"/>
          <w:b/>
          <w:i/>
          <w:color w:val="auto"/>
        </w:rPr>
        <w:t>专用条款</w:t>
      </w:r>
      <w:r>
        <w:rPr>
          <w:rFonts w:hint="eastAsia"/>
          <w:color w:val="auto"/>
        </w:rPr>
        <w:t>约定用于本工程的未达到20.4⑶款约定比例的其它材料中可调差的材料种类。</w:t>
      </w:r>
    </w:p>
    <w:p>
      <w:pPr>
        <w:tabs>
          <w:tab w:val="left" w:pos="1620"/>
          <w:tab w:val="left" w:pos="2340"/>
        </w:tabs>
        <w:adjustRightInd w:val="0"/>
        <w:snapToGrid w:val="0"/>
        <w:spacing w:before="0" w:beforeLines="0" w:after="0" w:line="360" w:lineRule="auto"/>
        <w:ind w:left="899"/>
        <w:rPr>
          <w:color w:val="auto"/>
        </w:rPr>
      </w:pPr>
      <w:r>
        <w:rPr>
          <w:rFonts w:hint="eastAsia"/>
          <w:color w:val="auto"/>
        </w:rPr>
        <w:t>⑸工料机调差费用部分应按《深圳市建设工程计价规程》计取规费和税金，不计企业管理费和利润。工料机调差费用应按</w:t>
      </w:r>
      <w:r>
        <w:rPr>
          <w:rFonts w:hint="eastAsia"/>
          <w:b/>
          <w:i/>
          <w:color w:val="auto"/>
        </w:rPr>
        <w:t>专用条款</w:t>
      </w:r>
      <w:r>
        <w:rPr>
          <w:rFonts w:hint="eastAsia"/>
          <w:color w:val="auto"/>
        </w:rPr>
        <w:t>的约定进行计算和支付。</w:t>
      </w:r>
    </w:p>
    <w:p>
      <w:pPr>
        <w:adjustRightInd w:val="0"/>
        <w:snapToGrid w:val="0"/>
        <w:spacing w:before="0" w:beforeLines="0" w:after="0" w:line="360" w:lineRule="auto"/>
        <w:ind w:left="359"/>
        <w:rPr>
          <w:color w:val="auto"/>
        </w:rPr>
      </w:pPr>
      <w:r>
        <w:rPr>
          <w:b/>
          <w:color w:val="auto"/>
        </w:rPr>
        <w:t>20.5</w:t>
      </w:r>
      <w:r>
        <w:rPr>
          <w:rFonts w:hint="eastAsia"/>
          <w:b/>
          <w:color w:val="auto"/>
        </w:rPr>
        <w:t>材料调差方法</w:t>
      </w:r>
    </w:p>
    <w:p>
      <w:pPr>
        <w:tabs>
          <w:tab w:val="left" w:pos="1620"/>
          <w:tab w:val="left" w:pos="2340"/>
        </w:tabs>
        <w:adjustRightInd w:val="0"/>
        <w:snapToGrid w:val="0"/>
        <w:spacing w:beforeLines="0" w:line="360" w:lineRule="auto"/>
        <w:ind w:left="899"/>
        <w:rPr>
          <w:color w:val="auto"/>
        </w:rPr>
      </w:pPr>
      <w:r>
        <w:rPr>
          <w:rFonts w:hint="eastAsia"/>
          <w:color w:val="auto"/>
        </w:rPr>
        <w:t>按照20.4⑶、⑷款确定的可调差材料发生价格波动时，可在</w:t>
      </w:r>
      <w:r>
        <w:rPr>
          <w:rFonts w:hint="eastAsia"/>
          <w:b/>
          <w:i/>
          <w:color w:val="auto"/>
        </w:rPr>
        <w:t>专用条款</w:t>
      </w:r>
      <w:r>
        <w:rPr>
          <w:rFonts w:hint="eastAsia"/>
          <w:color w:val="auto"/>
        </w:rPr>
        <w:t>中约定一种调差方式：</w:t>
      </w:r>
    </w:p>
    <w:p>
      <w:pPr>
        <w:tabs>
          <w:tab w:val="left" w:pos="1620"/>
          <w:tab w:val="left" w:pos="2340"/>
        </w:tabs>
        <w:adjustRightInd w:val="0"/>
        <w:snapToGrid w:val="0"/>
        <w:spacing w:beforeLines="0" w:line="360" w:lineRule="auto"/>
        <w:ind w:firstLine="1200" w:firstLineChars="500"/>
        <w:rPr>
          <w:color w:val="auto"/>
        </w:rPr>
      </w:pPr>
      <w:r>
        <w:rPr>
          <w:rFonts w:hint="eastAsia"/>
          <w:color w:val="auto"/>
        </w:rPr>
        <w:t>当</w:t>
      </w:r>
      <w:r>
        <w:rPr>
          <w:rFonts w:ascii="Symbol" w:hAnsi="Symbol"/>
          <w:i/>
          <w:color w:val="auto"/>
        </w:rPr>
        <w:sym w:font="Symbol" w:char="F060"/>
      </w:r>
      <w:r>
        <w:rPr>
          <w:i/>
          <w:color w:val="auto"/>
        </w:rPr>
        <w:t>P</w:t>
      </w:r>
      <w:r>
        <w:rPr>
          <w:rFonts w:hint="eastAsia"/>
          <w:color w:val="auto"/>
        </w:rPr>
        <w:t>＞</w:t>
      </w:r>
      <w:r>
        <w:rPr>
          <w:i/>
          <w:color w:val="auto"/>
        </w:rPr>
        <w:t>P</w:t>
      </w:r>
      <w:r>
        <w:rPr>
          <w:i/>
          <w:color w:val="auto"/>
          <w:vertAlign w:val="subscript"/>
        </w:rPr>
        <w:t>0</w:t>
      </w:r>
      <w:r>
        <w:rPr>
          <w:rFonts w:hint="eastAsia"/>
          <w:color w:val="auto"/>
        </w:rPr>
        <w:t>时：</w:t>
      </w:r>
    </w:p>
    <w:p>
      <w:pPr>
        <w:tabs>
          <w:tab w:val="left" w:pos="1620"/>
          <w:tab w:val="left" w:pos="2340"/>
        </w:tabs>
        <w:adjustRightInd w:val="0"/>
        <w:snapToGrid w:val="0"/>
        <w:spacing w:beforeLines="0" w:line="360" w:lineRule="auto"/>
        <w:ind w:firstLine="1200" w:firstLineChars="500"/>
        <w:rPr>
          <w:color w:val="auto"/>
        </w:rPr>
      </w:pPr>
      <w:r>
        <w:rPr>
          <w:rFonts w:hint="eastAsia"/>
          <w:color w:val="auto"/>
        </w:rPr>
        <w:t>①</w:t>
      </w:r>
      <w:r>
        <w:rPr>
          <w:i/>
          <w:color w:val="auto"/>
        </w:rPr>
        <w:t>P</w:t>
      </w:r>
      <w:r>
        <w:rPr>
          <w:i/>
          <w:color w:val="auto"/>
          <w:vertAlign w:val="subscript"/>
        </w:rPr>
        <w:t>t</w:t>
      </w:r>
      <w:r>
        <w:rPr>
          <w:rFonts w:hint="eastAsia"/>
          <w:i/>
          <w:color w:val="auto"/>
        </w:rPr>
        <w:t>＜</w:t>
      </w:r>
      <w:r>
        <w:rPr>
          <w:i/>
          <w:color w:val="auto"/>
        </w:rPr>
        <w:t>P</w:t>
      </w:r>
      <w:r>
        <w:rPr>
          <w:i/>
          <w:color w:val="auto"/>
          <w:vertAlign w:val="subscript"/>
        </w:rPr>
        <w:t>0</w:t>
      </w:r>
      <w:r>
        <w:rPr>
          <w:rFonts w:hint="eastAsia"/>
          <w:i/>
          <w:color w:val="auto"/>
        </w:rPr>
        <w:t>，</w:t>
      </w:r>
      <w:r>
        <w:rPr>
          <w:rFonts w:hint="eastAsia"/>
          <w:color w:val="auto"/>
        </w:rPr>
        <w:t>且</w:t>
      </w:r>
      <w:r>
        <w:rPr>
          <w:rFonts w:ascii="Symbol" w:hAnsi="Symbol"/>
          <w:i/>
          <w:color w:val="auto"/>
        </w:rPr>
        <w:sym w:font="Symbol" w:char="F060"/>
      </w:r>
      <w:r>
        <w:rPr>
          <w:i/>
          <w:color w:val="auto"/>
        </w:rPr>
        <w:t>P</w:t>
      </w:r>
      <w:r>
        <w:rPr>
          <w:rFonts w:hint="eastAsia"/>
          <w:color w:val="auto"/>
        </w:rPr>
        <w:t>/</w:t>
      </w:r>
      <w:r>
        <w:rPr>
          <w:i/>
          <w:color w:val="auto"/>
        </w:rPr>
        <w:t>P</w:t>
      </w:r>
      <w:r>
        <w:rPr>
          <w:i/>
          <w:color w:val="auto"/>
          <w:vertAlign w:val="subscript"/>
        </w:rPr>
        <w:t>0</w:t>
      </w:r>
      <w:r>
        <w:rPr>
          <w:rFonts w:hint="eastAsia"/>
          <w:color w:val="auto"/>
        </w:rPr>
        <w:t>＞1.05，则：</w:t>
      </w:r>
    </w:p>
    <w:p>
      <w:pPr>
        <w:tabs>
          <w:tab w:val="left" w:pos="1620"/>
          <w:tab w:val="left" w:pos="2340"/>
        </w:tabs>
        <w:adjustRightInd w:val="0"/>
        <w:snapToGrid w:val="0"/>
        <w:spacing w:beforeLines="0" w:line="360" w:lineRule="auto"/>
        <w:ind w:firstLine="1200" w:firstLineChars="500"/>
        <w:rPr>
          <w:color w:val="auto"/>
        </w:rPr>
      </w:pPr>
      <w:r>
        <w:rPr>
          <w:rFonts w:hint="eastAsia"/>
          <w:color w:val="auto"/>
        </w:rPr>
        <w:t>C</w:t>
      </w:r>
      <w:r>
        <w:rPr>
          <w:rFonts w:hint="eastAsia"/>
          <w:color w:val="auto"/>
          <w:vertAlign w:val="subscript"/>
        </w:rPr>
        <w:t>增</w:t>
      </w:r>
      <w:r>
        <w:rPr>
          <w:rFonts w:hint="eastAsia"/>
          <w:color w:val="auto"/>
        </w:rPr>
        <w:t>=</w:t>
      </w:r>
      <w:r>
        <w:rPr>
          <w:i/>
          <w:color w:val="auto"/>
        </w:rPr>
        <w:t>Q</w:t>
      </w:r>
      <w:r>
        <w:rPr>
          <w:rFonts w:hint="eastAsia"/>
          <w:color w:val="auto"/>
          <w:vertAlign w:val="subscript"/>
        </w:rPr>
        <w:t>总</w:t>
      </w:r>
      <w:r>
        <w:rPr>
          <w:rFonts w:hint="eastAsia"/>
          <w:color w:val="auto"/>
        </w:rPr>
        <w:t>×</w:t>
      </w:r>
      <w:r>
        <w:rPr>
          <w:i/>
          <w:color w:val="auto"/>
        </w:rPr>
        <w:t>P</w:t>
      </w:r>
      <w:r>
        <w:rPr>
          <w:i/>
          <w:color w:val="auto"/>
          <w:vertAlign w:val="subscript"/>
        </w:rPr>
        <w:t>t</w:t>
      </w:r>
      <w:r>
        <w:rPr>
          <w:rFonts w:hint="eastAsia"/>
          <w:color w:val="auto"/>
        </w:rPr>
        <w:t>×(</w:t>
      </w:r>
      <w:r>
        <w:rPr>
          <w:rFonts w:ascii="Symbol" w:hAnsi="Symbol"/>
          <w:i/>
          <w:color w:val="auto"/>
        </w:rPr>
        <w:sym w:font="Symbol" w:char="F060"/>
      </w:r>
      <w:r>
        <w:rPr>
          <w:i/>
          <w:color w:val="auto"/>
        </w:rPr>
        <w:t xml:space="preserve">P </w:t>
      </w:r>
      <w:r>
        <w:rPr>
          <w:rFonts w:hint="eastAsia"/>
          <w:color w:val="auto"/>
        </w:rPr>
        <w:t>/</w:t>
      </w:r>
      <w:r>
        <w:rPr>
          <w:i/>
          <w:color w:val="auto"/>
        </w:rPr>
        <w:t>P</w:t>
      </w:r>
      <w:r>
        <w:rPr>
          <w:i/>
          <w:color w:val="auto"/>
          <w:vertAlign w:val="subscript"/>
        </w:rPr>
        <w:t>0</w:t>
      </w:r>
      <w:r>
        <w:rPr>
          <w:rFonts w:hint="eastAsia"/>
          <w:color w:val="auto"/>
        </w:rPr>
        <w:t>－1.05)</w:t>
      </w:r>
    </w:p>
    <w:p>
      <w:pPr>
        <w:tabs>
          <w:tab w:val="left" w:pos="1620"/>
          <w:tab w:val="left" w:pos="2340"/>
        </w:tabs>
        <w:adjustRightInd w:val="0"/>
        <w:snapToGrid w:val="0"/>
        <w:spacing w:beforeLines="0" w:line="360" w:lineRule="auto"/>
        <w:ind w:firstLine="1200" w:firstLineChars="500"/>
        <w:rPr>
          <w:color w:val="auto"/>
        </w:rPr>
      </w:pPr>
      <w:r>
        <w:rPr>
          <w:rFonts w:hint="eastAsia"/>
          <w:color w:val="auto"/>
        </w:rPr>
        <w:t>②</w:t>
      </w:r>
      <w:r>
        <w:rPr>
          <w:i/>
          <w:color w:val="auto"/>
        </w:rPr>
        <w:t>P</w:t>
      </w:r>
      <w:r>
        <w:rPr>
          <w:i/>
          <w:color w:val="auto"/>
          <w:vertAlign w:val="subscript"/>
        </w:rPr>
        <w:t>t</w:t>
      </w:r>
      <w:r>
        <w:rPr>
          <w:rFonts w:hint="eastAsia"/>
          <w:i/>
          <w:color w:val="auto"/>
        </w:rPr>
        <w:t>≥</w:t>
      </w:r>
      <w:r>
        <w:rPr>
          <w:i/>
          <w:color w:val="auto"/>
        </w:rPr>
        <w:t>P</w:t>
      </w:r>
      <w:r>
        <w:rPr>
          <w:i/>
          <w:color w:val="auto"/>
          <w:vertAlign w:val="subscript"/>
        </w:rPr>
        <w:t>0</w:t>
      </w:r>
      <w:r>
        <w:rPr>
          <w:rFonts w:hint="eastAsia"/>
          <w:color w:val="auto"/>
        </w:rPr>
        <w:t>，且</w:t>
      </w:r>
      <w:r>
        <w:rPr>
          <w:rFonts w:ascii="Symbol" w:hAnsi="Symbol"/>
          <w:i/>
          <w:color w:val="auto"/>
        </w:rPr>
        <w:sym w:font="Symbol" w:char="F060"/>
      </w:r>
      <w:r>
        <w:rPr>
          <w:i/>
          <w:color w:val="auto"/>
        </w:rPr>
        <w:t xml:space="preserve">P </w:t>
      </w:r>
      <w:r>
        <w:rPr>
          <w:rFonts w:hint="eastAsia"/>
          <w:color w:val="auto"/>
        </w:rPr>
        <w:t>/</w:t>
      </w:r>
      <w:r>
        <w:rPr>
          <w:i/>
          <w:color w:val="auto"/>
        </w:rPr>
        <w:t>P</w:t>
      </w:r>
      <w:r>
        <w:rPr>
          <w:i/>
          <w:color w:val="auto"/>
          <w:vertAlign w:val="subscript"/>
        </w:rPr>
        <w:t>t</w:t>
      </w:r>
      <w:r>
        <w:rPr>
          <w:rFonts w:hint="eastAsia"/>
          <w:color w:val="auto"/>
        </w:rPr>
        <w:t>＞1.05，则：</w:t>
      </w:r>
    </w:p>
    <w:p>
      <w:pPr>
        <w:tabs>
          <w:tab w:val="left" w:pos="1620"/>
          <w:tab w:val="left" w:pos="2340"/>
        </w:tabs>
        <w:adjustRightInd w:val="0"/>
        <w:snapToGrid w:val="0"/>
        <w:spacing w:beforeLines="0" w:line="360" w:lineRule="auto"/>
        <w:ind w:firstLine="1200" w:firstLineChars="500"/>
        <w:rPr>
          <w:color w:val="auto"/>
        </w:rPr>
      </w:pPr>
      <w:r>
        <w:rPr>
          <w:rFonts w:hint="eastAsia"/>
          <w:color w:val="auto"/>
        </w:rPr>
        <w:t>C</w:t>
      </w:r>
      <w:r>
        <w:rPr>
          <w:rFonts w:hint="eastAsia"/>
          <w:color w:val="auto"/>
          <w:vertAlign w:val="subscript"/>
        </w:rPr>
        <w:t>增</w:t>
      </w:r>
      <w:r>
        <w:rPr>
          <w:rFonts w:hint="eastAsia"/>
          <w:color w:val="auto"/>
        </w:rPr>
        <w:t>=Q</w:t>
      </w:r>
      <w:r>
        <w:rPr>
          <w:rFonts w:hint="eastAsia"/>
          <w:color w:val="auto"/>
          <w:vertAlign w:val="subscript"/>
        </w:rPr>
        <w:t>总</w:t>
      </w:r>
      <w:r>
        <w:rPr>
          <w:rFonts w:hint="eastAsia"/>
          <w:color w:val="auto"/>
        </w:rPr>
        <w:t>×</w:t>
      </w:r>
      <w:r>
        <w:rPr>
          <w:i/>
          <w:color w:val="auto"/>
        </w:rPr>
        <w:t>P</w:t>
      </w:r>
      <w:r>
        <w:rPr>
          <w:i/>
          <w:color w:val="auto"/>
          <w:vertAlign w:val="subscript"/>
        </w:rPr>
        <w:t>t</w:t>
      </w:r>
      <w:r>
        <w:rPr>
          <w:rFonts w:hint="eastAsia"/>
          <w:color w:val="auto"/>
        </w:rPr>
        <w:t>×(</w:t>
      </w:r>
      <w:r>
        <w:rPr>
          <w:rFonts w:ascii="Symbol" w:hAnsi="Symbol"/>
          <w:i/>
          <w:color w:val="auto"/>
        </w:rPr>
        <w:sym w:font="Symbol" w:char="F060"/>
      </w:r>
      <w:r>
        <w:rPr>
          <w:i/>
          <w:color w:val="auto"/>
        </w:rPr>
        <w:t xml:space="preserve">P </w:t>
      </w:r>
      <w:r>
        <w:rPr>
          <w:rFonts w:hint="eastAsia"/>
          <w:color w:val="auto"/>
        </w:rPr>
        <w:t>/</w:t>
      </w:r>
      <w:r>
        <w:rPr>
          <w:i/>
          <w:color w:val="auto"/>
        </w:rPr>
        <w:t>P</w:t>
      </w:r>
      <w:r>
        <w:rPr>
          <w:i/>
          <w:color w:val="auto"/>
          <w:vertAlign w:val="subscript"/>
        </w:rPr>
        <w:t>t</w:t>
      </w:r>
      <w:r>
        <w:rPr>
          <w:rFonts w:hint="eastAsia"/>
          <w:color w:val="auto"/>
        </w:rPr>
        <w:t>－1.05)</w:t>
      </w:r>
    </w:p>
    <w:p>
      <w:pPr>
        <w:tabs>
          <w:tab w:val="left" w:pos="1620"/>
          <w:tab w:val="left" w:pos="2340"/>
        </w:tabs>
        <w:adjustRightInd w:val="0"/>
        <w:snapToGrid w:val="0"/>
        <w:spacing w:before="0" w:beforeLines="0" w:line="360" w:lineRule="auto"/>
        <w:ind w:firstLine="1200" w:firstLineChars="500"/>
        <w:rPr>
          <w:color w:val="auto"/>
        </w:rPr>
      </w:pPr>
      <w:r>
        <w:rPr>
          <w:rFonts w:hint="eastAsia"/>
          <w:color w:val="auto"/>
        </w:rPr>
        <w:t>当</w:t>
      </w:r>
      <w:r>
        <w:rPr>
          <w:rFonts w:ascii="Symbol" w:hAnsi="Symbol"/>
          <w:i/>
          <w:color w:val="auto"/>
        </w:rPr>
        <w:sym w:font="Symbol" w:char="F060"/>
      </w:r>
      <w:r>
        <w:rPr>
          <w:i/>
          <w:color w:val="auto"/>
        </w:rPr>
        <w:t>P</w:t>
      </w:r>
      <w:r>
        <w:rPr>
          <w:rFonts w:hint="eastAsia"/>
          <w:i/>
          <w:color w:val="auto"/>
        </w:rPr>
        <w:t>＜</w:t>
      </w:r>
      <w:r>
        <w:rPr>
          <w:i/>
          <w:color w:val="auto"/>
        </w:rPr>
        <w:t>P</w:t>
      </w:r>
      <w:r>
        <w:rPr>
          <w:i/>
          <w:color w:val="auto"/>
          <w:vertAlign w:val="subscript"/>
        </w:rPr>
        <w:t>0</w:t>
      </w:r>
      <w:r>
        <w:rPr>
          <w:rFonts w:hint="eastAsia"/>
          <w:color w:val="auto"/>
        </w:rPr>
        <w:t>时：</w:t>
      </w:r>
    </w:p>
    <w:p>
      <w:pPr>
        <w:tabs>
          <w:tab w:val="left" w:pos="1620"/>
          <w:tab w:val="left" w:pos="2340"/>
        </w:tabs>
        <w:adjustRightInd w:val="0"/>
        <w:snapToGrid w:val="0"/>
        <w:spacing w:beforeLines="0" w:line="360" w:lineRule="auto"/>
        <w:ind w:firstLine="1200" w:firstLineChars="500"/>
        <w:rPr>
          <w:color w:val="auto"/>
        </w:rPr>
      </w:pPr>
      <w:r>
        <w:rPr>
          <w:rFonts w:hint="eastAsia"/>
          <w:color w:val="auto"/>
        </w:rPr>
        <w:t>①</w:t>
      </w:r>
      <w:r>
        <w:rPr>
          <w:i/>
          <w:color w:val="auto"/>
        </w:rPr>
        <w:t>P</w:t>
      </w:r>
      <w:r>
        <w:rPr>
          <w:i/>
          <w:color w:val="auto"/>
          <w:vertAlign w:val="subscript"/>
        </w:rPr>
        <w:t>t</w:t>
      </w:r>
      <w:r>
        <w:rPr>
          <w:rFonts w:hint="eastAsia"/>
          <w:i/>
          <w:color w:val="auto"/>
        </w:rPr>
        <w:t>＜</w:t>
      </w:r>
      <w:r>
        <w:rPr>
          <w:i/>
          <w:color w:val="auto"/>
        </w:rPr>
        <w:t>P</w:t>
      </w:r>
      <w:r>
        <w:rPr>
          <w:i/>
          <w:color w:val="auto"/>
          <w:vertAlign w:val="subscript"/>
        </w:rPr>
        <w:t>0</w:t>
      </w:r>
      <w:r>
        <w:rPr>
          <w:rFonts w:hint="eastAsia"/>
          <w:color w:val="auto"/>
        </w:rPr>
        <w:t>，且</w:t>
      </w:r>
      <w:r>
        <w:rPr>
          <w:rFonts w:ascii="Symbol" w:hAnsi="Symbol"/>
          <w:i/>
          <w:color w:val="auto"/>
        </w:rPr>
        <w:sym w:font="Symbol" w:char="F060"/>
      </w:r>
      <w:r>
        <w:rPr>
          <w:i/>
          <w:color w:val="auto"/>
        </w:rPr>
        <w:t xml:space="preserve">P </w:t>
      </w:r>
      <w:r>
        <w:rPr>
          <w:rFonts w:hint="eastAsia"/>
          <w:color w:val="auto"/>
        </w:rPr>
        <w:t>/</w:t>
      </w:r>
      <w:r>
        <w:rPr>
          <w:i/>
          <w:color w:val="auto"/>
        </w:rPr>
        <w:t>P</w:t>
      </w:r>
      <w:r>
        <w:rPr>
          <w:i/>
          <w:color w:val="auto"/>
          <w:vertAlign w:val="subscript"/>
        </w:rPr>
        <w:t>t</w:t>
      </w:r>
      <w:r>
        <w:rPr>
          <w:rFonts w:hint="eastAsia"/>
          <w:color w:val="auto"/>
        </w:rPr>
        <w:t>＜0.95，则：</w:t>
      </w:r>
    </w:p>
    <w:p>
      <w:pPr>
        <w:tabs>
          <w:tab w:val="left" w:pos="1620"/>
          <w:tab w:val="left" w:pos="2340"/>
        </w:tabs>
        <w:adjustRightInd w:val="0"/>
        <w:snapToGrid w:val="0"/>
        <w:spacing w:beforeLines="0" w:line="360" w:lineRule="auto"/>
        <w:ind w:firstLine="1200" w:firstLineChars="500"/>
        <w:rPr>
          <w:color w:val="auto"/>
        </w:rPr>
      </w:pPr>
      <w:r>
        <w:rPr>
          <w:rFonts w:hint="eastAsia"/>
          <w:color w:val="auto"/>
        </w:rPr>
        <w:t>C</w:t>
      </w:r>
      <w:r>
        <w:rPr>
          <w:rFonts w:hint="eastAsia"/>
          <w:color w:val="auto"/>
          <w:vertAlign w:val="subscript"/>
        </w:rPr>
        <w:t>减</w:t>
      </w:r>
      <w:r>
        <w:rPr>
          <w:rFonts w:hint="eastAsia"/>
          <w:color w:val="auto"/>
        </w:rPr>
        <w:t>=</w:t>
      </w:r>
      <w:r>
        <w:rPr>
          <w:i/>
          <w:color w:val="auto"/>
        </w:rPr>
        <w:t>Q</w:t>
      </w:r>
      <w:r>
        <w:rPr>
          <w:rFonts w:hint="eastAsia"/>
          <w:color w:val="auto"/>
          <w:vertAlign w:val="subscript"/>
        </w:rPr>
        <w:t>总</w:t>
      </w:r>
      <w:r>
        <w:rPr>
          <w:rFonts w:hint="eastAsia"/>
          <w:color w:val="auto"/>
        </w:rPr>
        <w:t>×</w:t>
      </w:r>
      <w:r>
        <w:rPr>
          <w:i/>
          <w:color w:val="auto"/>
        </w:rPr>
        <w:t>P</w:t>
      </w:r>
      <w:r>
        <w:rPr>
          <w:i/>
          <w:color w:val="auto"/>
          <w:vertAlign w:val="subscript"/>
        </w:rPr>
        <w:t>t</w:t>
      </w:r>
      <w:r>
        <w:rPr>
          <w:rFonts w:hint="eastAsia"/>
          <w:color w:val="auto"/>
        </w:rPr>
        <w:t>×(0.95－</w:t>
      </w:r>
      <w:r>
        <w:rPr>
          <w:rFonts w:ascii="Symbol" w:hAnsi="Symbol"/>
          <w:i/>
          <w:color w:val="auto"/>
        </w:rPr>
        <w:sym w:font="Symbol" w:char="F060"/>
      </w:r>
      <w:r>
        <w:rPr>
          <w:i/>
          <w:color w:val="auto"/>
        </w:rPr>
        <w:t xml:space="preserve">P </w:t>
      </w:r>
      <w:r>
        <w:rPr>
          <w:rFonts w:hint="eastAsia"/>
          <w:color w:val="auto"/>
        </w:rPr>
        <w:t>/</w:t>
      </w:r>
      <w:r>
        <w:rPr>
          <w:i/>
          <w:color w:val="auto"/>
        </w:rPr>
        <w:t>P</w:t>
      </w:r>
      <w:r>
        <w:rPr>
          <w:i/>
          <w:color w:val="auto"/>
          <w:vertAlign w:val="subscript"/>
        </w:rPr>
        <w:t>t</w:t>
      </w:r>
      <w:r>
        <w:rPr>
          <w:rFonts w:hint="eastAsia"/>
          <w:color w:val="auto"/>
        </w:rPr>
        <w:t>)</w:t>
      </w:r>
    </w:p>
    <w:p>
      <w:pPr>
        <w:tabs>
          <w:tab w:val="left" w:pos="1620"/>
          <w:tab w:val="left" w:pos="2340"/>
        </w:tabs>
        <w:adjustRightInd w:val="0"/>
        <w:snapToGrid w:val="0"/>
        <w:spacing w:beforeLines="0" w:line="360" w:lineRule="auto"/>
        <w:ind w:firstLine="1200" w:firstLineChars="500"/>
        <w:rPr>
          <w:color w:val="auto"/>
        </w:rPr>
      </w:pPr>
      <w:r>
        <w:rPr>
          <w:rFonts w:hint="eastAsia"/>
          <w:color w:val="auto"/>
        </w:rPr>
        <w:t>②</w:t>
      </w:r>
      <w:r>
        <w:rPr>
          <w:i/>
          <w:color w:val="auto"/>
        </w:rPr>
        <w:t>P</w:t>
      </w:r>
      <w:r>
        <w:rPr>
          <w:i/>
          <w:color w:val="auto"/>
          <w:vertAlign w:val="subscript"/>
        </w:rPr>
        <w:t>t</w:t>
      </w:r>
      <w:r>
        <w:rPr>
          <w:rFonts w:hint="eastAsia"/>
          <w:color w:val="auto"/>
        </w:rPr>
        <w:t>≥</w:t>
      </w:r>
      <w:r>
        <w:rPr>
          <w:i/>
          <w:color w:val="auto"/>
        </w:rPr>
        <w:t>P</w:t>
      </w:r>
      <w:r>
        <w:rPr>
          <w:i/>
          <w:color w:val="auto"/>
          <w:vertAlign w:val="subscript"/>
        </w:rPr>
        <w:t>0</w:t>
      </w:r>
      <w:r>
        <w:rPr>
          <w:rFonts w:hint="eastAsia"/>
          <w:color w:val="auto"/>
        </w:rPr>
        <w:t>，且</w:t>
      </w:r>
      <w:r>
        <w:rPr>
          <w:rFonts w:ascii="Symbol" w:hAnsi="Symbol"/>
          <w:i/>
          <w:color w:val="auto"/>
        </w:rPr>
        <w:sym w:font="Symbol" w:char="F060"/>
      </w:r>
      <w:r>
        <w:rPr>
          <w:i/>
          <w:color w:val="auto"/>
        </w:rPr>
        <w:t>P</w:t>
      </w:r>
      <w:r>
        <w:rPr>
          <w:color w:val="auto"/>
        </w:rPr>
        <w:t xml:space="preserve"> </w:t>
      </w:r>
      <w:r>
        <w:rPr>
          <w:rFonts w:hint="eastAsia"/>
          <w:color w:val="auto"/>
        </w:rPr>
        <w:t>/</w:t>
      </w:r>
      <w:r>
        <w:rPr>
          <w:i/>
          <w:color w:val="auto"/>
        </w:rPr>
        <w:t>P</w:t>
      </w:r>
      <w:r>
        <w:rPr>
          <w:i/>
          <w:color w:val="auto"/>
          <w:vertAlign w:val="subscript"/>
        </w:rPr>
        <w:t>0</w:t>
      </w:r>
      <w:r>
        <w:rPr>
          <w:rFonts w:hint="eastAsia"/>
          <w:color w:val="auto"/>
        </w:rPr>
        <w:t>＜</w:t>
      </w:r>
      <w:r>
        <w:rPr>
          <w:color w:val="auto"/>
        </w:rPr>
        <w:t>0.95</w:t>
      </w:r>
      <w:r>
        <w:rPr>
          <w:rFonts w:hint="eastAsia"/>
          <w:color w:val="auto"/>
        </w:rPr>
        <w:t>，则：</w:t>
      </w:r>
    </w:p>
    <w:p>
      <w:pPr>
        <w:tabs>
          <w:tab w:val="left" w:pos="1620"/>
          <w:tab w:val="left" w:pos="2340"/>
        </w:tabs>
        <w:adjustRightInd w:val="0"/>
        <w:snapToGrid w:val="0"/>
        <w:spacing w:beforeLines="0" w:line="360" w:lineRule="auto"/>
        <w:ind w:firstLine="1200" w:firstLineChars="500"/>
        <w:rPr>
          <w:color w:val="auto"/>
        </w:rPr>
      </w:pPr>
      <w:r>
        <w:rPr>
          <w:rFonts w:hint="eastAsia"/>
          <w:color w:val="auto"/>
        </w:rPr>
        <w:t>C</w:t>
      </w:r>
      <w:r>
        <w:rPr>
          <w:rFonts w:hint="eastAsia"/>
          <w:color w:val="auto"/>
          <w:vertAlign w:val="subscript"/>
        </w:rPr>
        <w:t>减</w:t>
      </w:r>
      <w:r>
        <w:rPr>
          <w:rFonts w:hint="eastAsia"/>
          <w:color w:val="auto"/>
        </w:rPr>
        <w:t>=</w:t>
      </w:r>
      <w:r>
        <w:rPr>
          <w:i/>
          <w:color w:val="auto"/>
        </w:rPr>
        <w:t>Q</w:t>
      </w:r>
      <w:r>
        <w:rPr>
          <w:rFonts w:hint="eastAsia"/>
          <w:color w:val="auto"/>
          <w:vertAlign w:val="subscript"/>
        </w:rPr>
        <w:t>总</w:t>
      </w:r>
      <w:r>
        <w:rPr>
          <w:rFonts w:hint="eastAsia"/>
          <w:color w:val="auto"/>
        </w:rPr>
        <w:t>×</w:t>
      </w:r>
      <w:r>
        <w:rPr>
          <w:i/>
          <w:color w:val="auto"/>
        </w:rPr>
        <w:t>P</w:t>
      </w:r>
      <w:r>
        <w:rPr>
          <w:i/>
          <w:color w:val="auto"/>
          <w:vertAlign w:val="subscript"/>
        </w:rPr>
        <w:t>t</w:t>
      </w:r>
      <w:r>
        <w:rPr>
          <w:rFonts w:hint="eastAsia"/>
          <w:color w:val="auto"/>
        </w:rPr>
        <w:t>×(0.95－</w:t>
      </w:r>
      <w:r>
        <w:rPr>
          <w:rFonts w:ascii="Symbol" w:hAnsi="Symbol"/>
          <w:i/>
          <w:color w:val="auto"/>
        </w:rPr>
        <w:sym w:font="Symbol" w:char="F060"/>
      </w:r>
      <w:r>
        <w:rPr>
          <w:i/>
          <w:color w:val="auto"/>
        </w:rPr>
        <w:t xml:space="preserve">P </w:t>
      </w:r>
      <w:r>
        <w:rPr>
          <w:rFonts w:hint="eastAsia"/>
          <w:color w:val="auto"/>
        </w:rPr>
        <w:t>/</w:t>
      </w:r>
      <w:r>
        <w:rPr>
          <w:i/>
          <w:color w:val="auto"/>
        </w:rPr>
        <w:t>P</w:t>
      </w:r>
      <w:r>
        <w:rPr>
          <w:i/>
          <w:color w:val="auto"/>
          <w:vertAlign w:val="subscript"/>
        </w:rPr>
        <w:t>0</w:t>
      </w:r>
      <w:r>
        <w:rPr>
          <w:rFonts w:hint="eastAsia"/>
          <w:color w:val="auto"/>
        </w:rPr>
        <w:t>)</w:t>
      </w:r>
    </w:p>
    <w:p>
      <w:pPr>
        <w:tabs>
          <w:tab w:val="left" w:pos="1620"/>
          <w:tab w:val="left" w:pos="2340"/>
        </w:tabs>
        <w:adjustRightInd w:val="0"/>
        <w:snapToGrid w:val="0"/>
        <w:spacing w:before="0" w:beforeLines="0" w:line="360" w:lineRule="auto"/>
        <w:ind w:left="1260"/>
        <w:rPr>
          <w:color w:val="auto"/>
        </w:rPr>
      </w:pPr>
      <w:r>
        <w:rPr>
          <w:rFonts w:hint="eastAsia"/>
          <w:color w:val="auto"/>
        </w:rPr>
        <w:t>式中：</w:t>
      </w:r>
    </w:p>
    <w:p>
      <w:pPr>
        <w:tabs>
          <w:tab w:val="left" w:pos="1620"/>
          <w:tab w:val="left" w:pos="2340"/>
        </w:tabs>
        <w:adjustRightInd w:val="0"/>
        <w:snapToGrid w:val="0"/>
        <w:spacing w:beforeLines="0" w:line="360" w:lineRule="auto"/>
        <w:ind w:left="1440"/>
        <w:rPr>
          <w:color w:val="auto"/>
        </w:rPr>
      </w:pPr>
      <w:r>
        <w:rPr>
          <w:rFonts w:hint="eastAsia"/>
          <w:color w:val="auto"/>
        </w:rPr>
        <w:t>P</w:t>
      </w:r>
      <w:r>
        <w:rPr>
          <w:rFonts w:hint="eastAsia"/>
          <w:color w:val="auto"/>
          <w:vertAlign w:val="subscript"/>
        </w:rPr>
        <w:t>0</w:t>
      </w:r>
      <w:r>
        <w:rPr>
          <w:rFonts w:hint="eastAsia"/>
          <w:color w:val="auto"/>
        </w:rPr>
        <w:t>－投标截止日期前35天的当月或</w:t>
      </w:r>
      <w:r>
        <w:rPr>
          <w:rFonts w:hint="eastAsia"/>
          <w:b/>
          <w:i/>
          <w:color w:val="auto"/>
        </w:rPr>
        <w:t>专用条款</w:t>
      </w:r>
      <w:r>
        <w:rPr>
          <w:rFonts w:hint="eastAsia"/>
          <w:color w:val="auto"/>
        </w:rPr>
        <w:t>约定月份《深圳建设工程价格信息》某材料价格。示例：投标截止日期如果是2018年5月5日，前35天为3月31日，则P</w:t>
      </w:r>
      <w:r>
        <w:rPr>
          <w:rFonts w:hint="eastAsia"/>
          <w:color w:val="auto"/>
          <w:vertAlign w:val="subscript"/>
        </w:rPr>
        <w:t>0</w:t>
      </w:r>
      <w:r>
        <w:rPr>
          <w:rFonts w:hint="eastAsia"/>
          <w:color w:val="auto"/>
        </w:rPr>
        <w:t>对应的信息价是指2018年3月《深圳建设工程价格信息》。投标截止日期如果是2018年5月6日，前35天为4月1日，则P</w:t>
      </w:r>
      <w:r>
        <w:rPr>
          <w:rFonts w:hint="eastAsia"/>
          <w:color w:val="auto"/>
          <w:vertAlign w:val="subscript"/>
        </w:rPr>
        <w:t>0</w:t>
      </w:r>
      <w:r>
        <w:rPr>
          <w:rFonts w:hint="eastAsia"/>
          <w:color w:val="auto"/>
        </w:rPr>
        <w:t>对应的信息价是指2018年4月《深圳建设工程价格信息》。</w:t>
      </w:r>
    </w:p>
    <w:p>
      <w:pPr>
        <w:tabs>
          <w:tab w:val="left" w:pos="1620"/>
          <w:tab w:val="left" w:pos="2340"/>
        </w:tabs>
        <w:adjustRightInd w:val="0"/>
        <w:snapToGrid w:val="0"/>
        <w:spacing w:beforeLines="0" w:line="360" w:lineRule="auto"/>
        <w:ind w:left="1440"/>
        <w:rPr>
          <w:color w:val="auto"/>
        </w:rPr>
      </w:pPr>
      <w:r>
        <w:rPr>
          <w:rFonts w:hint="eastAsia"/>
          <w:color w:val="auto"/>
        </w:rPr>
        <w:t>P</w:t>
      </w:r>
      <w:r>
        <w:rPr>
          <w:rFonts w:hint="eastAsia"/>
          <w:color w:val="auto"/>
          <w:vertAlign w:val="subscript"/>
        </w:rPr>
        <w:t>t</w:t>
      </w:r>
      <w:r>
        <w:rPr>
          <w:rFonts w:hint="eastAsia"/>
          <w:color w:val="auto"/>
        </w:rPr>
        <w:t>－承包人投标文件商务标书中某材料的投标单价，如投标报价中无法确认某材料的单价时，则P</w:t>
      </w:r>
      <w:r>
        <w:rPr>
          <w:rFonts w:hint="eastAsia"/>
          <w:color w:val="auto"/>
          <w:vertAlign w:val="subscript"/>
        </w:rPr>
        <w:t>t</w:t>
      </w:r>
      <w:r>
        <w:rPr>
          <w:rFonts w:hint="eastAsia"/>
          <w:color w:val="auto"/>
        </w:rPr>
        <w:t>取值为P</w:t>
      </w:r>
      <w:r>
        <w:rPr>
          <w:rFonts w:hint="eastAsia"/>
          <w:color w:val="auto"/>
          <w:vertAlign w:val="subscript"/>
        </w:rPr>
        <w:t>0</w:t>
      </w:r>
      <w:r>
        <w:rPr>
          <w:rFonts w:hint="eastAsia"/>
          <w:color w:val="auto"/>
        </w:rPr>
        <w:t>×（1-中标净下浮率）；</w:t>
      </w:r>
    </w:p>
    <w:p>
      <w:pPr>
        <w:tabs>
          <w:tab w:val="left" w:pos="1620"/>
          <w:tab w:val="left" w:pos="2340"/>
        </w:tabs>
        <w:adjustRightInd w:val="0"/>
        <w:snapToGrid w:val="0"/>
        <w:spacing w:beforeLines="0" w:line="360" w:lineRule="auto"/>
        <w:ind w:left="1440"/>
        <w:rPr>
          <w:color w:val="auto"/>
        </w:rPr>
      </w:pPr>
      <w:r>
        <w:rPr>
          <w:rFonts w:hint="eastAsia"/>
          <w:color w:val="auto"/>
        </w:rPr>
        <w:t>C</w:t>
      </w:r>
      <w:r>
        <w:rPr>
          <w:rFonts w:hint="eastAsia"/>
          <w:color w:val="auto"/>
          <w:vertAlign w:val="subscript"/>
        </w:rPr>
        <w:t>增</w:t>
      </w:r>
      <w:r>
        <w:rPr>
          <w:rFonts w:hint="eastAsia"/>
          <w:color w:val="auto"/>
        </w:rPr>
        <w:t>－调增合同价格；</w:t>
      </w:r>
    </w:p>
    <w:p>
      <w:pPr>
        <w:tabs>
          <w:tab w:val="left" w:pos="1620"/>
          <w:tab w:val="left" w:pos="2340"/>
        </w:tabs>
        <w:adjustRightInd w:val="0"/>
        <w:snapToGrid w:val="0"/>
        <w:spacing w:beforeLines="0" w:line="360" w:lineRule="auto"/>
        <w:ind w:left="1440"/>
        <w:rPr>
          <w:color w:val="auto"/>
        </w:rPr>
      </w:pPr>
      <w:r>
        <w:rPr>
          <w:rFonts w:hint="eastAsia"/>
          <w:color w:val="auto"/>
        </w:rPr>
        <w:t>C</w:t>
      </w:r>
      <w:r>
        <w:rPr>
          <w:rFonts w:hint="eastAsia"/>
          <w:color w:val="auto"/>
          <w:vertAlign w:val="subscript"/>
        </w:rPr>
        <w:t>减</w:t>
      </w:r>
      <w:r>
        <w:rPr>
          <w:rFonts w:hint="eastAsia"/>
          <w:color w:val="auto"/>
        </w:rPr>
        <w:t>－调减合同价格；</w:t>
      </w:r>
    </w:p>
    <w:p>
      <w:pPr>
        <w:tabs>
          <w:tab w:val="left" w:pos="1620"/>
          <w:tab w:val="left" w:pos="2340"/>
        </w:tabs>
        <w:adjustRightInd w:val="0"/>
        <w:snapToGrid w:val="0"/>
        <w:spacing w:beforeLines="0" w:line="360" w:lineRule="auto"/>
        <w:ind w:left="1440"/>
        <w:rPr>
          <w:color w:val="auto"/>
        </w:rPr>
      </w:pPr>
      <w:r>
        <w:rPr>
          <w:rFonts w:hint="eastAsia"/>
          <w:color w:val="auto"/>
        </w:rPr>
        <w:t>Q</w:t>
      </w:r>
      <w:r>
        <w:rPr>
          <w:rFonts w:hint="eastAsia"/>
          <w:color w:val="auto"/>
          <w:vertAlign w:val="subscript"/>
        </w:rPr>
        <w:t>总</w:t>
      </w:r>
      <w:r>
        <w:rPr>
          <w:rFonts w:hint="eastAsia"/>
          <w:color w:val="auto"/>
        </w:rPr>
        <w:t>－本项目已完工程合格产品的某材料总用量（其中消耗量因素在</w:t>
      </w:r>
      <w:r>
        <w:rPr>
          <w:rFonts w:hint="eastAsia"/>
          <w:b/>
          <w:i/>
          <w:color w:val="auto"/>
        </w:rPr>
        <w:t>专用条款</w:t>
      </w:r>
      <w:r>
        <w:rPr>
          <w:rFonts w:hint="eastAsia"/>
          <w:color w:val="auto"/>
        </w:rPr>
        <w:t>约定）。</w:t>
      </w:r>
    </w:p>
    <w:p>
      <w:pPr>
        <w:tabs>
          <w:tab w:val="left" w:pos="1620"/>
          <w:tab w:val="left" w:pos="2340"/>
        </w:tabs>
        <w:adjustRightInd w:val="0"/>
        <w:snapToGrid w:val="0"/>
        <w:spacing w:before="0" w:beforeLines="0" w:line="360" w:lineRule="auto"/>
        <w:ind w:firstLine="1440" w:firstLineChars="600"/>
        <w:rPr>
          <w:color w:val="auto"/>
        </w:rPr>
      </w:pPr>
      <w:r>
        <w:rPr>
          <w:rFonts w:ascii="Symbol" w:hAnsi="Symbol"/>
          <w:i/>
          <w:color w:val="auto"/>
        </w:rPr>
        <w:sym w:font="Symbol" w:char="F060"/>
      </w:r>
      <w:r>
        <w:rPr>
          <w:i/>
          <w:color w:val="auto"/>
        </w:rPr>
        <w:t>P</w:t>
      </w:r>
      <w:r>
        <w:rPr>
          <w:rFonts w:hint="eastAsia"/>
          <w:color w:val="auto"/>
        </w:rPr>
        <w:t>－</w:t>
      </w:r>
      <w:r>
        <w:rPr>
          <w:color w:val="auto"/>
        </w:rPr>
        <w:t>计算</w:t>
      </w:r>
      <w:r>
        <w:rPr>
          <w:rFonts w:hint="eastAsia"/>
          <w:color w:val="auto"/>
        </w:rPr>
        <w:t>方式如下（或按</w:t>
      </w:r>
      <w:r>
        <w:rPr>
          <w:b/>
          <w:i/>
          <w:color w:val="auto"/>
        </w:rPr>
        <w:t>专用条款</w:t>
      </w:r>
      <w:r>
        <w:rPr>
          <w:color w:val="auto"/>
        </w:rPr>
        <w:t>中约定</w:t>
      </w:r>
      <w:r>
        <w:rPr>
          <w:rFonts w:hint="eastAsia"/>
          <w:color w:val="auto"/>
        </w:rPr>
        <w:t>的</w:t>
      </w:r>
      <w:r>
        <w:rPr>
          <w:color w:val="auto"/>
        </w:rPr>
        <w:t>方法</w:t>
      </w:r>
      <w:r>
        <w:rPr>
          <w:rFonts w:hint="eastAsia"/>
          <w:color w:val="auto"/>
        </w:rPr>
        <w:t>）</w:t>
      </w:r>
      <w:r>
        <w:rPr>
          <w:color w:val="auto"/>
        </w:rPr>
        <w:t>：</w:t>
      </w:r>
    </w:p>
    <w:p>
      <w:pPr>
        <w:tabs>
          <w:tab w:val="left" w:pos="1620"/>
          <w:tab w:val="left" w:pos="2340"/>
        </w:tabs>
        <w:adjustRightInd w:val="0"/>
        <w:snapToGrid w:val="0"/>
        <w:spacing w:before="0" w:beforeLines="0" w:line="360" w:lineRule="auto"/>
        <w:ind w:firstLine="1200" w:firstLineChars="500"/>
        <w:rPr>
          <w:color w:val="auto"/>
        </w:rPr>
      </w:pPr>
      <w:r>
        <w:rPr>
          <w:rFonts w:hint="eastAsia"/>
          <w:color w:val="auto"/>
        </w:rPr>
        <w:t>①加权平均法：</w:t>
      </w:r>
    </w:p>
    <w:p>
      <w:pPr>
        <w:adjustRightInd w:val="0"/>
        <w:snapToGrid w:val="0"/>
        <w:spacing w:beforeLines="0" w:line="360" w:lineRule="auto"/>
        <w:ind w:left="1440"/>
        <w:rPr>
          <w:color w:val="auto"/>
        </w:rPr>
      </w:pPr>
      <w:r>
        <w:rPr>
          <w:rFonts w:ascii="Symbol" w:hAnsi="Symbol"/>
          <w:i/>
          <w:color w:val="auto"/>
        </w:rPr>
        <w:sym w:font="Symbol" w:char="F060"/>
      </w:r>
      <w:r>
        <w:rPr>
          <w:i/>
          <w:color w:val="auto"/>
        </w:rPr>
        <w:t>P</w:t>
      </w:r>
      <w:r>
        <w:rPr>
          <w:color w:val="auto"/>
        </w:rPr>
        <w:t xml:space="preserve"> </w:t>
      </w:r>
      <w:r>
        <w:rPr>
          <w:rFonts w:hint="eastAsia"/>
          <w:color w:val="auto"/>
        </w:rPr>
        <w:t>-施工期加权平均价格，即∑(Q</w:t>
      </w:r>
      <w:r>
        <w:rPr>
          <w:rFonts w:hint="eastAsia"/>
          <w:color w:val="auto"/>
          <w:vertAlign w:val="subscript"/>
        </w:rPr>
        <w:t>i</w:t>
      </w:r>
      <w:r>
        <w:rPr>
          <w:rFonts w:hint="eastAsia"/>
          <w:color w:val="auto"/>
        </w:rPr>
        <w:t>×P</w:t>
      </w:r>
      <w:r>
        <w:rPr>
          <w:rFonts w:hint="eastAsia"/>
          <w:color w:val="auto"/>
          <w:vertAlign w:val="subscript"/>
        </w:rPr>
        <w:t>i</w:t>
      </w:r>
      <w:r>
        <w:rPr>
          <w:rFonts w:hint="eastAsia"/>
          <w:color w:val="auto"/>
        </w:rPr>
        <w:t>)/Q</w:t>
      </w:r>
      <w:r>
        <w:rPr>
          <w:rFonts w:hint="eastAsia"/>
          <w:color w:val="auto"/>
          <w:vertAlign w:val="subscript"/>
        </w:rPr>
        <w:t>总</w:t>
      </w:r>
      <w:r>
        <w:rPr>
          <w:rFonts w:hint="eastAsia"/>
          <w:color w:val="auto"/>
        </w:rPr>
        <w:t>，其中Q</w:t>
      </w:r>
      <w:r>
        <w:rPr>
          <w:rFonts w:hint="eastAsia"/>
          <w:color w:val="auto"/>
          <w:vertAlign w:val="subscript"/>
        </w:rPr>
        <w:t>i</w:t>
      </w:r>
      <w:r>
        <w:rPr>
          <w:rFonts w:hint="eastAsia"/>
          <w:color w:val="auto"/>
        </w:rPr>
        <w:t>为施工期第i个月某材料用量（消耗量因素在</w:t>
      </w:r>
      <w:r>
        <w:rPr>
          <w:rFonts w:hint="eastAsia"/>
          <w:b/>
          <w:i/>
          <w:color w:val="auto"/>
        </w:rPr>
        <w:t>专用条款</w:t>
      </w:r>
      <w:r>
        <w:rPr>
          <w:rFonts w:hint="eastAsia"/>
          <w:color w:val="auto"/>
        </w:rPr>
        <w:t>约定）；P</w:t>
      </w:r>
      <w:r>
        <w:rPr>
          <w:rFonts w:hint="eastAsia"/>
          <w:color w:val="auto"/>
          <w:vertAlign w:val="subscript"/>
        </w:rPr>
        <w:t>i</w:t>
      </w:r>
      <w:r>
        <w:rPr>
          <w:rFonts w:hint="eastAsia"/>
          <w:color w:val="auto"/>
        </w:rPr>
        <w:t>为施工期第i个月当月《深圳建设工程价格信息》某材料价格。例如施工期第i个月是2018年6月，则对应2018年6月《深圳建设工程价格信息》。</w:t>
      </w:r>
    </w:p>
    <w:p>
      <w:pPr>
        <w:tabs>
          <w:tab w:val="left" w:pos="1620"/>
          <w:tab w:val="left" w:pos="2340"/>
        </w:tabs>
        <w:adjustRightInd w:val="0"/>
        <w:snapToGrid w:val="0"/>
        <w:spacing w:before="0" w:beforeLines="0" w:line="360" w:lineRule="auto"/>
        <w:ind w:firstLine="1200" w:firstLineChars="500"/>
        <w:rPr>
          <w:color w:val="auto"/>
        </w:rPr>
      </w:pPr>
      <w:r>
        <w:rPr>
          <w:rFonts w:hint="eastAsia"/>
          <w:color w:val="auto"/>
        </w:rPr>
        <w:t>或者②算术平均法：</w:t>
      </w:r>
    </w:p>
    <w:p>
      <w:pPr>
        <w:adjustRightInd w:val="0"/>
        <w:snapToGrid w:val="0"/>
        <w:spacing w:beforeLines="0" w:line="360" w:lineRule="auto"/>
        <w:ind w:left="1440"/>
        <w:rPr>
          <w:color w:val="auto"/>
        </w:rPr>
      </w:pPr>
      <w:r>
        <w:rPr>
          <w:rFonts w:ascii="Symbol" w:hAnsi="Symbol"/>
          <w:i/>
          <w:color w:val="auto"/>
        </w:rPr>
        <w:sym w:font="Symbol" w:char="F060"/>
      </w:r>
      <w:r>
        <w:rPr>
          <w:i/>
          <w:color w:val="auto"/>
        </w:rPr>
        <w:t>P</w:t>
      </w:r>
      <w:r>
        <w:rPr>
          <w:color w:val="auto"/>
        </w:rPr>
        <w:t xml:space="preserve"> </w:t>
      </w:r>
      <w:r>
        <w:rPr>
          <w:rFonts w:hint="eastAsia"/>
          <w:color w:val="auto"/>
        </w:rPr>
        <w:t>-本工程有某材料投入月份对应《深圳建设工程价格信息》某材料价格的算术平均值。例如有某材料投入月份是指2018年6月至8月，则对应2018年6月至8月《深圳建设工程价格信息》某材料价格之和除以3。</w:t>
      </w:r>
    </w:p>
    <w:p>
      <w:pPr>
        <w:adjustRightInd w:val="0"/>
        <w:snapToGrid w:val="0"/>
        <w:spacing w:before="0" w:beforeLines="0" w:after="0" w:line="360" w:lineRule="auto"/>
        <w:ind w:left="359"/>
        <w:rPr>
          <w:color w:val="auto"/>
        </w:rPr>
      </w:pPr>
      <w:r>
        <w:rPr>
          <w:b/>
          <w:color w:val="auto"/>
        </w:rPr>
        <w:t>20.6</w:t>
      </w:r>
      <w:r>
        <w:rPr>
          <w:rFonts w:hint="eastAsia"/>
          <w:b/>
          <w:color w:val="auto"/>
        </w:rPr>
        <w:t>人工、机械使用调差方法</w:t>
      </w:r>
    </w:p>
    <w:p>
      <w:pPr>
        <w:tabs>
          <w:tab w:val="left" w:pos="1620"/>
          <w:tab w:val="left" w:pos="2340"/>
        </w:tabs>
        <w:adjustRightInd w:val="0"/>
        <w:snapToGrid w:val="0"/>
        <w:spacing w:before="0" w:beforeLines="0" w:after="0" w:line="360" w:lineRule="auto"/>
        <w:ind w:left="899"/>
        <w:rPr>
          <w:color w:val="auto"/>
        </w:rPr>
      </w:pPr>
      <w:r>
        <w:rPr>
          <w:rFonts w:hint="eastAsia"/>
          <w:color w:val="auto"/>
        </w:rPr>
        <w:t>⑴用于本工程的机械使用发生价格波动时，按照20.5款调差公式，将公式中的材料价格替换为机械使用价格，调整合同价格。</w:t>
      </w:r>
    </w:p>
    <w:p>
      <w:pPr>
        <w:tabs>
          <w:tab w:val="left" w:pos="1620"/>
          <w:tab w:val="left" w:pos="2340"/>
        </w:tabs>
        <w:adjustRightInd w:val="0"/>
        <w:snapToGrid w:val="0"/>
        <w:spacing w:before="0" w:beforeLines="0" w:after="0" w:line="360" w:lineRule="auto"/>
        <w:ind w:left="899"/>
        <w:rPr>
          <w:color w:val="auto"/>
        </w:rPr>
      </w:pPr>
      <w:r>
        <w:rPr>
          <w:rFonts w:hint="eastAsia"/>
          <w:color w:val="auto"/>
        </w:rPr>
        <w:t>⑵用于本工程的人工发生价格波动时，可在</w:t>
      </w:r>
      <w:r>
        <w:rPr>
          <w:rFonts w:hint="eastAsia"/>
          <w:b/>
          <w:i/>
          <w:color w:val="auto"/>
        </w:rPr>
        <w:t>专用条款</w:t>
      </w:r>
      <w:r>
        <w:rPr>
          <w:rFonts w:hint="eastAsia"/>
          <w:color w:val="auto"/>
        </w:rPr>
        <w:t>中约定一种调差方式：</w:t>
      </w:r>
    </w:p>
    <w:p>
      <w:pPr>
        <w:tabs>
          <w:tab w:val="left" w:pos="1620"/>
          <w:tab w:val="left" w:pos="2340"/>
        </w:tabs>
        <w:adjustRightInd w:val="0"/>
        <w:snapToGrid w:val="0"/>
        <w:spacing w:before="0" w:beforeLines="0" w:after="0" w:line="360" w:lineRule="auto"/>
        <w:ind w:left="899"/>
        <w:rPr>
          <w:color w:val="auto"/>
        </w:rPr>
      </w:pPr>
      <w:r>
        <w:rPr>
          <w:rFonts w:hint="eastAsia"/>
          <w:color w:val="auto"/>
        </w:rPr>
        <w:t>①按照20.5款调差公式，将公式中的材料价格替换为人工价格，调整合同价格。其中，P</w:t>
      </w:r>
      <w:r>
        <w:rPr>
          <w:rFonts w:hint="eastAsia"/>
          <w:color w:val="auto"/>
          <w:vertAlign w:val="subscript"/>
        </w:rPr>
        <w:t>0</w:t>
      </w:r>
      <w:r>
        <w:rPr>
          <w:rFonts w:hint="eastAsia"/>
          <w:color w:val="auto"/>
        </w:rPr>
        <w:t>为投标截止日期前35天的当月或专用条款约定月份《深圳建设工程价格信息》某人工定额工日价格；P</w:t>
      </w:r>
      <w:r>
        <w:rPr>
          <w:rFonts w:hint="eastAsia"/>
          <w:color w:val="auto"/>
          <w:vertAlign w:val="subscript"/>
        </w:rPr>
        <w:t>i</w:t>
      </w:r>
      <w:r>
        <w:rPr>
          <w:rFonts w:hint="eastAsia"/>
          <w:color w:val="auto"/>
        </w:rPr>
        <w:t>为施工期第i个月《深圳建设工程价格信息》某人工定额工日价格。或；</w:t>
      </w:r>
    </w:p>
    <w:p>
      <w:pPr>
        <w:adjustRightInd w:val="0"/>
        <w:snapToGrid w:val="0"/>
        <w:spacing w:beforeLines="0" w:line="360" w:lineRule="auto"/>
        <w:ind w:firstLine="1080" w:firstLineChars="450"/>
        <w:rPr>
          <w:rFonts w:ascii="Calibri" w:hAnsi="Calibri"/>
          <w:color w:val="auto"/>
          <w:szCs w:val="22"/>
        </w:rPr>
      </w:pPr>
      <w:r>
        <w:rPr>
          <w:rFonts w:hint="eastAsia"/>
          <w:color w:val="auto"/>
          <w:szCs w:val="21"/>
        </w:rPr>
        <w:t>②按照人工费指数调差：</w:t>
      </w:r>
    </w:p>
    <w:p>
      <w:pPr>
        <w:adjustRightInd w:val="0"/>
        <w:snapToGrid w:val="0"/>
        <w:spacing w:beforeLines="0" w:line="360" w:lineRule="auto"/>
        <w:ind w:firstLine="1080" w:firstLineChars="450"/>
        <w:rPr>
          <w:color w:val="auto"/>
          <w:szCs w:val="21"/>
        </w:rPr>
      </w:pPr>
      <w:r>
        <w:rPr>
          <w:color w:val="auto"/>
          <w:szCs w:val="21"/>
        </w:rPr>
        <w:t>当</w:t>
      </w:r>
      <w:r>
        <w:rPr>
          <w:rFonts w:ascii="Symbol" w:hAnsi="Symbol"/>
          <w:color w:val="auto"/>
          <w:szCs w:val="21"/>
        </w:rPr>
        <w:sym w:font="Symbol" w:char="F060"/>
      </w:r>
      <w:r>
        <w:rPr>
          <w:i/>
          <w:color w:val="auto"/>
          <w:szCs w:val="21"/>
        </w:rPr>
        <w:t>I</w:t>
      </w:r>
      <w:r>
        <w:rPr>
          <w:rFonts w:hint="eastAsia"/>
          <w:i/>
          <w:color w:val="auto"/>
          <w:szCs w:val="21"/>
        </w:rPr>
        <w:t xml:space="preserve"> </w:t>
      </w:r>
      <w:r>
        <w:rPr>
          <w:color w:val="auto"/>
          <w:szCs w:val="21"/>
        </w:rPr>
        <w:t>/I</w:t>
      </w:r>
      <w:r>
        <w:rPr>
          <w:color w:val="auto"/>
          <w:szCs w:val="21"/>
          <w:vertAlign w:val="subscript"/>
        </w:rPr>
        <w:t>o</w:t>
      </w:r>
      <w:r>
        <w:rPr>
          <w:color w:val="auto"/>
          <w:szCs w:val="21"/>
        </w:rPr>
        <w:t>﹥1.05时，则：C</w:t>
      </w:r>
      <w:r>
        <w:rPr>
          <w:color w:val="auto"/>
          <w:szCs w:val="21"/>
          <w:vertAlign w:val="subscript"/>
        </w:rPr>
        <w:t>增</w:t>
      </w:r>
      <w:r>
        <w:rPr>
          <w:color w:val="auto"/>
          <w:szCs w:val="21"/>
        </w:rPr>
        <w:t>=L</w:t>
      </w:r>
      <w:r>
        <w:rPr>
          <w:color w:val="auto"/>
          <w:szCs w:val="21"/>
          <w:vertAlign w:val="subscript"/>
        </w:rPr>
        <w:t>总</w:t>
      </w:r>
      <w:r>
        <w:rPr>
          <w:rFonts w:hint="eastAsia"/>
          <w:color w:val="auto"/>
          <w:szCs w:val="21"/>
        </w:rPr>
        <w:t>×(</w:t>
      </w:r>
      <w:r>
        <w:rPr>
          <w:rFonts w:ascii="Symbol" w:hAnsi="Symbol"/>
          <w:color w:val="auto"/>
          <w:szCs w:val="21"/>
        </w:rPr>
        <w:sym w:font="Symbol" w:char="F060"/>
      </w:r>
      <w:r>
        <w:rPr>
          <w:i/>
          <w:color w:val="auto"/>
          <w:szCs w:val="21"/>
        </w:rPr>
        <w:t>I</w:t>
      </w:r>
      <w:r>
        <w:rPr>
          <w:rFonts w:hint="eastAsia"/>
          <w:i/>
          <w:color w:val="auto"/>
          <w:szCs w:val="21"/>
        </w:rPr>
        <w:t xml:space="preserve"> </w:t>
      </w:r>
      <w:r>
        <w:rPr>
          <w:color w:val="auto"/>
          <w:szCs w:val="21"/>
        </w:rPr>
        <w:t>/I</w:t>
      </w:r>
      <w:r>
        <w:rPr>
          <w:color w:val="auto"/>
          <w:szCs w:val="21"/>
          <w:vertAlign w:val="subscript"/>
        </w:rPr>
        <w:t>o</w:t>
      </w:r>
      <w:r>
        <w:rPr>
          <w:color w:val="auto"/>
          <w:szCs w:val="21"/>
        </w:rPr>
        <w:t>-1.05</w:t>
      </w:r>
      <w:r>
        <w:rPr>
          <w:rFonts w:hint="eastAsia"/>
          <w:color w:val="auto"/>
          <w:szCs w:val="21"/>
        </w:rPr>
        <w:t>)；</w:t>
      </w:r>
    </w:p>
    <w:p>
      <w:pPr>
        <w:adjustRightInd w:val="0"/>
        <w:snapToGrid w:val="0"/>
        <w:spacing w:beforeLines="0" w:line="360" w:lineRule="auto"/>
        <w:ind w:firstLine="1080" w:firstLineChars="450"/>
        <w:rPr>
          <w:color w:val="auto"/>
          <w:szCs w:val="21"/>
        </w:rPr>
      </w:pPr>
      <w:r>
        <w:rPr>
          <w:color w:val="auto"/>
          <w:szCs w:val="21"/>
        </w:rPr>
        <w:t>当</w:t>
      </w:r>
      <w:r>
        <w:rPr>
          <w:rFonts w:ascii="Symbol" w:hAnsi="Symbol"/>
          <w:color w:val="auto"/>
          <w:szCs w:val="21"/>
        </w:rPr>
        <w:sym w:font="Symbol" w:char="F060"/>
      </w:r>
      <w:r>
        <w:rPr>
          <w:i/>
          <w:color w:val="auto"/>
          <w:szCs w:val="21"/>
        </w:rPr>
        <w:t>I</w:t>
      </w:r>
      <w:r>
        <w:rPr>
          <w:rFonts w:hint="eastAsia"/>
          <w:i/>
          <w:color w:val="auto"/>
          <w:szCs w:val="21"/>
        </w:rPr>
        <w:t xml:space="preserve"> </w:t>
      </w:r>
      <w:r>
        <w:rPr>
          <w:color w:val="auto"/>
          <w:szCs w:val="21"/>
        </w:rPr>
        <w:t>/I</w:t>
      </w:r>
      <w:r>
        <w:rPr>
          <w:color w:val="auto"/>
          <w:szCs w:val="21"/>
          <w:vertAlign w:val="subscript"/>
        </w:rPr>
        <w:t>o</w:t>
      </w:r>
      <w:r>
        <w:rPr>
          <w:color w:val="auto"/>
          <w:szCs w:val="21"/>
        </w:rPr>
        <w:t>﹤0.95时，则：C</w:t>
      </w:r>
      <w:r>
        <w:rPr>
          <w:color w:val="auto"/>
          <w:szCs w:val="21"/>
          <w:vertAlign w:val="subscript"/>
        </w:rPr>
        <w:t>减</w:t>
      </w:r>
      <w:r>
        <w:rPr>
          <w:color w:val="auto"/>
          <w:szCs w:val="21"/>
        </w:rPr>
        <w:t>=L</w:t>
      </w:r>
      <w:r>
        <w:rPr>
          <w:color w:val="auto"/>
          <w:szCs w:val="21"/>
          <w:vertAlign w:val="subscript"/>
        </w:rPr>
        <w:t>总</w:t>
      </w:r>
      <w:r>
        <w:rPr>
          <w:rFonts w:hint="eastAsia"/>
          <w:color w:val="auto"/>
          <w:szCs w:val="21"/>
        </w:rPr>
        <w:t>×(</w:t>
      </w:r>
      <w:r>
        <w:rPr>
          <w:color w:val="auto"/>
          <w:szCs w:val="21"/>
        </w:rPr>
        <w:t>0.95-</w:t>
      </w:r>
      <w:r>
        <w:rPr>
          <w:rFonts w:ascii="Symbol" w:hAnsi="Symbol"/>
          <w:color w:val="auto"/>
          <w:szCs w:val="21"/>
        </w:rPr>
        <w:sym w:font="Symbol" w:char="F060"/>
      </w:r>
      <w:r>
        <w:rPr>
          <w:i/>
          <w:color w:val="auto"/>
          <w:szCs w:val="21"/>
        </w:rPr>
        <w:t>I</w:t>
      </w:r>
      <w:r>
        <w:rPr>
          <w:rFonts w:hint="eastAsia"/>
          <w:i/>
          <w:color w:val="auto"/>
          <w:szCs w:val="21"/>
        </w:rPr>
        <w:t xml:space="preserve"> </w:t>
      </w:r>
      <w:r>
        <w:rPr>
          <w:color w:val="auto"/>
          <w:szCs w:val="21"/>
        </w:rPr>
        <w:t>/I</w:t>
      </w:r>
      <w:r>
        <w:rPr>
          <w:color w:val="auto"/>
          <w:szCs w:val="21"/>
          <w:vertAlign w:val="subscript"/>
        </w:rPr>
        <w:t>o</w:t>
      </w:r>
      <w:r>
        <w:rPr>
          <w:rFonts w:hint="eastAsia"/>
          <w:color w:val="auto"/>
          <w:szCs w:val="21"/>
        </w:rPr>
        <w:t>)</w:t>
      </w:r>
    </w:p>
    <w:p>
      <w:pPr>
        <w:adjustRightInd w:val="0"/>
        <w:snapToGrid w:val="0"/>
        <w:spacing w:beforeLines="0" w:line="360" w:lineRule="auto"/>
        <w:ind w:firstLine="1080" w:firstLineChars="450"/>
        <w:rPr>
          <w:color w:val="auto"/>
          <w:szCs w:val="21"/>
        </w:rPr>
      </w:pPr>
      <w:r>
        <w:rPr>
          <w:rFonts w:hint="eastAsia"/>
          <w:color w:val="auto"/>
          <w:szCs w:val="21"/>
        </w:rPr>
        <w:t>式中：</w:t>
      </w:r>
    </w:p>
    <w:p>
      <w:pPr>
        <w:adjustRightInd w:val="0"/>
        <w:snapToGrid w:val="0"/>
        <w:spacing w:beforeLines="0" w:line="360" w:lineRule="auto"/>
        <w:ind w:left="1200" w:leftChars="500"/>
        <w:rPr>
          <w:color w:val="auto"/>
        </w:rPr>
      </w:pPr>
      <w:r>
        <w:rPr>
          <w:rFonts w:ascii="Symbol" w:hAnsi="Symbol"/>
          <w:i/>
          <w:color w:val="auto"/>
          <w:szCs w:val="21"/>
        </w:rPr>
        <w:sym w:font="Symbol" w:char="F060"/>
      </w:r>
      <w:r>
        <w:rPr>
          <w:rFonts w:hint="eastAsia"/>
          <w:i/>
          <w:color w:val="auto"/>
          <w:szCs w:val="21"/>
        </w:rPr>
        <w:t>I</w:t>
      </w:r>
      <w:r>
        <w:rPr>
          <w:i/>
          <w:color w:val="auto"/>
          <w:szCs w:val="21"/>
        </w:rPr>
        <w:t xml:space="preserve"> </w:t>
      </w:r>
      <w:r>
        <w:rPr>
          <w:rFonts w:hint="eastAsia"/>
          <w:color w:val="auto"/>
        </w:rPr>
        <w:fldChar w:fldCharType="begin"/>
      </w:r>
      <w:r>
        <w:rPr>
          <w:rFonts w:hint="eastAsia"/>
          <w:color w:val="auto"/>
        </w:rPr>
        <w:instrText xml:space="preserve"> QUOTE </w:instrText>
      </w:r>
      <w:r>
        <w:rPr>
          <w:color w:val="auto"/>
          <w:position w:val="-5"/>
        </w:rPr>
        <w:pict>
          <v:shape id="_x0000_i1025" o:spt="75" type="#_x0000_t75" style="height:16.5pt;width:7.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593E13&quot;/&gt;&lt;wsp:rsid wsp:val=&quot;0000071D&quot;/&gt;&lt;wsp:rsid wsp:val=&quot;00000D02&quot;/&gt;&lt;wsp:rsid wsp:val=&quot;00004DE8&quot;/&gt;&lt;wsp:rsid wsp:val=&quot;000069D5&quot;/&gt;&lt;wsp:rsid wsp:val=&quot;00007D9C&quot;/&gt;&lt;wsp:rsid wsp:val=&quot;00012392&quot;/&gt;&lt;wsp:rsid wsp:val=&quot;00014F46&quot;/&gt;&lt;wsp:rsid wsp:val=&quot;000165EA&quot;/&gt;&lt;wsp:rsid wsp:val=&quot;00020489&quot;/&gt;&lt;wsp:rsid wsp:val=&quot;00021E33&quot;/&gt;&lt;wsp:rsid wsp:val=&quot;00023A8A&quot;/&gt;&lt;wsp:rsid wsp:val=&quot;00025806&quot;/&gt;&lt;wsp:rsid wsp:val=&quot;0002775D&quot;/&gt;&lt;wsp:rsid wsp:val=&quot;000308E2&quot;/&gt;&lt;wsp:rsid wsp:val=&quot;00030F80&quot;/&gt;&lt;wsp:rsid wsp:val=&quot;00033848&quot;/&gt;&lt;wsp:rsid wsp:val=&quot;00036E9F&quot;/&gt;&lt;wsp:rsid wsp:val=&quot;000411D7&quot;/&gt;&lt;wsp:rsid wsp:val=&quot;000414D2&quot;/&gt;&lt;wsp:rsid wsp:val=&quot;00043E77&quot;/&gt;&lt;wsp:rsid wsp:val=&quot;00045EF9&quot;/&gt;&lt;wsp:rsid wsp:val=&quot;000468A5&quot;/&gt;&lt;wsp:rsid wsp:val=&quot;00047C06&quot;/&gt;&lt;wsp:rsid wsp:val=&quot;00047EA6&quot;/&gt;&lt;wsp:rsid wsp:val=&quot;00052069&quot;/&gt;&lt;wsp:rsid wsp:val=&quot;00052BF2&quot;/&gt;&lt;wsp:rsid wsp:val=&quot;00052F30&quot;/&gt;&lt;wsp:rsid wsp:val=&quot;00053A03&quot;/&gt;&lt;wsp:rsid wsp:val=&quot;00054FA9&quot;/&gt;&lt;wsp:rsid wsp:val=&quot;0005580E&quot;/&gt;&lt;wsp:rsid wsp:val=&quot;00055AD7&quot;/&gt;&lt;wsp:rsid wsp:val=&quot;0005623B&quot;/&gt;&lt;wsp:rsid wsp:val=&quot;000572AD&quot;/&gt;&lt;wsp:rsid wsp:val=&quot;00057382&quot;/&gt;&lt;wsp:rsid wsp:val=&quot;00060488&quot;/&gt;&lt;wsp:rsid wsp:val=&quot;000648A9&quot;/&gt;&lt;wsp:rsid wsp:val=&quot;000719E7&quot;/&gt;&lt;wsp:rsid wsp:val=&quot;000729DF&quot;/&gt;&lt;wsp:rsid wsp:val=&quot;00077B8B&quot;/&gt;&lt;wsp:rsid wsp:val=&quot;00077EF2&quot;/&gt;&lt;wsp:rsid wsp:val=&quot;000810F0&quot;/&gt;&lt;wsp:rsid wsp:val=&quot;00082F84&quot;/&gt;&lt;wsp:rsid wsp:val=&quot;00083CBC&quot;/&gt;&lt;wsp:rsid wsp:val=&quot;00084451&quot;/&gt;&lt;wsp:rsid wsp:val=&quot;00084AE2&quot;/&gt;&lt;wsp:rsid wsp:val=&quot;0008657B&quot;/&gt;&lt;wsp:rsid wsp:val=&quot;00094468&quot;/&gt;&lt;wsp:rsid wsp:val=&quot;00095456&quot;/&gt;&lt;wsp:rsid wsp:val=&quot;00095A4E&quot;/&gt;&lt;wsp:rsid wsp:val=&quot;0009628F&quot;/&gt;&lt;wsp:rsid wsp:val=&quot;000A0065&quot;/&gt;&lt;wsp:rsid wsp:val=&quot;000A2F55&quot;/&gt;&lt;wsp:rsid wsp:val=&quot;000A3256&quot;/&gt;&lt;wsp:rsid wsp:val=&quot;000A3832&quot;/&gt;&lt;wsp:rsid wsp:val=&quot;000A4706&quot;/&gt;&lt;wsp:rsid wsp:val=&quot;000A6230&quot;/&gt;&lt;wsp:rsid wsp:val=&quot;000B434D&quot;/&gt;&lt;wsp:rsid wsp:val=&quot;000B57AC&quot;/&gt;&lt;wsp:rsid wsp:val=&quot;000B6047&quot;/&gt;&lt;wsp:rsid wsp:val=&quot;000B6DC8&quot;/&gt;&lt;wsp:rsid wsp:val=&quot;000C2234&quot;/&gt;&lt;wsp:rsid wsp:val=&quot;000C3125&quot;/&gt;&lt;wsp:rsid wsp:val=&quot;000C39FE&quot;/&gt;&lt;wsp:rsid wsp:val=&quot;000C3CE2&quot;/&gt;&lt;wsp:rsid wsp:val=&quot;000C72F2&quot;/&gt;&lt;wsp:rsid wsp:val=&quot;000D38E8&quot;/&gt;&lt;wsp:rsid wsp:val=&quot;000D4BF6&quot;/&gt;&lt;wsp:rsid wsp:val=&quot;000D5D1B&quot;/&gt;&lt;wsp:rsid wsp:val=&quot;000D6385&quot;/&gt;&lt;wsp:rsid wsp:val=&quot;000D7740&quot;/&gt;&lt;wsp:rsid wsp:val=&quot;000E203D&quot;/&gt;&lt;wsp:rsid wsp:val=&quot;000E2478&quot;/&gt;&lt;wsp:rsid wsp:val=&quot;000E6B7A&quot;/&gt;&lt;wsp:rsid wsp:val=&quot;000F0BDF&quot;/&gt;&lt;wsp:rsid wsp:val=&quot;000F1A51&quot;/&gt;&lt;wsp:rsid wsp:val=&quot;000F1DC5&quot;/&gt;&lt;wsp:rsid wsp:val=&quot;000F40EF&quot;/&gt;&lt;wsp:rsid wsp:val=&quot;000F4717&quot;/&gt;&lt;wsp:rsid wsp:val=&quot;000F50A3&quot;/&gt;&lt;wsp:rsid wsp:val=&quot;000F50D5&quot;/&gt;&lt;wsp:rsid wsp:val=&quot;000F61AA&quot;/&gt;&lt;wsp:rsid wsp:val=&quot;000F65AF&quot;/&gt;&lt;wsp:rsid wsp:val=&quot;000F6AB2&quot;/&gt;&lt;wsp:rsid wsp:val=&quot;000F6AF4&quot;/&gt;&lt;wsp:rsid wsp:val=&quot;000F70E6&quot;/&gt;&lt;wsp:rsid wsp:val=&quot;000F7C52&quot;/&gt;&lt;wsp:rsid wsp:val=&quot;0010049C&quot;/&gt;&lt;wsp:rsid wsp:val=&quot;00101569&quot;/&gt;&lt;wsp:rsid wsp:val=&quot;00101CBB&quot;/&gt;&lt;wsp:rsid wsp:val=&quot;0010421A&quot;/&gt;&lt;wsp:rsid wsp:val=&quot;00105A99&quot;/&gt;&lt;wsp:rsid wsp:val=&quot;00113015&quot;/&gt;&lt;wsp:rsid wsp:val=&quot;001138D5&quot;/&gt;&lt;wsp:rsid wsp:val=&quot;0011466B&quot;/&gt;&lt;wsp:rsid wsp:val=&quot;0011777B&quot;/&gt;&lt;wsp:rsid wsp:val=&quot;00123C84&quot;/&gt;&lt;wsp:rsid wsp:val=&quot;001303AA&quot;/&gt;&lt;wsp:rsid wsp:val=&quot;0013166E&quot;/&gt;&lt;wsp:rsid wsp:val=&quot;0013183C&quot;/&gt;&lt;wsp:rsid wsp:val=&quot;00131887&quot;/&gt;&lt;wsp:rsid wsp:val=&quot;001330BA&quot;/&gt;&lt;wsp:rsid wsp:val=&quot;00136D66&quot;/&gt;&lt;wsp:rsid wsp:val=&quot;00140432&quot;/&gt;&lt;wsp:rsid wsp:val=&quot;00140DF5&quot;/&gt;&lt;wsp:rsid wsp:val=&quot;001412E1&quot;/&gt;&lt;wsp:rsid wsp:val=&quot;00141897&quot;/&gt;&lt;wsp:rsid wsp:val=&quot;00141CD9&quot;/&gt;&lt;wsp:rsid wsp:val=&quot;00141EBE&quot;/&gt;&lt;wsp:rsid wsp:val=&quot;00142C0D&quot;/&gt;&lt;wsp:rsid wsp:val=&quot;0014595C&quot;/&gt;&lt;wsp:rsid wsp:val=&quot;00151120&quot;/&gt;&lt;wsp:rsid wsp:val=&quot;00151938&quot;/&gt;&lt;wsp:rsid wsp:val=&quot;001568E1&quot;/&gt;&lt;wsp:rsid wsp:val=&quot;00156CAC&quot;/&gt;&lt;wsp:rsid wsp:val=&quot;00156F83&quot;/&gt;&lt;wsp:rsid wsp:val=&quot;00157DF5&quot;/&gt;&lt;wsp:rsid wsp:val=&quot;00161306&quot;/&gt;&lt;wsp:rsid wsp:val=&quot;0016206C&quot;/&gt;&lt;wsp:rsid wsp:val=&quot;0016233B&quot;/&gt;&lt;wsp:rsid wsp:val=&quot;00162CA7&quot;/&gt;&lt;wsp:rsid wsp:val=&quot;00164E8A&quot;/&gt;&lt;wsp:rsid wsp:val=&quot;0016510C&quot;/&gt;&lt;wsp:rsid wsp:val=&quot;00166D5B&quot;/&gt;&lt;wsp:rsid wsp:val=&quot;00167392&quot;/&gt;&lt;wsp:rsid wsp:val=&quot;001723F6&quot;/&gt;&lt;wsp:rsid wsp:val=&quot;00174456&quot;/&gt;&lt;wsp:rsid wsp:val=&quot;00176D33&quot;/&gt;&lt;wsp:rsid wsp:val=&quot;00177C74&quot;/&gt;&lt;wsp:rsid wsp:val=&quot;00180156&quot;/&gt;&lt;wsp:rsid wsp:val=&quot;0018087C&quot;/&gt;&lt;wsp:rsid wsp:val=&quot;001814B1&quot;/&gt;&lt;wsp:rsid wsp:val=&quot;001823B5&quot;/&gt;&lt;wsp:rsid wsp:val=&quot;00187E16&quot;/&gt;&lt;wsp:rsid wsp:val=&quot;00190152&quot;/&gt;&lt;wsp:rsid wsp:val=&quot;00193A33&quot;/&gt;&lt;wsp:rsid wsp:val=&quot;00193EA0&quot;/&gt;&lt;wsp:rsid wsp:val=&quot;001A21CE&quot;/&gt;&lt;wsp:rsid wsp:val=&quot;001A26E2&quot;/&gt;&lt;wsp:rsid wsp:val=&quot;001A3C3E&quot;/&gt;&lt;wsp:rsid wsp:val=&quot;001A421C&quot;/&gt;&lt;wsp:rsid wsp:val=&quot;001A522C&quot;/&gt;&lt;wsp:rsid wsp:val=&quot;001A6EC2&quot;/&gt;&lt;wsp:rsid wsp:val=&quot;001A778A&quot;/&gt;&lt;wsp:rsid wsp:val=&quot;001B09C7&quot;/&gt;&lt;wsp:rsid wsp:val=&quot;001B0F1E&quot;/&gt;&lt;wsp:rsid wsp:val=&quot;001B1394&quot;/&gt;&lt;wsp:rsid wsp:val=&quot;001B1CAB&quot;/&gt;&lt;wsp:rsid wsp:val=&quot;001B4409&quot;/&gt;&lt;wsp:rsid wsp:val=&quot;001B4E0F&quot;/&gt;&lt;wsp:rsid wsp:val=&quot;001B5A60&quot;/&gt;&lt;wsp:rsid wsp:val=&quot;001C0559&quot;/&gt;&lt;wsp:rsid wsp:val=&quot;001C097A&quot;/&gt;&lt;wsp:rsid wsp:val=&quot;001C1523&quot;/&gt;&lt;wsp:rsid wsp:val=&quot;001C15BC&quot;/&gt;&lt;wsp:rsid wsp:val=&quot;001C1E0D&quot;/&gt;&lt;wsp:rsid wsp:val=&quot;001C3BC8&quot;/&gt;&lt;wsp:rsid wsp:val=&quot;001C42AC&quot;/&gt;&lt;wsp:rsid wsp:val=&quot;001C4611&quot;/&gt;&lt;wsp:rsid wsp:val=&quot;001C6B08&quot;/&gt;&lt;wsp:rsid wsp:val=&quot;001C6D30&quot;/&gt;&lt;wsp:rsid wsp:val=&quot;001C790E&quot;/&gt;&lt;wsp:rsid wsp:val=&quot;001D0638&quot;/&gt;&lt;wsp:rsid wsp:val=&quot;001D4BEA&quot;/&gt;&lt;wsp:rsid wsp:val=&quot;001D55D6&quot;/&gt;&lt;wsp:rsid wsp:val=&quot;001D5A11&quot;/&gt;&lt;wsp:rsid wsp:val=&quot;001D607E&quot;/&gt;&lt;wsp:rsid wsp:val=&quot;001D6748&quot;/&gt;&lt;wsp:rsid wsp:val=&quot;001D79A9&quot;/&gt;&lt;wsp:rsid wsp:val=&quot;001D7C3C&quot;/&gt;&lt;wsp:rsid wsp:val=&quot;001D7C67&quot;/&gt;&lt;wsp:rsid wsp:val=&quot;001E1222&quot;/&gt;&lt;wsp:rsid wsp:val=&quot;001E138E&quot;/&gt;&lt;wsp:rsid wsp:val=&quot;001E1BFD&quot;/&gt;&lt;wsp:rsid wsp:val=&quot;001E2077&quot;/&gt;&lt;wsp:rsid wsp:val=&quot;001E29E1&quot;/&gt;&lt;wsp:rsid wsp:val=&quot;001E448B&quot;/&gt;&lt;wsp:rsid wsp:val=&quot;001F08C3&quot;/&gt;&lt;wsp:rsid wsp:val=&quot;001F3571&quot;/&gt;&lt;wsp:rsid wsp:val=&quot;001F41F2&quot;/&gt;&lt;wsp:rsid wsp:val=&quot;001F4516&quot;/&gt;&lt;wsp:rsid wsp:val=&quot;001F4B0B&quot;/&gt;&lt;wsp:rsid wsp:val=&quot;001F59BC&quot;/&gt;&lt;wsp:rsid wsp:val=&quot;001F636A&quot;/&gt;&lt;wsp:rsid wsp:val=&quot;001F7017&quot;/&gt;&lt;wsp:rsid wsp:val=&quot;001F7537&quot;/&gt;&lt;wsp:rsid wsp:val=&quot;002011A7&quot;/&gt;&lt;wsp:rsid wsp:val=&quot;00202B1C&quot;/&gt;&lt;wsp:rsid wsp:val=&quot;00204063&quot;/&gt;&lt;wsp:rsid wsp:val=&quot;0020450D&quot;/&gt;&lt;wsp:rsid wsp:val=&quot;002046CA&quot;/&gt;&lt;wsp:rsid wsp:val=&quot;00206BCF&quot;/&gt;&lt;wsp:rsid wsp:val=&quot;0020720C&quot;/&gt;&lt;wsp:rsid wsp:val=&quot;00207244&quot;/&gt;&lt;wsp:rsid wsp:val=&quot;00210250&quot;/&gt;&lt;wsp:rsid wsp:val=&quot;00210589&quot;/&gt;&lt;wsp:rsid wsp:val=&quot;00211156&quot;/&gt;&lt;wsp:rsid wsp:val=&quot;002118E0&quot;/&gt;&lt;wsp:rsid wsp:val=&quot;00212B1F&quot;/&gt;&lt;wsp:rsid wsp:val=&quot;00213702&quot;/&gt;&lt;wsp:rsid wsp:val=&quot;002138E5&quot;/&gt;&lt;wsp:rsid wsp:val=&quot;0021456C&quot;/&gt;&lt;wsp:rsid wsp:val=&quot;00216B34&quot;/&gt;&lt;wsp:rsid wsp:val=&quot;00216DD0&quot;/&gt;&lt;wsp:rsid wsp:val=&quot;0022122A&quot;/&gt;&lt;wsp:rsid wsp:val=&quot;00224C95&quot;/&gt;&lt;wsp:rsid wsp:val=&quot;00227F9E&quot;/&gt;&lt;wsp:rsid wsp:val=&quot;00230E2F&quot;/&gt;&lt;wsp:rsid wsp:val=&quot;002310B8&quot;/&gt;&lt;wsp:rsid wsp:val=&quot;00231974&quot;/&gt;&lt;wsp:rsid wsp:val=&quot;00233A54&quot;/&gt;&lt;wsp:rsid wsp:val=&quot;00234896&quot;/&gt;&lt;wsp:rsid wsp:val=&quot;00234E9E&quot;/&gt;&lt;wsp:rsid wsp:val=&quot;0023756C&quot;/&gt;&lt;wsp:rsid wsp:val=&quot;0024278B&quot;/&gt;&lt;wsp:rsid wsp:val=&quot;0025035C&quot;/&gt;&lt;wsp:rsid wsp:val=&quot;0025092E&quot;/&gt;&lt;wsp:rsid wsp:val=&quot;00251259&quot;/&gt;&lt;wsp:rsid wsp:val=&quot;002518A3&quot;/&gt;&lt;wsp:rsid wsp:val=&quot;00253143&quot;/&gt;&lt;wsp:rsid wsp:val=&quot;0025559B&quot;/&gt;&lt;wsp:rsid wsp:val=&quot;002562E8&quot;/&gt;&lt;wsp:rsid wsp:val=&quot;00260257&quot;/&gt;&lt;wsp:rsid wsp:val=&quot;0026536B&quot;/&gt;&lt;wsp:rsid wsp:val=&quot;00265FA6&quot;/&gt;&lt;wsp:rsid wsp:val=&quot;00266441&quot;/&gt;&lt;wsp:rsid wsp:val=&quot;00267C86&quot;/&gt;&lt;wsp:rsid wsp:val=&quot;002704ED&quot;/&gt;&lt;wsp:rsid wsp:val=&quot;0027119E&quot;/&gt;&lt;wsp:rsid wsp:val=&quot;00272A6F&quot;/&gt;&lt;wsp:rsid wsp:val=&quot;00273251&quot;/&gt;&lt;wsp:rsid wsp:val=&quot;00273AF3&quot;/&gt;&lt;wsp:rsid wsp:val=&quot;002746DA&quot;/&gt;&lt;wsp:rsid wsp:val=&quot;00276024&quot;/&gt;&lt;wsp:rsid wsp:val=&quot;00284538&quot;/&gt;&lt;wsp:rsid wsp:val=&quot;00286388&quot;/&gt;&lt;wsp:rsid wsp:val=&quot;00291EFF&quot;/&gt;&lt;wsp:rsid wsp:val=&quot;002921D3&quot;/&gt;&lt;wsp:rsid wsp:val=&quot;0029393D&quot;/&gt;&lt;wsp:rsid wsp:val=&quot;002940E5&quot;/&gt;&lt;wsp:rsid wsp:val=&quot;00294650&quot;/&gt;&lt;wsp:rsid wsp:val=&quot;00295B5C&quot;/&gt;&lt;wsp:rsid wsp:val=&quot;002A0CDB&quot;/&gt;&lt;wsp:rsid wsp:val=&quot;002A239F&quot;/&gt;&lt;wsp:rsid wsp:val=&quot;002A261E&quot;/&gt;&lt;wsp:rsid wsp:val=&quot;002A4CD3&quot;/&gt;&lt;wsp:rsid wsp:val=&quot;002A55BA&quot;/&gt;&lt;wsp:rsid wsp:val=&quot;002A7455&quot;/&gt;&lt;wsp:rsid wsp:val=&quot;002B1443&quot;/&gt;&lt;wsp:rsid wsp:val=&quot;002B2C80&quot;/&gt;&lt;wsp:rsid wsp:val=&quot;002B39AC&quot;/&gt;&lt;wsp:rsid wsp:val=&quot;002B3FDA&quot;/&gt;&lt;wsp:rsid wsp:val=&quot;002B48E4&quot;/&gt;&lt;wsp:rsid wsp:val=&quot;002C2B0A&quot;/&gt;&lt;wsp:rsid wsp:val=&quot;002C2BC6&quot;/&gt;&lt;wsp:rsid wsp:val=&quot;002C3442&quot;/&gt;&lt;wsp:rsid wsp:val=&quot;002C4353&quot;/&gt;&lt;wsp:rsid wsp:val=&quot;002C43AD&quot;/&gt;&lt;wsp:rsid wsp:val=&quot;002C4DD7&quot;/&gt;&lt;wsp:rsid wsp:val=&quot;002C6C2D&quot;/&gt;&lt;wsp:rsid wsp:val=&quot;002D0251&quot;/&gt;&lt;wsp:rsid wsp:val=&quot;002D1CE2&quot;/&gt;&lt;wsp:rsid wsp:val=&quot;002D3C38&quot;/&gt;&lt;wsp:rsid wsp:val=&quot;002E1FF2&quot;/&gt;&lt;wsp:rsid wsp:val=&quot;002E2180&quot;/&gt;&lt;wsp:rsid wsp:val=&quot;002E46D4&quot;/&gt;&lt;wsp:rsid wsp:val=&quot;002E5487&quot;/&gt;&lt;wsp:rsid wsp:val=&quot;002E676C&quot;/&gt;&lt;wsp:rsid wsp:val=&quot;002E79EE&quot;/&gt;&lt;wsp:rsid wsp:val=&quot;002F111A&quot;/&gt;&lt;wsp:rsid wsp:val=&quot;002F142F&quot;/&gt;&lt;wsp:rsid wsp:val=&quot;002F39A9&quot;/&gt;&lt;wsp:rsid wsp:val=&quot;002F600E&quot;/&gt;&lt;wsp:rsid wsp:val=&quot;002F788F&quot;/&gt;&lt;wsp:rsid wsp:val=&quot;003008CB&quot;/&gt;&lt;wsp:rsid wsp:val=&quot;00303A15&quot;/&gt;&lt;wsp:rsid wsp:val=&quot;003057C6&quot;/&gt;&lt;wsp:rsid wsp:val=&quot;00313844&quot;/&gt;&lt;wsp:rsid wsp:val=&quot;00315625&quot;/&gt;&lt;wsp:rsid wsp:val=&quot;00315FA8&quot;/&gt;&lt;wsp:rsid wsp:val=&quot;00317FC0&quot;/&gt;&lt;wsp:rsid wsp:val=&quot;00320118&quot;/&gt;&lt;wsp:rsid wsp:val=&quot;003226EB&quot;/&gt;&lt;wsp:rsid wsp:val=&quot;00324F8B&quot;/&gt;&lt;wsp:rsid wsp:val=&quot;0032614A&quot;/&gt;&lt;wsp:rsid wsp:val=&quot;00327AC3&quot;/&gt;&lt;wsp:rsid wsp:val=&quot;00330607&quot;/&gt;&lt;wsp:rsid wsp:val=&quot;0033097D&quot;/&gt;&lt;wsp:rsid wsp:val=&quot;003340B9&quot;/&gt;&lt;wsp:rsid wsp:val=&quot;003350B6&quot;/&gt;&lt;wsp:rsid wsp:val=&quot;00336E28&quot;/&gt;&lt;wsp:rsid wsp:val=&quot;0033703B&quot;/&gt;&lt;wsp:rsid wsp:val=&quot;00337875&quot;/&gt;&lt;wsp:rsid wsp:val=&quot;00337F8F&quot;/&gt;&lt;wsp:rsid wsp:val=&quot;0034006B&quot;/&gt;&lt;wsp:rsid wsp:val=&quot;00340E02&quot;/&gt;&lt;wsp:rsid wsp:val=&quot;003411E3&quot;/&gt;&lt;wsp:rsid wsp:val=&quot;00341CC3&quot;/&gt;&lt;wsp:rsid wsp:val=&quot;003422B6&quot;/&gt;&lt;wsp:rsid wsp:val=&quot;00344952&quot;/&gt;&lt;wsp:rsid wsp:val=&quot;00346E8D&quot;/&gt;&lt;wsp:rsid wsp:val=&quot;0035047C&quot;/&gt;&lt;wsp:rsid wsp:val=&quot;003530C1&quot;/&gt;&lt;wsp:rsid wsp:val=&quot;00353347&quot;/&gt;&lt;wsp:rsid wsp:val=&quot;0035429A&quot;/&gt;&lt;wsp:rsid wsp:val=&quot;00354686&quot;/&gt;&lt;wsp:rsid wsp:val=&quot;0035608C&quot;/&gt;&lt;wsp:rsid wsp:val=&quot;003602A5&quot;/&gt;&lt;wsp:rsid wsp:val=&quot;00360899&quot;/&gt;&lt;wsp:rsid wsp:val=&quot;00361ACE&quot;/&gt;&lt;wsp:rsid wsp:val=&quot;00363541&quot;/&gt;&lt;wsp:rsid wsp:val=&quot;003638A7&quot;/&gt;&lt;wsp:rsid wsp:val=&quot;0037305C&quot;/&gt;&lt;wsp:rsid wsp:val=&quot;0037558E&quot;/&gt;&lt;wsp:rsid wsp:val=&quot;00376F6D&quot;/&gt;&lt;wsp:rsid wsp:val=&quot;00381472&quot;/&gt;&lt;wsp:rsid wsp:val=&quot;00383AE1&quot;/&gt;&lt;wsp:rsid wsp:val=&quot;00387083&quot;/&gt;&lt;wsp:rsid wsp:val=&quot;00391122&quot;/&gt;&lt;wsp:rsid wsp:val=&quot;00391A62&quot;/&gt;&lt;wsp:rsid wsp:val=&quot;00392356&quot;/&gt;&lt;wsp:rsid wsp:val=&quot;003929A1&quot;/&gt;&lt;wsp:rsid wsp:val=&quot;00393282&quot;/&gt;&lt;wsp:rsid wsp:val=&quot;003955BA&quot;/&gt;&lt;wsp:rsid wsp:val=&quot;0039561D&quot;/&gt;&lt;wsp:rsid wsp:val=&quot;0039756C&quot;/&gt;&lt;wsp:rsid wsp:val=&quot;00397986&quot;/&gt;&lt;wsp:rsid wsp:val=&quot;003A0E6A&quot;/&gt;&lt;wsp:rsid wsp:val=&quot;003A40EC&quot;/&gt;&lt;wsp:rsid wsp:val=&quot;003A579F&quot;/&gt;&lt;wsp:rsid wsp:val=&quot;003B056E&quot;/&gt;&lt;wsp:rsid wsp:val=&quot;003B0A2E&quot;/&gt;&lt;wsp:rsid wsp:val=&quot;003B1CA7&quot;/&gt;&lt;wsp:rsid wsp:val=&quot;003B3BD3&quot;/&gt;&lt;wsp:rsid wsp:val=&quot;003B4BD3&quot;/&gt;&lt;wsp:rsid wsp:val=&quot;003B5449&quot;/&gt;&lt;wsp:rsid wsp:val=&quot;003B63BC&quot;/&gt;&lt;wsp:rsid wsp:val=&quot;003C1591&quot;/&gt;&lt;wsp:rsid wsp:val=&quot;003C1D18&quot;/&gt;&lt;wsp:rsid wsp:val=&quot;003C22B0&quot;/&gt;&lt;wsp:rsid wsp:val=&quot;003C4E1D&quot;/&gt;&lt;wsp:rsid wsp:val=&quot;003C5758&quot;/&gt;&lt;wsp:rsid wsp:val=&quot;003C6226&quot;/&gt;&lt;wsp:rsid wsp:val=&quot;003C6E98&quot;/&gt;&lt;wsp:rsid wsp:val=&quot;003D03E7&quot;/&gt;&lt;wsp:rsid wsp:val=&quot;003D0965&quot;/&gt;&lt;wsp:rsid wsp:val=&quot;003D14C1&quot;/&gt;&lt;wsp:rsid wsp:val=&quot;003D2E1D&quot;/&gt;&lt;wsp:rsid wsp:val=&quot;003D5FA3&quot;/&gt;&lt;wsp:rsid wsp:val=&quot;003D6058&quot;/&gt;&lt;wsp:rsid wsp:val=&quot;003E20C5&quot;/&gt;&lt;wsp:rsid wsp:val=&quot;003E2432&quot;/&gt;&lt;wsp:rsid wsp:val=&quot;003E434F&quot;/&gt;&lt;wsp:rsid wsp:val=&quot;003E603A&quot;/&gt;&lt;wsp:rsid wsp:val=&quot;003F073B&quot;/&gt;&lt;wsp:rsid wsp:val=&quot;003F3F10&quot;/&gt;&lt;wsp:rsid wsp:val=&quot;003F5A41&quot;/&gt;&lt;wsp:rsid wsp:val=&quot;003F6211&quot;/&gt;&lt;wsp:rsid wsp:val=&quot;003F7B94&quot;/&gt;&lt;wsp:rsid wsp:val=&quot;00400050&quot;/&gt;&lt;wsp:rsid wsp:val=&quot;00403792&quot;/&gt;&lt;wsp:rsid wsp:val=&quot;00403F09&quot;/&gt;&lt;wsp:rsid wsp:val=&quot;00403F13&quot;/&gt;&lt;wsp:rsid wsp:val=&quot;00404FA1&quot;/&gt;&lt;wsp:rsid wsp:val=&quot;0040642E&quot;/&gt;&lt;wsp:rsid wsp:val=&quot;004076AE&quot;/&gt;&lt;wsp:rsid wsp:val=&quot;00411D7E&quot;/&gt;&lt;wsp:rsid wsp:val=&quot;00412338&quot;/&gt;&lt;wsp:rsid wsp:val=&quot;00413CB6&quot;/&gt;&lt;wsp:rsid wsp:val=&quot;00415D86&quot;/&gt;&lt;wsp:rsid wsp:val=&quot;004178E4&quot;/&gt;&lt;wsp:rsid wsp:val=&quot;00421235&quot;/&gt;&lt;wsp:rsid wsp:val=&quot;004219DD&quot;/&gt;&lt;wsp:rsid wsp:val=&quot;00424EC2&quot;/&gt;&lt;wsp:rsid wsp:val=&quot;004269C8&quot;/&gt;&lt;wsp:rsid wsp:val=&quot;00426A26&quot;/&gt;&lt;wsp:rsid wsp:val=&quot;00427BCD&quot;/&gt;&lt;wsp:rsid wsp:val=&quot;004364DD&quot;/&gt;&lt;wsp:rsid wsp:val=&quot;00440A33&quot;/&gt;&lt;wsp:rsid wsp:val=&quot;00442C0B&quot;/&gt;&lt;wsp:rsid wsp:val=&quot;00443680&quot;/&gt;&lt;wsp:rsid wsp:val=&quot;004445DC&quot;/&gt;&lt;wsp:rsid wsp:val=&quot;0044615D&quot;/&gt;&lt;wsp:rsid wsp:val=&quot;00447435&quot;/&gt;&lt;wsp:rsid wsp:val=&quot;00447B6C&quot;/&gt;&lt;wsp:rsid wsp:val=&quot;0045233C&quot;/&gt;&lt;wsp:rsid wsp:val=&quot;00452563&quot;/&gt;&lt;wsp:rsid wsp:val=&quot;0045469E&quot;/&gt;&lt;wsp:rsid wsp:val=&quot;00457124&quot;/&gt;&lt;wsp:rsid wsp:val=&quot;00457482&quot;/&gt;&lt;wsp:rsid wsp:val=&quot;00460DFC&quot;/&gt;&lt;wsp:rsid wsp:val=&quot;00462D80&quot;/&gt;&lt;wsp:rsid wsp:val=&quot;00467566&quot;/&gt;&lt;wsp:rsid wsp:val=&quot;004679BE&quot;/&gt;&lt;wsp:rsid wsp:val=&quot;00467EBA&quot;/&gt;&lt;wsp:rsid wsp:val=&quot;004706C7&quot;/&gt;&lt;wsp:rsid wsp:val=&quot;00470C44&quot;/&gt;&lt;wsp:rsid wsp:val=&quot;0047232D&quot;/&gt;&lt;wsp:rsid wsp:val=&quot;00472472&quot;/&gt;&lt;wsp:rsid wsp:val=&quot;00472E6E&quot;/&gt;&lt;wsp:rsid wsp:val=&quot;00472F98&quot;/&gt;&lt;wsp:rsid wsp:val=&quot;00473637&quot;/&gt;&lt;wsp:rsid wsp:val=&quot;0047401C&quot;/&gt;&lt;wsp:rsid wsp:val=&quot;00474CAB&quot;/&gt;&lt;wsp:rsid wsp:val=&quot;004758D5&quot;/&gt;&lt;wsp:rsid wsp:val=&quot;00475EB3&quot;/&gt;&lt;wsp:rsid wsp:val=&quot;00476223&quot;/&gt;&lt;wsp:rsid wsp:val=&quot;00477065&quot;/&gt;&lt;wsp:rsid wsp:val=&quot;00477790&quot;/&gt;&lt;wsp:rsid wsp:val=&quot;0048760D&quot;/&gt;&lt;wsp:rsid wsp:val=&quot;004904E6&quot;/&gt;&lt;wsp:rsid wsp:val=&quot;00490844&quot;/&gt;&lt;wsp:rsid wsp:val=&quot;00491F6F&quot;/&gt;&lt;wsp:rsid wsp:val=&quot;00493B09&quot;/&gt;&lt;wsp:rsid wsp:val=&quot;00493F5C&quot;/&gt;&lt;wsp:rsid wsp:val=&quot;00494506&quot;/&gt;&lt;wsp:rsid wsp:val=&quot;0049556E&quot;/&gt;&lt;wsp:rsid wsp:val=&quot;004969F4&quot;/&gt;&lt;wsp:rsid wsp:val=&quot;00497BA4&quot;/&gt;&lt;wsp:rsid wsp:val=&quot;004A1CF3&quot;/&gt;&lt;wsp:rsid wsp:val=&quot;004A2196&quot;/&gt;&lt;wsp:rsid wsp:val=&quot;004A22D2&quot;/&gt;&lt;wsp:rsid wsp:val=&quot;004A2E53&quot;/&gt;&lt;wsp:rsid wsp:val=&quot;004A4B46&quot;/&gt;&lt;wsp:rsid wsp:val=&quot;004A5C83&quot;/&gt;&lt;wsp:rsid wsp:val=&quot;004B0D13&quot;/&gt;&lt;wsp:rsid wsp:val=&quot;004B10C3&quot;/&gt;&lt;wsp:rsid wsp:val=&quot;004B2C17&quot;/&gt;&lt;wsp:rsid wsp:val=&quot;004B5A79&quot;/&gt;&lt;wsp:rsid wsp:val=&quot;004B6068&quot;/&gt;&lt;wsp:rsid wsp:val=&quot;004B7B40&quot;/&gt;&lt;wsp:rsid wsp:val=&quot;004C0347&quot;/&gt;&lt;wsp:rsid wsp:val=&quot;004C0352&quot;/&gt;&lt;wsp:rsid wsp:val=&quot;004C3350&quot;/&gt;&lt;wsp:rsid wsp:val=&quot;004C36F8&quot;/&gt;&lt;wsp:rsid wsp:val=&quot;004C4F3E&quot;/&gt;&lt;wsp:rsid wsp:val=&quot;004C5213&quot;/&gt;&lt;wsp:rsid wsp:val=&quot;004D509A&quot;/&gt;&lt;wsp:rsid wsp:val=&quot;004D7F2F&quot;/&gt;&lt;wsp:rsid wsp:val=&quot;004D7F48&quot;/&gt;&lt;wsp:rsid wsp:val=&quot;004E0F07&quot;/&gt;&lt;wsp:rsid wsp:val=&quot;004E4433&quot;/&gt;&lt;wsp:rsid wsp:val=&quot;004E5A0D&quot;/&gt;&lt;wsp:rsid wsp:val=&quot;004E610E&quot;/&gt;&lt;wsp:rsid wsp:val=&quot;004E6AA4&quot;/&gt;&lt;wsp:rsid wsp:val=&quot;004F012F&quot;/&gt;&lt;wsp:rsid wsp:val=&quot;004F1D55&quot;/&gt;&lt;wsp:rsid wsp:val=&quot;004F2925&quot;/&gt;&lt;wsp:rsid wsp:val=&quot;004F292D&quot;/&gt;&lt;wsp:rsid wsp:val=&quot;004F43F2&quot;/&gt;&lt;wsp:rsid wsp:val=&quot;004F51C9&quot;/&gt;&lt;wsp:rsid wsp:val=&quot;004F75C5&quot;/&gt;&lt;wsp:rsid wsp:val=&quot;004F7AA8&quot;/&gt;&lt;wsp:rsid wsp:val=&quot;004F7C92&quot;/&gt;&lt;wsp:rsid wsp:val=&quot;005016F5&quot;/&gt;&lt;wsp:rsid wsp:val=&quot;00501F31&quot;/&gt;&lt;wsp:rsid wsp:val=&quot;00502ED7&quot;/&gt;&lt;wsp:rsid wsp:val=&quot;00503949&quot;/&gt;&lt;wsp:rsid wsp:val=&quot;00503D98&quot;/&gt;&lt;wsp:rsid wsp:val=&quot;005049B3&quot;/&gt;&lt;wsp:rsid wsp:val=&quot;005061B1&quot;/&gt;&lt;wsp:rsid wsp:val=&quot;00506331&quot;/&gt;&lt;wsp:rsid wsp:val=&quot;005064FC&quot;/&gt;&lt;wsp:rsid wsp:val=&quot;005102A1&quot;/&gt;&lt;wsp:rsid wsp:val=&quot;00512F5E&quot;/&gt;&lt;wsp:rsid wsp:val=&quot;00514420&quot;/&gt;&lt;wsp:rsid wsp:val=&quot;005169C8&quot;/&gt;&lt;wsp:rsid wsp:val=&quot;00516F5A&quot;/&gt;&lt;wsp:rsid wsp:val=&quot;005227AB&quot;/&gt;&lt;wsp:rsid wsp:val=&quot;00525B25&quot;/&gt;&lt;wsp:rsid wsp:val=&quot;00525B88&quot;/&gt;&lt;wsp:rsid wsp:val=&quot;0052739B&quot;/&gt;&lt;wsp:rsid wsp:val=&quot;00527A0E&quot;/&gt;&lt;wsp:rsid wsp:val=&quot;00531D82&quot;/&gt;&lt;wsp:rsid wsp:val=&quot;005330A6&quot;/&gt;&lt;wsp:rsid wsp:val=&quot;005331EF&quot;/&gt;&lt;wsp:rsid wsp:val=&quot;005334D5&quot;/&gt;&lt;wsp:rsid wsp:val=&quot;00535F3E&quot;/&gt;&lt;wsp:rsid wsp:val=&quot;00536729&quot;/&gt;&lt;wsp:rsid wsp:val=&quot;00537808&quot;/&gt;&lt;wsp:rsid wsp:val=&quot;005407BE&quot;/&gt;&lt;wsp:rsid wsp:val=&quot;00540E0D&quot;/&gt;&lt;wsp:rsid wsp:val=&quot;0054184F&quot;/&gt;&lt;wsp:rsid wsp:val=&quot;00541DD8&quot;/&gt;&lt;wsp:rsid wsp:val=&quot;00551A6F&quot;/&gt;&lt;wsp:rsid wsp:val=&quot;0055203A&quot;/&gt;&lt;wsp:rsid wsp:val=&quot;005539F3&quot;/&gt;&lt;wsp:rsid wsp:val=&quot;00554A26&quot;/&gt;&lt;wsp:rsid wsp:val=&quot;00556B50&quot;/&gt;&lt;wsp:rsid wsp:val=&quot;005604AA&quot;/&gt;&lt;wsp:rsid wsp:val=&quot;00560E7A&quot;/&gt;&lt;wsp:rsid wsp:val=&quot;00561213&quot;/&gt;&lt;wsp:rsid wsp:val=&quot;005650E5&quot;/&gt;&lt;wsp:rsid wsp:val=&quot;00565BDE&quot;/&gt;&lt;wsp:rsid wsp:val=&quot;00565E2B&quot;/&gt;&lt;wsp:rsid wsp:val=&quot;0056666A&quot;/&gt;&lt;wsp:rsid wsp:val=&quot;00567BC7&quot;/&gt;&lt;wsp:rsid wsp:val=&quot;00571284&quot;/&gt;&lt;wsp:rsid wsp:val=&quot;005713E6&quot;/&gt;&lt;wsp:rsid wsp:val=&quot;00571E47&quot;/&gt;&lt;wsp:rsid wsp:val=&quot;00574060&quot;/&gt;&lt;wsp:rsid wsp:val=&quot;00574A68&quot;/&gt;&lt;wsp:rsid wsp:val=&quot;00581D08&quot;/&gt;&lt;wsp:rsid wsp:val=&quot;00585C31&quot;/&gt;&lt;wsp:rsid wsp:val=&quot;00586904&quot;/&gt;&lt;wsp:rsid wsp:val=&quot;00586B96&quot;/&gt;&lt;wsp:rsid wsp:val=&quot;00592F76&quot;/&gt;&lt;wsp:rsid wsp:val=&quot;00593829&quot;/&gt;&lt;wsp:rsid wsp:val=&quot;00593E13&quot;/&gt;&lt;wsp:rsid wsp:val=&quot;005944FC&quot;/&gt;&lt;wsp:rsid wsp:val=&quot;005A58E2&quot;/&gt;&lt;wsp:rsid wsp:val=&quot;005A69F2&quot;/&gt;&lt;wsp:rsid wsp:val=&quot;005B05D5&quot;/&gt;&lt;wsp:rsid wsp:val=&quot;005B0AEF&quot;/&gt;&lt;wsp:rsid wsp:val=&quot;005B0DEC&quot;/&gt;&lt;wsp:rsid wsp:val=&quot;005B0FFB&quot;/&gt;&lt;wsp:rsid wsp:val=&quot;005B4312&quot;/&gt;&lt;wsp:rsid wsp:val=&quot;005B5291&quot;/&gt;&lt;wsp:rsid wsp:val=&quot;005B6FB7&quot;/&gt;&lt;wsp:rsid wsp:val=&quot;005B7789&quot;/&gt;&lt;wsp:rsid wsp:val=&quot;005B7BD0&quot;/&gt;&lt;wsp:rsid wsp:val=&quot;005C0191&quot;/&gt;&lt;wsp:rsid wsp:val=&quot;005C040D&quot;/&gt;&lt;wsp:rsid wsp:val=&quot;005C1E2D&quot;/&gt;&lt;wsp:rsid wsp:val=&quot;005C4DAB&quot;/&gt;&lt;wsp:rsid wsp:val=&quot;005C5CE9&quot;/&gt;&lt;wsp:rsid wsp:val=&quot;005C7128&quot;/&gt;&lt;wsp:rsid wsp:val=&quot;005D3C6D&quot;/&gt;&lt;wsp:rsid wsp:val=&quot;005D6F98&quot;/&gt;&lt;wsp:rsid wsp:val=&quot;005D7418&quot;/&gt;&lt;wsp:rsid wsp:val=&quot;005D7918&quot;/&gt;&lt;wsp:rsid wsp:val=&quot;005E064F&quot;/&gt;&lt;wsp:rsid wsp:val=&quot;005E0C59&quot;/&gt;&lt;wsp:rsid wsp:val=&quot;005E2EBB&quot;/&gt;&lt;wsp:rsid wsp:val=&quot;005E360E&quot;/&gt;&lt;wsp:rsid wsp:val=&quot;005E4CB3&quot;/&gt;&lt;wsp:rsid wsp:val=&quot;005E5BB1&quot;/&gt;&lt;wsp:rsid wsp:val=&quot;005E7176&quot;/&gt;&lt;wsp:rsid wsp:val=&quot;005F089F&quot;/&gt;&lt;wsp:rsid wsp:val=&quot;005F0A70&quot;/&gt;&lt;wsp:rsid wsp:val=&quot;005F2367&quot;/&gt;&lt;wsp:rsid wsp:val=&quot;005F3CAF&quot;/&gt;&lt;wsp:rsid wsp:val=&quot;005F6683&quot;/&gt;&lt;wsp:rsid wsp:val=&quot;005F6CD7&quot;/&gt;&lt;wsp:rsid wsp:val=&quot;00600AD7&quot;/&gt;&lt;wsp:rsid wsp:val=&quot;006112EC&quot;/&gt;&lt;wsp:rsid wsp:val=&quot;00613C08&quot;/&gt;&lt;wsp:rsid wsp:val=&quot;006161A0&quot;/&gt;&lt;wsp:rsid wsp:val=&quot;006179BD&quot;/&gt;&lt;wsp:rsid wsp:val=&quot;00620803&quot;/&gt;&lt;wsp:rsid wsp:val=&quot;00620F09&quot;/&gt;&lt;wsp:rsid wsp:val=&quot;006223D0&quot;/&gt;&lt;wsp:rsid wsp:val=&quot;00633C61&quot;/&gt;&lt;wsp:rsid wsp:val=&quot;006345E1&quot;/&gt;&lt;wsp:rsid wsp:val=&quot;00634D3C&quot;/&gt;&lt;wsp:rsid wsp:val=&quot;00635DB1&quot;/&gt;&lt;wsp:rsid wsp:val=&quot;00636B08&quot;/&gt;&lt;wsp:rsid wsp:val=&quot;006379E5&quot;/&gt;&lt;wsp:rsid wsp:val=&quot;00640521&quot;/&gt;&lt;wsp:rsid wsp:val=&quot;00642432&quot;/&gt;&lt;wsp:rsid wsp:val=&quot;00642DF6&quot;/&gt;&lt;wsp:rsid wsp:val=&quot;00644C10&quot;/&gt;&lt;wsp:rsid wsp:val=&quot;0064755E&quot;/&gt;&lt;wsp:rsid wsp:val=&quot;00647C8E&quot;/&gt;&lt;wsp:rsid wsp:val=&quot;006504C2&quot;/&gt;&lt;wsp:rsid wsp:val=&quot;00652295&quot;/&gt;&lt;wsp:rsid wsp:val=&quot;00657C66&quot;/&gt;&lt;wsp:rsid wsp:val=&quot;0066065B&quot;/&gt;&lt;wsp:rsid wsp:val=&quot;006630CA&quot;/&gt;&lt;wsp:rsid wsp:val=&quot;006673D6&quot;/&gt;&lt;wsp:rsid wsp:val=&quot;0067150E&quot;/&gt;&lt;wsp:rsid wsp:val=&quot;006719C5&quot;/&gt;&lt;wsp:rsid wsp:val=&quot;00673AA1&quot;/&gt;&lt;wsp:rsid wsp:val=&quot;00673B3F&quot;/&gt;&lt;wsp:rsid wsp:val=&quot;00675283&quot;/&gt;&lt;wsp:rsid wsp:val=&quot;00676C18&quot;/&gt;&lt;wsp:rsid wsp:val=&quot;00677370&quot;/&gt;&lt;wsp:rsid wsp:val=&quot;00680C23&quot;/&gt;&lt;wsp:rsid wsp:val=&quot;00681AB4&quot;/&gt;&lt;wsp:rsid wsp:val=&quot;00681B65&quot;/&gt;&lt;wsp:rsid wsp:val=&quot;00683673&quot;/&gt;&lt;wsp:rsid wsp:val=&quot;00683963&quot;/&gt;&lt;wsp:rsid wsp:val=&quot;00683AEF&quot;/&gt;&lt;wsp:rsid wsp:val=&quot;00684B76&quot;/&gt;&lt;wsp:rsid wsp:val=&quot;006850B0&quot;/&gt;&lt;wsp:rsid wsp:val=&quot;006922AD&quot;/&gt;&lt;wsp:rsid wsp:val=&quot;0069363B&quot;/&gt;&lt;wsp:rsid wsp:val=&quot;00696469&quot;/&gt;&lt;wsp:rsid wsp:val=&quot;00697D92&quot;/&gt;&lt;wsp:rsid wsp:val=&quot;006A2B7A&quot;/&gt;&lt;wsp:rsid wsp:val=&quot;006A2E94&quot;/&gt;&lt;wsp:rsid wsp:val=&quot;006A737D&quot;/&gt;&lt;wsp:rsid wsp:val=&quot;006A7D08&quot;/&gt;&lt;wsp:rsid wsp:val=&quot;006B2642&quot;/&gt;&lt;wsp:rsid wsp:val=&quot;006B2696&quot;/&gt;&lt;wsp:rsid wsp:val=&quot;006B29AD&quot;/&gt;&lt;wsp:rsid wsp:val=&quot;006B5C33&quot;/&gt;&lt;wsp:rsid wsp:val=&quot;006C088D&quot;/&gt;&lt;wsp:rsid wsp:val=&quot;006C1A11&quot;/&gt;&lt;wsp:rsid wsp:val=&quot;006C1B77&quot;/&gt;&lt;wsp:rsid wsp:val=&quot;006C1C42&quot;/&gt;&lt;wsp:rsid wsp:val=&quot;006C1D5A&quot;/&gt;&lt;wsp:rsid wsp:val=&quot;006C560D&quot;/&gt;&lt;wsp:rsid wsp:val=&quot;006C6328&quot;/&gt;&lt;wsp:rsid wsp:val=&quot;006C6710&quot;/&gt;&lt;wsp:rsid wsp:val=&quot;006D059D&quot;/&gt;&lt;wsp:rsid wsp:val=&quot;006D0DC4&quot;/&gt;&lt;wsp:rsid wsp:val=&quot;006D13D1&quot;/&gt;&lt;wsp:rsid wsp:val=&quot;006D278F&quot;/&gt;&lt;wsp:rsid wsp:val=&quot;006D3151&quot;/&gt;&lt;wsp:rsid wsp:val=&quot;006D47F9&quot;/&gt;&lt;wsp:rsid wsp:val=&quot;006D5126&quot;/&gt;&lt;wsp:rsid wsp:val=&quot;006D674C&quot;/&gt;&lt;wsp:rsid wsp:val=&quot;006D6A89&quot;/&gt;&lt;wsp:rsid wsp:val=&quot;006E4240&quot;/&gt;&lt;wsp:rsid wsp:val=&quot;006E7AA5&quot;/&gt;&lt;wsp:rsid wsp:val=&quot;006F230B&quot;/&gt;&lt;wsp:rsid wsp:val=&quot;007025FC&quot;/&gt;&lt;wsp:rsid wsp:val=&quot;00703529&quot;/&gt;&lt;wsp:rsid wsp:val=&quot;00703F92&quot;/&gt;&lt;wsp:rsid wsp:val=&quot;007052CF&quot;/&gt;&lt;wsp:rsid wsp:val=&quot;00706B59&quot;/&gt;&lt;wsp:rsid wsp:val=&quot;0070757A&quot;/&gt;&lt;wsp:rsid wsp:val=&quot;00710293&quot;/&gt;&lt;wsp:rsid wsp:val=&quot;00710B1C&quot;/&gt;&lt;wsp:rsid wsp:val=&quot;00711D5E&quot;/&gt;&lt;wsp:rsid wsp:val=&quot;007153E2&quot;/&gt;&lt;wsp:rsid wsp:val=&quot;00715FB5&quot;/&gt;&lt;wsp:rsid wsp:val=&quot;00717C96&quot;/&gt;&lt;wsp:rsid wsp:val=&quot;00721D17&quot;/&gt;&lt;wsp:rsid wsp:val=&quot;0072583B&quot;/&gt;&lt;wsp:rsid wsp:val=&quot;0072642B&quot;/&gt;&lt;wsp:rsid wsp:val=&quot;00732560&quot;/&gt;&lt;wsp:rsid wsp:val=&quot;00732BC1&quot;/&gt;&lt;wsp:rsid wsp:val=&quot;00734EFA&quot;/&gt;&lt;wsp:rsid wsp:val=&quot;00737368&quot;/&gt;&lt;wsp:rsid wsp:val=&quot;00737BCF&quot;/&gt;&lt;wsp:rsid wsp:val=&quot;007425CB&quot;/&gt;&lt;wsp:rsid wsp:val=&quot;0074445A&quot;/&gt;&lt;wsp:rsid wsp:val=&quot;00745E6F&quot;/&gt;&lt;wsp:rsid wsp:val=&quot;0074788C&quot;/&gt;&lt;wsp:rsid wsp:val=&quot;0075102A&quot;/&gt;&lt;wsp:rsid wsp:val=&quot;0075138A&quot;/&gt;&lt;wsp:rsid wsp:val=&quot;00751AFF&quot;/&gt;&lt;wsp:rsid wsp:val=&quot;007527E7&quot;/&gt;&lt;wsp:rsid wsp:val=&quot;0075310A&quot;/&gt;&lt;wsp:rsid wsp:val=&quot;00756968&quot;/&gt;&lt;wsp:rsid wsp:val=&quot;007571A3&quot;/&gt;&lt;wsp:rsid wsp:val=&quot;007571B8&quot;/&gt;&lt;wsp:rsid wsp:val=&quot;00757C93&quot;/&gt;&lt;wsp:rsid wsp:val=&quot;00761E06&quot;/&gt;&lt;wsp:rsid wsp:val=&quot;00763D7E&quot;/&gt;&lt;wsp:rsid wsp:val=&quot;00764CEB&quot;/&gt;&lt;wsp:rsid wsp:val=&quot;00764F69&quot;/&gt;&lt;wsp:rsid wsp:val=&quot;00765016&quot;/&gt;&lt;wsp:rsid wsp:val=&quot;007661AB&quot;/&gt;&lt;wsp:rsid wsp:val=&quot;007710A7&quot;/&gt;&lt;wsp:rsid wsp:val=&quot;00771B13&quot;/&gt;&lt;wsp:rsid wsp:val=&quot;00771BB5&quot;/&gt;&lt;wsp:rsid wsp:val=&quot;00773485&quot;/&gt;&lt;wsp:rsid wsp:val=&quot;00775569&quot;/&gt;&lt;wsp:rsid wsp:val=&quot;00780D63&quot;/&gt;&lt;wsp:rsid wsp:val=&quot;00781914&quot;/&gt;&lt;wsp:rsid wsp:val=&quot;00782C7B&quot;/&gt;&lt;wsp:rsid wsp:val=&quot;00782FFA&quot;/&gt;&lt;wsp:rsid wsp:val=&quot;00783516&quot;/&gt;&lt;wsp:rsid wsp:val=&quot;00784524&quot;/&gt;&lt;wsp:rsid wsp:val=&quot;00784C0D&quot;/&gt;&lt;wsp:rsid wsp:val=&quot;0078669F&quot;/&gt;&lt;wsp:rsid wsp:val=&quot;00786810&quot;/&gt;&lt;wsp:rsid wsp:val=&quot;00786A33&quot;/&gt;&lt;wsp:rsid wsp:val=&quot;007874C6&quot;/&gt;&lt;wsp:rsid wsp:val=&quot;00787599&quot;/&gt;&lt;wsp:rsid wsp:val=&quot;00790BE5&quot;/&gt;&lt;wsp:rsid wsp:val=&quot;00794D8E&quot;/&gt;&lt;wsp:rsid wsp:val=&quot;007A075E&quot;/&gt;&lt;wsp:rsid wsp:val=&quot;007A37E5&quot;/&gt;&lt;wsp:rsid wsp:val=&quot;007A41C8&quot;/&gt;&lt;wsp:rsid wsp:val=&quot;007B04C2&quot;/&gt;&lt;wsp:rsid wsp:val=&quot;007B1EEC&quot;/&gt;&lt;wsp:rsid wsp:val=&quot;007B26C8&quot;/&gt;&lt;wsp:rsid wsp:val=&quot;007B3619&quot;/&gt;&lt;wsp:rsid wsp:val=&quot;007B571E&quot;/&gt;&lt;wsp:rsid wsp:val=&quot;007B66C8&quot;/&gt;&lt;wsp:rsid wsp:val=&quot;007C0646&quot;/&gt;&lt;wsp:rsid wsp:val=&quot;007C221A&quot;/&gt;&lt;wsp:rsid wsp:val=&quot;007C36EA&quot;/&gt;&lt;wsp:rsid wsp:val=&quot;007C4694&quot;/&gt;&lt;wsp:rsid wsp:val=&quot;007C5109&quot;/&gt;&lt;wsp:rsid wsp:val=&quot;007C5138&quot;/&gt;&lt;wsp:rsid wsp:val=&quot;007C6F99&quot;/&gt;&lt;wsp:rsid wsp:val=&quot;007C7FDA&quot;/&gt;&lt;wsp:rsid wsp:val=&quot;007D25B0&quot;/&gt;&lt;wsp:rsid wsp:val=&quot;007D32D7&quot;/&gt;&lt;wsp:rsid wsp:val=&quot;007D3637&quot;/&gt;&lt;wsp:rsid wsp:val=&quot;007D36B1&quot;/&gt;&lt;wsp:rsid wsp:val=&quot;007D5B2B&quot;/&gt;&lt;wsp:rsid wsp:val=&quot;007D63EC&quot;/&gt;&lt;wsp:rsid wsp:val=&quot;007D7AE5&quot;/&gt;&lt;wsp:rsid wsp:val=&quot;007D7B29&quot;/&gt;&lt;wsp:rsid wsp:val=&quot;007D7C52&quot;/&gt;&lt;wsp:rsid wsp:val=&quot;007E0982&quot;/&gt;&lt;wsp:rsid wsp:val=&quot;007E09B2&quot;/&gt;&lt;wsp:rsid wsp:val=&quot;007E0C88&quot;/&gt;&lt;wsp:rsid wsp:val=&quot;007E43E2&quot;/&gt;&lt;wsp:rsid wsp:val=&quot;007E6527&quot;/&gt;&lt;wsp:rsid wsp:val=&quot;007E7440&quot;/&gt;&lt;wsp:rsid wsp:val=&quot;007E7D52&quot;/&gt;&lt;wsp:rsid wsp:val=&quot;007E7D58&quot;/&gt;&lt;wsp:rsid wsp:val=&quot;007F0E87&quot;/&gt;&lt;wsp:rsid wsp:val=&quot;007F2B93&quot;/&gt;&lt;wsp:rsid wsp:val=&quot;007F6004&quot;/&gt;&lt;wsp:rsid wsp:val=&quot;00804EFD&quot;/&gt;&lt;wsp:rsid wsp:val=&quot;00805711&quot;/&gt;&lt;wsp:rsid wsp:val=&quot;00807B76&quot;/&gt;&lt;wsp:rsid wsp:val=&quot;00810255&quot;/&gt;&lt;wsp:rsid wsp:val=&quot;0081189E&quot;/&gt;&lt;wsp:rsid wsp:val=&quot;00812CA5&quot;/&gt;&lt;wsp:rsid wsp:val=&quot;0081447F&quot;/&gt;&lt;wsp:rsid wsp:val=&quot;00814B22&quot;/&gt;&lt;wsp:rsid wsp:val=&quot;008158DF&quot;/&gt;&lt;wsp:rsid wsp:val=&quot;00817C32&quot;/&gt;&lt;wsp:rsid wsp:val=&quot;0082096C&quot;/&gt;&lt;wsp:rsid wsp:val=&quot;00826344&quot;/&gt;&lt;wsp:rsid wsp:val=&quot;0082714B&quot;/&gt;&lt;wsp:rsid wsp:val=&quot;00827BA4&quot;/&gt;&lt;wsp:rsid wsp:val=&quot;00835C6A&quot;/&gt;&lt;wsp:rsid wsp:val=&quot;008363E5&quot;/&gt;&lt;wsp:rsid wsp:val=&quot;00840668&quot;/&gt;&lt;wsp:rsid wsp:val=&quot;00840C78&quot;/&gt;&lt;wsp:rsid wsp:val=&quot;0084278D&quot;/&gt;&lt;wsp:rsid wsp:val=&quot;00846EC4&quot;/&gt;&lt;wsp:rsid wsp:val=&quot;00847610&quot;/&gt;&lt;wsp:rsid wsp:val=&quot;0085056C&quot;/&gt;&lt;wsp:rsid wsp:val=&quot;00850855&quot;/&gt;&lt;wsp:rsid wsp:val=&quot;00850B4F&quot;/&gt;&lt;wsp:rsid wsp:val=&quot;00853B9C&quot;/&gt;&lt;wsp:rsid wsp:val=&quot;00853D69&quot;/&gt;&lt;wsp:rsid wsp:val=&quot;00855A8E&quot;/&gt;&lt;wsp:rsid wsp:val=&quot;008625F5&quot;/&gt;&lt;wsp:rsid wsp:val=&quot;008626FD&quot;/&gt;&lt;wsp:rsid wsp:val=&quot;00863DBA&quot;/&gt;&lt;wsp:rsid wsp:val=&quot;008645C2&quot;/&gt;&lt;wsp:rsid wsp:val=&quot;00865316&quot;/&gt;&lt;wsp:rsid wsp:val=&quot;00866E96&quot;/&gt;&lt;wsp:rsid wsp:val=&quot;00867916&quot;/&gt;&lt;wsp:rsid wsp:val=&quot;00871AFB&quot;/&gt;&lt;wsp:rsid wsp:val=&quot;00871F05&quot;/&gt;&lt;wsp:rsid wsp:val=&quot;008762B6&quot;/&gt;&lt;wsp:rsid wsp:val=&quot;00876845&quot;/&gt;&lt;wsp:rsid wsp:val=&quot;00876916&quot;/&gt;&lt;wsp:rsid wsp:val=&quot;00877D6D&quot;/&gt;&lt;wsp:rsid wsp:val=&quot;00880089&quot;/&gt;&lt;wsp:rsid wsp:val=&quot;008805D6&quot;/&gt;&lt;wsp:rsid wsp:val=&quot;0088328D&quot;/&gt;&lt;wsp:rsid wsp:val=&quot;00884216&quot;/&gt;&lt;wsp:rsid wsp:val=&quot;008857D7&quot;/&gt;&lt;wsp:rsid wsp:val=&quot;00885D11&quot;/&gt;&lt;wsp:rsid wsp:val=&quot;0088606B&quot;/&gt;&lt;wsp:rsid wsp:val=&quot;00890FFD&quot;/&gt;&lt;wsp:rsid wsp:val=&quot;00891D7E&quot;/&gt;&lt;wsp:rsid wsp:val=&quot;00892BC0&quot;/&gt;&lt;wsp:rsid wsp:val=&quot;0089344A&quot;/&gt;&lt;wsp:rsid wsp:val=&quot;00894F34&quot;/&gt;&lt;wsp:rsid wsp:val=&quot;008958A8&quot;/&gt;&lt;wsp:rsid wsp:val=&quot;0089607B&quot;/&gt;&lt;wsp:rsid wsp:val=&quot;00897308&quot;/&gt;&lt;wsp:rsid wsp:val=&quot;008A2DD3&quot;/&gt;&lt;wsp:rsid wsp:val=&quot;008A30FA&quot;/&gt;&lt;wsp:rsid wsp:val=&quot;008A4F76&quot;/&gt;&lt;wsp:rsid wsp:val=&quot;008A645B&quot;/&gt;&lt;wsp:rsid wsp:val=&quot;008A70F0&quot;/&gt;&lt;wsp:rsid wsp:val=&quot;008B0F84&quot;/&gt;&lt;wsp:rsid wsp:val=&quot;008B141C&quot;/&gt;&lt;wsp:rsid wsp:val=&quot;008B2B71&quot;/&gt;&lt;wsp:rsid wsp:val=&quot;008B4AAC&quot;/&gt;&lt;wsp:rsid wsp:val=&quot;008B514C&quot;/&gt;&lt;wsp:rsid wsp:val=&quot;008B7F68&quot;/&gt;&lt;wsp:rsid wsp:val=&quot;008C0AC2&quot;/&gt;&lt;wsp:rsid wsp:val=&quot;008C1E29&quot;/&gt;&lt;wsp:rsid wsp:val=&quot;008C1F59&quot;/&gt;&lt;wsp:rsid wsp:val=&quot;008C25C2&quot;/&gt;&lt;wsp:rsid wsp:val=&quot;008C4A83&quot;/&gt;&lt;wsp:rsid wsp:val=&quot;008D1A94&quot;/&gt;&lt;wsp:rsid wsp:val=&quot;008D3E93&quot;/&gt;&lt;wsp:rsid wsp:val=&quot;008D7BC6&quot;/&gt;&lt;wsp:rsid wsp:val=&quot;008E00A3&quot;/&gt;&lt;wsp:rsid wsp:val=&quot;008E3729&quot;/&gt;&lt;wsp:rsid wsp:val=&quot;008E3BBA&quot;/&gt;&lt;wsp:rsid wsp:val=&quot;008E5794&quot;/&gt;&lt;wsp:rsid wsp:val=&quot;008E5D14&quot;/&gt;&lt;wsp:rsid wsp:val=&quot;008F04EC&quot;/&gt;&lt;wsp:rsid wsp:val=&quot;008F1CD8&quot;/&gt;&lt;wsp:rsid wsp:val=&quot;008F4C92&quot;/&gt;&lt;wsp:rsid wsp:val=&quot;008F708A&quot;/&gt;&lt;wsp:rsid wsp:val=&quot;008F7B11&quot;/&gt;&lt;wsp:rsid wsp:val=&quot;009000D8&quot;/&gt;&lt;wsp:rsid wsp:val=&quot;00900760&quot;/&gt;&lt;wsp:rsid wsp:val=&quot;0090162C&quot;/&gt;&lt;wsp:rsid wsp:val=&quot;009044F1&quot;/&gt;&lt;wsp:rsid wsp:val=&quot;009055B2&quot;/&gt;&lt;wsp:rsid wsp:val=&quot;009073A7&quot;/&gt;&lt;wsp:rsid wsp:val=&quot;00910F85&quot;/&gt;&lt;wsp:rsid wsp:val=&quot;009117AE&quot;/&gt;&lt;wsp:rsid wsp:val=&quot;00912162&quot;/&gt;&lt;wsp:rsid wsp:val=&quot;00913573&quot;/&gt;&lt;wsp:rsid wsp:val=&quot;009160A1&quot;/&gt;&lt;wsp:rsid wsp:val=&quot;00916CA5&quot;/&gt;&lt;wsp:rsid wsp:val=&quot;0091799A&quot;/&gt;&lt;wsp:rsid wsp:val=&quot;00917CF3&quot;/&gt;&lt;wsp:rsid wsp:val=&quot;00921D51&quot;/&gt;&lt;wsp:rsid wsp:val=&quot;00923759&quot;/&gt;&lt;wsp:rsid wsp:val=&quot;009302A6&quot;/&gt;&lt;wsp:rsid wsp:val=&quot;009309EC&quot;/&gt;&lt;wsp:rsid wsp:val=&quot;00930F35&quot;/&gt;&lt;wsp:rsid wsp:val=&quot;00933149&quot;/&gt;&lt;wsp:rsid wsp:val=&quot;00933C17&quot;/&gt;&lt;wsp:rsid wsp:val=&quot;009341EC&quot;/&gt;&lt;wsp:rsid wsp:val=&quot;009351D5&quot;/&gt;&lt;wsp:rsid wsp:val=&quot;009400CC&quot;/&gt;&lt;wsp:rsid wsp:val=&quot;009401FB&quot;/&gt;&lt;wsp:rsid wsp:val=&quot;00941224&quot;/&gt;&lt;wsp:rsid wsp:val=&quot;009435D9&quot;/&gt;&lt;wsp:rsid wsp:val=&quot;0094397A&quot;/&gt;&lt;wsp:rsid wsp:val=&quot;009527AE&quot;/&gt;&lt;wsp:rsid wsp:val=&quot;00952FB9&quot;/&gt;&lt;wsp:rsid wsp:val=&quot;009537F1&quot;/&gt;&lt;wsp:rsid wsp:val=&quot;00955200&quot;/&gt;&lt;wsp:rsid wsp:val=&quot;00955582&quot;/&gt;&lt;wsp:rsid wsp:val=&quot;00955ABC&quot;/&gt;&lt;wsp:rsid wsp:val=&quot;00963CCD&quot;/&gt;&lt;wsp:rsid wsp:val=&quot;00964422&quot;/&gt;&lt;wsp:rsid wsp:val=&quot;00965F68&quot;/&gt;&lt;wsp:rsid wsp:val=&quot;009700BB&quot;/&gt;&lt;wsp:rsid wsp:val=&quot;00970162&quot;/&gt;&lt;wsp:rsid wsp:val=&quot;0097109E&quot;/&gt;&lt;wsp:rsid wsp:val=&quot;0097532A&quot;/&gt;&lt;wsp:rsid wsp:val=&quot;009801BB&quot;/&gt;&lt;wsp:rsid wsp:val=&quot;00980F4C&quot;/&gt;&lt;wsp:rsid wsp:val=&quot;00982662&quot;/&gt;&lt;wsp:rsid wsp:val=&quot;00983818&quot;/&gt;&lt;wsp:rsid wsp:val=&quot;009839C8&quot;/&gt;&lt;wsp:rsid wsp:val=&quot;00983ED0&quot;/&gt;&lt;wsp:rsid wsp:val=&quot;00985231&quot;/&gt;&lt;wsp:rsid wsp:val=&quot;009859D5&quot;/&gt;&lt;wsp:rsid wsp:val=&quot;00987B5E&quot;/&gt;&lt;wsp:rsid wsp:val=&quot;00991E9A&quot;/&gt;&lt;wsp:rsid wsp:val=&quot;00993AC5&quot;/&gt;&lt;wsp:rsid wsp:val=&quot;00993CBB&quot;/&gt;&lt;wsp:rsid wsp:val=&quot;0099563F&quot;/&gt;&lt;wsp:rsid wsp:val=&quot;00996DA1&quot;/&gt;&lt;wsp:rsid wsp:val=&quot;009974E3&quot;/&gt;&lt;wsp:rsid wsp:val=&quot;009A5CBD&quot;/&gt;&lt;wsp:rsid wsp:val=&quot;009A6744&quot;/&gt;&lt;wsp:rsid wsp:val=&quot;009B008F&quot;/&gt;&lt;wsp:rsid wsp:val=&quot;009B4EF9&quot;/&gt;&lt;wsp:rsid wsp:val=&quot;009B6159&quot;/&gt;&lt;wsp:rsid wsp:val=&quot;009B6971&quot;/&gt;&lt;wsp:rsid wsp:val=&quot;009C24DF&quot;/&gt;&lt;wsp:rsid wsp:val=&quot;009C3FD2&quot;/&gt;&lt;wsp:rsid wsp:val=&quot;009C633B&quot;/&gt;&lt;wsp:rsid wsp:val=&quot;009C6B12&quot;/&gt;&lt;wsp:rsid wsp:val=&quot;009D00CC&quot;/&gt;&lt;wsp:rsid wsp:val=&quot;009D1304&quot;/&gt;&lt;wsp:rsid wsp:val=&quot;009D1C15&quot;/&gt;&lt;wsp:rsid wsp:val=&quot;009D229A&quot;/&gt;&lt;wsp:rsid wsp:val=&quot;009D3942&quot;/&gt;&lt;wsp:rsid wsp:val=&quot;009D3C1E&quot;/&gt;&lt;wsp:rsid wsp:val=&quot;009D4DCF&quot;/&gt;&lt;wsp:rsid wsp:val=&quot;009D4FE2&quot;/&gt;&lt;wsp:rsid wsp:val=&quot;009D520A&quot;/&gt;&lt;wsp:rsid wsp:val=&quot;009D5510&quot;/&gt;&lt;wsp:rsid wsp:val=&quot;009D6449&quot;/&gt;&lt;wsp:rsid wsp:val=&quot;009D66E7&quot;/&gt;&lt;wsp:rsid wsp:val=&quot;009D7454&quot;/&gt;&lt;wsp:rsid wsp:val=&quot;009E2AF4&quot;/&gt;&lt;wsp:rsid wsp:val=&quot;009E3838&quot;/&gt;&lt;wsp:rsid wsp:val=&quot;009E5B23&quot;/&gt;&lt;wsp:rsid wsp:val=&quot;009E7BE6&quot;/&gt;&lt;wsp:rsid wsp:val=&quot;009F058A&quot;/&gt;&lt;wsp:rsid wsp:val=&quot;009F1EC6&quot;/&gt;&lt;wsp:rsid wsp:val=&quot;009F5F19&quot;/&gt;&lt;wsp:rsid wsp:val=&quot;009F68AF&quot;/&gt;&lt;wsp:rsid wsp:val=&quot;00A009A6&quot;/&gt;&lt;wsp:rsid wsp:val=&quot;00A01EF8&quot;/&gt;&lt;wsp:rsid wsp:val=&quot;00A03986&quot;/&gt;&lt;wsp:rsid wsp:val=&quot;00A03B3D&quot;/&gt;&lt;wsp:rsid wsp:val=&quot;00A05867&quot;/&gt;&lt;wsp:rsid wsp:val=&quot;00A07DB6&quot;/&gt;&lt;wsp:rsid wsp:val=&quot;00A10653&quot;/&gt;&lt;wsp:rsid wsp:val=&quot;00A12D83&quot;/&gt;&lt;wsp:rsid wsp:val=&quot;00A145CA&quot;/&gt;&lt;wsp:rsid wsp:val=&quot;00A161F5&quot;/&gt;&lt;wsp:rsid wsp:val=&quot;00A17621&quot;/&gt;&lt;wsp:rsid wsp:val=&quot;00A17DCB&quot;/&gt;&lt;wsp:rsid wsp:val=&quot;00A2015C&quot;/&gt;&lt;wsp:rsid wsp:val=&quot;00A20560&quot;/&gt;&lt;wsp:rsid wsp:val=&quot;00A21643&quot;/&gt;&lt;wsp:rsid wsp:val=&quot;00A22BDC&quot;/&gt;&lt;wsp:rsid wsp:val=&quot;00A32097&quot;/&gt;&lt;wsp:rsid wsp:val=&quot;00A3248D&quot;/&gt;&lt;wsp:rsid wsp:val=&quot;00A344CC&quot;/&gt;&lt;wsp:rsid wsp:val=&quot;00A34DFF&quot;/&gt;&lt;wsp:rsid wsp:val=&quot;00A35505&quot;/&gt;&lt;wsp:rsid wsp:val=&quot;00A363AC&quot;/&gt;&lt;wsp:rsid wsp:val=&quot;00A363F5&quot;/&gt;&lt;wsp:rsid wsp:val=&quot;00A365C1&quot;/&gt;&lt;wsp:rsid wsp:val=&quot;00A3761D&quot;/&gt;&lt;wsp:rsid wsp:val=&quot;00A4272D&quot;/&gt;&lt;wsp:rsid wsp:val=&quot;00A476F6&quot;/&gt;&lt;wsp:rsid wsp:val=&quot;00A47EEF&quot;/&gt;&lt;wsp:rsid wsp:val=&quot;00A51F8A&quot;/&gt;&lt;wsp:rsid wsp:val=&quot;00A53464&quot;/&gt;&lt;wsp:rsid wsp:val=&quot;00A53C56&quot;/&gt;&lt;wsp:rsid wsp:val=&quot;00A547AF&quot;/&gt;&lt;wsp:rsid wsp:val=&quot;00A54B03&quot;/&gt;&lt;wsp:rsid wsp:val=&quot;00A552DD&quot;/&gt;&lt;wsp:rsid wsp:val=&quot;00A573F9&quot;/&gt;&lt;wsp:rsid wsp:val=&quot;00A57615&quot;/&gt;&lt;wsp:rsid wsp:val=&quot;00A578EC&quot;/&gt;&lt;wsp:rsid wsp:val=&quot;00A57B36&quot;/&gt;&lt;wsp:rsid wsp:val=&quot;00A60DA7&quot;/&gt;&lt;wsp:rsid wsp:val=&quot;00A613D6&quot;/&gt;&lt;wsp:rsid wsp:val=&quot;00A65A44&quot;/&gt;&lt;wsp:rsid wsp:val=&quot;00A65F7A&quot;/&gt;&lt;wsp:rsid wsp:val=&quot;00A66BD4&quot;/&gt;&lt;wsp:rsid wsp:val=&quot;00A6717A&quot;/&gt;&lt;wsp:rsid wsp:val=&quot;00A72134&quot;/&gt;&lt;wsp:rsid wsp:val=&quot;00A76115&quot;/&gt;&lt;wsp:rsid wsp:val=&quot;00A77718&quot;/&gt;&lt;wsp:rsid wsp:val=&quot;00A77A33&quot;/&gt;&lt;wsp:rsid wsp:val=&quot;00A80497&quot;/&gt;&lt;wsp:rsid wsp:val=&quot;00A80FA3&quot;/&gt;&lt;wsp:rsid wsp:val=&quot;00A81243&quot;/&gt;&lt;wsp:rsid wsp:val=&quot;00A8238D&quot;/&gt;&lt;wsp:rsid wsp:val=&quot;00A82CF6&quot;/&gt;&lt;wsp:rsid wsp:val=&quot;00A832EB&quot;/&gt;&lt;wsp:rsid wsp:val=&quot;00A8339C&quot;/&gt;&lt;wsp:rsid wsp:val=&quot;00A868DF&quot;/&gt;&lt;wsp:rsid wsp:val=&quot;00A8792A&quot;/&gt;&lt;wsp:rsid wsp:val=&quot;00A906B3&quot;/&gt;&lt;wsp:rsid wsp:val=&quot;00A92FBD&quot;/&gt;&lt;wsp:rsid wsp:val=&quot;00A93480&quot;/&gt;&lt;wsp:rsid wsp:val=&quot;00A943FC&quot;/&gt;&lt;wsp:rsid wsp:val=&quot;00A94A2D&quot;/&gt;&lt;wsp:rsid wsp:val=&quot;00A96216&quot;/&gt;&lt;wsp:rsid wsp:val=&quot;00A9692D&quot;/&gt;&lt;wsp:rsid wsp:val=&quot;00A96B39&quot;/&gt;&lt;wsp:rsid wsp:val=&quot;00A97117&quot;/&gt;&lt;wsp:rsid wsp:val=&quot;00AA0878&quot;/&gt;&lt;wsp:rsid wsp:val=&quot;00AA10A4&quot;/&gt;&lt;wsp:rsid wsp:val=&quot;00AA2A99&quot;/&gt;&lt;wsp:rsid wsp:val=&quot;00AA3578&quot;/&gt;&lt;wsp:rsid wsp:val=&quot;00AA3E81&quot;/&gt;&lt;wsp:rsid wsp:val=&quot;00AA498E&quot;/&gt;&lt;wsp:rsid wsp:val=&quot;00AA5980&quot;/&gt;&lt;wsp:rsid wsp:val=&quot;00AB0AE0&quot;/&gt;&lt;wsp:rsid wsp:val=&quot;00AB1B55&quot;/&gt;&lt;wsp:rsid wsp:val=&quot;00AB1E72&quot;/&gt;&lt;wsp:rsid wsp:val=&quot;00AB3151&quot;/&gt;&lt;wsp:rsid wsp:val=&quot;00AB3E53&quot;/&gt;&lt;wsp:rsid wsp:val=&quot;00AB686F&quot;/&gt;&lt;wsp:rsid wsp:val=&quot;00AB6D13&quot;/&gt;&lt;wsp:rsid wsp:val=&quot;00AC186A&quot;/&gt;&lt;wsp:rsid wsp:val=&quot;00AC186F&quot;/&gt;&lt;wsp:rsid wsp:val=&quot;00AC3582&quot;/&gt;&lt;wsp:rsid wsp:val=&quot;00AC3DEA&quot;/&gt;&lt;wsp:rsid wsp:val=&quot;00AC4CC6&quot;/&gt;&lt;wsp:rsid wsp:val=&quot;00AD02D6&quot;/&gt;&lt;wsp:rsid wsp:val=&quot;00AD10F5&quot;/&gt;&lt;wsp:rsid wsp:val=&quot;00AD1A3E&quot;/&gt;&lt;wsp:rsid wsp:val=&quot;00AD3BBB&quot;/&gt;&lt;wsp:rsid wsp:val=&quot;00AD4387&quot;/&gt;&lt;wsp:rsid wsp:val=&quot;00AD4F81&quot;/&gt;&lt;wsp:rsid wsp:val=&quot;00AD7B75&quot;/&gt;&lt;wsp:rsid wsp:val=&quot;00AE0839&quot;/&gt;&lt;wsp:rsid wsp:val=&quot;00AE11F2&quot;/&gt;&lt;wsp:rsid wsp:val=&quot;00AE530C&quot;/&gt;&lt;wsp:rsid wsp:val=&quot;00AE553D&quot;/&gt;&lt;wsp:rsid wsp:val=&quot;00AF0388&quot;/&gt;&lt;wsp:rsid wsp:val=&quot;00AF0439&quot;/&gt;&lt;wsp:rsid wsp:val=&quot;00AF09FF&quot;/&gt;&lt;wsp:rsid wsp:val=&quot;00AF29B1&quot;/&gt;&lt;wsp:rsid wsp:val=&quot;00AF417C&quot;/&gt;&lt;wsp:rsid wsp:val=&quot;00AF42F3&quot;/&gt;&lt;wsp:rsid wsp:val=&quot;00AF6401&quot;/&gt;&lt;wsp:rsid wsp:val=&quot;00AF652D&quot;/&gt;&lt;wsp:rsid wsp:val=&quot;00B01824&quot;/&gt;&lt;wsp:rsid wsp:val=&quot;00B01A13&quot;/&gt;&lt;wsp:rsid wsp:val=&quot;00B02105&quot;/&gt;&lt;wsp:rsid wsp:val=&quot;00B02EAC&quot;/&gt;&lt;wsp:rsid wsp:val=&quot;00B0317D&quot;/&gt;&lt;wsp:rsid wsp:val=&quot;00B031D9&quot;/&gt;&lt;wsp:rsid wsp:val=&quot;00B05A31&quot;/&gt;&lt;wsp:rsid wsp:val=&quot;00B060CB&quot;/&gt;&lt;wsp:rsid wsp:val=&quot;00B07BDE&quot;/&gt;&lt;wsp:rsid wsp:val=&quot;00B11AD1&quot;/&gt;&lt;wsp:rsid wsp:val=&quot;00B120A8&quot;/&gt;&lt;wsp:rsid wsp:val=&quot;00B15663&quot;/&gt;&lt;wsp:rsid wsp:val=&quot;00B16543&quot;/&gt;&lt;wsp:rsid wsp:val=&quot;00B217F7&quot;/&gt;&lt;wsp:rsid wsp:val=&quot;00B241B7&quot;/&gt;&lt;wsp:rsid wsp:val=&quot;00B24A3A&quot;/&gt;&lt;wsp:rsid wsp:val=&quot;00B25148&quot;/&gt;&lt;wsp:rsid wsp:val=&quot;00B25A71&quot;/&gt;&lt;wsp:rsid wsp:val=&quot;00B2756A&quot;/&gt;&lt;wsp:rsid wsp:val=&quot;00B32647&quot;/&gt;&lt;wsp:rsid wsp:val=&quot;00B32CF5&quot;/&gt;&lt;wsp:rsid wsp:val=&quot;00B32E69&quot;/&gt;&lt;wsp:rsid wsp:val=&quot;00B33C6B&quot;/&gt;&lt;wsp:rsid wsp:val=&quot;00B33E13&quot;/&gt;&lt;wsp:rsid wsp:val=&quot;00B348A4&quot;/&gt;&lt;wsp:rsid wsp:val=&quot;00B36E15&quot;/&gt;&lt;wsp:rsid wsp:val=&quot;00B403B1&quot;/&gt;&lt;wsp:rsid wsp:val=&quot;00B4369C&quot;/&gt;&lt;wsp:rsid wsp:val=&quot;00B45DA3&quot;/&gt;&lt;wsp:rsid wsp:val=&quot;00B465CE&quot;/&gt;&lt;wsp:rsid wsp:val=&quot;00B4685A&quot;/&gt;&lt;wsp:rsid wsp:val=&quot;00B468D2&quot;/&gt;&lt;wsp:rsid wsp:val=&quot;00B46DD6&quot;/&gt;&lt;wsp:rsid wsp:val=&quot;00B521CA&quot;/&gt;&lt;wsp:rsid wsp:val=&quot;00B54AB1&quot;/&gt;&lt;wsp:rsid wsp:val=&quot;00B55B7C&quot;/&gt;&lt;wsp:rsid wsp:val=&quot;00B56CFC&quot;/&gt;&lt;wsp:rsid wsp:val=&quot;00B57F91&quot;/&gt;&lt;wsp:rsid wsp:val=&quot;00B60A16&quot;/&gt;&lt;wsp:rsid wsp:val=&quot;00B60B1A&quot;/&gt;&lt;wsp:rsid wsp:val=&quot;00B612E1&quot;/&gt;&lt;wsp:rsid wsp:val=&quot;00B62125&quot;/&gt;&lt;wsp:rsid wsp:val=&quot;00B6286B&quot;/&gt;&lt;wsp:rsid wsp:val=&quot;00B629BE&quot;/&gt;&lt;wsp:rsid wsp:val=&quot;00B6414F&quot;/&gt;&lt;wsp:rsid wsp:val=&quot;00B67B16&quot;/&gt;&lt;wsp:rsid wsp:val=&quot;00B702A3&quot;/&gt;&lt;wsp:rsid wsp:val=&quot;00B7380C&quot;/&gt;&lt;wsp:rsid wsp:val=&quot;00B770D3&quot;/&gt;&lt;wsp:rsid wsp:val=&quot;00B770F5&quot;/&gt;&lt;wsp:rsid wsp:val=&quot;00B779E0&quot;/&gt;&lt;wsp:rsid wsp:val=&quot;00B77A2E&quot;/&gt;&lt;wsp:rsid wsp:val=&quot;00B8700C&quot;/&gt;&lt;wsp:rsid wsp:val=&quot;00B90B33&quot;/&gt;&lt;wsp:rsid wsp:val=&quot;00B91008&quot;/&gt;&lt;wsp:rsid wsp:val=&quot;00B9170F&quot;/&gt;&lt;wsp:rsid wsp:val=&quot;00B92A58&quot;/&gt;&lt;wsp:rsid wsp:val=&quot;00B931AD&quot;/&gt;&lt;wsp:rsid wsp:val=&quot;00B93592&quot;/&gt;&lt;wsp:rsid wsp:val=&quot;00B952AC&quot;/&gt;&lt;wsp:rsid wsp:val=&quot;00B95847&quot;/&gt;&lt;wsp:rsid wsp:val=&quot;00BA13DC&quot;/&gt;&lt;wsp:rsid wsp:val=&quot;00BA35AD&quot;/&gt;&lt;wsp:rsid wsp:val=&quot;00BA4B97&quot;/&gt;&lt;wsp:rsid wsp:val=&quot;00BA72F5&quot;/&gt;&lt;wsp:rsid wsp:val=&quot;00BA7F86&quot;/&gt;&lt;wsp:rsid wsp:val=&quot;00BB03AA&quot;/&gt;&lt;wsp:rsid wsp:val=&quot;00BB0E82&quot;/&gt;&lt;wsp:rsid wsp:val=&quot;00BB1192&quot;/&gt;&lt;wsp:rsid wsp:val=&quot;00BB3CC8&quot;/&gt;&lt;wsp:rsid wsp:val=&quot;00BB4F16&quot;/&gt;&lt;wsp:rsid wsp:val=&quot;00BB556D&quot;/&gt;&lt;wsp:rsid wsp:val=&quot;00BB7288&quot;/&gt;&lt;wsp:rsid wsp:val=&quot;00BC074E&quot;/&gt;&lt;wsp:rsid wsp:val=&quot;00BC2357&quot;/&gt;&lt;wsp:rsid wsp:val=&quot;00BC452C&quot;/&gt;&lt;wsp:rsid wsp:val=&quot;00BC4DA5&quot;/&gt;&lt;wsp:rsid wsp:val=&quot;00BC5129&quot;/&gt;&lt;wsp:rsid wsp:val=&quot;00BC6434&quot;/&gt;&lt;wsp:rsid wsp:val=&quot;00BC6B37&quot;/&gt;&lt;wsp:rsid wsp:val=&quot;00BC771A&quot;/&gt;&lt;wsp:rsid wsp:val=&quot;00BD30BC&quot;/&gt;&lt;wsp:rsid wsp:val=&quot;00BD3F7B&quot;/&gt;&lt;wsp:rsid wsp:val=&quot;00BD46CB&quot;/&gt;&lt;wsp:rsid wsp:val=&quot;00BD5EB4&quot;/&gt;&lt;wsp:rsid wsp:val=&quot;00BE5993&quot;/&gt;&lt;wsp:rsid wsp:val=&quot;00BF2D88&quot;/&gt;&lt;wsp:rsid wsp:val=&quot;00BF360B&quot;/&gt;&lt;wsp:rsid wsp:val=&quot;00BF3FB9&quot;/&gt;&lt;wsp:rsid wsp:val=&quot;00BF41AC&quot;/&gt;&lt;wsp:rsid wsp:val=&quot;00BF4367&quot;/&gt;&lt;wsp:rsid wsp:val=&quot;00BF5D07&quot;/&gt;&lt;wsp:rsid wsp:val=&quot;00BF6C56&quot;/&gt;&lt;wsp:rsid wsp:val=&quot;00C0037E&quot;/&gt;&lt;wsp:rsid wsp:val=&quot;00C023FB&quot;/&gt;&lt;wsp:rsid wsp:val=&quot;00C036FE&quot;/&gt;&lt;wsp:rsid wsp:val=&quot;00C05008&quot;/&gt;&lt;wsp:rsid wsp:val=&quot;00C053A5&quot;/&gt;&lt;wsp:rsid wsp:val=&quot;00C0588C&quot;/&gt;&lt;wsp:rsid wsp:val=&quot;00C14CDF&quot;/&gt;&lt;wsp:rsid wsp:val=&quot;00C16280&quot;/&gt;&lt;wsp:rsid wsp:val=&quot;00C21794&quot;/&gt;&lt;wsp:rsid wsp:val=&quot;00C218D2&quot;/&gt;&lt;wsp:rsid wsp:val=&quot;00C2274F&quot;/&gt;&lt;wsp:rsid wsp:val=&quot;00C27792&quot;/&gt;&lt;wsp:rsid wsp:val=&quot;00C278D9&quot;/&gt;&lt;wsp:rsid wsp:val=&quot;00C309E3&quot;/&gt;&lt;wsp:rsid wsp:val=&quot;00C322FA&quot;/&gt;&lt;wsp:rsid wsp:val=&quot;00C335E2&quot;/&gt;&lt;wsp:rsid wsp:val=&quot;00C34497&quot;/&gt;&lt;wsp:rsid wsp:val=&quot;00C400A1&quot;/&gt;&lt;wsp:rsid wsp:val=&quot;00C40B8D&quot;/&gt;&lt;wsp:rsid wsp:val=&quot;00C4217F&quot;/&gt;&lt;wsp:rsid wsp:val=&quot;00C43DBB&quot;/&gt;&lt;wsp:rsid wsp:val=&quot;00C44794&quot;/&gt;&lt;wsp:rsid wsp:val=&quot;00C46961&quot;/&gt;&lt;wsp:rsid wsp:val=&quot;00C472C3&quot;/&gt;&lt;wsp:rsid wsp:val=&quot;00C52019&quot;/&gt;&lt;wsp:rsid wsp:val=&quot;00C565AF&quot;/&gt;&lt;wsp:rsid wsp:val=&quot;00C5741E&quot;/&gt;&lt;wsp:rsid wsp:val=&quot;00C606B7&quot;/&gt;&lt;wsp:rsid wsp:val=&quot;00C61086&quot;/&gt;&lt;wsp:rsid wsp:val=&quot;00C64FE1&quot;/&gt;&lt;wsp:rsid wsp:val=&quot;00C656CF&quot;/&gt;&lt;wsp:rsid wsp:val=&quot;00C656D9&quot;/&gt;&lt;wsp:rsid wsp:val=&quot;00C6623F&quot;/&gt;&lt;wsp:rsid wsp:val=&quot;00C66D36&quot;/&gt;&lt;wsp:rsid wsp:val=&quot;00C67173&quot;/&gt;&lt;wsp:rsid wsp:val=&quot;00C713D2&quot;/&gt;&lt;wsp:rsid wsp:val=&quot;00C72244&quot;/&gt;&lt;wsp:rsid wsp:val=&quot;00C72B2F&quot;/&gt;&lt;wsp:rsid wsp:val=&quot;00C7476C&quot;/&gt;&lt;wsp:rsid wsp:val=&quot;00C76566&quot;/&gt;&lt;wsp:rsid wsp:val=&quot;00C766C9&quot;/&gt;&lt;wsp:rsid wsp:val=&quot;00C777B8&quot;/&gt;&lt;wsp:rsid wsp:val=&quot;00C803BA&quot;/&gt;&lt;wsp:rsid wsp:val=&quot;00C83C45&quot;/&gt;&lt;wsp:rsid wsp:val=&quot;00C83D5C&quot;/&gt;&lt;wsp:rsid wsp:val=&quot;00C84DDB&quot;/&gt;&lt;wsp:rsid wsp:val=&quot;00C85E05&quot;/&gt;&lt;wsp:rsid wsp:val=&quot;00C86B80&quot;/&gt;&lt;wsp:rsid wsp:val=&quot;00C86C2A&quot;/&gt;&lt;wsp:rsid wsp:val=&quot;00C86D5C&quot;/&gt;&lt;wsp:rsid wsp:val=&quot;00C90ABC&quot;/&gt;&lt;wsp:rsid wsp:val=&quot;00C9211A&quot;/&gt;&lt;wsp:rsid wsp:val=&quot;00C92306&quot;/&gt;&lt;wsp:rsid wsp:val=&quot;00C92F92&quot;/&gt;&lt;wsp:rsid wsp:val=&quot;00C9537D&quot;/&gt;&lt;wsp:rsid wsp:val=&quot;00C97C7C&quot;/&gt;&lt;wsp:rsid wsp:val=&quot;00CA1C09&quot;/&gt;&lt;wsp:rsid wsp:val=&quot;00CA329D&quot;/&gt;&lt;wsp:rsid wsp:val=&quot;00CA7BBE&quot;/&gt;&lt;wsp:rsid wsp:val=&quot;00CB0D69&quot;/&gt;&lt;wsp:rsid wsp:val=&quot;00CB0F82&quot;/&gt;&lt;wsp:rsid wsp:val=&quot;00CB3374&quot;/&gt;&lt;wsp:rsid wsp:val=&quot;00CB604A&quot;/&gt;&lt;wsp:rsid wsp:val=&quot;00CC467A&quot;/&gt;&lt;wsp:rsid wsp:val=&quot;00CC4B82&quot;/&gt;&lt;wsp:rsid wsp:val=&quot;00CC5256&quot;/&gt;&lt;wsp:rsid wsp:val=&quot;00CC7273&quot;/&gt;&lt;wsp:rsid wsp:val=&quot;00CD2183&quot;/&gt;&lt;wsp:rsid wsp:val=&quot;00CD23B6&quot;/&gt;&lt;wsp:rsid wsp:val=&quot;00CD2640&quot;/&gt;&lt;wsp:rsid wsp:val=&quot;00CD458F&quot;/&gt;&lt;wsp:rsid wsp:val=&quot;00CD6BFC&quot;/&gt;&lt;wsp:rsid wsp:val=&quot;00CE6CBC&quot;/&gt;&lt;wsp:rsid wsp:val=&quot;00CE7343&quot;/&gt;&lt;wsp:rsid wsp:val=&quot;00CF02DF&quot;/&gt;&lt;wsp:rsid wsp:val=&quot;00CF0421&quot;/&gt;&lt;wsp:rsid wsp:val=&quot;00CF11B8&quot;/&gt;&lt;wsp:rsid wsp:val=&quot;00CF36C3&quot;/&gt;&lt;wsp:rsid wsp:val=&quot;00CF50F5&quot;/&gt;&lt;wsp:rsid wsp:val=&quot;00CF65E3&quot;/&gt;&lt;wsp:rsid wsp:val=&quot;00D009A3&quot;/&gt;&lt;wsp:rsid wsp:val=&quot;00D0235F&quot;/&gt;&lt;wsp:rsid wsp:val=&quot;00D02716&quot;/&gt;&lt;wsp:rsid wsp:val=&quot;00D02B6A&quot;/&gt;&lt;wsp:rsid wsp:val=&quot;00D02E4B&quot;/&gt;&lt;wsp:rsid wsp:val=&quot;00D03F58&quot;/&gt;&lt;wsp:rsid wsp:val=&quot;00D04507&quot;/&gt;&lt;wsp:rsid wsp:val=&quot;00D0723F&quot;/&gt;&lt;wsp:rsid wsp:val=&quot;00D073B0&quot;/&gt;&lt;wsp:rsid wsp:val=&quot;00D11EFE&quot;/&gt;&lt;wsp:rsid wsp:val=&quot;00D12292&quot;/&gt;&lt;wsp:rsid wsp:val=&quot;00D14F97&quot;/&gt;&lt;wsp:rsid wsp:val=&quot;00D1576A&quot;/&gt;&lt;wsp:rsid wsp:val=&quot;00D15798&quot;/&gt;&lt;wsp:rsid wsp:val=&quot;00D15B8A&quot;/&gt;&lt;wsp:rsid wsp:val=&quot;00D21FF1&quot;/&gt;&lt;wsp:rsid wsp:val=&quot;00D226FC&quot;/&gt;&lt;wsp:rsid wsp:val=&quot;00D22FD9&quot;/&gt;&lt;wsp:rsid wsp:val=&quot;00D237CB&quot;/&gt;&lt;wsp:rsid wsp:val=&quot;00D23922&quot;/&gt;&lt;wsp:rsid wsp:val=&quot;00D23FF4&quot;/&gt;&lt;wsp:rsid wsp:val=&quot;00D25222&quot;/&gt;&lt;wsp:rsid wsp:val=&quot;00D26531&quot;/&gt;&lt;wsp:rsid wsp:val=&quot;00D27324&quot;/&gt;&lt;wsp:rsid wsp:val=&quot;00D30E11&quot;/&gt;&lt;wsp:rsid wsp:val=&quot;00D31757&quot;/&gt;&lt;wsp:rsid wsp:val=&quot;00D31BEE&quot;/&gt;&lt;wsp:rsid wsp:val=&quot;00D36106&quot;/&gt;&lt;wsp:rsid wsp:val=&quot;00D37662&quot;/&gt;&lt;wsp:rsid wsp:val=&quot;00D423F6&quot;/&gt;&lt;wsp:rsid wsp:val=&quot;00D44E0E&quot;/&gt;&lt;wsp:rsid wsp:val=&quot;00D45623&quot;/&gt;&lt;wsp:rsid wsp:val=&quot;00D456B3&quot;/&gt;&lt;wsp:rsid wsp:val=&quot;00D4784A&quot;/&gt;&lt;wsp:rsid wsp:val=&quot;00D501DF&quot;/&gt;&lt;wsp:rsid wsp:val=&quot;00D506F4&quot;/&gt;&lt;wsp:rsid wsp:val=&quot;00D50AD1&quot;/&gt;&lt;wsp:rsid wsp:val=&quot;00D50E26&quot;/&gt;&lt;wsp:rsid wsp:val=&quot;00D52D5D&quot;/&gt;&lt;wsp:rsid wsp:val=&quot;00D53837&quot;/&gt;&lt;wsp:rsid wsp:val=&quot;00D54826&quot;/&gt;&lt;wsp:rsid wsp:val=&quot;00D55826&quot;/&gt;&lt;wsp:rsid wsp:val=&quot;00D60120&quot;/&gt;&lt;wsp:rsid wsp:val=&quot;00D625C2&quot;/&gt;&lt;wsp:rsid wsp:val=&quot;00D63429&quot;/&gt;&lt;wsp:rsid wsp:val=&quot;00D6445A&quot;/&gt;&lt;wsp:rsid wsp:val=&quot;00D656EB&quot;/&gt;&lt;wsp:rsid wsp:val=&quot;00D658FD&quot;/&gt;&lt;wsp:rsid wsp:val=&quot;00D660B1&quot;/&gt;&lt;wsp:rsid wsp:val=&quot;00D7210F&quot;/&gt;&lt;wsp:rsid wsp:val=&quot;00D76007&quot;/&gt;&lt;wsp:rsid wsp:val=&quot;00D76905&quot;/&gt;&lt;wsp:rsid wsp:val=&quot;00D82888&quot;/&gt;&lt;wsp:rsid wsp:val=&quot;00D83B29&quot;/&gt;&lt;wsp:rsid wsp:val=&quot;00D841E4&quot;/&gt;&lt;wsp:rsid wsp:val=&quot;00D8425C&quot;/&gt;&lt;wsp:rsid wsp:val=&quot;00D856A7&quot;/&gt;&lt;wsp:rsid wsp:val=&quot;00D86CB8&quot;/&gt;&lt;wsp:rsid wsp:val=&quot;00D8714D&quot;/&gt;&lt;wsp:rsid wsp:val=&quot;00D877FA&quot;/&gt;&lt;wsp:rsid wsp:val=&quot;00D901B1&quot;/&gt;&lt;wsp:rsid wsp:val=&quot;00D90DDC&quot;/&gt;&lt;wsp:rsid wsp:val=&quot;00D91A86&quot;/&gt;&lt;wsp:rsid wsp:val=&quot;00D93A1A&quot;/&gt;&lt;wsp:rsid wsp:val=&quot;00D960F1&quot;/&gt;&lt;wsp:rsid wsp:val=&quot;00DA02FC&quot;/&gt;&lt;wsp:rsid wsp:val=&quot;00DA082B&quot;/&gt;&lt;wsp:rsid wsp:val=&quot;00DA261F&quot;/&gt;&lt;wsp:rsid wsp:val=&quot;00DA298F&quot;/&gt;&lt;wsp:rsid wsp:val=&quot;00DA36ED&quot;/&gt;&lt;wsp:rsid wsp:val=&quot;00DA67F6&quot;/&gt;&lt;wsp:rsid wsp:val=&quot;00DA743E&quot;/&gt;&lt;wsp:rsid wsp:val=&quot;00DB00DB&quot;/&gt;&lt;wsp:rsid wsp:val=&quot;00DB0FC5&quot;/&gt;&lt;wsp:rsid wsp:val=&quot;00DB460E&quot;/&gt;&lt;wsp:rsid wsp:val=&quot;00DB5370&quot;/&gt;&lt;wsp:rsid wsp:val=&quot;00DB5484&quot;/&gt;&lt;wsp:rsid wsp:val=&quot;00DB6C5B&quot;/&gt;&lt;wsp:rsid wsp:val=&quot;00DC0D87&quot;/&gt;&lt;wsp:rsid wsp:val=&quot;00DC155C&quot;/&gt;&lt;wsp:rsid wsp:val=&quot;00DC19FC&quot;/&gt;&lt;wsp:rsid wsp:val=&quot;00DC23D8&quot;/&gt;&lt;wsp:rsid wsp:val=&quot;00DC2D4D&quot;/&gt;&lt;wsp:rsid wsp:val=&quot;00DC3CB1&quot;/&gt;&lt;wsp:rsid wsp:val=&quot;00DC3DC6&quot;/&gt;&lt;wsp:rsid wsp:val=&quot;00DC522B&quot;/&gt;&lt;wsp:rsid wsp:val=&quot;00DC6E14&quot;/&gt;&lt;wsp:rsid wsp:val=&quot;00DD0574&quot;/&gt;&lt;wsp:rsid wsp:val=&quot;00DD3A7C&quot;/&gt;&lt;wsp:rsid wsp:val=&quot;00DD4877&quot;/&gt;&lt;wsp:rsid wsp:val=&quot;00DE1496&quot;/&gt;&lt;wsp:rsid wsp:val=&quot;00DE454E&quot;/&gt;&lt;wsp:rsid wsp:val=&quot;00DE5CC3&quot;/&gt;&lt;wsp:rsid wsp:val=&quot;00DE7FC2&quot;/&gt;&lt;wsp:rsid wsp:val=&quot;00DF2B7E&quot;/&gt;&lt;wsp:rsid wsp:val=&quot;00DF2C8C&quot;/&gt;&lt;wsp:rsid wsp:val=&quot;00DF31FF&quot;/&gt;&lt;wsp:rsid wsp:val=&quot;00DF3B66&quot;/&gt;&lt;wsp:rsid wsp:val=&quot;00DF58E4&quot;/&gt;&lt;wsp:rsid wsp:val=&quot;00DF5D77&quot;/&gt;&lt;wsp:rsid wsp:val=&quot;00DF5FC2&quot;/&gt;&lt;wsp:rsid wsp:val=&quot;00DF62E0&quot;/&gt;&lt;wsp:rsid wsp:val=&quot;00DF7307&quot;/&gt;&lt;wsp:rsid wsp:val=&quot;00E00578&quot;/&gt;&lt;wsp:rsid wsp:val=&quot;00E017D0&quot;/&gt;&lt;wsp:rsid wsp:val=&quot;00E017F2&quot;/&gt;&lt;wsp:rsid wsp:val=&quot;00E0344F&quot;/&gt;&lt;wsp:rsid wsp:val=&quot;00E03B97&quot;/&gt;&lt;wsp:rsid wsp:val=&quot;00E0575F&quot;/&gt;&lt;wsp:rsid wsp:val=&quot;00E11E3B&quot;/&gt;&lt;wsp:rsid wsp:val=&quot;00E11F8E&quot;/&gt;&lt;wsp:rsid wsp:val=&quot;00E15B72&quot;/&gt;&lt;wsp:rsid wsp:val=&quot;00E163D8&quot;/&gt;&lt;wsp:rsid wsp:val=&quot;00E16885&quot;/&gt;&lt;wsp:rsid wsp:val=&quot;00E20135&quot;/&gt;&lt;wsp:rsid wsp:val=&quot;00E20D23&quot;/&gt;&lt;wsp:rsid wsp:val=&quot;00E2142F&quot;/&gt;&lt;wsp:rsid wsp:val=&quot;00E22E8F&quot;/&gt;&lt;wsp:rsid wsp:val=&quot;00E30E1A&quot;/&gt;&lt;wsp:rsid wsp:val=&quot;00E37014&quot;/&gt;&lt;wsp:rsid wsp:val=&quot;00E40E37&quot;/&gt;&lt;wsp:rsid wsp:val=&quot;00E43641&quot;/&gt;&lt;wsp:rsid wsp:val=&quot;00E44851&quot;/&gt;&lt;wsp:rsid wsp:val=&quot;00E451FC&quot;/&gt;&lt;wsp:rsid wsp:val=&quot;00E46B29&quot;/&gt;&lt;wsp:rsid wsp:val=&quot;00E47E6E&quot;/&gt;&lt;wsp:rsid wsp:val=&quot;00E50EAB&quot;/&gt;&lt;wsp:rsid wsp:val=&quot;00E522AC&quot;/&gt;&lt;wsp:rsid wsp:val=&quot;00E6021E&quot;/&gt;&lt;wsp:rsid wsp:val=&quot;00E61130&quot;/&gt;&lt;wsp:rsid wsp:val=&quot;00E62435&quot;/&gt;&lt;wsp:rsid wsp:val=&quot;00E63ABD&quot;/&gt;&lt;wsp:rsid wsp:val=&quot;00E65A93&quot;/&gt;&lt;wsp:rsid wsp:val=&quot;00E66293&quot;/&gt;&lt;wsp:rsid wsp:val=&quot;00E66CED&quot;/&gt;&lt;wsp:rsid wsp:val=&quot;00E670D3&quot;/&gt;&lt;wsp:rsid wsp:val=&quot;00E67A85&quot;/&gt;&lt;wsp:rsid wsp:val=&quot;00E70C0D&quot;/&gt;&lt;wsp:rsid wsp:val=&quot;00E71788&quot;/&gt;&lt;wsp:rsid wsp:val=&quot;00E753B5&quot;/&gt;&lt;wsp:rsid wsp:val=&quot;00E75D83&quot;/&gt;&lt;wsp:rsid wsp:val=&quot;00E76935&quot;/&gt;&lt;wsp:rsid wsp:val=&quot;00E77493&quot;/&gt;&lt;wsp:rsid wsp:val=&quot;00E80268&quot;/&gt;&lt;wsp:rsid wsp:val=&quot;00E828A7&quot;/&gt;&lt;wsp:rsid wsp:val=&quot;00E82FC8&quot;/&gt;&lt;wsp:rsid wsp:val=&quot;00E84915&quot;/&gt;&lt;wsp:rsid wsp:val=&quot;00E84F48&quot;/&gt;&lt;wsp:rsid wsp:val=&quot;00E869BA&quot;/&gt;&lt;wsp:rsid wsp:val=&quot;00E90ADF&quot;/&gt;&lt;wsp:rsid wsp:val=&quot;00E91A67&quot;/&gt;&lt;wsp:rsid wsp:val=&quot;00E938F2&quot;/&gt;&lt;wsp:rsid wsp:val=&quot;00E955F1&quot;/&gt;&lt;wsp:rsid wsp:val=&quot;00E9703B&quot;/&gt;&lt;wsp:rsid wsp:val=&quot;00EA0F57&quot;/&gt;&lt;wsp:rsid wsp:val=&quot;00EA10C1&quot;/&gt;&lt;wsp:rsid wsp:val=&quot;00EA267E&quot;/&gt;&lt;wsp:rsid wsp:val=&quot;00EA2F46&quot;/&gt;&lt;wsp:rsid wsp:val=&quot;00EA3188&quot;/&gt;&lt;wsp:rsid wsp:val=&quot;00EA4FE4&quot;/&gt;&lt;wsp:rsid wsp:val=&quot;00EA59D2&quot;/&gt;&lt;wsp:rsid wsp:val=&quot;00EA5FD2&quot;/&gt;&lt;wsp:rsid wsp:val=&quot;00EA6391&quot;/&gt;&lt;wsp:rsid wsp:val=&quot;00EA7A47&quot;/&gt;&lt;wsp:rsid wsp:val=&quot;00EA7D70&quot;/&gt;&lt;wsp:rsid wsp:val=&quot;00EB0413&quot;/&gt;&lt;wsp:rsid wsp:val=&quot;00EB18DA&quot;/&gt;&lt;wsp:rsid wsp:val=&quot;00EB2EC8&quot;/&gt;&lt;wsp:rsid wsp:val=&quot;00EB3D85&quot;/&gt;&lt;wsp:rsid wsp:val=&quot;00EB4ABA&quot;/&gt;&lt;wsp:rsid wsp:val=&quot;00EB6CD2&quot;/&gt;&lt;wsp:rsid wsp:val=&quot;00EC0E49&quot;/&gt;&lt;wsp:rsid wsp:val=&quot;00EC2549&quot;/&gt;&lt;wsp:rsid wsp:val=&quot;00EC2B62&quot;/&gt;&lt;wsp:rsid wsp:val=&quot;00EC5437&quot;/&gt;&lt;wsp:rsid wsp:val=&quot;00EC6F5F&quot;/&gt;&lt;wsp:rsid wsp:val=&quot;00EC6FD8&quot;/&gt;&lt;wsp:rsid wsp:val=&quot;00EC7A43&quot;/&gt;&lt;wsp:rsid wsp:val=&quot;00ED48C3&quot;/&gt;&lt;wsp:rsid wsp:val=&quot;00ED60C3&quot;/&gt;&lt;wsp:rsid wsp:val=&quot;00ED7FB5&quot;/&gt;&lt;wsp:rsid wsp:val=&quot;00EE11F6&quot;/&gt;&lt;wsp:rsid wsp:val=&quot;00EE1649&quot;/&gt;&lt;wsp:rsid wsp:val=&quot;00EE2BE5&quot;/&gt;&lt;wsp:rsid wsp:val=&quot;00EE2EC2&quot;/&gt;&lt;wsp:rsid wsp:val=&quot;00EE352E&quot;/&gt;&lt;wsp:rsid wsp:val=&quot;00EE43C0&quot;/&gt;&lt;wsp:rsid wsp:val=&quot;00EE51A1&quot;/&gt;&lt;wsp:rsid wsp:val=&quot;00EE5B4E&quot;/&gt;&lt;wsp:rsid wsp:val=&quot;00EE74E5&quot;/&gt;&lt;wsp:rsid wsp:val=&quot;00EF0ED4&quot;/&gt;&lt;wsp:rsid wsp:val=&quot;00EF1032&quot;/&gt;&lt;wsp:rsid wsp:val=&quot;00EF147F&quot;/&gt;&lt;wsp:rsid wsp:val=&quot;00EF23CC&quot;/&gt;&lt;wsp:rsid wsp:val=&quot;00EF38DE&quot;/&gt;&lt;wsp:rsid wsp:val=&quot;00EF51A1&quot;/&gt;&lt;wsp:rsid wsp:val=&quot;00EF6FAB&quot;/&gt;&lt;wsp:rsid wsp:val=&quot;00F00425&quot;/&gt;&lt;wsp:rsid wsp:val=&quot;00F0167F&quot;/&gt;&lt;wsp:rsid wsp:val=&quot;00F01BD6&quot;/&gt;&lt;wsp:rsid wsp:val=&quot;00F0514C&quot;/&gt;&lt;wsp:rsid wsp:val=&quot;00F06CE8&quot;/&gt;&lt;wsp:rsid wsp:val=&quot;00F14A8D&quot;/&gt;&lt;wsp:rsid wsp:val=&quot;00F15275&quot;/&gt;&lt;wsp:rsid wsp:val=&quot;00F171FD&quot;/&gt;&lt;wsp:rsid wsp:val=&quot;00F17A29&quot;/&gt;&lt;wsp:rsid wsp:val=&quot;00F20F39&quot;/&gt;&lt;wsp:rsid wsp:val=&quot;00F2213B&quot;/&gt;&lt;wsp:rsid wsp:val=&quot;00F25C8F&quot;/&gt;&lt;wsp:rsid wsp:val=&quot;00F27809&quot;/&gt;&lt;wsp:rsid wsp:val=&quot;00F312FB&quot;/&gt;&lt;wsp:rsid wsp:val=&quot;00F329E5&quot;/&gt;&lt;wsp:rsid wsp:val=&quot;00F340B6&quot;/&gt;&lt;wsp:rsid wsp:val=&quot;00F36BD6&quot;/&gt;&lt;wsp:rsid wsp:val=&quot;00F40E20&quot;/&gt;&lt;wsp:rsid wsp:val=&quot;00F42299&quot;/&gt;&lt;wsp:rsid wsp:val=&quot;00F43ACF&quot;/&gt;&lt;wsp:rsid wsp:val=&quot;00F43CA0&quot;/&gt;&lt;wsp:rsid wsp:val=&quot;00F4479D&quot;/&gt;&lt;wsp:rsid wsp:val=&quot;00F44B83&quot;/&gt;&lt;wsp:rsid wsp:val=&quot;00F51DCB&quot;/&gt;&lt;wsp:rsid wsp:val=&quot;00F51DD6&quot;/&gt;&lt;wsp:rsid wsp:val=&quot;00F51F67&quot;/&gt;&lt;wsp:rsid wsp:val=&quot;00F520E6&quot;/&gt;&lt;wsp:rsid wsp:val=&quot;00F52335&quot;/&gt;&lt;wsp:rsid wsp:val=&quot;00F5234A&quot;/&gt;&lt;wsp:rsid wsp:val=&quot;00F524E8&quot;/&gt;&lt;wsp:rsid wsp:val=&quot;00F5673B&quot;/&gt;&lt;wsp:rsid wsp:val=&quot;00F57380&quot;/&gt;&lt;wsp:rsid wsp:val=&quot;00F60143&quot;/&gt;&lt;wsp:rsid wsp:val=&quot;00F60F5F&quot;/&gt;&lt;wsp:rsid wsp:val=&quot;00F6149A&quot;/&gt;&lt;wsp:rsid wsp:val=&quot;00F61705&quot;/&gt;&lt;wsp:rsid wsp:val=&quot;00F628CA&quot;/&gt;&lt;wsp:rsid wsp:val=&quot;00F630E2&quot;/&gt;&lt;wsp:rsid wsp:val=&quot;00F6359B&quot;/&gt;&lt;wsp:rsid wsp:val=&quot;00F636FB&quot;/&gt;&lt;wsp:rsid wsp:val=&quot;00F65AE1&quot;/&gt;&lt;wsp:rsid wsp:val=&quot;00F65D8F&quot;/&gt;&lt;wsp:rsid wsp:val=&quot;00F661ED&quot;/&gt;&lt;wsp:rsid wsp:val=&quot;00F7025C&quot;/&gt;&lt;wsp:rsid wsp:val=&quot;00F708DD&quot;/&gt;&lt;wsp:rsid wsp:val=&quot;00F72351&quot;/&gt;&lt;wsp:rsid wsp:val=&quot;00F73AF4&quot;/&gt;&lt;wsp:rsid wsp:val=&quot;00F73E66&quot;/&gt;&lt;wsp:rsid wsp:val=&quot;00F742B4&quot;/&gt;&lt;wsp:rsid wsp:val=&quot;00F74E83&quot;/&gt;&lt;wsp:rsid wsp:val=&quot;00F815B9&quot;/&gt;&lt;wsp:rsid wsp:val=&quot;00F821A2&quot;/&gt;&lt;wsp:rsid wsp:val=&quot;00F825CA&quot;/&gt;&lt;wsp:rsid wsp:val=&quot;00F8426D&quot;/&gt;&lt;wsp:rsid wsp:val=&quot;00F85417&quot;/&gt;&lt;wsp:rsid wsp:val=&quot;00F86807&quot;/&gt;&lt;wsp:rsid wsp:val=&quot;00F86D78&quot;/&gt;&lt;wsp:rsid wsp:val=&quot;00F86F46&quot;/&gt;&lt;wsp:rsid wsp:val=&quot;00F874CF&quot;/&gt;&lt;wsp:rsid wsp:val=&quot;00F87727&quot;/&gt;&lt;wsp:rsid wsp:val=&quot;00F916D9&quot;/&gt;&lt;wsp:rsid wsp:val=&quot;00F92029&quot;/&gt;&lt;wsp:rsid wsp:val=&quot;00F928E9&quot;/&gt;&lt;wsp:rsid wsp:val=&quot;00F938CA&quot;/&gt;&lt;wsp:rsid wsp:val=&quot;00F95808&quot;/&gt;&lt;wsp:rsid wsp:val=&quot;00F95C3C&quot;/&gt;&lt;wsp:rsid wsp:val=&quot;00F95EED&quot;/&gt;&lt;wsp:rsid wsp:val=&quot;00F95FA7&quot;/&gt;&lt;wsp:rsid wsp:val=&quot;00F965AC&quot;/&gt;&lt;wsp:rsid wsp:val=&quot;00F9746A&quot;/&gt;&lt;wsp:rsid wsp:val=&quot;00FA16FF&quot;/&gt;&lt;wsp:rsid wsp:val=&quot;00FA2510&quot;/&gt;&lt;wsp:rsid wsp:val=&quot;00FA4339&quot;/&gt;&lt;wsp:rsid wsp:val=&quot;00FA764B&quot;/&gt;&lt;wsp:rsid wsp:val=&quot;00FB0812&quot;/&gt;&lt;wsp:rsid wsp:val=&quot;00FB0BE1&quot;/&gt;&lt;wsp:rsid wsp:val=&quot;00FB3B7A&quot;/&gt;&lt;wsp:rsid wsp:val=&quot;00FB5B44&quot;/&gt;&lt;wsp:rsid wsp:val=&quot;00FC08C0&quot;/&gt;&lt;wsp:rsid wsp:val=&quot;00FC142B&quot;/&gt;&lt;wsp:rsid wsp:val=&quot;00FC3070&quot;/&gt;&lt;wsp:rsid wsp:val=&quot;00FC394F&quot;/&gt;&lt;wsp:rsid wsp:val=&quot;00FC4616&quot;/&gt;&lt;wsp:rsid wsp:val=&quot;00FC4895&quot;/&gt;&lt;wsp:rsid wsp:val=&quot;00FC64A0&quot;/&gt;&lt;wsp:rsid wsp:val=&quot;00FC6724&quot;/&gt;&lt;wsp:rsid wsp:val=&quot;00FC67C5&quot;/&gt;&lt;wsp:rsid wsp:val=&quot;00FC736C&quot;/&gt;&lt;wsp:rsid wsp:val=&quot;00FC7F08&quot;/&gt;&lt;wsp:rsid wsp:val=&quot;00FD2571&quot;/&gt;&lt;wsp:rsid wsp:val=&quot;00FD6F91&quot;/&gt;&lt;wsp:rsid wsp:val=&quot;00FD72EB&quot;/&gt;&lt;wsp:rsid wsp:val=&quot;00FD7511&quot;/&gt;&lt;wsp:rsid wsp:val=&quot;00FE0173&quot;/&gt;&lt;wsp:rsid wsp:val=&quot;00FE479D&quot;/&gt;&lt;wsp:rsid wsp:val=&quot;00FE4B48&quot;/&gt;&lt;wsp:rsid wsp:val=&quot;00FF0E9F&quot;/&gt;&lt;wsp:rsid wsp:val=&quot;00FF3372&quot;/&gt;&lt;wsp:rsid wsp:val=&quot;00FF43D6&quot;/&gt;&lt;wsp:rsid wsp:val=&quot;00FF5E8D&quot;/&gt;&lt;wsp:rsid wsp:val=&quot;00FF6149&quot;/&gt;&lt;wsp:rsid wsp:val=&quot;00FF634E&quot;/&gt;&lt;wsp:rsid wsp:val=&quot;00FF6458&quot;/&gt;&lt;/wsp:rsids&gt;&lt;/w:docPr&gt;&lt;w:body&gt;&lt;wx:sect&gt;&lt;w:p wsp:rsidR=&quot;00000000&quot; wsp:rsidRDefault=&quot;001B5A60&quot; wsp:rsidP=&quot;001B5A60&quot;&gt;&lt;m:oMathPara&gt;&lt;m:oMath&gt;&lt;m:acc&gt;&lt;m:accPr&gt;&lt;m:chr m:val=&quot;?&quot;/&gt;&lt;m:ctrlPr&gt;&lt;aml:annotation aml:id=&quot;0&quot; w:type=&quot;Word.Insertion&quot; aml:author=&quot;??0湔? aml:createdate=&quot;2016-03-22T19:42:00Z&quot;&gt;&lt;aml:content&gt;&lt;w:rPr&gt;&lt;w:rFonts w:ascii=&quot;Cambria Math&quot; w:fareast=&quot;宋体&quot; w:h-ansi=&quot;Cambria Math&quot;/&gt;&lt;wx:font wx:val=&quot;Cambria Math&quot;/&gt;&lt;w:sz w:val=&quot;24&quot;/&gt;&lt;/w:rPr&gt;&lt;/aml:content&gt;&lt;/aml:annotation&gt;&lt;/m:ctrlPr&gt;&lt;/m:accPr&gt;&lt;m:e&gt;r=&quot;?=&quot;?=&quot;?=&quot;?=&quot;?=&quot;?=&quot;?=&quot;?=&quot;?=&quot;?=&quot;?=&quot;?=&quot;?=&quot;?=&quot;?=&quot;?=&quot;?=&quot;?=&quot;?=&quot;?=&quot;?=&quot;?=&quot;?=&quot;?=&quot;?=&quot;?=&quot;?=&quot;?=&quot;?=&quot;?=&quot;?=&quot;?=&quot;?=&quot;?=&quot;?=&quot;?=&quot;?=&quot;?=&quot;?=&quot;?=&quot;?=&quot;?=&quot;?=&quot;?&lt;m&quot;孔?0:r&gt;&lt;aml:annotation aml:id=&quot;1&quot; w:type=&quot;Word.Insertion&quot; aml:author=&quot;孔珍珍&quot; aml:createdate=&quot;2016-03-22T19:42:00Z&quot;&gt;&lt;aml:cor=&quot;?nter=&quot;?nt&gt;r=&quot;?&lt;w:r=&quot;?rPrr=&quot;?&gt;&lt;wr=&quot;?:rFr=&quot;?ontr=&quot;?s wr=&quot;?:asr=&quot;?ciir=&quot;?=&quot;Cr=&quot;?ambr=&quot;?riar=&quot;? Mar=&quot;?th&quot;r=&quot;? w:r=&quot;?farr=&quot;?easr=&quot;?t=&quot;r=&quot;?宋?&gt;r=&quot;?? e&gt;r=&quot;?w:he&gt;r=&quot;?-ane&gt;r=&quot;?si=e&gt;r=&quot;?&quot;Cae&gt;r=&quot;?mbre&gt;r=&quot;?ia e&gt;r=&quot;?Mate&gt;r=&quot;?h&quot;/e&gt;r=&quot;?&gt;&lt;we&gt;r=&quot;?x:fe&gt;r=&quot;?onte&gt;r=&quot;? wxe&gt;r=?&quot;?:vae&gt;?r=&quot;?l=&quot;?e&gt;r=&quot;?C?ame&gt;r=&quot;??brie&gt;r?=&quot;?a Me?&gt;r=&quot;?at?he&gt;r=&quot;??&quot;/&gt;e&gt;r=?&quot;?&lt;w:e&gt;?r=&quot;?i/&gt;?e&gt;r=&quot;?&lt;?w:e&gt;r=&quot;??sz w:v?am&quot;孔?0&quot;?l=&quot;24&quot;/&quot;?&gt;&lt;/w:rP&quot;?r&gt;&lt;m:t&gt;&quot;?P&lt;/m:t&gt;&quot;?&lt;/aml:c&quot;?ontent&gt;&lt;/?aml:annot?ation&gt;&lt;/m?:r&gt;&lt;/m:e&gt;?&lt;/m:ac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8" chromakey="#FFFFFF" o:title=""/>
            <o:lock v:ext="edit" aspectratio="t"/>
            <w10:wrap type="none"/>
            <w10:anchorlock/>
          </v:shape>
        </w:pict>
      </w:r>
      <w:r>
        <w:rPr>
          <w:rFonts w:hint="eastAsia"/>
          <w:color w:val="auto"/>
        </w:rPr>
        <w:instrText xml:space="preserve"> </w:instrText>
      </w:r>
      <w:r>
        <w:rPr>
          <w:rFonts w:hint="eastAsia"/>
          <w:color w:val="auto"/>
        </w:rPr>
        <w:fldChar w:fldCharType="separate"/>
      </w:r>
      <w:r>
        <w:rPr>
          <w:rFonts w:hint="eastAsia"/>
          <w:color w:val="auto"/>
        </w:rPr>
        <w:fldChar w:fldCharType="end"/>
      </w:r>
      <w:r>
        <w:rPr>
          <w:rFonts w:hint="eastAsia"/>
          <w:color w:val="auto"/>
          <w:szCs w:val="21"/>
        </w:rPr>
        <w:t>─</w:t>
      </w:r>
      <w:r>
        <w:rPr>
          <w:rFonts w:hint="eastAsia"/>
          <w:color w:val="auto"/>
        </w:rPr>
        <w:t>施工期平均定额人工费指数（即∑</w:t>
      </w:r>
      <w:r>
        <w:rPr>
          <w:color w:val="auto"/>
          <w:szCs w:val="21"/>
        </w:rPr>
        <w:t>(L</w:t>
      </w:r>
      <w:r>
        <w:rPr>
          <w:color w:val="auto"/>
          <w:szCs w:val="21"/>
          <w:vertAlign w:val="subscript"/>
        </w:rPr>
        <w:t>i</w:t>
      </w:r>
      <w:r>
        <w:rPr>
          <w:rFonts w:hint="eastAsia"/>
          <w:color w:val="auto"/>
          <w:szCs w:val="21"/>
        </w:rPr>
        <w:t>×</w:t>
      </w:r>
      <w:r>
        <w:rPr>
          <w:color w:val="auto"/>
          <w:szCs w:val="21"/>
        </w:rPr>
        <w:t>I</w:t>
      </w:r>
      <w:r>
        <w:rPr>
          <w:color w:val="auto"/>
          <w:szCs w:val="21"/>
          <w:vertAlign w:val="subscript"/>
        </w:rPr>
        <w:t>i</w:t>
      </w:r>
      <w:r>
        <w:rPr>
          <w:color w:val="auto"/>
          <w:szCs w:val="21"/>
        </w:rPr>
        <w:t>)/L</w:t>
      </w:r>
      <w:r>
        <w:rPr>
          <w:color w:val="auto"/>
          <w:szCs w:val="21"/>
          <w:vertAlign w:val="subscript"/>
        </w:rPr>
        <w:t>总</w:t>
      </w:r>
      <w:r>
        <w:rPr>
          <w:rFonts w:hint="eastAsia"/>
          <w:color w:val="auto"/>
          <w:szCs w:val="21"/>
        </w:rPr>
        <w:t>，</w:t>
      </w:r>
      <w:r>
        <w:rPr>
          <w:color w:val="auto"/>
          <w:szCs w:val="21"/>
        </w:rPr>
        <w:t>L</w:t>
      </w:r>
      <w:r>
        <w:rPr>
          <w:color w:val="auto"/>
          <w:szCs w:val="21"/>
          <w:vertAlign w:val="subscript"/>
        </w:rPr>
        <w:t>i</w:t>
      </w:r>
      <w:r>
        <w:rPr>
          <w:rFonts w:hint="eastAsia"/>
          <w:color w:val="auto"/>
          <w:szCs w:val="21"/>
        </w:rPr>
        <w:t>为施工期第</w:t>
      </w:r>
      <w:r>
        <w:rPr>
          <w:color w:val="auto"/>
          <w:szCs w:val="21"/>
        </w:rPr>
        <w:t>i</w:t>
      </w:r>
      <w:r>
        <w:rPr>
          <w:rFonts w:hint="eastAsia"/>
          <w:color w:val="auto"/>
          <w:szCs w:val="21"/>
        </w:rPr>
        <w:t>个月某工种人工费</w:t>
      </w:r>
      <w:r>
        <w:rPr>
          <w:rFonts w:hint="eastAsia"/>
          <w:color w:val="auto"/>
        </w:rPr>
        <w:t>，</w:t>
      </w:r>
      <w:r>
        <w:rPr>
          <w:color w:val="auto"/>
          <w:szCs w:val="21"/>
        </w:rPr>
        <w:t>I</w:t>
      </w:r>
      <w:r>
        <w:rPr>
          <w:color w:val="auto"/>
          <w:szCs w:val="21"/>
          <w:vertAlign w:val="subscript"/>
        </w:rPr>
        <w:t>i</w:t>
      </w:r>
      <w:r>
        <w:rPr>
          <w:rFonts w:hint="eastAsia"/>
          <w:color w:val="auto"/>
          <w:szCs w:val="21"/>
        </w:rPr>
        <w:t>为施工期第i个月当月《深圳建设工程价格信息》某工种定额人工费指数</w:t>
      </w:r>
      <w:r>
        <w:rPr>
          <w:rFonts w:hint="eastAsia"/>
          <w:color w:val="auto"/>
        </w:rPr>
        <w:t>）；</w:t>
      </w:r>
    </w:p>
    <w:p>
      <w:pPr>
        <w:adjustRightInd w:val="0"/>
        <w:snapToGrid w:val="0"/>
        <w:spacing w:beforeLines="0" w:line="360" w:lineRule="auto"/>
        <w:ind w:left="1200" w:leftChars="500"/>
        <w:rPr>
          <w:color w:val="auto"/>
          <w:szCs w:val="21"/>
        </w:rPr>
      </w:pPr>
      <w:r>
        <w:rPr>
          <w:color w:val="auto"/>
          <w:szCs w:val="21"/>
        </w:rPr>
        <w:t>I</w:t>
      </w:r>
      <w:r>
        <w:rPr>
          <w:color w:val="auto"/>
          <w:szCs w:val="21"/>
          <w:vertAlign w:val="subscript"/>
        </w:rPr>
        <w:t>o</w:t>
      </w:r>
      <w:r>
        <w:rPr>
          <w:rFonts w:hint="eastAsia"/>
          <w:color w:val="auto"/>
          <w:szCs w:val="21"/>
        </w:rPr>
        <w:t>─投标截止日期前35天的当月或</w:t>
      </w:r>
      <w:r>
        <w:rPr>
          <w:rFonts w:hint="eastAsia"/>
          <w:b/>
          <w:i/>
          <w:color w:val="auto"/>
          <w:szCs w:val="21"/>
        </w:rPr>
        <w:t>专用条款</w:t>
      </w:r>
      <w:r>
        <w:rPr>
          <w:rFonts w:hint="eastAsia"/>
          <w:color w:val="auto"/>
          <w:szCs w:val="21"/>
        </w:rPr>
        <w:t>约定月份《深圳建设工程价格信息》某工种定额人工费指数；</w:t>
      </w:r>
    </w:p>
    <w:p>
      <w:pPr>
        <w:adjustRightInd w:val="0"/>
        <w:snapToGrid w:val="0"/>
        <w:spacing w:beforeLines="0" w:line="360" w:lineRule="auto"/>
        <w:ind w:firstLine="1200" w:firstLineChars="500"/>
        <w:rPr>
          <w:color w:val="auto"/>
          <w:szCs w:val="21"/>
        </w:rPr>
      </w:pPr>
      <w:r>
        <w:rPr>
          <w:color w:val="auto"/>
          <w:szCs w:val="21"/>
        </w:rPr>
        <w:t>C</w:t>
      </w:r>
      <w:r>
        <w:rPr>
          <w:rFonts w:hint="eastAsia"/>
          <w:color w:val="auto"/>
          <w:szCs w:val="21"/>
          <w:vertAlign w:val="subscript"/>
        </w:rPr>
        <w:t>增</w:t>
      </w:r>
      <w:r>
        <w:rPr>
          <w:rFonts w:hint="eastAsia"/>
          <w:color w:val="auto"/>
          <w:szCs w:val="21"/>
        </w:rPr>
        <w:t>─调增合同价格；</w:t>
      </w:r>
    </w:p>
    <w:p>
      <w:pPr>
        <w:adjustRightInd w:val="0"/>
        <w:snapToGrid w:val="0"/>
        <w:spacing w:beforeLines="0" w:line="360" w:lineRule="auto"/>
        <w:ind w:firstLine="1200" w:firstLineChars="500"/>
        <w:rPr>
          <w:color w:val="auto"/>
          <w:szCs w:val="21"/>
        </w:rPr>
      </w:pPr>
      <w:r>
        <w:rPr>
          <w:color w:val="auto"/>
          <w:szCs w:val="21"/>
        </w:rPr>
        <w:t>C</w:t>
      </w:r>
      <w:r>
        <w:rPr>
          <w:rFonts w:hint="eastAsia"/>
          <w:color w:val="auto"/>
          <w:szCs w:val="21"/>
          <w:vertAlign w:val="subscript"/>
        </w:rPr>
        <w:t>减</w:t>
      </w:r>
      <w:r>
        <w:rPr>
          <w:rFonts w:hint="eastAsia"/>
          <w:color w:val="auto"/>
          <w:szCs w:val="21"/>
        </w:rPr>
        <w:t>─调减合同价格；</w:t>
      </w:r>
    </w:p>
    <w:p>
      <w:pPr>
        <w:tabs>
          <w:tab w:val="left" w:pos="1620"/>
          <w:tab w:val="left" w:pos="2340"/>
        </w:tabs>
        <w:adjustRightInd w:val="0"/>
        <w:snapToGrid w:val="0"/>
        <w:spacing w:beforeLines="0" w:after="0" w:line="360" w:lineRule="auto"/>
        <w:ind w:firstLine="1200" w:firstLineChars="500"/>
        <w:rPr>
          <w:color w:val="auto"/>
          <w:szCs w:val="21"/>
        </w:rPr>
      </w:pPr>
      <w:r>
        <w:rPr>
          <w:color w:val="auto"/>
          <w:szCs w:val="21"/>
        </w:rPr>
        <w:t>L</w:t>
      </w:r>
      <w:r>
        <w:rPr>
          <w:rFonts w:hint="eastAsia"/>
          <w:color w:val="auto"/>
          <w:szCs w:val="21"/>
          <w:vertAlign w:val="subscript"/>
        </w:rPr>
        <w:t>总</w:t>
      </w:r>
      <w:r>
        <w:rPr>
          <w:rFonts w:hint="eastAsia"/>
          <w:color w:val="auto"/>
          <w:szCs w:val="21"/>
        </w:rPr>
        <w:t>─本工程某工种总人工费，具体在</w:t>
      </w:r>
      <w:r>
        <w:rPr>
          <w:rFonts w:hint="eastAsia"/>
          <w:b/>
          <w:i/>
          <w:color w:val="auto"/>
          <w:szCs w:val="21"/>
        </w:rPr>
        <w:t>专用条款</w:t>
      </w:r>
      <w:r>
        <w:rPr>
          <w:rFonts w:hint="eastAsia"/>
          <w:color w:val="auto"/>
          <w:szCs w:val="21"/>
        </w:rPr>
        <w:t>约定。</w:t>
      </w:r>
    </w:p>
    <w:p>
      <w:pPr>
        <w:adjustRightInd w:val="0"/>
        <w:snapToGrid w:val="0"/>
        <w:spacing w:before="0" w:beforeLines="0" w:after="0" w:line="360" w:lineRule="auto"/>
        <w:ind w:left="359"/>
        <w:rPr>
          <w:color w:val="auto"/>
        </w:rPr>
      </w:pPr>
      <w:r>
        <w:rPr>
          <w:b/>
          <w:color w:val="auto"/>
        </w:rPr>
        <w:t>20.7</w:t>
      </w:r>
      <w:r>
        <w:rPr>
          <w:rFonts w:hint="eastAsia"/>
          <w:b/>
          <w:color w:val="auto"/>
        </w:rPr>
        <w:t>合同价格调整程序</w:t>
      </w:r>
    </w:p>
    <w:p>
      <w:pPr>
        <w:tabs>
          <w:tab w:val="left" w:pos="1620"/>
          <w:tab w:val="left" w:pos="2340"/>
        </w:tabs>
        <w:adjustRightInd w:val="0"/>
        <w:snapToGrid w:val="0"/>
        <w:spacing w:before="0" w:beforeLines="0" w:after="0" w:line="360" w:lineRule="auto"/>
        <w:ind w:left="899"/>
        <w:rPr>
          <w:color w:val="auto"/>
        </w:rPr>
      </w:pPr>
      <w:r>
        <w:rPr>
          <w:rFonts w:hint="eastAsia"/>
          <w:color w:val="auto"/>
        </w:rPr>
        <w:t>⑴承包人应在20.2款约定的合同价格调整情况发生后14天内，将调整原因、金额书面提交给</w:t>
      </w:r>
      <w:r>
        <w:rPr>
          <w:color w:val="auto"/>
        </w:rPr>
        <w:t>监理人</w:t>
      </w:r>
      <w:r>
        <w:rPr>
          <w:rFonts w:hint="eastAsia"/>
          <w:color w:val="auto"/>
        </w:rPr>
        <w:t>，</w:t>
      </w:r>
      <w:r>
        <w:rPr>
          <w:color w:val="auto"/>
        </w:rPr>
        <w:t>监理人</w:t>
      </w:r>
      <w:r>
        <w:rPr>
          <w:rFonts w:hint="eastAsia"/>
          <w:color w:val="auto"/>
        </w:rPr>
        <w:t>审核调整金额，并报发包人确认后作为追加(减)合同价格，与工程进度款同期支付。发包人收到通知后14天内未确认也未提出异议的，视为已经同意该项合同价格调整。</w:t>
      </w:r>
    </w:p>
    <w:p>
      <w:pPr>
        <w:tabs>
          <w:tab w:val="left" w:pos="1620"/>
          <w:tab w:val="left" w:pos="2340"/>
        </w:tabs>
        <w:adjustRightInd w:val="0"/>
        <w:snapToGrid w:val="0"/>
        <w:spacing w:beforeLines="0" w:line="360" w:lineRule="auto"/>
        <w:ind w:left="899"/>
        <w:rPr>
          <w:color w:val="auto"/>
        </w:rPr>
      </w:pPr>
      <w:r>
        <w:rPr>
          <w:rFonts w:hint="eastAsia"/>
          <w:color w:val="auto"/>
        </w:rPr>
        <w:t>⑵当20.2款约定的合同价格调整情况持续进行时，承包人应阶段性向</w:t>
      </w:r>
      <w:r>
        <w:rPr>
          <w:color w:val="auto"/>
        </w:rPr>
        <w:t>监理人</w:t>
      </w:r>
      <w:r>
        <w:rPr>
          <w:rFonts w:hint="eastAsia"/>
          <w:color w:val="auto"/>
        </w:rPr>
        <w:t>书面提交</w:t>
      </w:r>
      <w:r>
        <w:rPr>
          <w:color w:val="auto"/>
        </w:rPr>
        <w:t>调整合同价格</w:t>
      </w:r>
      <w:r>
        <w:rPr>
          <w:rFonts w:hint="eastAsia"/>
          <w:color w:val="auto"/>
        </w:rPr>
        <w:t>报告，并在该情况终了后28天内，向监理人提交最终的</w:t>
      </w:r>
      <w:r>
        <w:rPr>
          <w:color w:val="auto"/>
        </w:rPr>
        <w:t>调整合同价格</w:t>
      </w:r>
      <w:r>
        <w:rPr>
          <w:rFonts w:hint="eastAsia"/>
          <w:color w:val="auto"/>
        </w:rPr>
        <w:t>报告，</w:t>
      </w:r>
      <w:r>
        <w:rPr>
          <w:color w:val="auto"/>
        </w:rPr>
        <w:t>监理人</w:t>
      </w:r>
      <w:r>
        <w:rPr>
          <w:rFonts w:hint="eastAsia"/>
          <w:color w:val="auto"/>
        </w:rPr>
        <w:t>审核和发包人确认程序与20.7⑴款约定相同。</w:t>
      </w:r>
    </w:p>
    <w:p>
      <w:pPr>
        <w:tabs>
          <w:tab w:val="left" w:pos="1620"/>
          <w:tab w:val="left" w:pos="2340"/>
        </w:tabs>
        <w:adjustRightInd w:val="0"/>
        <w:snapToGrid w:val="0"/>
        <w:spacing w:before="0" w:beforeLines="0" w:after="0" w:line="360" w:lineRule="auto"/>
        <w:ind w:left="899"/>
        <w:rPr>
          <w:color w:val="auto"/>
        </w:rPr>
      </w:pPr>
      <w:r>
        <w:rPr>
          <w:rFonts w:hint="eastAsia"/>
          <w:color w:val="auto"/>
        </w:rPr>
        <w:t>⑶当承包人未按20.7⑴、⑵款约定的时间内提出</w:t>
      </w:r>
      <w:r>
        <w:rPr>
          <w:color w:val="auto"/>
        </w:rPr>
        <w:t>调整合同价格</w:t>
      </w:r>
      <w:r>
        <w:rPr>
          <w:rFonts w:hint="eastAsia"/>
          <w:color w:val="auto"/>
        </w:rPr>
        <w:t>报告的，发包人可自行决定是否</w:t>
      </w:r>
      <w:r>
        <w:rPr>
          <w:color w:val="auto"/>
        </w:rPr>
        <w:t>调整合同价格</w:t>
      </w:r>
      <w:r>
        <w:rPr>
          <w:rFonts w:hint="eastAsia"/>
          <w:color w:val="auto"/>
        </w:rPr>
        <w:t>。发包人应在约定的</w:t>
      </w:r>
      <w:r>
        <w:rPr>
          <w:color w:val="auto"/>
        </w:rPr>
        <w:t>合同价格调整</w:t>
      </w:r>
      <w:r>
        <w:rPr>
          <w:rFonts w:hint="eastAsia"/>
          <w:color w:val="auto"/>
        </w:rPr>
        <w:t>情况发生后28天内将不</w:t>
      </w:r>
      <w:r>
        <w:rPr>
          <w:color w:val="auto"/>
        </w:rPr>
        <w:t>调整合同价格</w:t>
      </w:r>
      <w:r>
        <w:rPr>
          <w:rFonts w:hint="eastAsia"/>
          <w:color w:val="auto"/>
        </w:rPr>
        <w:t>的决定书面通知承包人；或将</w:t>
      </w:r>
      <w:r>
        <w:rPr>
          <w:color w:val="auto"/>
        </w:rPr>
        <w:t>调整合同价格</w:t>
      </w:r>
      <w:r>
        <w:rPr>
          <w:rFonts w:hint="eastAsia"/>
          <w:color w:val="auto"/>
        </w:rPr>
        <w:t>报告提交给承包人确认。承包人收到报告14天内未确认也未提出异议的，视为已经同意该项</w:t>
      </w:r>
      <w:r>
        <w:rPr>
          <w:color w:val="auto"/>
        </w:rPr>
        <w:t>合同价格调整</w:t>
      </w:r>
      <w:r>
        <w:rPr>
          <w:rFonts w:hint="eastAsia"/>
          <w:color w:val="auto"/>
        </w:rPr>
        <w:t>。</w:t>
      </w:r>
    </w:p>
    <w:p>
      <w:pPr>
        <w:tabs>
          <w:tab w:val="left" w:pos="1620"/>
          <w:tab w:val="left" w:pos="2340"/>
        </w:tabs>
        <w:adjustRightInd w:val="0"/>
        <w:snapToGrid w:val="0"/>
        <w:spacing w:before="0" w:beforeLines="0" w:after="0" w:line="360" w:lineRule="auto"/>
        <w:ind w:left="899"/>
        <w:rPr>
          <w:color w:val="auto"/>
        </w:rPr>
      </w:pPr>
      <w:r>
        <w:rPr>
          <w:rFonts w:hint="eastAsia"/>
          <w:color w:val="auto"/>
        </w:rPr>
        <w:t>⑷当约定的</w:t>
      </w:r>
      <w:r>
        <w:rPr>
          <w:color w:val="auto"/>
        </w:rPr>
        <w:t>合同价格调整</w:t>
      </w:r>
      <w:r>
        <w:rPr>
          <w:rFonts w:hint="eastAsia"/>
          <w:color w:val="auto"/>
        </w:rPr>
        <w:t>情况发生后，发包人和承包人均未在前款约定时间内提出</w:t>
      </w:r>
      <w:r>
        <w:rPr>
          <w:color w:val="auto"/>
        </w:rPr>
        <w:t>调整合同价格</w:t>
      </w:r>
      <w:r>
        <w:rPr>
          <w:rFonts w:hint="eastAsia"/>
          <w:color w:val="auto"/>
        </w:rPr>
        <w:t>意见，视为该调整情况的发生不涉及合同价格的调整。</w:t>
      </w:r>
    </w:p>
    <w:p>
      <w:pPr>
        <w:tabs>
          <w:tab w:val="left" w:pos="1620"/>
          <w:tab w:val="left" w:pos="2340"/>
        </w:tabs>
        <w:adjustRightInd w:val="0"/>
        <w:snapToGrid w:val="0"/>
        <w:spacing w:before="0" w:beforeLines="0" w:after="0" w:line="360" w:lineRule="auto"/>
        <w:ind w:left="899"/>
        <w:rPr>
          <w:color w:val="auto"/>
        </w:rPr>
      </w:pPr>
      <w:r>
        <w:rPr>
          <w:color w:val="auto"/>
        </w:rPr>
        <w:t>⑸</w:t>
      </w:r>
      <w:r>
        <w:rPr>
          <w:rFonts w:hint="eastAsia"/>
          <w:color w:val="auto"/>
        </w:rPr>
        <w:t>上述</w:t>
      </w:r>
      <w:r>
        <w:rPr>
          <w:color w:val="auto"/>
        </w:rPr>
        <w:t>合同价格调整</w:t>
      </w:r>
      <w:r>
        <w:rPr>
          <w:rFonts w:hint="eastAsia"/>
          <w:color w:val="auto"/>
        </w:rPr>
        <w:t>有关文件的编制和审核均须经注册造价工程师签字盖章确认。经发包人和承包人确认调整的合同价格，作为追加(减)合同价款，应与工程进度款同期支付。</w:t>
      </w:r>
    </w:p>
    <w:p>
      <w:pPr>
        <w:adjustRightInd w:val="0"/>
        <w:snapToGrid w:val="0"/>
        <w:spacing w:before="0" w:beforeLines="0" w:after="0" w:line="360" w:lineRule="auto"/>
        <w:ind w:left="359"/>
        <w:rPr>
          <w:color w:val="auto"/>
        </w:rPr>
      </w:pPr>
      <w:r>
        <w:rPr>
          <w:b/>
          <w:color w:val="auto"/>
        </w:rPr>
        <w:t>20.8</w:t>
      </w:r>
      <w:r>
        <w:rPr>
          <w:rFonts w:hint="eastAsia"/>
          <w:b/>
          <w:color w:val="auto"/>
        </w:rPr>
        <w:t>中标净下浮率</w:t>
      </w:r>
    </w:p>
    <w:p>
      <w:pPr>
        <w:tabs>
          <w:tab w:val="left" w:pos="1620"/>
          <w:tab w:val="left" w:pos="2340"/>
        </w:tabs>
        <w:adjustRightInd w:val="0"/>
        <w:snapToGrid w:val="0"/>
        <w:spacing w:before="0" w:beforeLines="0" w:after="0" w:line="360" w:lineRule="auto"/>
        <w:ind w:left="899"/>
        <w:rPr>
          <w:color w:val="auto"/>
        </w:rPr>
      </w:pPr>
      <w:r>
        <w:rPr>
          <w:rFonts w:hint="eastAsia"/>
          <w:color w:val="auto"/>
        </w:rPr>
        <w:t>中标净下浮率是指中标价相对招标控制价的下浮比例，即：中标净下浮率=(招标控制价-中标价)/招标控制价，其中应扣除安全文明措施费、材料设备暂估价、专业工程暂估价、暂列金额等不可竞争性费用。本工程中标净下浮率应在</w:t>
      </w:r>
      <w:r>
        <w:rPr>
          <w:rFonts w:hint="eastAsia"/>
          <w:b/>
          <w:i/>
          <w:color w:val="auto"/>
        </w:rPr>
        <w:t>专用条款</w:t>
      </w:r>
      <w:r>
        <w:rPr>
          <w:rFonts w:hint="eastAsia"/>
          <w:color w:val="auto"/>
        </w:rPr>
        <w:t>中明确。</w:t>
      </w:r>
    </w:p>
    <w:p>
      <w:pPr>
        <w:adjustRightInd w:val="0"/>
        <w:snapToGrid w:val="0"/>
        <w:spacing w:before="0" w:beforeLines="0" w:after="0" w:line="360" w:lineRule="auto"/>
        <w:ind w:left="359"/>
        <w:rPr>
          <w:color w:val="auto"/>
        </w:rPr>
      </w:pPr>
      <w:r>
        <w:rPr>
          <w:b/>
          <w:color w:val="auto"/>
        </w:rPr>
        <w:t>20.9</w:t>
      </w:r>
      <w:r>
        <w:rPr>
          <w:rFonts w:hint="eastAsia"/>
          <w:b/>
          <w:color w:val="auto"/>
        </w:rPr>
        <w:t>询价采购</w:t>
      </w:r>
    </w:p>
    <w:p>
      <w:pPr>
        <w:tabs>
          <w:tab w:val="left" w:pos="1620"/>
          <w:tab w:val="left" w:pos="2340"/>
        </w:tabs>
        <w:adjustRightInd w:val="0"/>
        <w:snapToGrid w:val="0"/>
        <w:spacing w:before="0" w:beforeLines="0" w:after="0" w:line="360" w:lineRule="auto"/>
        <w:ind w:left="899"/>
        <w:rPr>
          <w:color w:val="auto"/>
        </w:rPr>
      </w:pPr>
      <w:r>
        <w:rPr>
          <w:rFonts w:hint="eastAsia"/>
          <w:color w:val="auto"/>
        </w:rPr>
        <w:t>⑴未经招标竞价的材料设备同时满足下列情形的，承包人应当进行询价采购：</w:t>
      </w:r>
    </w:p>
    <w:p>
      <w:pPr>
        <w:tabs>
          <w:tab w:val="left" w:pos="1620"/>
          <w:tab w:val="left" w:pos="2340"/>
        </w:tabs>
        <w:adjustRightInd w:val="0"/>
        <w:snapToGrid w:val="0"/>
        <w:spacing w:beforeLines="0" w:line="360" w:lineRule="auto"/>
        <w:ind w:left="1079"/>
        <w:rPr>
          <w:color w:val="auto"/>
        </w:rPr>
      </w:pPr>
      <w:r>
        <w:rPr>
          <w:rFonts w:hint="eastAsia"/>
          <w:color w:val="auto"/>
        </w:rPr>
        <w:t>①因工程变更而增加的材料设备、暂估价中包含的材料设备等依法不需要另行招标的；</w:t>
      </w:r>
    </w:p>
    <w:p>
      <w:pPr>
        <w:tabs>
          <w:tab w:val="left" w:pos="1620"/>
          <w:tab w:val="left" w:pos="2340"/>
        </w:tabs>
        <w:adjustRightInd w:val="0"/>
        <w:snapToGrid w:val="0"/>
        <w:spacing w:beforeLines="0" w:line="360" w:lineRule="auto"/>
        <w:ind w:left="1079"/>
        <w:rPr>
          <w:color w:val="auto"/>
        </w:rPr>
      </w:pPr>
      <w:r>
        <w:rPr>
          <w:rFonts w:hint="eastAsia"/>
          <w:color w:val="auto"/>
        </w:rPr>
        <w:t>②采购期前一年内《深圳建设工程价格信息》上未刊登价格；</w:t>
      </w:r>
    </w:p>
    <w:p>
      <w:pPr>
        <w:tabs>
          <w:tab w:val="left" w:pos="1620"/>
          <w:tab w:val="left" w:pos="2340"/>
        </w:tabs>
        <w:adjustRightInd w:val="0"/>
        <w:snapToGrid w:val="0"/>
        <w:spacing w:beforeLines="0" w:line="360" w:lineRule="auto"/>
        <w:ind w:left="1079"/>
        <w:rPr>
          <w:color w:val="auto"/>
        </w:rPr>
      </w:pPr>
      <w:r>
        <w:rPr>
          <w:rFonts w:hint="eastAsia"/>
          <w:color w:val="auto"/>
        </w:rPr>
        <w:t>③采购估算价超过二十万元。</w:t>
      </w:r>
    </w:p>
    <w:p>
      <w:pPr>
        <w:tabs>
          <w:tab w:val="left" w:pos="1620"/>
          <w:tab w:val="left" w:pos="2340"/>
        </w:tabs>
        <w:adjustRightInd w:val="0"/>
        <w:snapToGrid w:val="0"/>
        <w:spacing w:before="0" w:beforeLines="0" w:after="0" w:line="360" w:lineRule="auto"/>
        <w:ind w:left="899"/>
        <w:rPr>
          <w:color w:val="auto"/>
        </w:rPr>
      </w:pPr>
      <w:r>
        <w:rPr>
          <w:rFonts w:hint="eastAsia"/>
          <w:color w:val="auto"/>
        </w:rPr>
        <w:t>⑵承包人担任上述材料设备的采购人，采购活动在</w:t>
      </w:r>
      <w:r>
        <w:rPr>
          <w:rFonts w:hint="eastAsia"/>
          <w:b/>
          <w:i/>
          <w:color w:val="auto"/>
        </w:rPr>
        <w:t>专用条款</w:t>
      </w:r>
      <w:r>
        <w:rPr>
          <w:rFonts w:hint="eastAsia"/>
          <w:color w:val="auto"/>
        </w:rPr>
        <w:t>约定的询价采购网络服务平台进行。</w:t>
      </w:r>
    </w:p>
    <w:p>
      <w:pPr>
        <w:tabs>
          <w:tab w:val="left" w:pos="1620"/>
          <w:tab w:val="left" w:pos="2340"/>
        </w:tabs>
        <w:adjustRightInd w:val="0"/>
        <w:snapToGrid w:val="0"/>
        <w:spacing w:before="0" w:beforeLines="0" w:after="0" w:line="360" w:lineRule="auto"/>
        <w:ind w:left="899"/>
        <w:rPr>
          <w:color w:val="auto"/>
        </w:rPr>
      </w:pPr>
      <w:r>
        <w:rPr>
          <w:rFonts w:hint="eastAsia"/>
          <w:color w:val="auto"/>
        </w:rPr>
        <w:t>⑶询价采购活动按以下程序进行，询价采购确定的成交价格可作为工程计价、造价审查及审计的依据。</w:t>
      </w:r>
    </w:p>
    <w:p>
      <w:pPr>
        <w:pStyle w:val="19"/>
        <w:numPr>
          <w:ilvl w:val="0"/>
          <w:numId w:val="3"/>
        </w:numPr>
        <w:tabs>
          <w:tab w:val="left" w:pos="1620"/>
          <w:tab w:val="left" w:pos="2340"/>
        </w:tabs>
        <w:adjustRightInd w:val="0"/>
        <w:snapToGrid w:val="0"/>
        <w:spacing w:beforeLines="0" w:line="360" w:lineRule="auto"/>
        <w:ind w:firstLineChars="0"/>
        <w:rPr>
          <w:color w:val="auto"/>
        </w:rPr>
      </w:pPr>
      <w:r>
        <w:rPr>
          <w:rFonts w:hint="eastAsia"/>
          <w:color w:val="auto"/>
        </w:rPr>
        <w:t>询价采购前，采购人按专用条款约定成立询价采购小组，小组由五人以上单数组成，成员可从与询价采购活动相关的发包人、承包人、监理人、设计人、造价咨询单位中选取；</w:t>
      </w:r>
    </w:p>
    <w:p>
      <w:pPr>
        <w:pStyle w:val="19"/>
        <w:numPr>
          <w:ilvl w:val="0"/>
          <w:numId w:val="3"/>
        </w:numPr>
        <w:tabs>
          <w:tab w:val="left" w:pos="1620"/>
          <w:tab w:val="left" w:pos="2340"/>
        </w:tabs>
        <w:adjustRightInd w:val="0"/>
        <w:snapToGrid w:val="0"/>
        <w:spacing w:beforeLines="0" w:line="360" w:lineRule="auto"/>
        <w:ind w:firstLineChars="0"/>
        <w:rPr>
          <w:color w:val="auto"/>
        </w:rPr>
      </w:pPr>
      <w:r>
        <w:rPr>
          <w:rFonts w:hint="eastAsia"/>
          <w:color w:val="auto"/>
        </w:rPr>
        <w:t>采购人按相关办法规定及专用条款约定编制询价采购文件，并在询价采购网络服务平台发布；</w:t>
      </w:r>
    </w:p>
    <w:p>
      <w:pPr>
        <w:pStyle w:val="19"/>
        <w:numPr>
          <w:ilvl w:val="0"/>
          <w:numId w:val="3"/>
        </w:numPr>
        <w:tabs>
          <w:tab w:val="left" w:pos="1620"/>
          <w:tab w:val="left" w:pos="2340"/>
        </w:tabs>
        <w:adjustRightInd w:val="0"/>
        <w:snapToGrid w:val="0"/>
        <w:spacing w:beforeLines="0" w:line="360" w:lineRule="auto"/>
        <w:ind w:firstLineChars="0"/>
        <w:rPr>
          <w:color w:val="auto"/>
        </w:rPr>
      </w:pPr>
      <w:r>
        <w:rPr>
          <w:rFonts w:hint="eastAsia"/>
          <w:color w:val="auto"/>
        </w:rPr>
        <w:t>符合询价采购文件要求的供应商在报价截止日期前，通过询价采购网络服务平台一次性报出不得更改的价格；</w:t>
      </w:r>
    </w:p>
    <w:p>
      <w:pPr>
        <w:pStyle w:val="19"/>
        <w:numPr>
          <w:ilvl w:val="0"/>
          <w:numId w:val="3"/>
        </w:numPr>
        <w:tabs>
          <w:tab w:val="left" w:pos="1620"/>
          <w:tab w:val="left" w:pos="2340"/>
        </w:tabs>
        <w:adjustRightInd w:val="0"/>
        <w:snapToGrid w:val="0"/>
        <w:spacing w:beforeLines="0" w:line="360" w:lineRule="auto"/>
        <w:ind w:firstLineChars="0"/>
        <w:rPr>
          <w:color w:val="auto"/>
        </w:rPr>
      </w:pPr>
      <w:r>
        <w:rPr>
          <w:rFonts w:hint="eastAsia"/>
          <w:color w:val="auto"/>
        </w:rPr>
        <w:t>询价采购小组在评审时间内统一评审报价文件，在满足询价采购文件各项要求的情况下，按照性价比最优原则推荐不少于三家供应商。评审完成后，询价采购小组向采购人提交评审报告；</w:t>
      </w:r>
    </w:p>
    <w:p>
      <w:pPr>
        <w:pStyle w:val="19"/>
        <w:numPr>
          <w:ilvl w:val="0"/>
          <w:numId w:val="3"/>
        </w:numPr>
        <w:tabs>
          <w:tab w:val="left" w:pos="1620"/>
          <w:tab w:val="left" w:pos="2340"/>
        </w:tabs>
        <w:adjustRightInd w:val="0"/>
        <w:snapToGrid w:val="0"/>
        <w:spacing w:beforeLines="0" w:line="360" w:lineRule="auto"/>
        <w:ind w:firstLineChars="0"/>
        <w:rPr>
          <w:color w:val="auto"/>
        </w:rPr>
      </w:pPr>
      <w:r>
        <w:rPr>
          <w:rFonts w:hint="eastAsia"/>
          <w:color w:val="auto"/>
        </w:rPr>
        <w:t>采购人根据询价采购小组意见及相关规定，确定供应商及成交价格；</w:t>
      </w:r>
    </w:p>
    <w:p>
      <w:pPr>
        <w:pStyle w:val="19"/>
        <w:numPr>
          <w:ilvl w:val="0"/>
          <w:numId w:val="3"/>
        </w:numPr>
        <w:tabs>
          <w:tab w:val="left" w:pos="1620"/>
          <w:tab w:val="left" w:pos="2340"/>
        </w:tabs>
        <w:adjustRightInd w:val="0"/>
        <w:snapToGrid w:val="0"/>
        <w:spacing w:beforeLines="0" w:line="360" w:lineRule="auto"/>
        <w:ind w:firstLineChars="0"/>
        <w:rPr>
          <w:color w:val="auto"/>
        </w:rPr>
      </w:pPr>
      <w:r>
        <w:rPr>
          <w:rFonts w:hint="eastAsia"/>
          <w:color w:val="auto"/>
        </w:rPr>
        <w:t>采购人按相关办法规定对询价采购结果在询价采购网络服务平台进行公示。</w:t>
      </w:r>
    </w:p>
    <w:p>
      <w:pPr>
        <w:adjustRightInd w:val="0"/>
        <w:snapToGrid w:val="0"/>
        <w:spacing w:before="0" w:beforeLines="0" w:after="0" w:line="360" w:lineRule="auto"/>
        <w:ind w:left="178"/>
        <w:rPr>
          <w:color w:val="auto"/>
          <w:sz w:val="28"/>
        </w:rPr>
      </w:pPr>
      <w:r>
        <w:rPr>
          <w:b/>
          <w:color w:val="auto"/>
          <w:sz w:val="28"/>
        </w:rPr>
        <w:t>21</w:t>
      </w:r>
      <w:r>
        <w:rPr>
          <w:rFonts w:hint="eastAsia"/>
          <w:b/>
          <w:color w:val="auto"/>
          <w:sz w:val="28"/>
        </w:rPr>
        <w:t>暂估价和暂列金额</w:t>
      </w:r>
    </w:p>
    <w:p>
      <w:pPr>
        <w:adjustRightInd w:val="0"/>
        <w:snapToGrid w:val="0"/>
        <w:spacing w:before="0" w:beforeLines="0" w:after="0" w:line="360" w:lineRule="auto"/>
        <w:ind w:left="359"/>
        <w:rPr>
          <w:color w:val="auto"/>
        </w:rPr>
      </w:pPr>
      <w:r>
        <w:rPr>
          <w:b/>
          <w:color w:val="auto"/>
        </w:rPr>
        <w:t>21.1</w:t>
      </w:r>
      <w:r>
        <w:rPr>
          <w:rFonts w:hint="eastAsia"/>
          <w:b/>
          <w:color w:val="auto"/>
        </w:rPr>
        <w:t>材料设备暂估价</w:t>
      </w:r>
    </w:p>
    <w:p>
      <w:pPr>
        <w:tabs>
          <w:tab w:val="left" w:pos="1620"/>
          <w:tab w:val="left" w:pos="2340"/>
        </w:tabs>
        <w:adjustRightInd w:val="0"/>
        <w:snapToGrid w:val="0"/>
        <w:spacing w:before="0" w:beforeLines="0" w:after="0" w:line="360" w:lineRule="auto"/>
        <w:ind w:left="899"/>
        <w:rPr>
          <w:color w:val="auto"/>
        </w:rPr>
      </w:pPr>
      <w:r>
        <w:rPr>
          <w:rFonts w:hint="eastAsia"/>
          <w:color w:val="auto"/>
        </w:rPr>
        <w:t>⑴材料设备暂估价是发包人在工程量清单中提供的用于支付必然发生但暂时不能确定的材料设备的单价。发包人、承包人应在</w:t>
      </w:r>
      <w:r>
        <w:rPr>
          <w:rFonts w:hint="eastAsia"/>
          <w:b/>
          <w:i/>
          <w:color w:val="auto"/>
        </w:rPr>
        <w:t>专用条款</w:t>
      </w:r>
      <w:r>
        <w:rPr>
          <w:rFonts w:hint="eastAsia"/>
          <w:color w:val="auto"/>
        </w:rPr>
        <w:t>中就上述材料设备的名称、规格、单位和暂估单价进行约定。该材料设备暂估价不作为竣工结算依据。</w:t>
      </w:r>
    </w:p>
    <w:p>
      <w:pPr>
        <w:tabs>
          <w:tab w:val="left" w:pos="1620"/>
          <w:tab w:val="left" w:pos="2340"/>
        </w:tabs>
        <w:adjustRightInd w:val="0"/>
        <w:snapToGrid w:val="0"/>
        <w:spacing w:before="0" w:beforeLines="0" w:after="0" w:line="360" w:lineRule="auto"/>
        <w:ind w:left="899"/>
        <w:rPr>
          <w:color w:val="auto"/>
        </w:rPr>
      </w:pPr>
      <w:r>
        <w:rPr>
          <w:rFonts w:hint="eastAsia"/>
          <w:color w:val="auto"/>
        </w:rPr>
        <w:t>⑵如21.1⑴款所述暂估的材料设备属按规定必须招标的，应由发包人提出技术标准和最高限价，由承包人通过招标方式确定该材料设备单价。</w:t>
      </w:r>
    </w:p>
    <w:p>
      <w:pPr>
        <w:tabs>
          <w:tab w:val="left" w:pos="1620"/>
          <w:tab w:val="left" w:pos="2340"/>
        </w:tabs>
        <w:adjustRightInd w:val="0"/>
        <w:snapToGrid w:val="0"/>
        <w:spacing w:before="0" w:beforeLines="0" w:line="360" w:lineRule="auto"/>
        <w:ind w:left="899"/>
        <w:rPr>
          <w:color w:val="auto"/>
        </w:rPr>
      </w:pPr>
      <w:r>
        <w:rPr>
          <w:rFonts w:hint="eastAsia"/>
          <w:color w:val="auto"/>
        </w:rPr>
        <w:t>⑶</w:t>
      </w:r>
      <w:r>
        <w:rPr>
          <w:color w:val="auto"/>
        </w:rPr>
        <w:t>如21.1⑴款所述暂估的材料设备不属于按规定必须招标的，由承发包双方按专用条款中约定的方式确定该材料设备单价。</w:t>
      </w:r>
    </w:p>
    <w:p>
      <w:pPr>
        <w:tabs>
          <w:tab w:val="left" w:pos="1620"/>
          <w:tab w:val="left" w:pos="2340"/>
        </w:tabs>
        <w:adjustRightInd w:val="0"/>
        <w:snapToGrid w:val="0"/>
        <w:spacing w:before="0" w:beforeLines="0" w:line="360" w:lineRule="auto"/>
        <w:ind w:left="899"/>
        <w:rPr>
          <w:color w:val="auto"/>
        </w:rPr>
      </w:pPr>
      <w:r>
        <w:rPr>
          <w:rFonts w:hint="eastAsia"/>
          <w:color w:val="auto"/>
        </w:rPr>
        <w:t>⑷材料设备暂估价应按承发包双方最终确认的价格调整价差，价差调整部分不计利润。</w:t>
      </w:r>
    </w:p>
    <w:p>
      <w:pPr>
        <w:adjustRightInd w:val="0"/>
        <w:snapToGrid w:val="0"/>
        <w:spacing w:before="0" w:beforeLines="0" w:after="0" w:line="360" w:lineRule="auto"/>
        <w:ind w:left="359"/>
        <w:rPr>
          <w:color w:val="auto"/>
        </w:rPr>
      </w:pPr>
      <w:r>
        <w:rPr>
          <w:b/>
          <w:color w:val="auto"/>
        </w:rPr>
        <w:t>21.2</w:t>
      </w:r>
      <w:r>
        <w:rPr>
          <w:rFonts w:hint="eastAsia"/>
          <w:b/>
          <w:color w:val="auto"/>
        </w:rPr>
        <w:t>专业工程暂估价</w:t>
      </w:r>
    </w:p>
    <w:p>
      <w:pPr>
        <w:tabs>
          <w:tab w:val="left" w:pos="1620"/>
          <w:tab w:val="left" w:pos="2340"/>
        </w:tabs>
        <w:adjustRightInd w:val="0"/>
        <w:snapToGrid w:val="0"/>
        <w:spacing w:before="0" w:beforeLines="0" w:after="0" w:line="360" w:lineRule="auto"/>
        <w:ind w:left="899"/>
        <w:rPr>
          <w:color w:val="auto"/>
        </w:rPr>
      </w:pPr>
      <w:r>
        <w:rPr>
          <w:rFonts w:hint="eastAsia"/>
          <w:color w:val="auto"/>
        </w:rPr>
        <w:t>⑴专业工程暂估价是发包人在工程量清单中提供的用于支付必然发生但暂时不能确定的专业工程金额。发包人、承包人应在</w:t>
      </w:r>
      <w:r>
        <w:rPr>
          <w:rFonts w:hint="eastAsia"/>
          <w:b/>
          <w:i/>
          <w:color w:val="auto"/>
        </w:rPr>
        <w:t>专用条款</w:t>
      </w:r>
      <w:r>
        <w:rPr>
          <w:rFonts w:hint="eastAsia"/>
          <w:color w:val="auto"/>
        </w:rPr>
        <w:t>中就上述专业工程的名称和暂估价款进行约定。该专业工程暂估价不作为结算依据。</w:t>
      </w:r>
    </w:p>
    <w:p>
      <w:pPr>
        <w:tabs>
          <w:tab w:val="left" w:pos="1620"/>
          <w:tab w:val="left" w:pos="2340"/>
        </w:tabs>
        <w:adjustRightInd w:val="0"/>
        <w:snapToGrid w:val="0"/>
        <w:spacing w:before="0" w:beforeLines="0" w:after="0" w:line="360" w:lineRule="auto"/>
        <w:ind w:left="899"/>
        <w:rPr>
          <w:color w:val="auto"/>
        </w:rPr>
      </w:pPr>
      <w:r>
        <w:rPr>
          <w:rFonts w:hint="eastAsia"/>
          <w:color w:val="auto"/>
        </w:rPr>
        <w:t>⑵如21.2⑴款所述暂估的专业工程属按规定必须招标的，应由发包人通过招标方式确定该专业工程结算价款。</w:t>
      </w:r>
    </w:p>
    <w:p>
      <w:pPr>
        <w:tabs>
          <w:tab w:val="left" w:pos="1620"/>
          <w:tab w:val="left" w:pos="2340"/>
        </w:tabs>
        <w:adjustRightInd w:val="0"/>
        <w:snapToGrid w:val="0"/>
        <w:spacing w:before="0" w:beforeLines="0" w:after="0" w:line="360" w:lineRule="auto"/>
        <w:ind w:left="899"/>
        <w:rPr>
          <w:color w:val="auto"/>
        </w:rPr>
      </w:pPr>
      <w:r>
        <w:rPr>
          <w:rFonts w:hint="eastAsia"/>
          <w:color w:val="auto"/>
        </w:rPr>
        <w:t>⑶如21.2⑴款所述暂估的专业工程不属于按规定必须招标的，除</w:t>
      </w:r>
      <w:r>
        <w:rPr>
          <w:rFonts w:hint="eastAsia"/>
          <w:b/>
          <w:i/>
          <w:color w:val="auto"/>
        </w:rPr>
        <w:t>专用条款</w:t>
      </w:r>
      <w:r>
        <w:rPr>
          <w:rFonts w:hint="eastAsia"/>
          <w:color w:val="auto"/>
        </w:rPr>
        <w:t>另有约定外，发包人和承包人应按照本工程招标控制价的编制方法，根据专业工程施工图等计算，并按本工程净下浮率进行下浮调整确定该专业工程结算价款。</w:t>
      </w:r>
    </w:p>
    <w:p>
      <w:pPr>
        <w:adjustRightInd w:val="0"/>
        <w:snapToGrid w:val="0"/>
        <w:spacing w:before="0" w:beforeLines="0" w:after="0" w:line="360" w:lineRule="auto"/>
        <w:ind w:left="359"/>
        <w:rPr>
          <w:color w:val="auto"/>
        </w:rPr>
      </w:pPr>
      <w:r>
        <w:rPr>
          <w:b/>
          <w:color w:val="auto"/>
        </w:rPr>
        <w:t>21.3</w:t>
      </w:r>
      <w:r>
        <w:rPr>
          <w:rFonts w:hint="eastAsia"/>
          <w:b/>
          <w:color w:val="auto"/>
        </w:rPr>
        <w:t>暂列金额</w:t>
      </w:r>
    </w:p>
    <w:p>
      <w:pPr>
        <w:tabs>
          <w:tab w:val="left" w:pos="1620"/>
          <w:tab w:val="left" w:pos="2340"/>
        </w:tabs>
        <w:adjustRightInd w:val="0"/>
        <w:snapToGrid w:val="0"/>
        <w:spacing w:before="0" w:beforeLines="0" w:line="360" w:lineRule="auto"/>
        <w:ind w:left="899"/>
        <w:rPr>
          <w:color w:val="auto"/>
        </w:rPr>
      </w:pPr>
      <w:r>
        <w:rPr>
          <w:rFonts w:hint="eastAsia"/>
          <w:color w:val="auto"/>
        </w:rPr>
        <w:t>⑴暂列金额是发包人在工程量清单中暂定并包括在签约合同价中的一笔款项，用于下列事项的费用支出：</w:t>
      </w:r>
    </w:p>
    <w:p>
      <w:pPr>
        <w:tabs>
          <w:tab w:val="left" w:pos="1620"/>
          <w:tab w:val="left" w:pos="2340"/>
        </w:tabs>
        <w:adjustRightInd w:val="0"/>
        <w:snapToGrid w:val="0"/>
        <w:spacing w:beforeLines="0" w:line="360" w:lineRule="auto"/>
        <w:ind w:left="1079"/>
        <w:rPr>
          <w:color w:val="auto"/>
        </w:rPr>
      </w:pPr>
      <w:r>
        <w:rPr>
          <w:rFonts w:hint="eastAsia"/>
          <w:color w:val="auto"/>
        </w:rPr>
        <w:t>①本合同签订时尚未确定或不可预见的所需材料、设备、服务的采购；</w:t>
      </w:r>
    </w:p>
    <w:p>
      <w:pPr>
        <w:tabs>
          <w:tab w:val="left" w:pos="1620"/>
          <w:tab w:val="left" w:pos="2340"/>
        </w:tabs>
        <w:adjustRightInd w:val="0"/>
        <w:snapToGrid w:val="0"/>
        <w:spacing w:beforeLines="0" w:line="360" w:lineRule="auto"/>
        <w:ind w:left="1079"/>
        <w:rPr>
          <w:color w:val="auto"/>
        </w:rPr>
      </w:pPr>
      <w:r>
        <w:rPr>
          <w:rFonts w:hint="eastAsia"/>
          <w:color w:val="auto"/>
        </w:rPr>
        <w:t>②施工中可能发生的工程变更；</w:t>
      </w:r>
    </w:p>
    <w:p>
      <w:pPr>
        <w:tabs>
          <w:tab w:val="left" w:pos="1620"/>
          <w:tab w:val="left" w:pos="2340"/>
        </w:tabs>
        <w:adjustRightInd w:val="0"/>
        <w:snapToGrid w:val="0"/>
        <w:spacing w:beforeLines="0" w:line="360" w:lineRule="auto"/>
        <w:ind w:left="1079"/>
        <w:rPr>
          <w:color w:val="auto"/>
        </w:rPr>
      </w:pPr>
      <w:r>
        <w:rPr>
          <w:rFonts w:hint="eastAsia"/>
          <w:color w:val="auto"/>
        </w:rPr>
        <w:t>③合同约定调整因素出现时对合同价格所作的调整；</w:t>
      </w:r>
    </w:p>
    <w:p>
      <w:pPr>
        <w:tabs>
          <w:tab w:val="left" w:pos="1620"/>
          <w:tab w:val="left" w:pos="2340"/>
        </w:tabs>
        <w:adjustRightInd w:val="0"/>
        <w:snapToGrid w:val="0"/>
        <w:spacing w:beforeLines="0" w:line="360" w:lineRule="auto"/>
        <w:ind w:left="1079"/>
        <w:rPr>
          <w:color w:val="auto"/>
        </w:rPr>
      </w:pPr>
      <w:r>
        <w:rPr>
          <w:rFonts w:hint="eastAsia"/>
          <w:color w:val="auto"/>
        </w:rPr>
        <w:t>④索赔；</w:t>
      </w:r>
    </w:p>
    <w:p>
      <w:pPr>
        <w:tabs>
          <w:tab w:val="left" w:pos="1620"/>
          <w:tab w:val="left" w:pos="2340"/>
        </w:tabs>
        <w:adjustRightInd w:val="0"/>
        <w:snapToGrid w:val="0"/>
        <w:spacing w:beforeLines="0" w:line="360" w:lineRule="auto"/>
        <w:ind w:left="1079"/>
        <w:rPr>
          <w:color w:val="auto"/>
        </w:rPr>
      </w:pPr>
      <w:r>
        <w:rPr>
          <w:rFonts w:hint="eastAsia"/>
          <w:color w:val="auto"/>
        </w:rPr>
        <w:t>⑤现场签证。</w:t>
      </w:r>
    </w:p>
    <w:p>
      <w:pPr>
        <w:tabs>
          <w:tab w:val="left" w:pos="1620"/>
          <w:tab w:val="left" w:pos="2340"/>
        </w:tabs>
        <w:adjustRightInd w:val="0"/>
        <w:snapToGrid w:val="0"/>
        <w:spacing w:before="0" w:beforeLines="0" w:after="0" w:line="360" w:lineRule="auto"/>
        <w:ind w:left="899"/>
        <w:rPr>
          <w:color w:val="auto"/>
        </w:rPr>
      </w:pPr>
      <w:r>
        <w:rPr>
          <w:rFonts w:hint="eastAsia"/>
          <w:color w:val="auto"/>
        </w:rPr>
        <w:t>⑵暂列金额是发包人为可能发生的费用而预留的金额，并非支付给承包人的实际费用。</w:t>
      </w:r>
      <w:r>
        <w:rPr>
          <w:color w:val="auto"/>
        </w:rPr>
        <w:t>暂列金额应按照发包人的要求使用，发包人的要求应通过监理人发出。</w:t>
      </w:r>
      <w:r>
        <w:rPr>
          <w:rFonts w:hint="eastAsia"/>
          <w:color w:val="auto"/>
        </w:rPr>
        <w:t>暂列金额不作为结算的依据。暂列金额的最终确定按本合同有关21.3⑴款有关事项的具体条款执行。</w:t>
      </w:r>
    </w:p>
    <w:p>
      <w:pPr>
        <w:adjustRightInd w:val="0"/>
        <w:snapToGrid w:val="0"/>
        <w:spacing w:before="0" w:beforeLines="0" w:after="0" w:line="360" w:lineRule="auto"/>
        <w:ind w:left="178"/>
        <w:rPr>
          <w:color w:val="auto"/>
          <w:sz w:val="28"/>
        </w:rPr>
      </w:pPr>
      <w:r>
        <w:rPr>
          <w:b/>
          <w:color w:val="auto"/>
          <w:sz w:val="28"/>
        </w:rPr>
        <w:t>22</w:t>
      </w:r>
      <w:r>
        <w:rPr>
          <w:rFonts w:hint="eastAsia"/>
          <w:b/>
          <w:color w:val="auto"/>
          <w:sz w:val="28"/>
        </w:rPr>
        <w:t>工程量计量</w:t>
      </w:r>
    </w:p>
    <w:p>
      <w:pPr>
        <w:adjustRightInd w:val="0"/>
        <w:snapToGrid w:val="0"/>
        <w:spacing w:before="0" w:beforeLines="0" w:after="0" w:line="360" w:lineRule="auto"/>
        <w:ind w:left="359"/>
        <w:rPr>
          <w:color w:val="auto"/>
        </w:rPr>
      </w:pPr>
      <w:r>
        <w:rPr>
          <w:b/>
          <w:color w:val="auto"/>
        </w:rPr>
        <w:t>22.1</w:t>
      </w:r>
      <w:r>
        <w:rPr>
          <w:rFonts w:hint="eastAsia"/>
          <w:b/>
          <w:color w:val="auto"/>
        </w:rPr>
        <w:t>工程量清单</w:t>
      </w:r>
    </w:p>
    <w:p>
      <w:pPr>
        <w:tabs>
          <w:tab w:val="left" w:pos="1620"/>
          <w:tab w:val="left" w:pos="2340"/>
        </w:tabs>
        <w:adjustRightInd w:val="0"/>
        <w:snapToGrid w:val="0"/>
        <w:spacing w:before="0" w:beforeLines="0" w:after="0" w:line="360" w:lineRule="auto"/>
        <w:ind w:left="899"/>
        <w:rPr>
          <w:color w:val="auto"/>
        </w:rPr>
      </w:pPr>
      <w:r>
        <w:rPr>
          <w:rFonts w:hint="eastAsia"/>
          <w:color w:val="auto"/>
        </w:rPr>
        <w:t>⑴发包人在本工程招标文件中提供的工程量清单所开列的工程量是根据本工程的设计图纸提供的预计工程量，不能作为承包人在履行合同义务过程中应予完成的实际和准确的工程量，不作为期中结算和竣工结算时确认工程量的依据。</w:t>
      </w:r>
    </w:p>
    <w:p>
      <w:pPr>
        <w:tabs>
          <w:tab w:val="left" w:pos="1620"/>
          <w:tab w:val="left" w:pos="2340"/>
        </w:tabs>
        <w:adjustRightInd w:val="0"/>
        <w:snapToGrid w:val="0"/>
        <w:spacing w:before="0" w:beforeLines="0" w:after="0" w:line="360" w:lineRule="auto"/>
        <w:ind w:left="899"/>
        <w:rPr>
          <w:color w:val="auto"/>
        </w:rPr>
      </w:pPr>
      <w:r>
        <w:rPr>
          <w:rFonts w:hint="eastAsia"/>
          <w:color w:val="auto"/>
        </w:rPr>
        <w:t>⑵承包人实际应予完成的工程量以本工程图纸和技术规范为准。期中结算和竣工结算时的结算工程量按第22</w:t>
      </w:r>
      <w:r>
        <w:rPr>
          <w:color w:val="auto"/>
        </w:rPr>
        <w:t>.</w:t>
      </w:r>
      <w:r>
        <w:rPr>
          <w:rFonts w:hint="eastAsia"/>
          <w:color w:val="auto"/>
        </w:rPr>
        <w:t>5款有关工程量计量的结果确认。</w:t>
      </w:r>
    </w:p>
    <w:p>
      <w:pPr>
        <w:adjustRightInd w:val="0"/>
        <w:snapToGrid w:val="0"/>
        <w:spacing w:before="0" w:beforeLines="0" w:after="0" w:line="360" w:lineRule="auto"/>
        <w:ind w:left="359"/>
        <w:rPr>
          <w:color w:val="auto"/>
        </w:rPr>
      </w:pPr>
      <w:r>
        <w:rPr>
          <w:b/>
          <w:color w:val="auto"/>
        </w:rPr>
        <w:t>22.2</w:t>
      </w:r>
      <w:r>
        <w:rPr>
          <w:rFonts w:hint="eastAsia"/>
          <w:b/>
          <w:color w:val="auto"/>
        </w:rPr>
        <w:t>工程量清单缺项和项目特征不符</w:t>
      </w:r>
    </w:p>
    <w:p>
      <w:pPr>
        <w:tabs>
          <w:tab w:val="left" w:pos="1620"/>
          <w:tab w:val="left" w:pos="2340"/>
        </w:tabs>
        <w:adjustRightInd w:val="0"/>
        <w:snapToGrid w:val="0"/>
        <w:spacing w:beforeLines="0" w:after="0" w:line="360" w:lineRule="auto"/>
        <w:ind w:left="899"/>
        <w:rPr>
          <w:color w:val="auto"/>
        </w:rPr>
      </w:pPr>
      <w:r>
        <w:rPr>
          <w:rFonts w:hint="eastAsia"/>
          <w:color w:val="auto"/>
        </w:rPr>
        <w:t>⑴本合同签订后</w:t>
      </w:r>
      <w:r>
        <w:rPr>
          <w:rFonts w:hint="eastAsia"/>
          <w:b/>
          <w:color w:val="auto"/>
        </w:rPr>
        <w:t>56天</w:t>
      </w:r>
      <w:r>
        <w:rPr>
          <w:rFonts w:hint="eastAsia"/>
          <w:color w:val="auto"/>
        </w:rPr>
        <w:t>内，承包人应根据招标时发包人提供的图纸对发包人提供的工程量清单进行复核，复核结果报</w:t>
      </w:r>
      <w:r>
        <w:rPr>
          <w:color w:val="auto"/>
        </w:rPr>
        <w:t>监理人</w:t>
      </w:r>
      <w:r>
        <w:rPr>
          <w:rFonts w:hint="eastAsia"/>
          <w:color w:val="auto"/>
        </w:rPr>
        <w:t>核对、发包人确认。</w:t>
      </w:r>
    </w:p>
    <w:p>
      <w:pPr>
        <w:tabs>
          <w:tab w:val="left" w:pos="1620"/>
          <w:tab w:val="left" w:pos="2340"/>
        </w:tabs>
        <w:adjustRightInd w:val="0"/>
        <w:snapToGrid w:val="0"/>
        <w:spacing w:beforeLines="0" w:after="0" w:line="360" w:lineRule="auto"/>
        <w:ind w:left="899"/>
        <w:rPr>
          <w:color w:val="auto"/>
        </w:rPr>
      </w:pPr>
      <w:r>
        <w:rPr>
          <w:rFonts w:hint="eastAsia"/>
          <w:color w:val="auto"/>
        </w:rPr>
        <w:t>⑵若发包人提供的工程量清单相比招标时发包人提供的图纸，出现缺项或项目特征描述与图纸不符时，发包人应对工程量清单进行补充或调整，补充或调整的工程量清单项目的综合单价按25.1款的约定确定。</w:t>
      </w:r>
    </w:p>
    <w:p>
      <w:pPr>
        <w:tabs>
          <w:tab w:val="left" w:pos="1620"/>
          <w:tab w:val="left" w:pos="2340"/>
        </w:tabs>
        <w:adjustRightInd w:val="0"/>
        <w:snapToGrid w:val="0"/>
        <w:spacing w:beforeLines="0" w:after="0" w:line="360" w:lineRule="auto"/>
        <w:ind w:left="899"/>
        <w:rPr>
          <w:color w:val="auto"/>
        </w:rPr>
      </w:pPr>
      <w:r>
        <w:rPr>
          <w:rFonts w:hint="eastAsia"/>
          <w:color w:val="auto"/>
        </w:rPr>
        <w:t>⑶出现工程量清单中措施项目缺项的，或按前款补充分部分项工程清单项目后引起措施项目发生变化的，应当按25.1款的约定，在承包人提交的实施方案被发包人批准后对合同价格进行调整。</w:t>
      </w:r>
    </w:p>
    <w:p>
      <w:pPr>
        <w:adjustRightInd w:val="0"/>
        <w:snapToGrid w:val="0"/>
        <w:spacing w:before="0" w:beforeLines="0" w:after="0" w:line="360" w:lineRule="auto"/>
        <w:ind w:left="359"/>
        <w:rPr>
          <w:color w:val="auto"/>
        </w:rPr>
      </w:pPr>
      <w:r>
        <w:rPr>
          <w:b/>
          <w:color w:val="auto"/>
        </w:rPr>
        <w:t>22.3</w:t>
      </w:r>
      <w:r>
        <w:rPr>
          <w:rFonts w:hint="eastAsia"/>
          <w:b/>
          <w:color w:val="auto"/>
        </w:rPr>
        <w:t>工程量计算规则</w:t>
      </w:r>
    </w:p>
    <w:p>
      <w:pPr>
        <w:tabs>
          <w:tab w:val="left" w:pos="1620"/>
          <w:tab w:val="left" w:pos="2340"/>
        </w:tabs>
        <w:adjustRightInd w:val="0"/>
        <w:snapToGrid w:val="0"/>
        <w:spacing w:before="0" w:beforeLines="0" w:after="0" w:line="360" w:lineRule="auto"/>
        <w:ind w:left="899"/>
        <w:rPr>
          <w:color w:val="auto"/>
        </w:rPr>
      </w:pPr>
      <w:r>
        <w:rPr>
          <w:rFonts w:hint="eastAsia"/>
          <w:color w:val="auto"/>
        </w:rPr>
        <w:t>发包人和承包人应以</w:t>
      </w:r>
      <w:r>
        <w:rPr>
          <w:rFonts w:hint="eastAsia"/>
          <w:b/>
          <w:i/>
          <w:color w:val="auto"/>
        </w:rPr>
        <w:t>专用条款</w:t>
      </w:r>
      <w:r>
        <w:rPr>
          <w:rFonts w:hint="eastAsia"/>
          <w:color w:val="auto"/>
        </w:rPr>
        <w:t>中约定的工程量计算规则，作为本工程期中结算、竣工结算以及20.2款约定的</w:t>
      </w:r>
      <w:r>
        <w:rPr>
          <w:color w:val="auto"/>
        </w:rPr>
        <w:t>合同价格调整</w:t>
      </w:r>
      <w:r>
        <w:rPr>
          <w:rFonts w:hint="eastAsia"/>
          <w:color w:val="auto"/>
        </w:rPr>
        <w:t>情形发生时涉及工程量的计算规则。</w:t>
      </w:r>
    </w:p>
    <w:p>
      <w:pPr>
        <w:adjustRightInd w:val="0"/>
        <w:snapToGrid w:val="0"/>
        <w:spacing w:before="0" w:beforeLines="0" w:after="0" w:line="360" w:lineRule="auto"/>
        <w:ind w:left="359"/>
        <w:rPr>
          <w:color w:val="auto"/>
        </w:rPr>
      </w:pPr>
      <w:r>
        <w:rPr>
          <w:b/>
          <w:color w:val="auto"/>
        </w:rPr>
        <w:t>22.4</w:t>
      </w:r>
      <w:r>
        <w:rPr>
          <w:rFonts w:hint="eastAsia"/>
          <w:b/>
          <w:color w:val="auto"/>
        </w:rPr>
        <w:t>工程量计量的程序</w:t>
      </w:r>
    </w:p>
    <w:p>
      <w:pPr>
        <w:tabs>
          <w:tab w:val="left" w:pos="1620"/>
          <w:tab w:val="left" w:pos="2340"/>
        </w:tabs>
        <w:adjustRightInd w:val="0"/>
        <w:snapToGrid w:val="0"/>
        <w:spacing w:before="0" w:beforeLines="0" w:after="0" w:line="360" w:lineRule="auto"/>
        <w:ind w:left="899"/>
        <w:rPr>
          <w:color w:val="auto"/>
        </w:rPr>
      </w:pPr>
      <w:r>
        <w:rPr>
          <w:rFonts w:hint="eastAsia"/>
          <w:color w:val="auto"/>
        </w:rPr>
        <w:t>⑴承包人应按照23.2款约定的期中结算时间间隔要求，根据本工程进展情况及时就已完工程量向</w:t>
      </w:r>
      <w:r>
        <w:rPr>
          <w:color w:val="auto"/>
        </w:rPr>
        <w:t>监理人</w:t>
      </w:r>
      <w:r>
        <w:rPr>
          <w:rFonts w:hint="eastAsia"/>
          <w:color w:val="auto"/>
        </w:rPr>
        <w:t>提交计量报告，</w:t>
      </w:r>
      <w:r>
        <w:rPr>
          <w:color w:val="auto"/>
        </w:rPr>
        <w:t>监理人</w:t>
      </w:r>
      <w:r>
        <w:rPr>
          <w:rFonts w:hint="eastAsia"/>
          <w:color w:val="auto"/>
        </w:rPr>
        <w:t>应在收到计量报告后7天内对承包人提出的工程量报表审核并报送发包人。</w:t>
      </w:r>
    </w:p>
    <w:p>
      <w:pPr>
        <w:tabs>
          <w:tab w:val="left" w:pos="1620"/>
          <w:tab w:val="left" w:pos="2340"/>
        </w:tabs>
        <w:adjustRightInd w:val="0"/>
        <w:snapToGrid w:val="0"/>
        <w:spacing w:before="0" w:beforeLines="0" w:after="0" w:line="360" w:lineRule="auto"/>
        <w:ind w:left="899"/>
        <w:rPr>
          <w:color w:val="auto"/>
        </w:rPr>
      </w:pPr>
      <w:r>
        <w:rPr>
          <w:rFonts w:hint="eastAsia"/>
          <w:color w:val="auto"/>
        </w:rPr>
        <w:t>⑵需要使用记录和图纸进行计量的工程，承包人应在工作过程中准备好该工程的记录和图纸，并提交给</w:t>
      </w:r>
      <w:r>
        <w:rPr>
          <w:color w:val="auto"/>
        </w:rPr>
        <w:t>监理人</w:t>
      </w:r>
      <w:r>
        <w:rPr>
          <w:rFonts w:hint="eastAsia"/>
          <w:color w:val="auto"/>
        </w:rPr>
        <w:t>，</w:t>
      </w:r>
      <w:r>
        <w:rPr>
          <w:color w:val="auto"/>
        </w:rPr>
        <w:t>监理人</w:t>
      </w:r>
      <w:r>
        <w:rPr>
          <w:rFonts w:hint="eastAsia"/>
          <w:color w:val="auto"/>
        </w:rPr>
        <w:t>应在收到计量报告后7天内对承包人提出的工程量报表及有关记录和图纸审核并报送发包人。</w:t>
      </w:r>
    </w:p>
    <w:p>
      <w:pPr>
        <w:tabs>
          <w:tab w:val="left" w:pos="1620"/>
          <w:tab w:val="left" w:pos="2340"/>
        </w:tabs>
        <w:adjustRightInd w:val="0"/>
        <w:snapToGrid w:val="0"/>
        <w:spacing w:before="0" w:beforeLines="0" w:after="0" w:line="360" w:lineRule="auto"/>
        <w:ind w:left="899"/>
        <w:rPr>
          <w:color w:val="auto"/>
        </w:rPr>
      </w:pPr>
      <w:r>
        <w:rPr>
          <w:rFonts w:hint="eastAsia"/>
          <w:color w:val="auto"/>
        </w:rPr>
        <w:t>⑶</w:t>
      </w:r>
      <w:r>
        <w:rPr>
          <w:color w:val="auto"/>
        </w:rPr>
        <w:t>监理人对工程量有异议的，有权要求承包人进行共同复核或抽样复测。承包人应协助监理人进行复核或抽样复测，并按监理人要求提供补充计量资料。</w:t>
      </w:r>
    </w:p>
    <w:p>
      <w:pPr>
        <w:tabs>
          <w:tab w:val="left" w:pos="1620"/>
          <w:tab w:val="left" w:pos="2340"/>
        </w:tabs>
        <w:adjustRightInd w:val="0"/>
        <w:snapToGrid w:val="0"/>
        <w:spacing w:before="0" w:beforeLines="0" w:after="0" w:line="360" w:lineRule="auto"/>
        <w:ind w:left="899"/>
        <w:rPr>
          <w:color w:val="auto"/>
        </w:rPr>
      </w:pPr>
      <w:r>
        <w:rPr>
          <w:rFonts w:hint="eastAsia"/>
          <w:color w:val="auto"/>
        </w:rPr>
        <w:t>⑷有关工程量计量的文件的编制和审核均须经注册造价工程师签字盖章确认。</w:t>
      </w:r>
    </w:p>
    <w:p>
      <w:pPr>
        <w:adjustRightInd w:val="0"/>
        <w:snapToGrid w:val="0"/>
        <w:spacing w:before="0" w:beforeLines="0" w:after="0" w:line="360" w:lineRule="auto"/>
        <w:ind w:left="359"/>
        <w:rPr>
          <w:color w:val="auto"/>
        </w:rPr>
      </w:pPr>
      <w:r>
        <w:rPr>
          <w:b/>
          <w:color w:val="auto"/>
        </w:rPr>
        <w:t>22.5</w:t>
      </w:r>
      <w:r>
        <w:rPr>
          <w:rFonts w:hint="eastAsia"/>
          <w:b/>
          <w:color w:val="auto"/>
        </w:rPr>
        <w:t>工程量计量的结果</w:t>
      </w:r>
    </w:p>
    <w:p>
      <w:pPr>
        <w:tabs>
          <w:tab w:val="left" w:pos="1620"/>
          <w:tab w:val="left" w:pos="2340"/>
        </w:tabs>
        <w:adjustRightInd w:val="0"/>
        <w:snapToGrid w:val="0"/>
        <w:spacing w:before="0" w:beforeLines="0" w:after="0" w:line="360" w:lineRule="auto"/>
        <w:ind w:left="899"/>
        <w:rPr>
          <w:color w:val="auto"/>
        </w:rPr>
      </w:pPr>
      <w:r>
        <w:rPr>
          <w:rFonts w:hint="eastAsia"/>
          <w:color w:val="auto"/>
        </w:rPr>
        <w:t>⑴如承包人未按22.4款的约定参加计量，则由</w:t>
      </w:r>
      <w:r>
        <w:rPr>
          <w:color w:val="auto"/>
        </w:rPr>
        <w:t>监理人</w:t>
      </w:r>
      <w:r>
        <w:rPr>
          <w:rFonts w:hint="eastAsia"/>
          <w:color w:val="auto"/>
        </w:rPr>
        <w:t>所作的或由他批准的计量应认为是对工程的正确计量。</w:t>
      </w:r>
    </w:p>
    <w:p>
      <w:pPr>
        <w:tabs>
          <w:tab w:val="left" w:pos="1620"/>
          <w:tab w:val="left" w:pos="2340"/>
        </w:tabs>
        <w:adjustRightInd w:val="0"/>
        <w:snapToGrid w:val="0"/>
        <w:spacing w:before="0" w:beforeLines="0" w:after="0" w:line="360" w:lineRule="auto"/>
        <w:ind w:left="899"/>
        <w:rPr>
          <w:color w:val="auto"/>
        </w:rPr>
      </w:pPr>
      <w:r>
        <w:rPr>
          <w:rFonts w:hint="eastAsia"/>
          <w:color w:val="auto"/>
        </w:rPr>
        <w:t>⑵如</w:t>
      </w:r>
      <w:r>
        <w:rPr>
          <w:color w:val="auto"/>
        </w:rPr>
        <w:t>监理人</w:t>
      </w:r>
      <w:r>
        <w:rPr>
          <w:rFonts w:hint="eastAsia"/>
          <w:color w:val="auto"/>
        </w:rPr>
        <w:t>未在22.4款约定的时间内进行计量，则承包人提交的计量报告中所列工程量即视为被确认。</w:t>
      </w:r>
    </w:p>
    <w:p>
      <w:pPr>
        <w:tabs>
          <w:tab w:val="left" w:pos="1620"/>
          <w:tab w:val="left" w:pos="2340"/>
        </w:tabs>
        <w:adjustRightInd w:val="0"/>
        <w:snapToGrid w:val="0"/>
        <w:spacing w:before="0" w:beforeLines="0" w:after="0" w:line="360" w:lineRule="auto"/>
        <w:ind w:left="899"/>
        <w:rPr>
          <w:color w:val="auto"/>
        </w:rPr>
      </w:pPr>
      <w:r>
        <w:rPr>
          <w:rFonts w:hint="eastAsia"/>
          <w:color w:val="auto"/>
        </w:rPr>
        <w:t>⑶如</w:t>
      </w:r>
      <w:r>
        <w:rPr>
          <w:color w:val="auto"/>
        </w:rPr>
        <w:t>监理人</w:t>
      </w:r>
      <w:r>
        <w:rPr>
          <w:rFonts w:hint="eastAsia"/>
          <w:color w:val="auto"/>
        </w:rPr>
        <w:t>未按22.4款约定的时间内通知承包人，致使承包人未能参加计量，则由</w:t>
      </w:r>
      <w:r>
        <w:rPr>
          <w:color w:val="auto"/>
        </w:rPr>
        <w:t>监理人</w:t>
      </w:r>
      <w:r>
        <w:rPr>
          <w:rFonts w:hint="eastAsia"/>
          <w:color w:val="auto"/>
        </w:rPr>
        <w:t>所作的或由他批准的计量结果无效。</w:t>
      </w:r>
    </w:p>
    <w:p>
      <w:pPr>
        <w:tabs>
          <w:tab w:val="left" w:pos="1620"/>
          <w:tab w:val="left" w:pos="2340"/>
        </w:tabs>
        <w:adjustRightInd w:val="0"/>
        <w:snapToGrid w:val="0"/>
        <w:spacing w:before="0" w:beforeLines="0" w:after="0" w:line="360" w:lineRule="auto"/>
        <w:ind w:left="899"/>
        <w:rPr>
          <w:color w:val="auto"/>
        </w:rPr>
      </w:pPr>
      <w:r>
        <w:rPr>
          <w:rFonts w:hint="eastAsia"/>
          <w:color w:val="auto"/>
        </w:rPr>
        <w:t>⑷对于因承包人原因造成的超出本合同工程承包范围的增加工程量及返工工程量，</w:t>
      </w:r>
      <w:r>
        <w:rPr>
          <w:color w:val="auto"/>
        </w:rPr>
        <w:t>监理人</w:t>
      </w:r>
      <w:r>
        <w:rPr>
          <w:rFonts w:hint="eastAsia"/>
          <w:color w:val="auto"/>
        </w:rPr>
        <w:t>不予计量。</w:t>
      </w:r>
    </w:p>
    <w:p>
      <w:pPr>
        <w:tabs>
          <w:tab w:val="left" w:pos="1620"/>
          <w:tab w:val="left" w:pos="2340"/>
        </w:tabs>
        <w:adjustRightInd w:val="0"/>
        <w:snapToGrid w:val="0"/>
        <w:spacing w:before="0" w:beforeLines="0" w:after="0" w:line="360" w:lineRule="auto"/>
        <w:ind w:left="899"/>
        <w:rPr>
          <w:color w:val="auto"/>
        </w:rPr>
      </w:pPr>
      <w:r>
        <w:rPr>
          <w:rFonts w:hint="eastAsia"/>
          <w:color w:val="auto"/>
        </w:rPr>
        <w:t>⑸如承包人不同意</w:t>
      </w:r>
      <w:r>
        <w:rPr>
          <w:color w:val="auto"/>
        </w:rPr>
        <w:t>监理人</w:t>
      </w:r>
      <w:r>
        <w:rPr>
          <w:rFonts w:hint="eastAsia"/>
          <w:color w:val="auto"/>
        </w:rPr>
        <w:t>计量的结果，应在收到上述结果后7天内向</w:t>
      </w:r>
      <w:r>
        <w:rPr>
          <w:color w:val="auto"/>
        </w:rPr>
        <w:t>监理人</w:t>
      </w:r>
      <w:r>
        <w:rPr>
          <w:rFonts w:hint="eastAsia"/>
          <w:color w:val="auto"/>
        </w:rPr>
        <w:t>提出书面意见，并附上其认为正确的计量结果和计算资料。</w:t>
      </w:r>
      <w:r>
        <w:rPr>
          <w:color w:val="auto"/>
        </w:rPr>
        <w:t>监理人</w:t>
      </w:r>
      <w:r>
        <w:rPr>
          <w:rFonts w:hint="eastAsia"/>
          <w:color w:val="auto"/>
        </w:rPr>
        <w:t>收到上述书面意见后，应在7天内对承包人的计量结果进行复核后通知承包人。承包人对复核计量结果仍有异议的，按照合同约定的争议解决办法处理。</w:t>
      </w:r>
    </w:p>
    <w:p>
      <w:pPr>
        <w:adjustRightInd w:val="0"/>
        <w:snapToGrid w:val="0"/>
        <w:spacing w:before="0" w:beforeLines="0" w:after="0" w:line="360" w:lineRule="auto"/>
        <w:ind w:left="178"/>
        <w:rPr>
          <w:color w:val="auto"/>
          <w:sz w:val="28"/>
        </w:rPr>
      </w:pPr>
      <w:r>
        <w:rPr>
          <w:b/>
          <w:color w:val="auto"/>
          <w:sz w:val="28"/>
        </w:rPr>
        <w:t>23</w:t>
      </w:r>
      <w:r>
        <w:rPr>
          <w:rFonts w:hint="eastAsia"/>
          <w:b/>
          <w:color w:val="auto"/>
          <w:sz w:val="28"/>
        </w:rPr>
        <w:t>工程款支付</w:t>
      </w:r>
    </w:p>
    <w:p>
      <w:pPr>
        <w:tabs>
          <w:tab w:val="left" w:pos="1620"/>
          <w:tab w:val="left" w:pos="2340"/>
        </w:tabs>
        <w:adjustRightInd w:val="0"/>
        <w:snapToGrid w:val="0"/>
        <w:spacing w:before="0" w:beforeLines="0" w:after="0" w:line="360" w:lineRule="auto"/>
        <w:ind w:left="899"/>
        <w:rPr>
          <w:color w:val="auto"/>
        </w:rPr>
      </w:pPr>
      <w:r>
        <w:rPr>
          <w:rFonts w:hint="eastAsia"/>
          <w:color w:val="auto"/>
        </w:rPr>
        <w:t>本项目无须承包人带资施工，工程款按以下方式支付。</w:t>
      </w:r>
    </w:p>
    <w:p>
      <w:pPr>
        <w:adjustRightInd w:val="0"/>
        <w:snapToGrid w:val="0"/>
        <w:spacing w:before="0" w:beforeLines="0" w:after="0" w:line="360" w:lineRule="auto"/>
        <w:ind w:left="359"/>
        <w:rPr>
          <w:color w:val="auto"/>
        </w:rPr>
      </w:pPr>
      <w:r>
        <w:rPr>
          <w:b/>
          <w:color w:val="auto"/>
        </w:rPr>
        <w:t>23.1</w:t>
      </w:r>
      <w:r>
        <w:rPr>
          <w:rFonts w:hint="eastAsia"/>
          <w:b/>
          <w:color w:val="auto"/>
        </w:rPr>
        <w:t>工程预付款</w:t>
      </w:r>
    </w:p>
    <w:p>
      <w:pPr>
        <w:tabs>
          <w:tab w:val="left" w:pos="1620"/>
          <w:tab w:val="left" w:pos="2340"/>
        </w:tabs>
        <w:adjustRightInd w:val="0"/>
        <w:snapToGrid w:val="0"/>
        <w:spacing w:beforeLines="0" w:after="0" w:line="360" w:lineRule="auto"/>
        <w:ind w:left="899"/>
        <w:rPr>
          <w:color w:val="auto"/>
        </w:rPr>
      </w:pPr>
      <w:r>
        <w:rPr>
          <w:rFonts w:hint="eastAsia"/>
          <w:color w:val="auto"/>
        </w:rPr>
        <w:t>⑴发包人和承包人应在</w:t>
      </w:r>
      <w:r>
        <w:rPr>
          <w:rFonts w:hint="eastAsia"/>
          <w:b/>
          <w:i/>
          <w:color w:val="auto"/>
        </w:rPr>
        <w:t>专用条款</w:t>
      </w:r>
      <w:r>
        <w:rPr>
          <w:rFonts w:hint="eastAsia"/>
          <w:color w:val="auto"/>
        </w:rPr>
        <w:t>中约定一定比例的工程预付款，用于施工准备，金额一般为签约合同价的10</w:t>
      </w:r>
      <w:r>
        <w:rPr>
          <w:color w:val="auto"/>
        </w:rPr>
        <w:t>～</w:t>
      </w:r>
      <w:r>
        <w:rPr>
          <w:rFonts w:hint="eastAsia"/>
          <w:color w:val="auto"/>
        </w:rPr>
        <w:t>30%。其中施工现场安全文明措施费预付款金额：合同工期在一年以内的，不得低于该费用总额的50%；合同工期在一年以上的(含一年)，不得低于该费用总额的30%。</w:t>
      </w:r>
    </w:p>
    <w:p>
      <w:pPr>
        <w:tabs>
          <w:tab w:val="left" w:pos="1620"/>
          <w:tab w:val="left" w:pos="2340"/>
        </w:tabs>
        <w:adjustRightInd w:val="0"/>
        <w:snapToGrid w:val="0"/>
        <w:spacing w:beforeLines="0" w:after="0" w:line="360" w:lineRule="auto"/>
        <w:ind w:left="899"/>
        <w:rPr>
          <w:color w:val="auto"/>
        </w:rPr>
      </w:pPr>
      <w:r>
        <w:rPr>
          <w:rFonts w:hint="eastAsia"/>
          <w:color w:val="auto"/>
        </w:rPr>
        <w:t>⑵发包人应按</w:t>
      </w:r>
      <w:r>
        <w:rPr>
          <w:rFonts w:hint="eastAsia"/>
          <w:b/>
          <w:i/>
          <w:color w:val="auto"/>
        </w:rPr>
        <w:t>专用条款</w:t>
      </w:r>
      <w:r>
        <w:rPr>
          <w:rFonts w:hint="eastAsia"/>
          <w:color w:val="auto"/>
        </w:rPr>
        <w:t>约定的时间向承包人支付工程预付款，预付的时间应不迟于约定的开工日期前7天。但发包人支付预付款之前，还应具备</w:t>
      </w:r>
      <w:r>
        <w:rPr>
          <w:rFonts w:hint="eastAsia"/>
          <w:b/>
          <w:i/>
          <w:color w:val="auto"/>
        </w:rPr>
        <w:t>专用条款</w:t>
      </w:r>
      <w:r>
        <w:rPr>
          <w:rFonts w:hint="eastAsia"/>
          <w:color w:val="auto"/>
        </w:rPr>
        <w:t>约定的条件。发包人不按约定预付的，承包人应在约定预付时间到期后7天内向发包人发出要求预付的通知，发包人收到通知后仍不能按要求预付，承包人可在发出通知14天后停止施工，发包人应从约定应付之日起向承包人支付应付款的贷款利息，并承担违约责任。</w:t>
      </w:r>
    </w:p>
    <w:p>
      <w:pPr>
        <w:tabs>
          <w:tab w:val="left" w:pos="1620"/>
          <w:tab w:val="left" w:pos="2340"/>
        </w:tabs>
        <w:adjustRightInd w:val="0"/>
        <w:snapToGrid w:val="0"/>
        <w:spacing w:beforeLines="0" w:after="0" w:line="360" w:lineRule="auto"/>
        <w:ind w:left="899"/>
        <w:rPr>
          <w:color w:val="auto"/>
        </w:rPr>
      </w:pPr>
      <w:r>
        <w:rPr>
          <w:rFonts w:hint="eastAsia"/>
          <w:color w:val="auto"/>
        </w:rPr>
        <w:t>⑶发包人和承包人应在</w:t>
      </w:r>
      <w:r>
        <w:rPr>
          <w:rFonts w:hint="eastAsia"/>
          <w:b/>
          <w:i/>
          <w:color w:val="auto"/>
        </w:rPr>
        <w:t>专用条款</w:t>
      </w:r>
      <w:r>
        <w:rPr>
          <w:rFonts w:hint="eastAsia"/>
          <w:color w:val="auto"/>
        </w:rPr>
        <w:t>约定工程预付款扣回的起扣点和扣回比例。在未达到起扣点之前，预付款不予扣回；达到起扣点之后，预付款按约定比例根据工程进度分期从期中支付款中扣回。</w:t>
      </w:r>
    </w:p>
    <w:p>
      <w:pPr>
        <w:adjustRightInd w:val="0"/>
        <w:snapToGrid w:val="0"/>
        <w:spacing w:before="0" w:beforeLines="0" w:after="0" w:line="360" w:lineRule="auto"/>
        <w:ind w:left="359"/>
        <w:rPr>
          <w:color w:val="auto"/>
        </w:rPr>
      </w:pPr>
      <w:r>
        <w:rPr>
          <w:b/>
          <w:color w:val="auto"/>
        </w:rPr>
        <w:t>23.2</w:t>
      </w:r>
      <w:r>
        <w:rPr>
          <w:rFonts w:hint="eastAsia"/>
          <w:b/>
          <w:color w:val="auto"/>
        </w:rPr>
        <w:t>期中结算</w:t>
      </w:r>
    </w:p>
    <w:p>
      <w:pPr>
        <w:tabs>
          <w:tab w:val="left" w:pos="1620"/>
          <w:tab w:val="left" w:pos="2340"/>
        </w:tabs>
        <w:adjustRightInd w:val="0"/>
        <w:snapToGrid w:val="0"/>
        <w:spacing w:beforeLines="0" w:after="0" w:line="360" w:lineRule="auto"/>
        <w:ind w:left="899"/>
        <w:rPr>
          <w:color w:val="auto"/>
        </w:rPr>
      </w:pPr>
      <w:r>
        <w:rPr>
          <w:rFonts w:hint="eastAsia"/>
          <w:color w:val="auto"/>
        </w:rPr>
        <w:t>⑴除</w:t>
      </w:r>
      <w:r>
        <w:rPr>
          <w:rFonts w:hint="eastAsia"/>
          <w:b/>
          <w:i/>
          <w:color w:val="auto"/>
        </w:rPr>
        <w:t>专用条款</w:t>
      </w:r>
      <w:r>
        <w:rPr>
          <w:rFonts w:hint="eastAsia"/>
          <w:color w:val="auto"/>
        </w:rPr>
        <w:t>另有约定外，发包人和承包人应按月办理期中结算。其中，工人工资支付周期不得超过</w:t>
      </w:r>
      <w:r>
        <w:rPr>
          <w:color w:val="auto"/>
        </w:rPr>
        <w:t>1个月，具体按23.5款约定执行。</w:t>
      </w:r>
    </w:p>
    <w:p>
      <w:pPr>
        <w:tabs>
          <w:tab w:val="left" w:pos="1620"/>
          <w:tab w:val="left" w:pos="2340"/>
        </w:tabs>
        <w:adjustRightInd w:val="0"/>
        <w:snapToGrid w:val="0"/>
        <w:spacing w:beforeLines="0" w:after="0" w:line="360" w:lineRule="auto"/>
        <w:ind w:left="899"/>
        <w:rPr>
          <w:color w:val="auto"/>
        </w:rPr>
      </w:pPr>
      <w:r>
        <w:rPr>
          <w:rFonts w:hint="eastAsia"/>
          <w:color w:val="auto"/>
        </w:rPr>
        <w:t>⑵承包人应根据本期内工程实际完成情况，按照22条有关工程量计量的约定，计算本期完成工程量，结合合同价格构成中的工程量清单项目单价，编制期中结算。</w:t>
      </w:r>
    </w:p>
    <w:p>
      <w:pPr>
        <w:adjustRightInd w:val="0"/>
        <w:snapToGrid w:val="0"/>
        <w:spacing w:before="0" w:beforeLines="0" w:after="0" w:line="360" w:lineRule="auto"/>
        <w:ind w:left="359"/>
        <w:rPr>
          <w:color w:val="auto"/>
        </w:rPr>
      </w:pPr>
      <w:r>
        <w:rPr>
          <w:b/>
          <w:color w:val="auto"/>
        </w:rPr>
        <w:t>23.3</w:t>
      </w:r>
      <w:r>
        <w:rPr>
          <w:rFonts w:hint="eastAsia"/>
          <w:b/>
          <w:color w:val="auto"/>
        </w:rPr>
        <w:t>期中结算书的提交</w:t>
      </w:r>
    </w:p>
    <w:p>
      <w:pPr>
        <w:tabs>
          <w:tab w:val="left" w:pos="1620"/>
          <w:tab w:val="left" w:pos="2340"/>
        </w:tabs>
        <w:adjustRightInd w:val="0"/>
        <w:snapToGrid w:val="0"/>
        <w:spacing w:beforeLines="0" w:line="360" w:lineRule="auto"/>
        <w:ind w:left="899"/>
        <w:rPr>
          <w:color w:val="auto"/>
        </w:rPr>
      </w:pPr>
      <w:r>
        <w:rPr>
          <w:rFonts w:hint="eastAsia"/>
          <w:color w:val="auto"/>
        </w:rPr>
        <w:t>承包人应按时向</w:t>
      </w:r>
      <w:r>
        <w:rPr>
          <w:color w:val="auto"/>
        </w:rPr>
        <w:t>监理人</w:t>
      </w:r>
      <w:r>
        <w:rPr>
          <w:rFonts w:hint="eastAsia"/>
          <w:color w:val="auto"/>
        </w:rPr>
        <w:t>提交由其项目经理签署的期中结算书，期中结算书应包括以下内容：</w:t>
      </w:r>
    </w:p>
    <w:p>
      <w:pPr>
        <w:tabs>
          <w:tab w:val="left" w:pos="1620"/>
          <w:tab w:val="left" w:pos="2340"/>
        </w:tabs>
        <w:adjustRightInd w:val="0"/>
        <w:snapToGrid w:val="0"/>
        <w:spacing w:beforeLines="0" w:line="360" w:lineRule="auto"/>
        <w:ind w:left="1079"/>
        <w:rPr>
          <w:color w:val="auto"/>
        </w:rPr>
      </w:pPr>
      <w:r>
        <w:rPr>
          <w:rFonts w:hint="eastAsia"/>
          <w:color w:val="auto"/>
        </w:rPr>
        <w:t>⑴本期已完成工程的价款；</w:t>
      </w:r>
    </w:p>
    <w:p>
      <w:pPr>
        <w:tabs>
          <w:tab w:val="left" w:pos="1620"/>
          <w:tab w:val="left" w:pos="2340"/>
        </w:tabs>
        <w:adjustRightInd w:val="0"/>
        <w:snapToGrid w:val="0"/>
        <w:spacing w:beforeLines="0" w:line="360" w:lineRule="auto"/>
        <w:ind w:left="1079"/>
        <w:rPr>
          <w:color w:val="auto"/>
        </w:rPr>
      </w:pPr>
      <w:r>
        <w:rPr>
          <w:rFonts w:hint="eastAsia"/>
          <w:color w:val="auto"/>
        </w:rPr>
        <w:t>⑵自开工截止本期末累计已完成(已实际结算)工程价款；</w:t>
      </w:r>
    </w:p>
    <w:p>
      <w:pPr>
        <w:tabs>
          <w:tab w:val="left" w:pos="1620"/>
          <w:tab w:val="left" w:pos="2340"/>
        </w:tabs>
        <w:adjustRightInd w:val="0"/>
        <w:snapToGrid w:val="0"/>
        <w:spacing w:beforeLines="0" w:line="360" w:lineRule="auto"/>
        <w:ind w:left="1079"/>
        <w:rPr>
          <w:color w:val="auto"/>
        </w:rPr>
      </w:pPr>
      <w:r>
        <w:rPr>
          <w:rFonts w:hint="eastAsia"/>
          <w:color w:val="auto"/>
        </w:rPr>
        <w:t>⑶自开工截止上期末累计已支付的工程价款；</w:t>
      </w:r>
    </w:p>
    <w:p>
      <w:pPr>
        <w:tabs>
          <w:tab w:val="left" w:pos="1620"/>
          <w:tab w:val="left" w:pos="2340"/>
        </w:tabs>
        <w:adjustRightInd w:val="0"/>
        <w:snapToGrid w:val="0"/>
        <w:spacing w:beforeLines="0" w:line="360" w:lineRule="auto"/>
        <w:ind w:left="1079"/>
        <w:rPr>
          <w:color w:val="auto"/>
        </w:rPr>
      </w:pPr>
      <w:r>
        <w:rPr>
          <w:rFonts w:hint="eastAsia"/>
          <w:color w:val="auto"/>
        </w:rPr>
        <w:t>⑷本期已完成的(按20.2款经确认的)</w:t>
      </w:r>
      <w:r>
        <w:rPr>
          <w:color w:val="auto"/>
        </w:rPr>
        <w:t>调整</w:t>
      </w:r>
      <w:r>
        <w:rPr>
          <w:rFonts w:hint="eastAsia"/>
          <w:color w:val="auto"/>
        </w:rPr>
        <w:t>价款；</w:t>
      </w:r>
    </w:p>
    <w:p>
      <w:pPr>
        <w:tabs>
          <w:tab w:val="left" w:pos="1620"/>
          <w:tab w:val="left" w:pos="2340"/>
        </w:tabs>
        <w:adjustRightInd w:val="0"/>
        <w:snapToGrid w:val="0"/>
        <w:spacing w:beforeLines="0" w:line="360" w:lineRule="auto"/>
        <w:ind w:left="1079"/>
        <w:rPr>
          <w:color w:val="auto"/>
        </w:rPr>
      </w:pPr>
      <w:r>
        <w:rPr>
          <w:rFonts w:hint="eastAsia"/>
          <w:color w:val="auto"/>
        </w:rPr>
        <w:t>⑸本期已完成的(按21.1、2款经确定的)材料设备、专业工程暂估价价款；</w:t>
      </w:r>
    </w:p>
    <w:p>
      <w:pPr>
        <w:tabs>
          <w:tab w:val="left" w:pos="1620"/>
          <w:tab w:val="left" w:pos="2340"/>
        </w:tabs>
        <w:adjustRightInd w:val="0"/>
        <w:snapToGrid w:val="0"/>
        <w:spacing w:beforeLines="0" w:line="360" w:lineRule="auto"/>
        <w:ind w:left="1079"/>
        <w:rPr>
          <w:color w:val="auto"/>
        </w:rPr>
      </w:pPr>
      <w:r>
        <w:rPr>
          <w:rFonts w:hint="eastAsia"/>
          <w:color w:val="auto"/>
        </w:rPr>
        <w:t>⑹本期应抵扣的(按23.1款)工程预付款；</w:t>
      </w:r>
    </w:p>
    <w:p>
      <w:pPr>
        <w:tabs>
          <w:tab w:val="left" w:pos="1620"/>
          <w:tab w:val="left" w:pos="2340"/>
        </w:tabs>
        <w:adjustRightInd w:val="0"/>
        <w:snapToGrid w:val="0"/>
        <w:spacing w:beforeLines="0" w:line="360" w:lineRule="auto"/>
        <w:ind w:left="1079"/>
        <w:rPr>
          <w:color w:val="auto"/>
        </w:rPr>
      </w:pPr>
      <w:r>
        <w:rPr>
          <w:rFonts w:hint="eastAsia"/>
          <w:color w:val="auto"/>
        </w:rPr>
        <w:t>⑺本期应扣减的(按31.4款)质量保证金；</w:t>
      </w:r>
    </w:p>
    <w:p>
      <w:pPr>
        <w:tabs>
          <w:tab w:val="left" w:pos="1620"/>
          <w:tab w:val="left" w:pos="2340"/>
        </w:tabs>
        <w:adjustRightInd w:val="0"/>
        <w:snapToGrid w:val="0"/>
        <w:spacing w:beforeLines="0" w:line="360" w:lineRule="auto"/>
        <w:ind w:left="1079"/>
        <w:rPr>
          <w:color w:val="auto"/>
        </w:rPr>
      </w:pPr>
      <w:r>
        <w:rPr>
          <w:rFonts w:hint="eastAsia"/>
          <w:color w:val="auto"/>
        </w:rPr>
        <w:t>⑻</w:t>
      </w:r>
      <w:r>
        <w:rPr>
          <w:color w:val="auto"/>
        </w:rPr>
        <w:t>对已签发的进度款支付证书中出现错误的修正，应在本次进度付款中支付或扣除的金额；</w:t>
      </w:r>
    </w:p>
    <w:p>
      <w:pPr>
        <w:tabs>
          <w:tab w:val="left" w:pos="1620"/>
          <w:tab w:val="left" w:pos="2340"/>
        </w:tabs>
        <w:adjustRightInd w:val="0"/>
        <w:snapToGrid w:val="0"/>
        <w:spacing w:beforeLines="0" w:line="360" w:lineRule="auto"/>
        <w:ind w:left="1079"/>
        <w:rPr>
          <w:color w:val="auto"/>
        </w:rPr>
      </w:pPr>
      <w:r>
        <w:rPr>
          <w:rFonts w:hint="eastAsia"/>
          <w:color w:val="auto"/>
        </w:rPr>
        <w:t>⑼本期根据合同应增加和扣减的其他金额；</w:t>
      </w:r>
    </w:p>
    <w:p>
      <w:pPr>
        <w:tabs>
          <w:tab w:val="left" w:pos="1620"/>
          <w:tab w:val="left" w:pos="2340"/>
        </w:tabs>
        <w:adjustRightInd w:val="0"/>
        <w:snapToGrid w:val="0"/>
        <w:spacing w:beforeLines="0" w:line="360" w:lineRule="auto"/>
        <w:ind w:left="1079"/>
        <w:rPr>
          <w:color w:val="auto"/>
        </w:rPr>
      </w:pPr>
      <w:r>
        <w:rPr>
          <w:color w:val="auto"/>
        </w:rPr>
        <w:t>⑽</w:t>
      </w:r>
      <w:r>
        <w:rPr>
          <w:rFonts w:hint="eastAsia"/>
          <w:color w:val="auto"/>
        </w:rPr>
        <w:t>本期应支付的工程价款。</w:t>
      </w:r>
    </w:p>
    <w:p>
      <w:pPr>
        <w:adjustRightInd w:val="0"/>
        <w:snapToGrid w:val="0"/>
        <w:spacing w:before="0" w:beforeLines="0" w:after="0" w:line="360" w:lineRule="auto"/>
        <w:ind w:left="359"/>
        <w:rPr>
          <w:color w:val="auto"/>
        </w:rPr>
      </w:pPr>
      <w:r>
        <w:rPr>
          <w:b/>
          <w:color w:val="auto"/>
        </w:rPr>
        <w:t>23.4</w:t>
      </w:r>
      <w:r>
        <w:rPr>
          <w:rFonts w:hint="eastAsia"/>
          <w:b/>
          <w:color w:val="auto"/>
        </w:rPr>
        <w:t>期中支付</w:t>
      </w:r>
    </w:p>
    <w:p>
      <w:pPr>
        <w:tabs>
          <w:tab w:val="left" w:pos="1620"/>
          <w:tab w:val="left" w:pos="2340"/>
        </w:tabs>
        <w:adjustRightInd w:val="0"/>
        <w:snapToGrid w:val="0"/>
        <w:spacing w:beforeLines="0" w:after="0" w:line="360" w:lineRule="auto"/>
        <w:ind w:left="899"/>
        <w:rPr>
          <w:color w:val="auto"/>
        </w:rPr>
      </w:pPr>
      <w:r>
        <w:rPr>
          <w:rFonts w:hint="eastAsia"/>
          <w:color w:val="auto"/>
        </w:rPr>
        <w:t>⑴</w:t>
      </w:r>
      <w:r>
        <w:rPr>
          <w:color w:val="auto"/>
        </w:rPr>
        <w:t>监理人</w:t>
      </w:r>
      <w:r>
        <w:rPr>
          <w:rFonts w:hint="eastAsia"/>
          <w:color w:val="auto"/>
        </w:rPr>
        <w:t>应在收到期中结算书后14天内签发期中支付证书，签发时应写明到期应结算的价款及需要扣留和扣回的价款并报发包人批准。如该期应结算的价款经扣留和扣回后的价款少于</w:t>
      </w:r>
      <w:r>
        <w:rPr>
          <w:rFonts w:hint="eastAsia"/>
          <w:b/>
          <w:i/>
          <w:color w:val="auto"/>
        </w:rPr>
        <w:t>专用条款</w:t>
      </w:r>
      <w:r>
        <w:rPr>
          <w:rFonts w:hint="eastAsia"/>
          <w:color w:val="auto"/>
        </w:rPr>
        <w:t>约定的期中支付的最低金额，则</w:t>
      </w:r>
      <w:r>
        <w:rPr>
          <w:color w:val="auto"/>
        </w:rPr>
        <w:t>监理人</w:t>
      </w:r>
      <w:r>
        <w:rPr>
          <w:rFonts w:hint="eastAsia"/>
          <w:color w:val="auto"/>
        </w:rPr>
        <w:t>可不签发支付证书，该期工程价款将按期结转，直到累计应支付的价款达到</w:t>
      </w:r>
      <w:r>
        <w:rPr>
          <w:rFonts w:hint="eastAsia"/>
          <w:b/>
          <w:i/>
          <w:color w:val="auto"/>
        </w:rPr>
        <w:t>专用条款</w:t>
      </w:r>
      <w:r>
        <w:rPr>
          <w:rFonts w:hint="eastAsia"/>
          <w:color w:val="auto"/>
        </w:rPr>
        <w:t>约定的期中支付的最低金额为止。累计期中支付价款达到合同价格总额的90%时暂停支付。</w:t>
      </w:r>
    </w:p>
    <w:p>
      <w:pPr>
        <w:tabs>
          <w:tab w:val="left" w:pos="1620"/>
          <w:tab w:val="left" w:pos="2340"/>
        </w:tabs>
        <w:adjustRightInd w:val="0"/>
        <w:snapToGrid w:val="0"/>
        <w:spacing w:beforeLines="0" w:after="0" w:line="360" w:lineRule="auto"/>
        <w:ind w:left="899"/>
        <w:rPr>
          <w:color w:val="auto"/>
        </w:rPr>
      </w:pPr>
      <w:r>
        <w:rPr>
          <w:rFonts w:hint="eastAsia"/>
          <w:color w:val="auto"/>
        </w:rPr>
        <w:t>⑵若承包人未按照23.2⑴款约定的时间提交期中结算书，</w:t>
      </w:r>
      <w:r>
        <w:rPr>
          <w:color w:val="auto"/>
        </w:rPr>
        <w:t>监理人</w:t>
      </w:r>
      <w:r>
        <w:rPr>
          <w:rFonts w:hint="eastAsia"/>
          <w:color w:val="auto"/>
        </w:rPr>
        <w:t>可自行按照工程实际进度情况编制期中结算书，报发包人批准后签发期中支付证书，承包人对此应予以认可。</w:t>
      </w:r>
    </w:p>
    <w:p>
      <w:pPr>
        <w:tabs>
          <w:tab w:val="left" w:pos="1620"/>
          <w:tab w:val="left" w:pos="2340"/>
        </w:tabs>
        <w:adjustRightInd w:val="0"/>
        <w:snapToGrid w:val="0"/>
        <w:spacing w:beforeLines="0" w:after="0" w:line="360" w:lineRule="auto"/>
        <w:ind w:left="899"/>
        <w:rPr>
          <w:color w:val="auto"/>
        </w:rPr>
      </w:pPr>
      <w:r>
        <w:rPr>
          <w:rFonts w:hint="eastAsia"/>
          <w:color w:val="auto"/>
        </w:rPr>
        <w:t>⑶</w:t>
      </w:r>
      <w:r>
        <w:rPr>
          <w:color w:val="auto"/>
        </w:rPr>
        <w:t>发包人和监理人对承包人的</w:t>
      </w:r>
      <w:r>
        <w:rPr>
          <w:rFonts w:hint="eastAsia"/>
          <w:color w:val="auto"/>
        </w:rPr>
        <w:t>期中结算书</w:t>
      </w:r>
      <w:r>
        <w:rPr>
          <w:color w:val="auto"/>
        </w:rPr>
        <w:t>有异议的，有权要求承包人修正和提供补充资料，承包人应提交修正后的</w:t>
      </w:r>
      <w:r>
        <w:rPr>
          <w:rFonts w:hint="eastAsia"/>
          <w:color w:val="auto"/>
        </w:rPr>
        <w:t>期中结算书</w:t>
      </w:r>
      <w:r>
        <w:rPr>
          <w:color w:val="auto"/>
        </w:rPr>
        <w:t>。监理人应在收到承包人修正后的</w:t>
      </w:r>
      <w:r>
        <w:rPr>
          <w:rFonts w:hint="eastAsia"/>
          <w:color w:val="auto"/>
        </w:rPr>
        <w:t>期中结算书</w:t>
      </w:r>
      <w:r>
        <w:rPr>
          <w:color w:val="auto"/>
        </w:rPr>
        <w:t>及相关资料后7天内完成审查并报送发包人，发包人应在收到监理人报送的</w:t>
      </w:r>
      <w:r>
        <w:rPr>
          <w:rFonts w:hint="eastAsia"/>
          <w:color w:val="auto"/>
        </w:rPr>
        <w:t>期中结算书</w:t>
      </w:r>
      <w:r>
        <w:rPr>
          <w:color w:val="auto"/>
        </w:rPr>
        <w:t>及相关资料后7天内，向承包人签发无异议部分的支付证书。存在争议的部分，按照第</w:t>
      </w:r>
      <w:r>
        <w:rPr>
          <w:rFonts w:hint="eastAsia"/>
          <w:color w:val="auto"/>
        </w:rPr>
        <w:t>3</w:t>
      </w:r>
      <w:r>
        <w:rPr>
          <w:color w:val="auto"/>
        </w:rPr>
        <w:t>0条</w:t>
      </w:r>
      <w:r>
        <w:rPr>
          <w:rFonts w:hint="eastAsia"/>
          <w:color w:val="auto"/>
        </w:rPr>
        <w:t>〔</w:t>
      </w:r>
      <w:r>
        <w:rPr>
          <w:color w:val="auto"/>
        </w:rPr>
        <w:t>争议解决</w:t>
      </w:r>
      <w:r>
        <w:rPr>
          <w:rFonts w:hint="eastAsia"/>
          <w:color w:val="auto"/>
        </w:rPr>
        <w:t>〕</w:t>
      </w:r>
      <w:r>
        <w:rPr>
          <w:color w:val="auto"/>
        </w:rPr>
        <w:t>的约定处理。</w:t>
      </w:r>
    </w:p>
    <w:p>
      <w:pPr>
        <w:tabs>
          <w:tab w:val="left" w:pos="1620"/>
          <w:tab w:val="left" w:pos="2340"/>
        </w:tabs>
        <w:adjustRightInd w:val="0"/>
        <w:snapToGrid w:val="0"/>
        <w:spacing w:beforeLines="0" w:after="0" w:line="360" w:lineRule="auto"/>
        <w:ind w:left="899"/>
        <w:rPr>
          <w:color w:val="auto"/>
        </w:rPr>
      </w:pPr>
      <w:r>
        <w:rPr>
          <w:rFonts w:hint="eastAsia"/>
          <w:color w:val="auto"/>
        </w:rPr>
        <w:t>⑷发包人应在期中支付证书签发之日起7天内将期中支付证书上列明的应付工程进度款支付给承包人。发包人超过约定的时间不支付，承包人可向发包人发出要求付款的通知。发包人收到通知后7天内仍不能付款，可与承包人协商签订延期付款协议，经承包人同意后可延期支付，发包人应从约定应付之日起按同期银行贷款利率向承包人支付拖欠工程进度款的贷款利息。</w:t>
      </w:r>
    </w:p>
    <w:p>
      <w:pPr>
        <w:tabs>
          <w:tab w:val="left" w:pos="1620"/>
          <w:tab w:val="left" w:pos="2340"/>
        </w:tabs>
        <w:adjustRightInd w:val="0"/>
        <w:snapToGrid w:val="0"/>
        <w:spacing w:beforeLines="0" w:after="0" w:line="360" w:lineRule="auto"/>
        <w:ind w:left="899"/>
        <w:rPr>
          <w:color w:val="auto"/>
        </w:rPr>
      </w:pPr>
      <w:r>
        <w:rPr>
          <w:rFonts w:hint="eastAsia"/>
          <w:color w:val="auto"/>
        </w:rPr>
        <w:t>⑸发包人不按约定时间足额支付工程进度款，双方又未达成延期付款协议，导致施工无法进行，承包人可停止施工，发包人应从约定应付之日起按同期银行贷款利率向承包人支付拖欠工程进度款的贷款利息以外，还应按第28.1款［发包人违约］承担违约责任。</w:t>
      </w:r>
    </w:p>
    <w:p>
      <w:pPr>
        <w:tabs>
          <w:tab w:val="left" w:pos="1620"/>
          <w:tab w:val="left" w:pos="2340"/>
        </w:tabs>
        <w:adjustRightInd w:val="0"/>
        <w:snapToGrid w:val="0"/>
        <w:spacing w:beforeLines="0" w:after="0" w:line="360" w:lineRule="auto"/>
        <w:ind w:left="899"/>
        <w:rPr>
          <w:color w:val="auto"/>
        </w:rPr>
      </w:pPr>
      <w:r>
        <w:rPr>
          <w:rFonts w:hint="eastAsia"/>
          <w:color w:val="auto"/>
        </w:rPr>
        <w:t>⑹</w:t>
      </w:r>
      <w:r>
        <w:rPr>
          <w:color w:val="auto"/>
        </w:rPr>
        <w:t>在对已签发的</w:t>
      </w:r>
      <w:r>
        <w:rPr>
          <w:rFonts w:hint="eastAsia"/>
          <w:color w:val="auto"/>
        </w:rPr>
        <w:t>期中</w:t>
      </w:r>
      <w:r>
        <w:rPr>
          <w:color w:val="auto"/>
        </w:rPr>
        <w:t>支付证书进行阶段汇总和复核中发现错误、遗漏或重复的，发包人和承包人均有权提出修正申请。经发包人和承包人同意的修正，应在下期进度付款中支付或扣除。</w:t>
      </w:r>
    </w:p>
    <w:p>
      <w:pPr>
        <w:tabs>
          <w:tab w:val="left" w:pos="1620"/>
          <w:tab w:val="left" w:pos="2340"/>
        </w:tabs>
        <w:adjustRightInd w:val="0"/>
        <w:snapToGrid w:val="0"/>
        <w:spacing w:beforeLines="0" w:after="0" w:line="360" w:lineRule="auto"/>
        <w:ind w:left="899"/>
        <w:rPr>
          <w:color w:val="auto"/>
        </w:rPr>
      </w:pPr>
      <w:r>
        <w:rPr>
          <w:rFonts w:hint="eastAsia"/>
          <w:color w:val="auto"/>
        </w:rPr>
        <w:t>⑺上述有关工程款支付的文件的编制和审核均须经注册造价工程师签字盖章确认。</w:t>
      </w:r>
    </w:p>
    <w:p>
      <w:pPr>
        <w:adjustRightInd w:val="0"/>
        <w:snapToGrid w:val="0"/>
        <w:spacing w:before="0" w:beforeLines="0" w:after="0" w:line="360" w:lineRule="auto"/>
        <w:ind w:left="359"/>
        <w:rPr>
          <w:color w:val="auto"/>
        </w:rPr>
      </w:pPr>
      <w:r>
        <w:rPr>
          <w:b/>
          <w:color w:val="auto"/>
        </w:rPr>
        <w:t>23.5</w:t>
      </w:r>
      <w:r>
        <w:rPr>
          <w:rFonts w:hint="eastAsia"/>
          <w:b/>
          <w:color w:val="auto"/>
        </w:rPr>
        <w:t>工人工资支付</w:t>
      </w:r>
    </w:p>
    <w:p>
      <w:pPr>
        <w:adjustRightInd w:val="0"/>
        <w:snapToGrid w:val="0"/>
        <w:spacing w:before="0" w:beforeLines="0" w:after="0" w:line="360" w:lineRule="auto"/>
        <w:ind w:left="357" w:firstLine="480" w:firstLineChars="200"/>
        <w:rPr>
          <w:color w:val="auto"/>
        </w:rPr>
      </w:pPr>
      <w:r>
        <w:rPr>
          <w:rFonts w:hint="eastAsia"/>
          <w:color w:val="auto"/>
        </w:rPr>
        <w:t>发包人和承包人应按照《保障农民工工资支付条例》、《国务院关于解决农民工若干问题的意见》、《建设领域农民工工资支付管理暂行办法》和深圳市建设行政主管部门的相关规定，实施用工实名制和分账制管理，在专用条款中约定工人工资支付方式，保障工人工资及时支付和足额发放。</w:t>
      </w:r>
    </w:p>
    <w:p>
      <w:pPr>
        <w:adjustRightInd w:val="0"/>
        <w:snapToGrid w:val="0"/>
        <w:spacing w:before="0" w:beforeLines="0" w:after="0" w:line="360" w:lineRule="auto"/>
        <w:ind w:left="359"/>
        <w:rPr>
          <w:color w:val="auto"/>
        </w:rPr>
      </w:pPr>
      <w:r>
        <w:rPr>
          <w:b/>
          <w:color w:val="auto"/>
        </w:rPr>
        <w:t>23.6</w:t>
      </w:r>
      <w:r>
        <w:rPr>
          <w:rFonts w:hint="eastAsia"/>
          <w:b/>
          <w:color w:val="auto"/>
        </w:rPr>
        <w:t>工程款专款专用</w:t>
      </w:r>
    </w:p>
    <w:p>
      <w:pPr>
        <w:tabs>
          <w:tab w:val="left" w:pos="1620"/>
          <w:tab w:val="left" w:pos="2340"/>
        </w:tabs>
        <w:adjustRightInd w:val="0"/>
        <w:snapToGrid w:val="0"/>
        <w:spacing w:beforeLines="0" w:after="0" w:line="360" w:lineRule="auto"/>
        <w:ind w:firstLine="480" w:firstLineChars="200"/>
        <w:rPr>
          <w:color w:val="auto"/>
        </w:rPr>
      </w:pPr>
      <w:r>
        <w:rPr>
          <w:rFonts w:hint="eastAsia"/>
          <w:color w:val="auto"/>
        </w:rPr>
        <w:t>本工程发包人支付给承包人的工程款都应当专款专用，承包人不得擅自改变任何款项的使用性质。发包人有权检查承包人工程款的使用情况(包括但不限于工程预付款、材料款、分包工程款、劳务分包价款（工人工资）、安全文明措施费等款项)，发包人还可以采取</w:t>
      </w:r>
      <w:r>
        <w:rPr>
          <w:rFonts w:hint="eastAsia"/>
          <w:b/>
          <w:i/>
          <w:color w:val="auto"/>
        </w:rPr>
        <w:t>专用条款</w:t>
      </w:r>
      <w:r>
        <w:rPr>
          <w:rFonts w:hint="eastAsia"/>
          <w:color w:val="auto"/>
        </w:rPr>
        <w:t>约定的措施对承包人的工程款使用情况进行监管。</w:t>
      </w:r>
    </w:p>
    <w:p>
      <w:pPr>
        <w:adjustRightInd w:val="0"/>
        <w:snapToGrid w:val="0"/>
        <w:spacing w:before="0" w:beforeLines="0" w:after="0" w:line="360" w:lineRule="auto"/>
        <w:ind w:left="178"/>
        <w:rPr>
          <w:color w:val="auto"/>
          <w:sz w:val="28"/>
        </w:rPr>
      </w:pPr>
      <w:r>
        <w:rPr>
          <w:b/>
          <w:color w:val="auto"/>
          <w:sz w:val="28"/>
        </w:rPr>
        <w:t>24</w:t>
      </w:r>
      <w:r>
        <w:rPr>
          <w:rFonts w:hint="eastAsia"/>
          <w:b/>
          <w:color w:val="auto"/>
          <w:sz w:val="28"/>
        </w:rPr>
        <w:t>工程变更</w:t>
      </w:r>
    </w:p>
    <w:p>
      <w:pPr>
        <w:adjustRightInd w:val="0"/>
        <w:snapToGrid w:val="0"/>
        <w:spacing w:before="0" w:beforeLines="0" w:after="0" w:line="360" w:lineRule="auto"/>
        <w:ind w:left="359"/>
        <w:rPr>
          <w:color w:val="auto"/>
        </w:rPr>
      </w:pPr>
      <w:r>
        <w:rPr>
          <w:b/>
          <w:color w:val="auto"/>
        </w:rPr>
        <w:t>24.1</w:t>
      </w:r>
      <w:r>
        <w:rPr>
          <w:rFonts w:hint="eastAsia"/>
          <w:b/>
          <w:color w:val="auto"/>
        </w:rPr>
        <w:t>工程变更的范围</w:t>
      </w:r>
    </w:p>
    <w:p>
      <w:pPr>
        <w:tabs>
          <w:tab w:val="left" w:pos="1620"/>
          <w:tab w:val="left" w:pos="2340"/>
        </w:tabs>
        <w:adjustRightInd w:val="0"/>
        <w:snapToGrid w:val="0"/>
        <w:spacing w:beforeLines="0" w:line="360" w:lineRule="auto"/>
        <w:ind w:left="899"/>
        <w:rPr>
          <w:color w:val="auto"/>
        </w:rPr>
      </w:pPr>
      <w:r>
        <w:rPr>
          <w:rFonts w:hint="eastAsia"/>
          <w:color w:val="auto"/>
        </w:rPr>
        <w:t>在施工过程中，出现以下情况，视为工程变更：</w:t>
      </w:r>
    </w:p>
    <w:p>
      <w:pPr>
        <w:tabs>
          <w:tab w:val="left" w:pos="1620"/>
          <w:tab w:val="left" w:pos="2340"/>
        </w:tabs>
        <w:adjustRightInd w:val="0"/>
        <w:snapToGrid w:val="0"/>
        <w:spacing w:beforeLines="0" w:line="360" w:lineRule="auto"/>
        <w:ind w:left="899"/>
        <w:rPr>
          <w:color w:val="auto"/>
        </w:rPr>
      </w:pPr>
      <w:r>
        <w:rPr>
          <w:rFonts w:hint="eastAsia"/>
          <w:color w:val="auto"/>
        </w:rPr>
        <w:t>⑴本工程图纸包括的任何工作内容的数量、质量或其他特征的改变；</w:t>
      </w:r>
    </w:p>
    <w:p>
      <w:pPr>
        <w:tabs>
          <w:tab w:val="left" w:pos="1620"/>
          <w:tab w:val="left" w:pos="2340"/>
        </w:tabs>
        <w:adjustRightInd w:val="0"/>
        <w:snapToGrid w:val="0"/>
        <w:spacing w:beforeLines="0" w:line="360" w:lineRule="auto"/>
        <w:ind w:left="899"/>
        <w:rPr>
          <w:color w:val="auto"/>
        </w:rPr>
      </w:pPr>
      <w:r>
        <w:rPr>
          <w:rFonts w:hint="eastAsia"/>
          <w:color w:val="auto"/>
        </w:rPr>
        <w:t>⑵本工程技术规范内容或要求的改变；</w:t>
      </w:r>
    </w:p>
    <w:p>
      <w:pPr>
        <w:tabs>
          <w:tab w:val="left" w:pos="1620"/>
          <w:tab w:val="left" w:pos="2340"/>
        </w:tabs>
        <w:adjustRightInd w:val="0"/>
        <w:snapToGrid w:val="0"/>
        <w:spacing w:beforeLines="0" w:line="360" w:lineRule="auto"/>
        <w:ind w:left="899"/>
        <w:rPr>
          <w:color w:val="auto"/>
        </w:rPr>
      </w:pPr>
      <w:r>
        <w:rPr>
          <w:rFonts w:hint="eastAsia"/>
          <w:color w:val="auto"/>
        </w:rPr>
        <w:t>⑶本工程任何部分的标高、线形、位置和尺寸的改变；</w:t>
      </w:r>
    </w:p>
    <w:p>
      <w:pPr>
        <w:tabs>
          <w:tab w:val="left" w:pos="1620"/>
          <w:tab w:val="left" w:pos="2340"/>
        </w:tabs>
        <w:adjustRightInd w:val="0"/>
        <w:snapToGrid w:val="0"/>
        <w:spacing w:beforeLines="0" w:line="360" w:lineRule="auto"/>
        <w:ind w:left="899"/>
        <w:rPr>
          <w:color w:val="auto"/>
        </w:rPr>
      </w:pPr>
      <w:r>
        <w:rPr>
          <w:rFonts w:hint="eastAsia"/>
          <w:color w:val="auto"/>
        </w:rPr>
        <w:t>⑷本工程任何部分施工的约定顺序或时间安排的改变；</w:t>
      </w:r>
    </w:p>
    <w:p>
      <w:pPr>
        <w:tabs>
          <w:tab w:val="left" w:pos="1620"/>
          <w:tab w:val="left" w:pos="2340"/>
        </w:tabs>
        <w:adjustRightInd w:val="0"/>
        <w:snapToGrid w:val="0"/>
        <w:spacing w:beforeLines="0" w:line="360" w:lineRule="auto"/>
        <w:ind w:left="899"/>
        <w:rPr>
          <w:color w:val="auto"/>
        </w:rPr>
      </w:pPr>
      <w:r>
        <w:rPr>
          <w:rFonts w:hint="eastAsia"/>
          <w:color w:val="auto"/>
        </w:rPr>
        <w:t>⑸为进行工程变更需要的任何附加工作、材料或设备。</w:t>
      </w:r>
    </w:p>
    <w:p>
      <w:pPr>
        <w:adjustRightInd w:val="0"/>
        <w:snapToGrid w:val="0"/>
        <w:spacing w:before="0" w:beforeLines="0" w:after="0" w:line="360" w:lineRule="auto"/>
        <w:ind w:left="359"/>
        <w:rPr>
          <w:color w:val="auto"/>
        </w:rPr>
      </w:pPr>
      <w:r>
        <w:rPr>
          <w:b/>
          <w:color w:val="auto"/>
        </w:rPr>
        <w:t>24.2</w:t>
      </w:r>
      <w:r>
        <w:rPr>
          <w:rFonts w:hint="eastAsia"/>
          <w:b/>
          <w:color w:val="auto"/>
        </w:rPr>
        <w:t>变更权</w:t>
      </w:r>
    </w:p>
    <w:p>
      <w:pPr>
        <w:tabs>
          <w:tab w:val="left" w:pos="1620"/>
          <w:tab w:val="left" w:pos="2340"/>
        </w:tabs>
        <w:adjustRightInd w:val="0"/>
        <w:snapToGrid w:val="0"/>
        <w:spacing w:beforeLines="0" w:line="360" w:lineRule="auto"/>
        <w:ind w:left="899"/>
        <w:rPr>
          <w:color w:val="auto"/>
        </w:rPr>
      </w:pPr>
      <w:r>
        <w:rPr>
          <w:rFonts w:hint="eastAsia"/>
          <w:color w:val="auto"/>
        </w:rPr>
        <w:t>⑴发包人和监理人均可提出变更。变更指令均通过监理人发出，监理人发出变更指令前应征得发包人同意。承包人收到经发包人签认的变更指令后，方可实施变更。未经许可，承包人不得擅自对工程的任何部分进行变更。</w:t>
      </w:r>
    </w:p>
    <w:p>
      <w:pPr>
        <w:tabs>
          <w:tab w:val="left" w:pos="1620"/>
          <w:tab w:val="left" w:pos="2340"/>
        </w:tabs>
        <w:adjustRightInd w:val="0"/>
        <w:snapToGrid w:val="0"/>
        <w:spacing w:beforeLines="0" w:line="360" w:lineRule="auto"/>
        <w:ind w:left="899"/>
        <w:rPr>
          <w:color w:val="auto"/>
        </w:rPr>
      </w:pPr>
      <w:r>
        <w:rPr>
          <w:rFonts w:hint="eastAsia"/>
          <w:color w:val="auto"/>
        </w:rPr>
        <w:t>⑵涉及设计变更的，应由设计人提供变更后的图纸和说明。</w:t>
      </w:r>
    </w:p>
    <w:p>
      <w:pPr>
        <w:adjustRightInd w:val="0"/>
        <w:snapToGrid w:val="0"/>
        <w:spacing w:before="0" w:beforeLines="0" w:after="0" w:line="360" w:lineRule="auto"/>
        <w:ind w:left="359"/>
        <w:rPr>
          <w:color w:val="auto"/>
        </w:rPr>
      </w:pPr>
      <w:r>
        <w:rPr>
          <w:b/>
          <w:color w:val="auto"/>
        </w:rPr>
        <w:t>24.3</w:t>
      </w:r>
      <w:r>
        <w:rPr>
          <w:rFonts w:hint="eastAsia"/>
          <w:b/>
          <w:color w:val="auto"/>
        </w:rPr>
        <w:t>工程变更程序</w:t>
      </w:r>
    </w:p>
    <w:p>
      <w:pPr>
        <w:tabs>
          <w:tab w:val="left" w:pos="1620"/>
          <w:tab w:val="left" w:pos="2340"/>
        </w:tabs>
        <w:adjustRightInd w:val="0"/>
        <w:snapToGrid w:val="0"/>
        <w:spacing w:beforeLines="0" w:line="360" w:lineRule="auto"/>
        <w:ind w:left="899"/>
        <w:rPr>
          <w:color w:val="auto"/>
        </w:rPr>
      </w:pPr>
      <w:r>
        <w:rPr>
          <w:rFonts w:hint="eastAsia"/>
          <w:color w:val="auto"/>
        </w:rPr>
        <w:t>工程变更应按以下程序及</w:t>
      </w:r>
      <w:r>
        <w:rPr>
          <w:rFonts w:hint="eastAsia"/>
          <w:b/>
          <w:i/>
          <w:color w:val="auto"/>
        </w:rPr>
        <w:t>专用条款</w:t>
      </w:r>
      <w:r>
        <w:rPr>
          <w:rFonts w:hint="eastAsia"/>
          <w:color w:val="auto"/>
        </w:rPr>
        <w:t>的约定办理，并由</w:t>
      </w:r>
      <w:r>
        <w:rPr>
          <w:color w:val="auto"/>
        </w:rPr>
        <w:t>监理人</w:t>
      </w:r>
      <w:r>
        <w:rPr>
          <w:rFonts w:hint="eastAsia"/>
          <w:color w:val="auto"/>
        </w:rPr>
        <w:t>提前14天向承包人发出变更指令。</w:t>
      </w:r>
    </w:p>
    <w:p>
      <w:pPr>
        <w:tabs>
          <w:tab w:val="left" w:pos="1620"/>
          <w:tab w:val="left" w:pos="2340"/>
        </w:tabs>
        <w:adjustRightInd w:val="0"/>
        <w:snapToGrid w:val="0"/>
        <w:spacing w:beforeLines="0" w:line="360" w:lineRule="auto"/>
        <w:ind w:left="1079"/>
        <w:rPr>
          <w:color w:val="auto"/>
        </w:rPr>
      </w:pPr>
      <w:r>
        <w:rPr>
          <w:rFonts w:hint="eastAsia"/>
          <w:color w:val="auto"/>
        </w:rPr>
        <w:t>⑴发包人提出变更建议，经</w:t>
      </w:r>
      <w:r>
        <w:rPr>
          <w:color w:val="auto"/>
        </w:rPr>
        <w:t>监理人</w:t>
      </w:r>
      <w:r>
        <w:rPr>
          <w:rFonts w:hint="eastAsia"/>
          <w:color w:val="auto"/>
        </w:rPr>
        <w:t>审核，涉及施工图调整时应经</w:t>
      </w:r>
      <w:r>
        <w:rPr>
          <w:color w:val="auto"/>
        </w:rPr>
        <w:t>设计人</w:t>
      </w:r>
      <w:r>
        <w:rPr>
          <w:rFonts w:hint="eastAsia"/>
          <w:color w:val="auto"/>
        </w:rPr>
        <w:t>同意并提交相应变更设计；</w:t>
      </w:r>
    </w:p>
    <w:p>
      <w:pPr>
        <w:tabs>
          <w:tab w:val="left" w:pos="1620"/>
          <w:tab w:val="left" w:pos="2340"/>
        </w:tabs>
        <w:adjustRightInd w:val="0"/>
        <w:snapToGrid w:val="0"/>
        <w:spacing w:beforeLines="0" w:line="360" w:lineRule="auto"/>
        <w:ind w:left="1079"/>
        <w:rPr>
          <w:color w:val="auto"/>
        </w:rPr>
      </w:pPr>
      <w:r>
        <w:rPr>
          <w:rFonts w:hint="eastAsia"/>
          <w:color w:val="auto"/>
        </w:rPr>
        <w:t>⑵</w:t>
      </w:r>
      <w:r>
        <w:rPr>
          <w:color w:val="auto"/>
        </w:rPr>
        <w:t>设计人</w:t>
      </w:r>
      <w:r>
        <w:rPr>
          <w:rFonts w:hint="eastAsia"/>
          <w:color w:val="auto"/>
        </w:rPr>
        <w:t>提出变更建议，涉及施工图调整时应提交相应变更设计，经</w:t>
      </w:r>
      <w:r>
        <w:rPr>
          <w:color w:val="auto"/>
        </w:rPr>
        <w:t>监理人</w:t>
      </w:r>
      <w:r>
        <w:rPr>
          <w:rFonts w:hint="eastAsia"/>
          <w:color w:val="auto"/>
        </w:rPr>
        <w:t>审核并报发包人同意；</w:t>
      </w:r>
    </w:p>
    <w:p>
      <w:pPr>
        <w:tabs>
          <w:tab w:val="left" w:pos="1620"/>
          <w:tab w:val="left" w:pos="2340"/>
        </w:tabs>
        <w:adjustRightInd w:val="0"/>
        <w:snapToGrid w:val="0"/>
        <w:spacing w:beforeLines="0" w:line="360" w:lineRule="auto"/>
        <w:ind w:left="1079"/>
        <w:rPr>
          <w:color w:val="auto"/>
        </w:rPr>
      </w:pPr>
      <w:r>
        <w:rPr>
          <w:rFonts w:hint="eastAsia"/>
          <w:color w:val="auto"/>
        </w:rPr>
        <w:t>⑶</w:t>
      </w:r>
      <w:r>
        <w:rPr>
          <w:color w:val="auto"/>
        </w:rPr>
        <w:t>监理人</w:t>
      </w:r>
      <w:r>
        <w:rPr>
          <w:rFonts w:hint="eastAsia"/>
          <w:color w:val="auto"/>
        </w:rPr>
        <w:t>提出变更建议，涉及施工图调整时应经</w:t>
      </w:r>
      <w:r>
        <w:rPr>
          <w:color w:val="auto"/>
        </w:rPr>
        <w:t>设计人</w:t>
      </w:r>
      <w:r>
        <w:rPr>
          <w:rFonts w:hint="eastAsia"/>
          <w:color w:val="auto"/>
        </w:rPr>
        <w:t>同意并提交相应变更设计，报发包人同意；</w:t>
      </w:r>
    </w:p>
    <w:p>
      <w:pPr>
        <w:tabs>
          <w:tab w:val="left" w:pos="1620"/>
          <w:tab w:val="left" w:pos="2340"/>
        </w:tabs>
        <w:adjustRightInd w:val="0"/>
        <w:snapToGrid w:val="0"/>
        <w:spacing w:beforeLines="0" w:line="360" w:lineRule="auto"/>
        <w:ind w:left="1079"/>
        <w:rPr>
          <w:color w:val="auto"/>
        </w:rPr>
      </w:pPr>
      <w:r>
        <w:rPr>
          <w:rFonts w:hint="eastAsia"/>
          <w:color w:val="auto"/>
        </w:rPr>
        <w:t>⑷承包人提出变更建议，涉及施工图调整时应经</w:t>
      </w:r>
      <w:r>
        <w:rPr>
          <w:color w:val="auto"/>
        </w:rPr>
        <w:t>设计人</w:t>
      </w:r>
      <w:r>
        <w:rPr>
          <w:rFonts w:hint="eastAsia"/>
          <w:color w:val="auto"/>
        </w:rPr>
        <w:t>同意并提交相应变更设计，经</w:t>
      </w:r>
      <w:r>
        <w:rPr>
          <w:color w:val="auto"/>
        </w:rPr>
        <w:t>监理人</w:t>
      </w:r>
      <w:r>
        <w:rPr>
          <w:rFonts w:hint="eastAsia"/>
          <w:color w:val="auto"/>
        </w:rPr>
        <w:t>审核并报发包人同意；</w:t>
      </w:r>
    </w:p>
    <w:p>
      <w:pPr>
        <w:tabs>
          <w:tab w:val="left" w:pos="1620"/>
          <w:tab w:val="left" w:pos="2340"/>
        </w:tabs>
        <w:adjustRightInd w:val="0"/>
        <w:snapToGrid w:val="0"/>
        <w:spacing w:beforeLines="0" w:line="360" w:lineRule="auto"/>
        <w:ind w:left="1079"/>
        <w:rPr>
          <w:color w:val="auto"/>
        </w:rPr>
      </w:pPr>
      <w:r>
        <w:rPr>
          <w:rFonts w:hint="eastAsia"/>
          <w:color w:val="auto"/>
        </w:rPr>
        <w:t>⑸以上变更建议涉及到结构、外墙等影响本工程及公众安全的，必须经</w:t>
      </w:r>
      <w:r>
        <w:rPr>
          <w:color w:val="auto"/>
        </w:rPr>
        <w:t>设计人</w:t>
      </w:r>
      <w:r>
        <w:rPr>
          <w:rFonts w:hint="eastAsia"/>
          <w:color w:val="auto"/>
        </w:rPr>
        <w:t>同意并提交相应变更设计；</w:t>
      </w:r>
    </w:p>
    <w:p>
      <w:pPr>
        <w:tabs>
          <w:tab w:val="left" w:pos="1620"/>
          <w:tab w:val="left" w:pos="2340"/>
        </w:tabs>
        <w:adjustRightInd w:val="0"/>
        <w:snapToGrid w:val="0"/>
        <w:spacing w:beforeLines="0" w:line="360" w:lineRule="auto"/>
        <w:ind w:left="1079"/>
        <w:rPr>
          <w:color w:val="auto"/>
        </w:rPr>
      </w:pPr>
      <w:r>
        <w:rPr>
          <w:rFonts w:hint="eastAsia"/>
          <w:color w:val="auto"/>
        </w:rPr>
        <w:t>⑹以上变更超过原设计标准或批准的建设规模需要有关部门审批时，发包人应在</w:t>
      </w:r>
      <w:r>
        <w:rPr>
          <w:rFonts w:hint="eastAsia"/>
          <w:b/>
          <w:i/>
          <w:color w:val="auto"/>
        </w:rPr>
        <w:t>专用条款</w:t>
      </w:r>
      <w:r>
        <w:rPr>
          <w:rFonts w:hint="eastAsia"/>
          <w:color w:val="auto"/>
        </w:rPr>
        <w:t>约定期限内报规划管理部门和其他有关部门重新审查批准，并提供由</w:t>
      </w:r>
      <w:r>
        <w:rPr>
          <w:color w:val="auto"/>
        </w:rPr>
        <w:t>设计人</w:t>
      </w:r>
      <w:r>
        <w:rPr>
          <w:rFonts w:hint="eastAsia"/>
          <w:color w:val="auto"/>
        </w:rPr>
        <w:t>出具的相应变更设计。</w:t>
      </w:r>
    </w:p>
    <w:p>
      <w:pPr>
        <w:adjustRightInd w:val="0"/>
        <w:snapToGrid w:val="0"/>
        <w:spacing w:before="0" w:beforeLines="0" w:after="0" w:line="360" w:lineRule="auto"/>
        <w:ind w:left="359"/>
        <w:rPr>
          <w:color w:val="auto"/>
        </w:rPr>
      </w:pPr>
      <w:r>
        <w:rPr>
          <w:b/>
          <w:color w:val="auto"/>
        </w:rPr>
        <w:t>24.4</w:t>
      </w:r>
      <w:r>
        <w:rPr>
          <w:rFonts w:hint="eastAsia"/>
          <w:b/>
          <w:color w:val="auto"/>
        </w:rPr>
        <w:t>其他变更</w:t>
      </w:r>
    </w:p>
    <w:p>
      <w:pPr>
        <w:tabs>
          <w:tab w:val="left" w:pos="1620"/>
          <w:tab w:val="left" w:pos="2340"/>
        </w:tabs>
        <w:adjustRightInd w:val="0"/>
        <w:snapToGrid w:val="0"/>
        <w:spacing w:beforeLines="0" w:after="0" w:line="360" w:lineRule="auto"/>
        <w:ind w:left="899"/>
        <w:rPr>
          <w:color w:val="auto"/>
        </w:rPr>
      </w:pPr>
      <w:r>
        <w:rPr>
          <w:rFonts w:hint="eastAsia"/>
          <w:color w:val="auto"/>
        </w:rPr>
        <w:t>⑴如发出本工程变更指令是因为承包人过错、承包人违反本合同等造成的，则由此引起的任何额外费用由承包人承担。</w:t>
      </w:r>
    </w:p>
    <w:p>
      <w:pPr>
        <w:tabs>
          <w:tab w:val="left" w:pos="1620"/>
          <w:tab w:val="left" w:pos="2340"/>
        </w:tabs>
        <w:adjustRightInd w:val="0"/>
        <w:snapToGrid w:val="0"/>
        <w:spacing w:beforeLines="0" w:after="0" w:line="360" w:lineRule="auto"/>
        <w:ind w:left="899"/>
        <w:rPr>
          <w:color w:val="auto"/>
        </w:rPr>
      </w:pPr>
      <w:r>
        <w:rPr>
          <w:rFonts w:hint="eastAsia"/>
          <w:color w:val="auto"/>
        </w:rPr>
        <w:t>⑵如承包人为了便于组织施工，或为了施工安全、避免干扰等原因需采取相应的技术措施而提出的局部变更设计，除须得到</w:t>
      </w:r>
      <w:r>
        <w:rPr>
          <w:color w:val="auto"/>
        </w:rPr>
        <w:t>监理人</w:t>
      </w:r>
      <w:r>
        <w:rPr>
          <w:rFonts w:hint="eastAsia"/>
          <w:color w:val="auto"/>
        </w:rPr>
        <w:t>的批准外，由此而增加的费用由承包人自行负担。因承包人擅自变更设计发生的费用和由此导致发包人的直接损失，由承包人承担，延误的工期不予顺延。</w:t>
      </w:r>
    </w:p>
    <w:p>
      <w:pPr>
        <w:adjustRightInd w:val="0"/>
        <w:snapToGrid w:val="0"/>
        <w:spacing w:before="0" w:beforeLines="0" w:after="0" w:line="360" w:lineRule="auto"/>
        <w:ind w:left="359"/>
        <w:rPr>
          <w:color w:val="auto"/>
        </w:rPr>
      </w:pPr>
      <w:r>
        <w:rPr>
          <w:b/>
          <w:color w:val="auto"/>
        </w:rPr>
        <w:t>24.5</w:t>
      </w:r>
      <w:r>
        <w:rPr>
          <w:rFonts w:hint="eastAsia"/>
          <w:b/>
          <w:color w:val="auto"/>
        </w:rPr>
        <w:t>计日工现场签证</w:t>
      </w:r>
    </w:p>
    <w:p>
      <w:pPr>
        <w:tabs>
          <w:tab w:val="left" w:pos="1620"/>
          <w:tab w:val="left" w:pos="2340"/>
        </w:tabs>
        <w:adjustRightInd w:val="0"/>
        <w:snapToGrid w:val="0"/>
        <w:spacing w:beforeLines="0" w:after="0" w:line="360" w:lineRule="auto"/>
        <w:ind w:left="899"/>
        <w:rPr>
          <w:color w:val="auto"/>
        </w:rPr>
      </w:pPr>
      <w:r>
        <w:rPr>
          <w:rFonts w:hint="eastAsia"/>
          <w:color w:val="auto"/>
        </w:rPr>
        <w:t>⑴在本工程施工过程中，承包人完成发包人或</w:t>
      </w:r>
      <w:r>
        <w:rPr>
          <w:color w:val="auto"/>
        </w:rPr>
        <w:t>监理人</w:t>
      </w:r>
      <w:r>
        <w:rPr>
          <w:rFonts w:hint="eastAsia"/>
          <w:color w:val="auto"/>
        </w:rPr>
        <w:t>提出的施工图以外的零星项目或工作，</w:t>
      </w:r>
      <w:r>
        <w:rPr>
          <w:color w:val="auto"/>
        </w:rPr>
        <w:t>其价款按列入已标价工程量清单或预算书中的计日工计价项目及其单价进行计算；已标价工程量清单或预算书中无相应的计日工单价的，按照合理的成本与利润构成的原则，由承发包双方</w:t>
      </w:r>
      <w:r>
        <w:rPr>
          <w:rFonts w:hint="eastAsia"/>
          <w:color w:val="auto"/>
        </w:rPr>
        <w:t>协商</w:t>
      </w:r>
      <w:r>
        <w:rPr>
          <w:color w:val="auto"/>
        </w:rPr>
        <w:t>确定变更工作的单价</w:t>
      </w:r>
      <w:r>
        <w:rPr>
          <w:rFonts w:hint="eastAsia"/>
          <w:color w:val="auto"/>
        </w:rPr>
        <w:t>，协商不成的，按第30条［争议解决］的约定处理。</w:t>
      </w:r>
    </w:p>
    <w:p>
      <w:pPr>
        <w:tabs>
          <w:tab w:val="left" w:pos="1620"/>
          <w:tab w:val="left" w:pos="2340"/>
        </w:tabs>
        <w:adjustRightInd w:val="0"/>
        <w:snapToGrid w:val="0"/>
        <w:spacing w:beforeLines="0" w:after="0" w:line="360" w:lineRule="auto"/>
        <w:ind w:left="899"/>
        <w:rPr>
          <w:color w:val="auto"/>
        </w:rPr>
      </w:pPr>
      <w:r>
        <w:rPr>
          <w:rFonts w:hint="eastAsia"/>
          <w:color w:val="auto"/>
        </w:rPr>
        <w:t>⑵发包人或</w:t>
      </w:r>
      <w:r>
        <w:rPr>
          <w:color w:val="auto"/>
        </w:rPr>
        <w:t>监理人</w:t>
      </w:r>
      <w:r>
        <w:rPr>
          <w:rFonts w:hint="eastAsia"/>
          <w:color w:val="auto"/>
        </w:rPr>
        <w:t>如认为必要时，可以指令承包人按计日工完成工作。对所有按计日工方式施工的工程，承包人应在该工程持续进行过程中，每天向</w:t>
      </w:r>
      <w:r>
        <w:rPr>
          <w:color w:val="auto"/>
        </w:rPr>
        <w:t>监理人</w:t>
      </w:r>
      <w:r>
        <w:rPr>
          <w:rFonts w:hint="eastAsia"/>
          <w:color w:val="auto"/>
        </w:rPr>
        <w:t>提交以下报表及有关凭证一式两份，经</w:t>
      </w:r>
      <w:r>
        <w:rPr>
          <w:color w:val="auto"/>
        </w:rPr>
        <w:t>监理人</w:t>
      </w:r>
      <w:r>
        <w:rPr>
          <w:rFonts w:hint="eastAsia"/>
          <w:color w:val="auto"/>
        </w:rPr>
        <w:t>确认签字后，退还其中一份给承包人。</w:t>
      </w:r>
    </w:p>
    <w:p>
      <w:pPr>
        <w:tabs>
          <w:tab w:val="left" w:pos="1620"/>
          <w:tab w:val="left" w:pos="2340"/>
        </w:tabs>
        <w:adjustRightInd w:val="0"/>
        <w:snapToGrid w:val="0"/>
        <w:spacing w:beforeLines="0" w:line="360" w:lineRule="auto"/>
        <w:ind w:left="1079"/>
        <w:rPr>
          <w:color w:val="auto"/>
        </w:rPr>
      </w:pPr>
      <w:r>
        <w:rPr>
          <w:rFonts w:hint="eastAsia"/>
          <w:color w:val="auto"/>
        </w:rPr>
        <w:t>①</w:t>
      </w:r>
      <w:r>
        <w:rPr>
          <w:color w:val="auto"/>
        </w:rPr>
        <w:t>工作名称、内容和数量；</w:t>
      </w:r>
    </w:p>
    <w:p>
      <w:pPr>
        <w:tabs>
          <w:tab w:val="left" w:pos="1620"/>
          <w:tab w:val="left" w:pos="2340"/>
        </w:tabs>
        <w:adjustRightInd w:val="0"/>
        <w:snapToGrid w:val="0"/>
        <w:spacing w:beforeLines="0" w:line="360" w:lineRule="auto"/>
        <w:ind w:left="1079"/>
        <w:rPr>
          <w:color w:val="auto"/>
        </w:rPr>
      </w:pPr>
      <w:r>
        <w:rPr>
          <w:rFonts w:hint="eastAsia"/>
          <w:color w:val="auto"/>
        </w:rPr>
        <w:t>②</w:t>
      </w:r>
      <w:r>
        <w:rPr>
          <w:color w:val="auto"/>
        </w:rPr>
        <w:t>投入该工作的所有人员的姓名、专业、工种、级别和耗用工时；</w:t>
      </w:r>
    </w:p>
    <w:p>
      <w:pPr>
        <w:tabs>
          <w:tab w:val="left" w:pos="1620"/>
          <w:tab w:val="left" w:pos="2340"/>
        </w:tabs>
        <w:adjustRightInd w:val="0"/>
        <w:snapToGrid w:val="0"/>
        <w:spacing w:beforeLines="0" w:line="360" w:lineRule="auto"/>
        <w:ind w:left="1079"/>
        <w:rPr>
          <w:color w:val="auto"/>
        </w:rPr>
      </w:pPr>
      <w:r>
        <w:rPr>
          <w:rFonts w:hint="eastAsia"/>
          <w:color w:val="auto"/>
        </w:rPr>
        <w:t>③</w:t>
      </w:r>
      <w:r>
        <w:rPr>
          <w:color w:val="auto"/>
        </w:rPr>
        <w:t>投入该工作的材料类别和数量；</w:t>
      </w:r>
    </w:p>
    <w:p>
      <w:pPr>
        <w:tabs>
          <w:tab w:val="left" w:pos="1620"/>
          <w:tab w:val="left" w:pos="2340"/>
        </w:tabs>
        <w:adjustRightInd w:val="0"/>
        <w:snapToGrid w:val="0"/>
        <w:spacing w:beforeLines="0" w:line="360" w:lineRule="auto"/>
        <w:ind w:left="1079"/>
        <w:rPr>
          <w:color w:val="auto"/>
        </w:rPr>
      </w:pPr>
      <w:r>
        <w:rPr>
          <w:rFonts w:hint="eastAsia"/>
          <w:color w:val="auto"/>
        </w:rPr>
        <w:t>④</w:t>
      </w:r>
      <w:r>
        <w:rPr>
          <w:color w:val="auto"/>
        </w:rPr>
        <w:t>投入该工作的施工设备型号和耗用</w:t>
      </w:r>
      <w:r>
        <w:rPr>
          <w:rFonts w:hint="eastAsia"/>
          <w:color w:val="auto"/>
        </w:rPr>
        <w:t>台班</w:t>
      </w:r>
      <w:r>
        <w:rPr>
          <w:color w:val="auto"/>
        </w:rPr>
        <w:t>；</w:t>
      </w:r>
    </w:p>
    <w:p>
      <w:pPr>
        <w:tabs>
          <w:tab w:val="left" w:pos="1620"/>
          <w:tab w:val="left" w:pos="2340"/>
        </w:tabs>
        <w:adjustRightInd w:val="0"/>
        <w:snapToGrid w:val="0"/>
        <w:spacing w:beforeLines="0" w:line="360" w:lineRule="auto"/>
        <w:ind w:left="1079"/>
        <w:rPr>
          <w:color w:val="auto"/>
        </w:rPr>
      </w:pPr>
      <w:r>
        <w:rPr>
          <w:rFonts w:hint="eastAsia"/>
          <w:color w:val="auto"/>
        </w:rPr>
        <w:t>⑤</w:t>
      </w:r>
      <w:r>
        <w:rPr>
          <w:color w:val="auto"/>
        </w:rPr>
        <w:t>其他有关资料和凭证。</w:t>
      </w:r>
    </w:p>
    <w:p>
      <w:pPr>
        <w:tabs>
          <w:tab w:val="left" w:pos="1620"/>
          <w:tab w:val="left" w:pos="2340"/>
        </w:tabs>
        <w:adjustRightInd w:val="0"/>
        <w:snapToGrid w:val="0"/>
        <w:spacing w:beforeLines="0" w:after="0" w:line="360" w:lineRule="auto"/>
        <w:ind w:left="899"/>
        <w:rPr>
          <w:color w:val="auto"/>
        </w:rPr>
      </w:pPr>
      <w:r>
        <w:rPr>
          <w:rFonts w:hint="eastAsia"/>
          <w:color w:val="auto"/>
        </w:rPr>
        <w:t>⑶在期中结算的同时，承包人应按照</w:t>
      </w:r>
      <w:r>
        <w:rPr>
          <w:color w:val="auto"/>
        </w:rPr>
        <w:t>监理人</w:t>
      </w:r>
      <w:r>
        <w:rPr>
          <w:rFonts w:hint="eastAsia"/>
          <w:color w:val="auto"/>
        </w:rPr>
        <w:t>确认的本期累计所用劳务、材料和承包人装备的数量，向</w:t>
      </w:r>
      <w:r>
        <w:rPr>
          <w:color w:val="auto"/>
        </w:rPr>
        <w:t>监理人</w:t>
      </w:r>
      <w:r>
        <w:rPr>
          <w:rFonts w:hint="eastAsia"/>
          <w:color w:val="auto"/>
        </w:rPr>
        <w:t>申报本期所用计日工费用，经</w:t>
      </w:r>
      <w:r>
        <w:rPr>
          <w:color w:val="auto"/>
        </w:rPr>
        <w:t>监理人</w:t>
      </w:r>
      <w:r>
        <w:rPr>
          <w:rFonts w:hint="eastAsia"/>
          <w:color w:val="auto"/>
        </w:rPr>
        <w:t>审核并报发包人确认后，与期中支付同期支付。</w:t>
      </w:r>
    </w:p>
    <w:p>
      <w:pPr>
        <w:adjustRightInd w:val="0"/>
        <w:snapToGrid w:val="0"/>
        <w:spacing w:before="0" w:beforeLines="0" w:after="0" w:line="360" w:lineRule="auto"/>
        <w:ind w:left="359"/>
        <w:rPr>
          <w:color w:val="auto"/>
        </w:rPr>
      </w:pPr>
      <w:r>
        <w:rPr>
          <w:b/>
          <w:color w:val="auto"/>
        </w:rPr>
        <w:t>24.6</w:t>
      </w:r>
      <w:r>
        <w:rPr>
          <w:rFonts w:hint="eastAsia"/>
          <w:b/>
          <w:color w:val="auto"/>
        </w:rPr>
        <w:t>价值工程</w:t>
      </w:r>
    </w:p>
    <w:p>
      <w:pPr>
        <w:tabs>
          <w:tab w:val="left" w:pos="1620"/>
          <w:tab w:val="left" w:pos="2340"/>
        </w:tabs>
        <w:adjustRightInd w:val="0"/>
        <w:snapToGrid w:val="0"/>
        <w:spacing w:beforeLines="0" w:line="360" w:lineRule="auto"/>
        <w:ind w:left="899"/>
        <w:rPr>
          <w:color w:val="auto"/>
        </w:rPr>
      </w:pPr>
      <w:r>
        <w:rPr>
          <w:rFonts w:hint="eastAsia"/>
          <w:color w:val="auto"/>
        </w:rPr>
        <w:t>⑴施工过程中承包人可随时提出其认为可满足下列要求的合理化建议：</w:t>
      </w:r>
    </w:p>
    <w:p>
      <w:pPr>
        <w:tabs>
          <w:tab w:val="left" w:pos="1620"/>
          <w:tab w:val="left" w:pos="2340"/>
        </w:tabs>
        <w:adjustRightInd w:val="0"/>
        <w:snapToGrid w:val="0"/>
        <w:spacing w:beforeLines="0" w:line="360" w:lineRule="auto"/>
        <w:ind w:left="1079"/>
        <w:rPr>
          <w:color w:val="auto"/>
        </w:rPr>
      </w:pPr>
      <w:r>
        <w:rPr>
          <w:rFonts w:hint="eastAsia"/>
          <w:color w:val="auto"/>
        </w:rPr>
        <w:t>①使本工程提前竣工；</w:t>
      </w:r>
    </w:p>
    <w:p>
      <w:pPr>
        <w:tabs>
          <w:tab w:val="left" w:pos="1620"/>
          <w:tab w:val="left" w:pos="2340"/>
        </w:tabs>
        <w:adjustRightInd w:val="0"/>
        <w:snapToGrid w:val="0"/>
        <w:spacing w:beforeLines="0" w:line="360" w:lineRule="auto"/>
        <w:ind w:left="1079"/>
        <w:rPr>
          <w:color w:val="auto"/>
        </w:rPr>
      </w:pPr>
      <w:r>
        <w:rPr>
          <w:rFonts w:hint="eastAsia"/>
          <w:color w:val="auto"/>
        </w:rPr>
        <w:t>②降低发包人的工程施工、维护或运营的费用；</w:t>
      </w:r>
    </w:p>
    <w:p>
      <w:pPr>
        <w:tabs>
          <w:tab w:val="left" w:pos="1620"/>
          <w:tab w:val="left" w:pos="2340"/>
        </w:tabs>
        <w:adjustRightInd w:val="0"/>
        <w:snapToGrid w:val="0"/>
        <w:spacing w:beforeLines="0" w:line="360" w:lineRule="auto"/>
        <w:ind w:left="1079"/>
        <w:rPr>
          <w:color w:val="auto"/>
        </w:rPr>
      </w:pPr>
      <w:r>
        <w:rPr>
          <w:rFonts w:hint="eastAsia"/>
          <w:color w:val="auto"/>
        </w:rPr>
        <w:t>③提高本工程的价值；</w:t>
      </w:r>
    </w:p>
    <w:p>
      <w:pPr>
        <w:tabs>
          <w:tab w:val="left" w:pos="1620"/>
          <w:tab w:val="left" w:pos="2340"/>
        </w:tabs>
        <w:adjustRightInd w:val="0"/>
        <w:snapToGrid w:val="0"/>
        <w:spacing w:beforeLines="0" w:line="360" w:lineRule="auto"/>
        <w:ind w:left="1079"/>
        <w:rPr>
          <w:color w:val="auto"/>
        </w:rPr>
      </w:pPr>
      <w:r>
        <w:rPr>
          <w:rFonts w:hint="eastAsia"/>
          <w:color w:val="auto"/>
        </w:rPr>
        <w:t>④为发包人带来其它利益。</w:t>
      </w:r>
    </w:p>
    <w:p>
      <w:pPr>
        <w:tabs>
          <w:tab w:val="left" w:pos="1620"/>
          <w:tab w:val="left" w:pos="2340"/>
        </w:tabs>
        <w:adjustRightInd w:val="0"/>
        <w:snapToGrid w:val="0"/>
        <w:spacing w:before="0" w:beforeLines="0" w:line="360" w:lineRule="auto"/>
        <w:ind w:left="899"/>
        <w:rPr>
          <w:color w:val="auto"/>
        </w:rPr>
      </w:pPr>
      <w:r>
        <w:rPr>
          <w:rFonts w:hint="eastAsia"/>
          <w:color w:val="auto"/>
        </w:rPr>
        <w:t>⑵</w:t>
      </w:r>
      <w:r>
        <w:rPr>
          <w:color w:val="auto"/>
        </w:rPr>
        <w:t>监理人</w:t>
      </w:r>
      <w:r>
        <w:rPr>
          <w:rFonts w:hint="eastAsia"/>
          <w:color w:val="auto"/>
        </w:rPr>
        <w:t>收到此类建议后，应尽快提出针对性的回复，在此期间，承包人应继续按照本合同约定进行相应工作。若该合理化建议涉及到对设计图纸或施工组织设计的更改及对材料、设备的换用，须经</w:t>
      </w:r>
      <w:r>
        <w:rPr>
          <w:color w:val="auto"/>
        </w:rPr>
        <w:t>监理人</w:t>
      </w:r>
      <w:r>
        <w:rPr>
          <w:rFonts w:hint="eastAsia"/>
          <w:color w:val="auto"/>
        </w:rPr>
        <w:t>审查并报经发包人批准。未经批准擅自更改或换用时，承包人承担由此发生的费用，并赔偿发包人的有关损失，延误的工期不予顺延。</w:t>
      </w:r>
    </w:p>
    <w:p>
      <w:pPr>
        <w:tabs>
          <w:tab w:val="left" w:pos="1620"/>
          <w:tab w:val="left" w:pos="2340"/>
        </w:tabs>
        <w:adjustRightInd w:val="0"/>
        <w:snapToGrid w:val="0"/>
        <w:spacing w:before="0" w:beforeLines="0" w:line="360" w:lineRule="auto"/>
        <w:ind w:left="899"/>
        <w:rPr>
          <w:color w:val="auto"/>
        </w:rPr>
      </w:pPr>
      <w:r>
        <w:rPr>
          <w:rFonts w:hint="eastAsia"/>
          <w:color w:val="auto"/>
        </w:rPr>
        <w:t>⑶若发包人同意采用承包人合理化建议，所发生的费用和获得的收益，发包人和承包人按</w:t>
      </w:r>
      <w:r>
        <w:rPr>
          <w:rFonts w:hint="eastAsia"/>
          <w:b/>
          <w:i/>
          <w:color w:val="auto"/>
        </w:rPr>
        <w:t>专用条款</w:t>
      </w:r>
      <w:r>
        <w:rPr>
          <w:rFonts w:hint="eastAsia"/>
          <w:color w:val="auto"/>
        </w:rPr>
        <w:t>的约定分担或分享。</w:t>
      </w:r>
    </w:p>
    <w:p>
      <w:pPr>
        <w:adjustRightInd w:val="0"/>
        <w:snapToGrid w:val="0"/>
        <w:spacing w:before="0" w:beforeLines="0" w:after="0" w:line="360" w:lineRule="auto"/>
        <w:ind w:left="359"/>
        <w:rPr>
          <w:color w:val="auto"/>
        </w:rPr>
      </w:pPr>
      <w:r>
        <w:rPr>
          <w:b/>
          <w:color w:val="auto"/>
        </w:rPr>
        <w:t>24.7变更引起的工期调整</w:t>
      </w:r>
    </w:p>
    <w:p>
      <w:pPr>
        <w:tabs>
          <w:tab w:val="left" w:pos="1620"/>
          <w:tab w:val="left" w:pos="2340"/>
        </w:tabs>
        <w:adjustRightInd w:val="0"/>
        <w:snapToGrid w:val="0"/>
        <w:spacing w:before="0" w:beforeLines="0" w:line="360" w:lineRule="auto"/>
        <w:ind w:left="899"/>
        <w:rPr>
          <w:color w:val="auto"/>
        </w:rPr>
      </w:pPr>
      <w:r>
        <w:rPr>
          <w:color w:val="auto"/>
        </w:rPr>
        <w:t>因变更引起工期变化的，承发包双方均可要求调整合同工期，由承发包双方参考工期定额标准</w:t>
      </w:r>
      <w:r>
        <w:rPr>
          <w:rFonts w:hint="eastAsia"/>
          <w:color w:val="auto"/>
        </w:rPr>
        <w:t>协商</w:t>
      </w:r>
      <w:r>
        <w:rPr>
          <w:color w:val="auto"/>
        </w:rPr>
        <w:t>确定增减工期天数。</w:t>
      </w:r>
    </w:p>
    <w:p>
      <w:pPr>
        <w:adjustRightInd w:val="0"/>
        <w:snapToGrid w:val="0"/>
        <w:spacing w:before="0" w:beforeLines="0" w:after="0" w:line="360" w:lineRule="auto"/>
        <w:ind w:left="178"/>
        <w:rPr>
          <w:color w:val="auto"/>
          <w:sz w:val="28"/>
        </w:rPr>
      </w:pPr>
      <w:r>
        <w:rPr>
          <w:b/>
          <w:color w:val="auto"/>
          <w:sz w:val="28"/>
        </w:rPr>
        <w:t>25</w:t>
      </w:r>
      <w:r>
        <w:rPr>
          <w:rFonts w:hint="eastAsia"/>
          <w:b/>
          <w:color w:val="auto"/>
          <w:sz w:val="28"/>
        </w:rPr>
        <w:t>工程变更价款</w:t>
      </w:r>
    </w:p>
    <w:p>
      <w:pPr>
        <w:adjustRightInd w:val="0"/>
        <w:snapToGrid w:val="0"/>
        <w:spacing w:before="0" w:beforeLines="0" w:after="0" w:line="360" w:lineRule="auto"/>
        <w:ind w:left="359"/>
        <w:rPr>
          <w:color w:val="auto"/>
        </w:rPr>
      </w:pPr>
      <w:r>
        <w:rPr>
          <w:b/>
          <w:color w:val="auto"/>
        </w:rPr>
        <w:t>25.1</w:t>
      </w:r>
      <w:r>
        <w:rPr>
          <w:rFonts w:hint="eastAsia"/>
          <w:b/>
          <w:color w:val="auto"/>
        </w:rPr>
        <w:t>工程变更价款的确定方法</w:t>
      </w:r>
    </w:p>
    <w:p>
      <w:pPr>
        <w:tabs>
          <w:tab w:val="left" w:pos="1620"/>
          <w:tab w:val="left" w:pos="2340"/>
        </w:tabs>
        <w:adjustRightInd w:val="0"/>
        <w:snapToGrid w:val="0"/>
        <w:spacing w:beforeLines="0" w:after="0" w:line="360" w:lineRule="auto"/>
        <w:ind w:left="899"/>
        <w:rPr>
          <w:color w:val="auto"/>
        </w:rPr>
      </w:pPr>
      <w:r>
        <w:rPr>
          <w:rFonts w:hint="eastAsia"/>
          <w:color w:val="auto"/>
        </w:rPr>
        <w:t>⑴合同价格构成中的工程量清单项目单价中已有适用于变更工程的工程量清单项目单价，按已有的工程量清单项目单价确定变更价款。</w:t>
      </w:r>
    </w:p>
    <w:p>
      <w:pPr>
        <w:tabs>
          <w:tab w:val="left" w:pos="1620"/>
          <w:tab w:val="left" w:pos="2340"/>
        </w:tabs>
        <w:adjustRightInd w:val="0"/>
        <w:snapToGrid w:val="0"/>
        <w:spacing w:beforeLines="0" w:after="0" w:line="360" w:lineRule="auto"/>
        <w:ind w:left="899"/>
        <w:rPr>
          <w:color w:val="auto"/>
        </w:rPr>
      </w:pPr>
      <w:r>
        <w:rPr>
          <w:rFonts w:hint="eastAsia"/>
          <w:color w:val="auto"/>
        </w:rPr>
        <w:t>⑵除</w:t>
      </w:r>
      <w:r>
        <w:rPr>
          <w:rFonts w:hint="eastAsia"/>
          <w:b/>
          <w:i/>
          <w:color w:val="auto"/>
        </w:rPr>
        <w:t>专用条款</w:t>
      </w:r>
      <w:r>
        <w:rPr>
          <w:rFonts w:hint="eastAsia"/>
          <w:color w:val="auto"/>
        </w:rPr>
        <w:t>另有约定外，合同价格构成中的工程量清单项目单价中只有类似于变更工程的工程量清单项目单价，可以参照类似项目工程量清单项目单价确定变更价款，类似项目是指采用的材料、施工工艺和方法基本相似，不增加关键线路上工程的施工时间的项目。</w:t>
      </w:r>
    </w:p>
    <w:p>
      <w:pPr>
        <w:tabs>
          <w:tab w:val="left" w:pos="1620"/>
          <w:tab w:val="left" w:pos="2340"/>
        </w:tabs>
        <w:adjustRightInd w:val="0"/>
        <w:snapToGrid w:val="0"/>
        <w:spacing w:beforeLines="0" w:after="0" w:line="360" w:lineRule="auto"/>
        <w:ind w:left="899"/>
        <w:rPr>
          <w:color w:val="auto"/>
        </w:rPr>
      </w:pPr>
      <w:r>
        <w:rPr>
          <w:rFonts w:hint="eastAsia"/>
          <w:color w:val="auto"/>
        </w:rPr>
        <w:t>⑶合同价格构成中的工程量清单项目单价中没有适用或类似于变更工程的工程量清单项目单价，除</w:t>
      </w:r>
      <w:r>
        <w:rPr>
          <w:rFonts w:hint="eastAsia"/>
          <w:b/>
          <w:i/>
          <w:color w:val="auto"/>
        </w:rPr>
        <w:t>专用条款</w:t>
      </w:r>
      <w:r>
        <w:rPr>
          <w:rFonts w:hint="eastAsia"/>
          <w:color w:val="auto"/>
        </w:rPr>
        <w:t>另有约定外，发包人和承包人应按照本工程招标控制价的编制方法，根据工程变更资料计算，并按本工程净下浮率进行下浮调整确定该工程变更价款。</w:t>
      </w:r>
    </w:p>
    <w:p>
      <w:pPr>
        <w:tabs>
          <w:tab w:val="left" w:pos="1620"/>
          <w:tab w:val="left" w:pos="2340"/>
        </w:tabs>
        <w:adjustRightInd w:val="0"/>
        <w:snapToGrid w:val="0"/>
        <w:spacing w:beforeLines="0" w:after="0" w:line="360" w:lineRule="auto"/>
        <w:ind w:left="899"/>
        <w:rPr>
          <w:color w:val="auto"/>
        </w:rPr>
      </w:pPr>
      <w:r>
        <w:rPr>
          <w:rFonts w:hint="eastAsia"/>
          <w:color w:val="auto"/>
        </w:rPr>
        <w:t>⑷如工程变更造成工程量清单中某项目的工程量增减超过15%或承发包双方在</w:t>
      </w:r>
      <w:r>
        <w:rPr>
          <w:rFonts w:hint="eastAsia"/>
          <w:b/>
          <w:i/>
          <w:color w:val="auto"/>
        </w:rPr>
        <w:t>专用条款</w:t>
      </w:r>
      <w:r>
        <w:rPr>
          <w:rFonts w:hint="eastAsia"/>
          <w:color w:val="auto"/>
        </w:rPr>
        <w:t>中约定的幅度时，其工程量清单项目单价按第25.4款执行。</w:t>
      </w:r>
    </w:p>
    <w:p>
      <w:pPr>
        <w:adjustRightInd w:val="0"/>
        <w:snapToGrid w:val="0"/>
        <w:spacing w:before="0" w:beforeLines="0" w:after="0" w:line="360" w:lineRule="auto"/>
        <w:ind w:left="359"/>
        <w:rPr>
          <w:color w:val="auto"/>
        </w:rPr>
      </w:pPr>
      <w:r>
        <w:rPr>
          <w:b/>
          <w:color w:val="auto"/>
        </w:rPr>
        <w:t>25.2</w:t>
      </w:r>
      <w:r>
        <w:rPr>
          <w:rFonts w:hint="eastAsia"/>
          <w:b/>
          <w:color w:val="auto"/>
        </w:rPr>
        <w:t>工程变更引起措施项目的调整</w:t>
      </w:r>
    </w:p>
    <w:p>
      <w:pPr>
        <w:tabs>
          <w:tab w:val="left" w:pos="1620"/>
          <w:tab w:val="left" w:pos="2340"/>
        </w:tabs>
        <w:adjustRightInd w:val="0"/>
        <w:snapToGrid w:val="0"/>
        <w:spacing w:beforeLines="0" w:after="0" w:line="360" w:lineRule="auto"/>
        <w:ind w:left="899"/>
        <w:rPr>
          <w:color w:val="auto"/>
        </w:rPr>
      </w:pPr>
      <w:r>
        <w:rPr>
          <w:rFonts w:hint="eastAsia"/>
          <w:color w:val="auto"/>
        </w:rPr>
        <w:t>⑴当工程变更引起措施项目发生变化，造成施工组织设计或施工方案变更时，承包人有权提出调整措施项目费。</w:t>
      </w:r>
    </w:p>
    <w:p>
      <w:pPr>
        <w:tabs>
          <w:tab w:val="left" w:pos="1620"/>
          <w:tab w:val="left" w:pos="2340"/>
        </w:tabs>
        <w:adjustRightInd w:val="0"/>
        <w:snapToGrid w:val="0"/>
        <w:spacing w:beforeLines="0" w:after="0" w:line="360" w:lineRule="auto"/>
        <w:ind w:left="899"/>
        <w:rPr>
          <w:color w:val="auto"/>
        </w:rPr>
      </w:pPr>
      <w:r>
        <w:rPr>
          <w:rFonts w:hint="eastAsia"/>
          <w:color w:val="auto"/>
        </w:rPr>
        <w:t>⑵承包人提出调整措施项目费的，应事先将拟实施的方案提交</w:t>
      </w:r>
      <w:r>
        <w:rPr>
          <w:color w:val="auto"/>
        </w:rPr>
        <w:t>监理人</w:t>
      </w:r>
      <w:r>
        <w:rPr>
          <w:rFonts w:hint="eastAsia"/>
          <w:color w:val="auto"/>
        </w:rPr>
        <w:t>确认，并详细说明与原方案措施项目的变化情况。拟实施的方案经</w:t>
      </w:r>
      <w:r>
        <w:rPr>
          <w:color w:val="auto"/>
        </w:rPr>
        <w:t>监理人</w:t>
      </w:r>
      <w:r>
        <w:rPr>
          <w:rFonts w:hint="eastAsia"/>
          <w:color w:val="auto"/>
        </w:rPr>
        <w:t>认可，并报发包人批准后执行。</w:t>
      </w:r>
    </w:p>
    <w:p>
      <w:pPr>
        <w:tabs>
          <w:tab w:val="left" w:pos="1620"/>
          <w:tab w:val="left" w:pos="2340"/>
        </w:tabs>
        <w:adjustRightInd w:val="0"/>
        <w:snapToGrid w:val="0"/>
        <w:spacing w:beforeLines="0" w:line="360" w:lineRule="auto"/>
        <w:ind w:left="899"/>
        <w:rPr>
          <w:color w:val="auto"/>
        </w:rPr>
      </w:pPr>
      <w:r>
        <w:rPr>
          <w:rFonts w:hint="eastAsia"/>
          <w:color w:val="auto"/>
        </w:rPr>
        <w:t>⑶除</w:t>
      </w:r>
      <w:r>
        <w:rPr>
          <w:rFonts w:hint="eastAsia"/>
          <w:b/>
          <w:i/>
          <w:color w:val="auto"/>
        </w:rPr>
        <w:t>专用条款</w:t>
      </w:r>
      <w:r>
        <w:rPr>
          <w:rFonts w:hint="eastAsia"/>
          <w:color w:val="auto"/>
        </w:rPr>
        <w:t>另有约定外，工程变更引起的措施项目费调整的计算方法为：</w:t>
      </w:r>
    </w:p>
    <w:p>
      <w:pPr>
        <w:tabs>
          <w:tab w:val="left" w:pos="1620"/>
          <w:tab w:val="left" w:pos="2340"/>
        </w:tabs>
        <w:adjustRightInd w:val="0"/>
        <w:snapToGrid w:val="0"/>
        <w:spacing w:beforeLines="0" w:line="360" w:lineRule="auto"/>
        <w:ind w:left="1134"/>
        <w:rPr>
          <w:color w:val="auto"/>
        </w:rPr>
      </w:pPr>
      <w:r>
        <w:rPr>
          <w:rFonts w:hint="eastAsia"/>
          <w:color w:val="auto"/>
        </w:rPr>
        <w:t>①采用单价计算的措施项目费，按照实际发生变化的措施项目，按第25.1款［工程变更价款的确定方法］约定的方法确定单价；</w:t>
      </w:r>
    </w:p>
    <w:p>
      <w:pPr>
        <w:tabs>
          <w:tab w:val="left" w:pos="1620"/>
          <w:tab w:val="left" w:pos="2340"/>
        </w:tabs>
        <w:adjustRightInd w:val="0"/>
        <w:snapToGrid w:val="0"/>
        <w:spacing w:beforeLines="0" w:line="360" w:lineRule="auto"/>
        <w:ind w:left="1134"/>
        <w:rPr>
          <w:color w:val="auto"/>
        </w:rPr>
      </w:pPr>
      <w:r>
        <w:rPr>
          <w:rFonts w:hint="eastAsia"/>
          <w:color w:val="auto"/>
        </w:rPr>
        <w:t>②除安全文明施工措施费外，采用以“项”计量计价的措施项目费，按照实际发生变化的措施项目以原措施费的组价方法调整；</w:t>
      </w:r>
    </w:p>
    <w:p>
      <w:pPr>
        <w:tabs>
          <w:tab w:val="left" w:pos="1620"/>
          <w:tab w:val="left" w:pos="2340"/>
        </w:tabs>
        <w:adjustRightInd w:val="0"/>
        <w:snapToGrid w:val="0"/>
        <w:spacing w:beforeLines="0" w:line="360" w:lineRule="auto"/>
        <w:ind w:left="1134"/>
        <w:rPr>
          <w:color w:val="auto"/>
        </w:rPr>
      </w:pPr>
      <w:r>
        <w:rPr>
          <w:rFonts w:hint="eastAsia"/>
          <w:color w:val="auto"/>
        </w:rPr>
        <w:t>③安全文明施工措施费计算基数发生</w:t>
      </w:r>
      <w:r>
        <w:rPr>
          <w:rFonts w:hint="eastAsia"/>
          <w:b/>
          <w:i/>
          <w:color w:val="auto"/>
        </w:rPr>
        <w:t>专用条款</w:t>
      </w:r>
      <w:r>
        <w:rPr>
          <w:rFonts w:hint="eastAsia"/>
          <w:bCs/>
          <w:iCs/>
          <w:color w:val="auto"/>
        </w:rPr>
        <w:t>约定</w:t>
      </w:r>
      <w:r>
        <w:rPr>
          <w:rFonts w:hint="eastAsia"/>
          <w:color w:val="auto"/>
        </w:rPr>
        <w:t>变化</w:t>
      </w:r>
      <w:r>
        <w:rPr>
          <w:rFonts w:hint="eastAsia"/>
          <w:bCs/>
          <w:iCs/>
          <w:color w:val="auto"/>
        </w:rPr>
        <w:t>幅度</w:t>
      </w:r>
      <w:r>
        <w:rPr>
          <w:rFonts w:hint="eastAsia"/>
          <w:color w:val="auto"/>
        </w:rPr>
        <w:t>的，按照</w:t>
      </w:r>
      <w:r>
        <w:rPr>
          <w:rFonts w:hint="eastAsia"/>
          <w:b/>
          <w:i/>
          <w:color w:val="auto"/>
        </w:rPr>
        <w:t>专用条款</w:t>
      </w:r>
      <w:r>
        <w:rPr>
          <w:rFonts w:hint="eastAsia"/>
          <w:bCs/>
          <w:iCs/>
          <w:color w:val="auto"/>
        </w:rPr>
        <w:t>约定</w:t>
      </w:r>
      <w:r>
        <w:rPr>
          <w:rFonts w:hint="eastAsia"/>
          <w:color w:val="auto"/>
        </w:rPr>
        <w:t>的计算方法进行调整。</w:t>
      </w:r>
    </w:p>
    <w:p>
      <w:pPr>
        <w:tabs>
          <w:tab w:val="left" w:pos="1620"/>
          <w:tab w:val="left" w:pos="2340"/>
        </w:tabs>
        <w:adjustRightInd w:val="0"/>
        <w:snapToGrid w:val="0"/>
        <w:spacing w:beforeLines="0" w:line="360" w:lineRule="auto"/>
        <w:ind w:left="1134"/>
        <w:rPr>
          <w:color w:val="auto"/>
        </w:rPr>
      </w:pPr>
    </w:p>
    <w:p>
      <w:pPr>
        <w:adjustRightInd w:val="0"/>
        <w:snapToGrid w:val="0"/>
        <w:spacing w:before="0" w:beforeLines="0" w:after="0" w:line="360" w:lineRule="auto"/>
        <w:ind w:left="359"/>
        <w:rPr>
          <w:color w:val="auto"/>
        </w:rPr>
      </w:pPr>
      <w:r>
        <w:rPr>
          <w:b/>
          <w:color w:val="auto"/>
        </w:rPr>
        <w:t>25.3</w:t>
      </w:r>
      <w:r>
        <w:rPr>
          <w:rFonts w:hint="eastAsia"/>
          <w:b/>
          <w:color w:val="auto"/>
        </w:rPr>
        <w:t>工程变更价款的确定程序</w:t>
      </w:r>
    </w:p>
    <w:p>
      <w:pPr>
        <w:tabs>
          <w:tab w:val="left" w:pos="1620"/>
          <w:tab w:val="left" w:pos="2340"/>
        </w:tabs>
        <w:adjustRightInd w:val="0"/>
        <w:snapToGrid w:val="0"/>
        <w:spacing w:beforeLines="0" w:line="360" w:lineRule="auto"/>
        <w:ind w:left="899"/>
        <w:rPr>
          <w:color w:val="auto"/>
        </w:rPr>
      </w:pPr>
      <w:r>
        <w:rPr>
          <w:rFonts w:hint="eastAsia"/>
          <w:color w:val="auto"/>
        </w:rPr>
        <w:t>除</w:t>
      </w:r>
      <w:r>
        <w:rPr>
          <w:rFonts w:hint="eastAsia"/>
          <w:b/>
          <w:i/>
          <w:color w:val="auto"/>
        </w:rPr>
        <w:t>专用条款</w:t>
      </w:r>
      <w:r>
        <w:rPr>
          <w:rFonts w:hint="eastAsia"/>
          <w:color w:val="auto"/>
        </w:rPr>
        <w:t>另有约定外，发包人和承包人应按以下程序确认工程变更价款：</w:t>
      </w:r>
    </w:p>
    <w:p>
      <w:pPr>
        <w:tabs>
          <w:tab w:val="left" w:pos="1620"/>
          <w:tab w:val="left" w:pos="2340"/>
        </w:tabs>
        <w:adjustRightInd w:val="0"/>
        <w:snapToGrid w:val="0"/>
        <w:spacing w:beforeLines="0" w:line="360" w:lineRule="auto"/>
        <w:ind w:left="1079"/>
        <w:rPr>
          <w:color w:val="auto"/>
        </w:rPr>
      </w:pPr>
      <w:r>
        <w:rPr>
          <w:rFonts w:hint="eastAsia"/>
          <w:color w:val="auto"/>
        </w:rPr>
        <w:t>⑴承包人应在收到工程变更指令后14天内将变更工程价款和(或)调整工期报告提交给</w:t>
      </w:r>
      <w:r>
        <w:rPr>
          <w:color w:val="auto"/>
        </w:rPr>
        <w:t>监理人</w:t>
      </w:r>
      <w:r>
        <w:rPr>
          <w:rFonts w:hint="eastAsia"/>
          <w:color w:val="auto"/>
        </w:rPr>
        <w:t>，</w:t>
      </w:r>
      <w:r>
        <w:rPr>
          <w:color w:val="auto"/>
        </w:rPr>
        <w:t>监理人</w:t>
      </w:r>
      <w:r>
        <w:rPr>
          <w:rFonts w:hint="eastAsia"/>
          <w:color w:val="auto"/>
        </w:rPr>
        <w:t>应及时予以确认，并报发包人批准。</w:t>
      </w:r>
      <w:r>
        <w:rPr>
          <w:color w:val="auto"/>
        </w:rPr>
        <w:t>监理人</w:t>
      </w:r>
      <w:r>
        <w:rPr>
          <w:rFonts w:hint="eastAsia"/>
          <w:color w:val="auto"/>
        </w:rPr>
        <w:t>收到报告后14天内未确认也未提出异议的，视为该报告已被确认。</w:t>
      </w:r>
    </w:p>
    <w:p>
      <w:pPr>
        <w:tabs>
          <w:tab w:val="left" w:pos="1620"/>
          <w:tab w:val="left" w:pos="2340"/>
        </w:tabs>
        <w:adjustRightInd w:val="0"/>
        <w:snapToGrid w:val="0"/>
        <w:spacing w:beforeLines="0" w:line="360" w:lineRule="auto"/>
        <w:ind w:left="1079"/>
        <w:rPr>
          <w:color w:val="auto"/>
        </w:rPr>
      </w:pPr>
      <w:r>
        <w:rPr>
          <w:rFonts w:hint="eastAsia"/>
          <w:color w:val="auto"/>
        </w:rPr>
        <w:t>⑵承包人在收到工程变更指令后14天内不向</w:t>
      </w:r>
      <w:r>
        <w:rPr>
          <w:color w:val="auto"/>
        </w:rPr>
        <w:t>监理人</w:t>
      </w:r>
      <w:r>
        <w:rPr>
          <w:rFonts w:hint="eastAsia"/>
          <w:color w:val="auto"/>
        </w:rPr>
        <w:t>提出报告的，发包人可自行决定是否变更工程价款和(或)顺延工期。发包人应在发出变更指令28天内将不变更工程价款和(或)调整工期的决定书面通知承包人；或将变更工程价款和(或)调整工期报告提交给承包人确认。承包人收到报告14天内未确认也未提出异议的，视为该报告已被确认。</w:t>
      </w:r>
    </w:p>
    <w:p>
      <w:pPr>
        <w:tabs>
          <w:tab w:val="left" w:pos="1620"/>
          <w:tab w:val="left" w:pos="2340"/>
        </w:tabs>
        <w:adjustRightInd w:val="0"/>
        <w:snapToGrid w:val="0"/>
        <w:spacing w:beforeLines="0" w:line="360" w:lineRule="auto"/>
        <w:ind w:left="1079"/>
        <w:rPr>
          <w:color w:val="auto"/>
        </w:rPr>
      </w:pPr>
      <w:r>
        <w:rPr>
          <w:rFonts w:hint="eastAsia"/>
          <w:color w:val="auto"/>
        </w:rPr>
        <w:t>⑶工程变更指令发出后，发包人与承包人均未在约定时间内提出变更工程价款和(或)顺延工期报告的，视为该项工程变更不涉及合同价格和(或)工期的调整。</w:t>
      </w:r>
    </w:p>
    <w:p>
      <w:pPr>
        <w:adjustRightInd w:val="0"/>
        <w:snapToGrid w:val="0"/>
        <w:spacing w:before="0" w:beforeLines="0" w:after="0" w:line="360" w:lineRule="auto"/>
        <w:ind w:left="359"/>
        <w:rPr>
          <w:color w:val="auto"/>
        </w:rPr>
      </w:pPr>
      <w:r>
        <w:rPr>
          <w:b/>
          <w:color w:val="auto"/>
        </w:rPr>
        <w:t>25.4</w:t>
      </w:r>
      <w:r>
        <w:rPr>
          <w:rFonts w:hint="eastAsia"/>
          <w:b/>
          <w:color w:val="auto"/>
        </w:rPr>
        <w:t>工程量变化调整项目单价</w:t>
      </w:r>
    </w:p>
    <w:p>
      <w:pPr>
        <w:tabs>
          <w:tab w:val="left" w:pos="1620"/>
          <w:tab w:val="left" w:pos="2340"/>
        </w:tabs>
        <w:adjustRightInd w:val="0"/>
        <w:snapToGrid w:val="0"/>
        <w:spacing w:beforeLines="0" w:after="0" w:line="360" w:lineRule="auto"/>
        <w:ind w:left="899"/>
        <w:rPr>
          <w:color w:val="auto"/>
        </w:rPr>
      </w:pPr>
      <w:r>
        <w:rPr>
          <w:rFonts w:hint="eastAsia"/>
          <w:color w:val="auto"/>
        </w:rPr>
        <w:t>由于工程变更或按第22条工程量计量结果造成工程量清单中某项目的工程量增减超过15%或发、承包人在</w:t>
      </w:r>
      <w:r>
        <w:rPr>
          <w:rFonts w:hint="eastAsia"/>
          <w:b/>
          <w:i/>
          <w:color w:val="auto"/>
        </w:rPr>
        <w:t>专用条款</w:t>
      </w:r>
      <w:r>
        <w:rPr>
          <w:rFonts w:hint="eastAsia"/>
          <w:color w:val="auto"/>
        </w:rPr>
        <w:t>中约定的幅度时，除</w:t>
      </w:r>
      <w:r>
        <w:rPr>
          <w:rFonts w:hint="eastAsia"/>
          <w:b/>
          <w:i/>
          <w:color w:val="auto"/>
        </w:rPr>
        <w:t>专用条款</w:t>
      </w:r>
      <w:r>
        <w:rPr>
          <w:rFonts w:hint="eastAsia"/>
          <w:color w:val="auto"/>
        </w:rPr>
        <w:t>另有约定外，发包人和承包人应按照本工程招标控制价的编制方法，并按本工程中标净下浮率进行下浮调整确定该清单项目增加部分或减少后剩余部分工程量的项目单价。</w:t>
      </w:r>
    </w:p>
    <w:p>
      <w:pPr>
        <w:adjustRightInd w:val="0"/>
        <w:snapToGrid w:val="0"/>
        <w:spacing w:before="0" w:beforeLines="0" w:after="0" w:line="360" w:lineRule="auto"/>
        <w:ind w:left="359"/>
        <w:rPr>
          <w:color w:val="auto"/>
        </w:rPr>
      </w:pPr>
      <w:r>
        <w:rPr>
          <w:b/>
          <w:color w:val="auto"/>
        </w:rPr>
        <w:t>25.5</w:t>
      </w:r>
      <w:r>
        <w:rPr>
          <w:rFonts w:hint="eastAsia"/>
          <w:b/>
          <w:color w:val="auto"/>
        </w:rPr>
        <w:t>工程变更价款支付</w:t>
      </w:r>
    </w:p>
    <w:p>
      <w:pPr>
        <w:tabs>
          <w:tab w:val="left" w:pos="1620"/>
          <w:tab w:val="left" w:pos="2340"/>
        </w:tabs>
        <w:adjustRightInd w:val="0"/>
        <w:snapToGrid w:val="0"/>
        <w:spacing w:beforeLines="0" w:after="0" w:line="360" w:lineRule="auto"/>
        <w:ind w:left="899"/>
        <w:rPr>
          <w:color w:val="auto"/>
        </w:rPr>
      </w:pPr>
      <w:r>
        <w:rPr>
          <w:rFonts w:hint="eastAsia"/>
          <w:color w:val="auto"/>
        </w:rPr>
        <w:t>⑴按第25.1、25.2款确认的增(减)工程变更价款作为追加(减)合同价款，与工程进度款同期同比例支付，达到追加</w:t>
      </w:r>
      <w:r>
        <w:rPr>
          <w:color w:val="auto"/>
        </w:rPr>
        <w:t>(</w:t>
      </w:r>
      <w:r>
        <w:rPr>
          <w:rFonts w:hint="eastAsia"/>
          <w:color w:val="auto"/>
        </w:rPr>
        <w:t>减</w:t>
      </w:r>
      <w:r>
        <w:rPr>
          <w:color w:val="auto"/>
        </w:rPr>
        <w:t>)</w:t>
      </w:r>
      <w:r>
        <w:rPr>
          <w:rFonts w:hint="eastAsia"/>
          <w:color w:val="auto"/>
        </w:rPr>
        <w:t>合同价款的一定比例时暂停支付，该比例在合同</w:t>
      </w:r>
      <w:r>
        <w:rPr>
          <w:rFonts w:hint="eastAsia"/>
          <w:b/>
          <w:i/>
          <w:color w:val="auto"/>
        </w:rPr>
        <w:t>专用条款</w:t>
      </w:r>
      <w:r>
        <w:rPr>
          <w:rFonts w:hint="eastAsia"/>
          <w:color w:val="auto"/>
        </w:rPr>
        <w:t>中明确。</w:t>
      </w:r>
    </w:p>
    <w:p>
      <w:pPr>
        <w:tabs>
          <w:tab w:val="left" w:pos="1620"/>
          <w:tab w:val="left" w:pos="2340"/>
        </w:tabs>
        <w:adjustRightInd w:val="0"/>
        <w:snapToGrid w:val="0"/>
        <w:spacing w:beforeLines="0" w:after="0" w:line="360" w:lineRule="auto"/>
        <w:ind w:left="899"/>
        <w:rPr>
          <w:color w:val="auto"/>
        </w:rPr>
      </w:pPr>
      <w:r>
        <w:rPr>
          <w:rFonts w:hint="eastAsia"/>
          <w:color w:val="auto"/>
        </w:rPr>
        <w:t>⑵有关工程变更价款的文件的编制和审核均须经注册造价工程师签字盖章确认。</w:t>
      </w:r>
    </w:p>
    <w:p>
      <w:pPr>
        <w:adjustRightInd w:val="0"/>
        <w:snapToGrid w:val="0"/>
        <w:spacing w:before="0" w:beforeLines="0" w:after="0" w:line="360" w:lineRule="auto"/>
        <w:ind w:left="359"/>
        <w:rPr>
          <w:color w:val="auto"/>
        </w:rPr>
      </w:pPr>
      <w:r>
        <w:rPr>
          <w:b/>
          <w:color w:val="auto"/>
        </w:rPr>
        <w:t>25.6</w:t>
      </w:r>
      <w:r>
        <w:rPr>
          <w:rFonts w:hint="eastAsia"/>
          <w:b/>
          <w:color w:val="auto"/>
        </w:rPr>
        <w:t>删减工作或工程的补偿</w:t>
      </w:r>
    </w:p>
    <w:p>
      <w:pPr>
        <w:tabs>
          <w:tab w:val="left" w:pos="1620"/>
          <w:tab w:val="left" w:pos="2340"/>
        </w:tabs>
        <w:adjustRightInd w:val="0"/>
        <w:snapToGrid w:val="0"/>
        <w:spacing w:beforeLines="0" w:after="0" w:line="360" w:lineRule="auto"/>
        <w:ind w:left="899"/>
        <w:rPr>
          <w:color w:val="auto"/>
        </w:rPr>
      </w:pPr>
      <w:r>
        <w:rPr>
          <w:rFonts w:hint="eastAsia"/>
          <w:color w:val="auto"/>
        </w:rPr>
        <w:t>由于非承包人原因删减了本合同中的某项原定工作或工程，致使承包人发生的费用或(和)预期收益不能被包括在其他已支付或应支付的项目中，也未包含在任何替代的工作或工程中，发包人应按照</w:t>
      </w:r>
      <w:r>
        <w:rPr>
          <w:rFonts w:hint="eastAsia"/>
          <w:b/>
          <w:i/>
          <w:color w:val="auto"/>
        </w:rPr>
        <w:t>专用条款</w:t>
      </w:r>
      <w:r>
        <w:rPr>
          <w:rFonts w:hint="eastAsia"/>
          <w:color w:val="auto"/>
        </w:rPr>
        <w:t>约定的方法给予承包人补偿。</w:t>
      </w:r>
    </w:p>
    <w:p>
      <w:pPr>
        <w:adjustRightInd w:val="0"/>
        <w:snapToGrid w:val="0"/>
        <w:spacing w:before="0" w:beforeLines="0" w:after="0" w:line="360" w:lineRule="auto"/>
        <w:ind w:left="178"/>
        <w:rPr>
          <w:color w:val="auto"/>
          <w:sz w:val="28"/>
        </w:rPr>
      </w:pPr>
      <w:r>
        <w:rPr>
          <w:b/>
          <w:color w:val="auto"/>
          <w:sz w:val="28"/>
        </w:rPr>
        <w:t>26</w:t>
      </w:r>
      <w:r>
        <w:rPr>
          <w:rFonts w:hint="eastAsia"/>
          <w:b/>
          <w:color w:val="auto"/>
          <w:sz w:val="28"/>
        </w:rPr>
        <w:t>竣工验收</w:t>
      </w:r>
    </w:p>
    <w:p>
      <w:pPr>
        <w:adjustRightInd w:val="0"/>
        <w:snapToGrid w:val="0"/>
        <w:spacing w:before="0" w:beforeLines="0" w:after="0" w:line="360" w:lineRule="auto"/>
        <w:ind w:left="359"/>
        <w:rPr>
          <w:color w:val="auto"/>
        </w:rPr>
      </w:pPr>
      <w:r>
        <w:rPr>
          <w:b/>
          <w:color w:val="auto"/>
        </w:rPr>
        <w:t>26.1</w:t>
      </w:r>
      <w:r>
        <w:rPr>
          <w:rFonts w:hint="eastAsia"/>
          <w:b/>
          <w:color w:val="auto"/>
        </w:rPr>
        <w:t>竣工验收</w:t>
      </w:r>
    </w:p>
    <w:p>
      <w:pPr>
        <w:tabs>
          <w:tab w:val="left" w:pos="1620"/>
          <w:tab w:val="left" w:pos="2340"/>
        </w:tabs>
        <w:adjustRightInd w:val="0"/>
        <w:snapToGrid w:val="0"/>
        <w:spacing w:beforeLines="0" w:after="0" w:line="360" w:lineRule="auto"/>
        <w:ind w:left="899"/>
        <w:rPr>
          <w:color w:val="auto"/>
        </w:rPr>
      </w:pPr>
      <w:r>
        <w:rPr>
          <w:rFonts w:hint="eastAsia"/>
          <w:color w:val="auto"/>
        </w:rPr>
        <w:t>⑴</w:t>
      </w:r>
      <w:r>
        <w:rPr>
          <w:color w:val="auto"/>
        </w:rPr>
        <w:t>工程具备以下条件的，承包人可以申请竣工验收：</w:t>
      </w:r>
    </w:p>
    <w:p>
      <w:pPr>
        <w:tabs>
          <w:tab w:val="left" w:pos="1620"/>
          <w:tab w:val="left" w:pos="2340"/>
        </w:tabs>
        <w:adjustRightInd w:val="0"/>
        <w:snapToGrid w:val="0"/>
        <w:spacing w:beforeLines="0" w:line="360" w:lineRule="auto"/>
        <w:ind w:left="1134"/>
        <w:rPr>
          <w:color w:val="auto"/>
        </w:rPr>
      </w:pPr>
      <w:r>
        <w:rPr>
          <w:rFonts w:hint="eastAsia"/>
          <w:color w:val="auto"/>
        </w:rPr>
        <w:t>①</w:t>
      </w:r>
      <w:r>
        <w:rPr>
          <w:color w:val="auto"/>
        </w:rPr>
        <w:t>除发包人同意的甩项</w:t>
      </w:r>
      <w:r>
        <w:rPr>
          <w:rFonts w:hint="eastAsia"/>
          <w:color w:val="auto"/>
        </w:rPr>
        <w:t>工作</w:t>
      </w:r>
      <w:r>
        <w:rPr>
          <w:color w:val="auto"/>
        </w:rPr>
        <w:t>和缺陷修补工作外，合同范围内的全部工程以及有关工作，包括合同要求的试验、试运行以及检验均已完成，并符合合同要求；</w:t>
      </w:r>
    </w:p>
    <w:p>
      <w:pPr>
        <w:tabs>
          <w:tab w:val="left" w:pos="1620"/>
          <w:tab w:val="left" w:pos="2340"/>
        </w:tabs>
        <w:adjustRightInd w:val="0"/>
        <w:snapToGrid w:val="0"/>
        <w:spacing w:beforeLines="0" w:line="360" w:lineRule="auto"/>
        <w:ind w:left="1134"/>
        <w:rPr>
          <w:color w:val="auto"/>
        </w:rPr>
      </w:pPr>
      <w:r>
        <w:rPr>
          <w:rFonts w:hint="eastAsia"/>
          <w:color w:val="auto"/>
        </w:rPr>
        <w:t>②</w:t>
      </w:r>
      <w:r>
        <w:rPr>
          <w:color w:val="auto"/>
        </w:rPr>
        <w:t>已按合同约定编制了甩项</w:t>
      </w:r>
      <w:r>
        <w:rPr>
          <w:rFonts w:hint="eastAsia"/>
          <w:color w:val="auto"/>
        </w:rPr>
        <w:t>工作</w:t>
      </w:r>
      <w:r>
        <w:rPr>
          <w:color w:val="auto"/>
        </w:rPr>
        <w:t>和缺陷修补工作清单以及相应的施工计划；</w:t>
      </w:r>
    </w:p>
    <w:p>
      <w:pPr>
        <w:tabs>
          <w:tab w:val="left" w:pos="1620"/>
          <w:tab w:val="left" w:pos="2340"/>
        </w:tabs>
        <w:adjustRightInd w:val="0"/>
        <w:snapToGrid w:val="0"/>
        <w:spacing w:beforeLines="0" w:line="360" w:lineRule="auto"/>
        <w:ind w:left="1134"/>
        <w:rPr>
          <w:color w:val="auto"/>
        </w:rPr>
      </w:pPr>
      <w:r>
        <w:rPr>
          <w:rFonts w:hint="eastAsia"/>
          <w:color w:val="auto"/>
        </w:rPr>
        <w:t>③</w:t>
      </w:r>
      <w:r>
        <w:rPr>
          <w:color w:val="auto"/>
        </w:rPr>
        <w:t>已按合同约定的内容和份数备齐竣工资料。</w:t>
      </w:r>
    </w:p>
    <w:p>
      <w:pPr>
        <w:tabs>
          <w:tab w:val="left" w:pos="1620"/>
          <w:tab w:val="left" w:pos="2340"/>
        </w:tabs>
        <w:adjustRightInd w:val="0"/>
        <w:snapToGrid w:val="0"/>
        <w:spacing w:beforeLines="0" w:after="0" w:line="360" w:lineRule="auto"/>
        <w:ind w:left="899"/>
        <w:rPr>
          <w:color w:val="auto"/>
        </w:rPr>
      </w:pPr>
      <w:r>
        <w:rPr>
          <w:rFonts w:hint="eastAsia"/>
          <w:color w:val="auto"/>
        </w:rPr>
        <w:t>⑵工程具备竣工验收条件后21天内，承包人应按工程竣工验收的有关规定和</w:t>
      </w:r>
      <w:r>
        <w:rPr>
          <w:rFonts w:hint="eastAsia"/>
          <w:b/>
          <w:i/>
          <w:color w:val="auto"/>
        </w:rPr>
        <w:t>专用条款</w:t>
      </w:r>
      <w:r>
        <w:rPr>
          <w:rFonts w:hint="eastAsia"/>
          <w:color w:val="auto"/>
        </w:rPr>
        <w:t>的约定向</w:t>
      </w:r>
      <w:r>
        <w:rPr>
          <w:color w:val="auto"/>
        </w:rPr>
        <w:t>监理人</w:t>
      </w:r>
      <w:r>
        <w:rPr>
          <w:rFonts w:hint="eastAsia"/>
          <w:color w:val="auto"/>
        </w:rPr>
        <w:t>申请竣工验收并提供竣工资料(如项目经理任命通知书、施工组织设计方案、施工质量技术交底、施工日志、各种验收记录表和检测报告、工程变更资料、工程质量事故处理报告、竣工图纸等)。</w:t>
      </w:r>
    </w:p>
    <w:p>
      <w:pPr>
        <w:tabs>
          <w:tab w:val="left" w:pos="1620"/>
          <w:tab w:val="left" w:pos="2340"/>
        </w:tabs>
        <w:adjustRightInd w:val="0"/>
        <w:snapToGrid w:val="0"/>
        <w:spacing w:beforeLines="0" w:after="0" w:line="360" w:lineRule="auto"/>
        <w:ind w:left="899"/>
        <w:rPr>
          <w:color w:val="auto"/>
        </w:rPr>
      </w:pPr>
      <w:r>
        <w:rPr>
          <w:rFonts w:hint="eastAsia"/>
          <w:color w:val="auto"/>
        </w:rPr>
        <w:t>⑶</w:t>
      </w:r>
      <w:r>
        <w:rPr>
          <w:color w:val="auto"/>
        </w:rPr>
        <w:t>监理人审查后认为尚不具备验收条件的，应通知承包人在竣工验收前承包人还需完成的工作内容，承包人应在完成监理人通知的全部工作内容后，再次提交竣工验收申请报告。</w:t>
      </w:r>
    </w:p>
    <w:p>
      <w:pPr>
        <w:tabs>
          <w:tab w:val="left" w:pos="1620"/>
          <w:tab w:val="left" w:pos="2340"/>
        </w:tabs>
        <w:adjustRightInd w:val="0"/>
        <w:snapToGrid w:val="0"/>
        <w:spacing w:beforeLines="0" w:after="0" w:line="360" w:lineRule="auto"/>
        <w:ind w:left="899"/>
        <w:rPr>
          <w:color w:val="auto"/>
        </w:rPr>
      </w:pPr>
      <w:r>
        <w:rPr>
          <w:rFonts w:hint="eastAsia"/>
          <w:color w:val="auto"/>
        </w:rPr>
        <w:t>⑷</w:t>
      </w:r>
      <w:r>
        <w:rPr>
          <w:color w:val="auto"/>
        </w:rPr>
        <w:t>监理人审查后认为已具备竣工验收条件的，应将竣工验收申请报告提交发包人，发包人应在收到</w:t>
      </w:r>
      <w:r>
        <w:rPr>
          <w:rFonts w:hint="eastAsia"/>
          <w:color w:val="auto"/>
        </w:rPr>
        <w:t>经</w:t>
      </w:r>
      <w:r>
        <w:rPr>
          <w:color w:val="auto"/>
        </w:rPr>
        <w:t>监理人审核的竣工验收申请报告后28天内</w:t>
      </w:r>
      <w:r>
        <w:rPr>
          <w:rFonts w:hint="eastAsia"/>
          <w:color w:val="auto"/>
        </w:rPr>
        <w:t>审批</w:t>
      </w:r>
      <w:r>
        <w:rPr>
          <w:color w:val="auto"/>
        </w:rPr>
        <w:t>完毕并组织监理人、承包人、设计人等相关单位完成竣工验收。</w:t>
      </w:r>
    </w:p>
    <w:p>
      <w:pPr>
        <w:tabs>
          <w:tab w:val="left" w:pos="1620"/>
          <w:tab w:val="left" w:pos="2340"/>
        </w:tabs>
        <w:adjustRightInd w:val="0"/>
        <w:snapToGrid w:val="0"/>
        <w:spacing w:beforeLines="0" w:after="0" w:line="360" w:lineRule="auto"/>
        <w:ind w:left="899"/>
        <w:rPr>
          <w:color w:val="auto"/>
        </w:rPr>
      </w:pPr>
      <w:r>
        <w:rPr>
          <w:rFonts w:hint="eastAsia"/>
          <w:color w:val="auto"/>
        </w:rPr>
        <w:t>⑸发包人收到承包人提交的竣工验收申请后21天内不组织竣工验收，或竣工验收工作完毕后7天内不提出修改意见，均视为本工程通过竣工验收。发包人应承担此后本工程的一切保管责任。</w:t>
      </w:r>
    </w:p>
    <w:p>
      <w:pPr>
        <w:tabs>
          <w:tab w:val="left" w:pos="1620"/>
          <w:tab w:val="left" w:pos="2340"/>
        </w:tabs>
        <w:adjustRightInd w:val="0"/>
        <w:snapToGrid w:val="0"/>
        <w:spacing w:beforeLines="0" w:after="0" w:line="360" w:lineRule="auto"/>
        <w:ind w:left="899"/>
        <w:rPr>
          <w:color w:val="auto"/>
        </w:rPr>
      </w:pPr>
      <w:r>
        <w:rPr>
          <w:rFonts w:hint="eastAsia"/>
          <w:color w:val="auto"/>
        </w:rPr>
        <w:t>⑹本工程未经竣工验收或竣工验收未通过的，发包人不得使用。如发包人擅自使用，由此发生的质量问题及其他问题，由发包人承担责任，并承担此后本工程的一切保管责任。</w:t>
      </w:r>
    </w:p>
    <w:p>
      <w:pPr>
        <w:tabs>
          <w:tab w:val="left" w:pos="1620"/>
          <w:tab w:val="left" w:pos="2340"/>
        </w:tabs>
        <w:adjustRightInd w:val="0"/>
        <w:snapToGrid w:val="0"/>
        <w:spacing w:beforeLines="0" w:after="0" w:line="360" w:lineRule="auto"/>
        <w:ind w:left="899"/>
        <w:rPr>
          <w:color w:val="auto"/>
        </w:rPr>
      </w:pPr>
      <w:r>
        <w:rPr>
          <w:rFonts w:hint="eastAsia"/>
          <w:color w:val="auto"/>
        </w:rPr>
        <w:t>⑺根据</w:t>
      </w:r>
      <w:r>
        <w:rPr>
          <w:rFonts w:hint="eastAsia"/>
          <w:b/>
          <w:i/>
          <w:color w:val="auto"/>
        </w:rPr>
        <w:t>专用条款</w:t>
      </w:r>
      <w:r>
        <w:rPr>
          <w:rFonts w:hint="eastAsia"/>
          <w:color w:val="auto"/>
        </w:rPr>
        <w:t>的约定，本工程中某单项工程须单独进行竣工验收的，按本条有关竣工验收规定办理。</w:t>
      </w:r>
    </w:p>
    <w:p>
      <w:pPr>
        <w:adjustRightInd w:val="0"/>
        <w:snapToGrid w:val="0"/>
        <w:spacing w:before="0" w:beforeLines="0" w:after="0" w:line="360" w:lineRule="auto"/>
        <w:ind w:left="359"/>
        <w:rPr>
          <w:color w:val="auto"/>
        </w:rPr>
      </w:pPr>
      <w:r>
        <w:rPr>
          <w:b/>
          <w:color w:val="auto"/>
        </w:rPr>
        <w:t>26.2</w:t>
      </w:r>
      <w:r>
        <w:rPr>
          <w:rFonts w:hint="eastAsia"/>
          <w:b/>
          <w:color w:val="auto"/>
        </w:rPr>
        <w:t>竣工验收合格后的移交和清理</w:t>
      </w:r>
    </w:p>
    <w:p>
      <w:pPr>
        <w:tabs>
          <w:tab w:val="left" w:pos="1620"/>
          <w:tab w:val="left" w:pos="2340"/>
        </w:tabs>
        <w:adjustRightInd w:val="0"/>
        <w:snapToGrid w:val="0"/>
        <w:spacing w:beforeLines="0" w:after="0" w:line="360" w:lineRule="auto"/>
        <w:ind w:left="899"/>
        <w:rPr>
          <w:color w:val="auto"/>
        </w:rPr>
      </w:pPr>
      <w:r>
        <w:rPr>
          <w:rFonts w:hint="eastAsia"/>
          <w:color w:val="auto"/>
        </w:rPr>
        <w:t>⑴工程竣工验收通过，发包人应在验收工作完毕后7天内向承包人签发交接证书，同时办理工程的移交工作。交接证书上应写明本工程的实际竣工日期(即竣工验收合格之日)。交接证书签发后，承包人应将工程交付给发包人，承包人不再承担对工程的照管责任。</w:t>
      </w:r>
      <w:r>
        <w:rPr>
          <w:color w:val="auto"/>
        </w:rPr>
        <w:t>承包人无正当理由不移交工程的，</w:t>
      </w:r>
      <w:r>
        <w:rPr>
          <w:rFonts w:hint="eastAsia"/>
          <w:color w:val="auto"/>
        </w:rPr>
        <w:t>承包人应承担</w:t>
      </w:r>
      <w:r>
        <w:rPr>
          <w:color w:val="auto"/>
        </w:rPr>
        <w:t>工程照管、成品保护、保管等与工程有关的各项费用</w:t>
      </w:r>
      <w:r>
        <w:rPr>
          <w:rFonts w:hint="eastAsia"/>
          <w:color w:val="auto"/>
        </w:rPr>
        <w:t>，承发包双方可以在</w:t>
      </w:r>
      <w:r>
        <w:rPr>
          <w:rFonts w:hint="eastAsia"/>
          <w:b/>
          <w:i/>
          <w:color w:val="auto"/>
        </w:rPr>
        <w:t>专用条款</w:t>
      </w:r>
      <w:r>
        <w:rPr>
          <w:rFonts w:hint="eastAsia"/>
          <w:color w:val="auto"/>
        </w:rPr>
        <w:t>中另行约定承包人无正当理由不移交工程的违约责任</w:t>
      </w:r>
      <w:r>
        <w:rPr>
          <w:color w:val="auto"/>
        </w:rPr>
        <w:t>。</w:t>
      </w:r>
    </w:p>
    <w:p>
      <w:pPr>
        <w:tabs>
          <w:tab w:val="left" w:pos="1620"/>
          <w:tab w:val="left" w:pos="2340"/>
        </w:tabs>
        <w:adjustRightInd w:val="0"/>
        <w:snapToGrid w:val="0"/>
        <w:spacing w:beforeLines="0" w:line="360" w:lineRule="auto"/>
        <w:ind w:left="899"/>
        <w:rPr>
          <w:color w:val="auto"/>
        </w:rPr>
      </w:pPr>
      <w:r>
        <w:rPr>
          <w:rFonts w:hint="eastAsia"/>
          <w:color w:val="auto"/>
        </w:rPr>
        <w:t>⑵在签发交接证书后，承包人应从施工现场清理并运出承包人装备、剩余材料设备、垃圾和各种临时工程，保持整个现场及工程整洁，达到竣工使用状态。如承包人未在发包人或</w:t>
      </w:r>
      <w:r>
        <w:rPr>
          <w:color w:val="auto"/>
        </w:rPr>
        <w:t>监理人</w:t>
      </w:r>
      <w:r>
        <w:rPr>
          <w:rFonts w:hint="eastAsia"/>
          <w:color w:val="auto"/>
        </w:rPr>
        <w:t>允许的合理时间内把所有的承包人装备、剩余材料设备、垃圾及各种临时工程运走，则发包人可以：</w:t>
      </w:r>
    </w:p>
    <w:p>
      <w:pPr>
        <w:tabs>
          <w:tab w:val="left" w:pos="1620"/>
          <w:tab w:val="left" w:pos="2340"/>
        </w:tabs>
        <w:adjustRightInd w:val="0"/>
        <w:snapToGrid w:val="0"/>
        <w:spacing w:beforeLines="0" w:line="360" w:lineRule="auto"/>
        <w:ind w:left="899" w:firstLine="181"/>
        <w:rPr>
          <w:color w:val="auto"/>
        </w:rPr>
      </w:pPr>
      <w:r>
        <w:rPr>
          <w:rFonts w:hint="eastAsia"/>
          <w:color w:val="auto"/>
        </w:rPr>
        <w:t>①委托他人将承包人装备、剩余材料及承包人的其他财产觅地存放；</w:t>
      </w:r>
    </w:p>
    <w:p>
      <w:pPr>
        <w:tabs>
          <w:tab w:val="left" w:pos="1620"/>
          <w:tab w:val="left" w:pos="2340"/>
        </w:tabs>
        <w:adjustRightInd w:val="0"/>
        <w:snapToGrid w:val="0"/>
        <w:spacing w:beforeLines="0" w:line="360" w:lineRule="auto"/>
        <w:ind w:left="899" w:firstLine="181"/>
        <w:rPr>
          <w:color w:val="auto"/>
        </w:rPr>
      </w:pPr>
      <w:r>
        <w:rPr>
          <w:rFonts w:hint="eastAsia"/>
          <w:color w:val="auto"/>
        </w:rPr>
        <w:t>②委托他人清除并运走垃圾、废料。</w:t>
      </w:r>
    </w:p>
    <w:p>
      <w:pPr>
        <w:tabs>
          <w:tab w:val="left" w:pos="1620"/>
          <w:tab w:val="left" w:pos="2340"/>
        </w:tabs>
        <w:adjustRightInd w:val="0"/>
        <w:snapToGrid w:val="0"/>
        <w:spacing w:beforeLines="0" w:line="360" w:lineRule="auto"/>
        <w:ind w:left="899"/>
        <w:rPr>
          <w:color w:val="auto"/>
        </w:rPr>
      </w:pPr>
      <w:r>
        <w:rPr>
          <w:rFonts w:hint="eastAsia"/>
          <w:color w:val="auto"/>
        </w:rPr>
        <w:t>因上述工作而发生的费用由承包人承担，发包人可从应付承包人的任何款项内扣除。</w:t>
      </w:r>
    </w:p>
    <w:p>
      <w:pPr>
        <w:tabs>
          <w:tab w:val="left" w:pos="1620"/>
          <w:tab w:val="left" w:pos="2340"/>
        </w:tabs>
        <w:adjustRightInd w:val="0"/>
        <w:snapToGrid w:val="0"/>
        <w:spacing w:beforeLines="0" w:after="0" w:line="360" w:lineRule="auto"/>
        <w:ind w:left="899"/>
        <w:rPr>
          <w:color w:val="auto"/>
        </w:rPr>
      </w:pPr>
      <w:r>
        <w:rPr>
          <w:rFonts w:hint="eastAsia"/>
          <w:color w:val="auto"/>
        </w:rPr>
        <w:t>⑶</w:t>
      </w:r>
      <w:r>
        <w:rPr>
          <w:color w:val="auto"/>
        </w:rPr>
        <w:t>发包人无正当理由不接收工程的，发包人自</w:t>
      </w:r>
      <w:r>
        <w:rPr>
          <w:rFonts w:hint="eastAsia"/>
          <w:color w:val="auto"/>
        </w:rPr>
        <w:t>应当接收工程</w:t>
      </w:r>
      <w:r>
        <w:rPr>
          <w:color w:val="auto"/>
        </w:rPr>
        <w:t>之日起，承担工程照管、成品保护、保管等与工程有关的各项费用</w:t>
      </w:r>
      <w:r>
        <w:rPr>
          <w:rFonts w:hint="eastAsia"/>
          <w:color w:val="auto"/>
        </w:rPr>
        <w:t>，承发包双方可以在</w:t>
      </w:r>
      <w:r>
        <w:rPr>
          <w:rFonts w:hint="eastAsia"/>
          <w:b/>
          <w:i/>
          <w:color w:val="auto"/>
        </w:rPr>
        <w:t>专用条款</w:t>
      </w:r>
      <w:r>
        <w:rPr>
          <w:rFonts w:hint="eastAsia"/>
          <w:color w:val="auto"/>
        </w:rPr>
        <w:t>中另行约定发包人逾期接收工程的违约责任</w:t>
      </w:r>
      <w:r>
        <w:rPr>
          <w:color w:val="auto"/>
        </w:rPr>
        <w:t>。</w:t>
      </w:r>
    </w:p>
    <w:p>
      <w:pPr>
        <w:adjustRightInd w:val="0"/>
        <w:snapToGrid w:val="0"/>
        <w:spacing w:before="0" w:beforeLines="0" w:after="0" w:line="360" w:lineRule="auto"/>
        <w:ind w:left="359"/>
        <w:rPr>
          <w:color w:val="auto"/>
        </w:rPr>
      </w:pPr>
      <w:r>
        <w:rPr>
          <w:b/>
          <w:color w:val="auto"/>
        </w:rPr>
        <w:t>26.3</w:t>
      </w:r>
      <w:r>
        <w:rPr>
          <w:rFonts w:hint="eastAsia"/>
          <w:b/>
          <w:color w:val="auto"/>
        </w:rPr>
        <w:t>竣工验收质量不合格和重新验收</w:t>
      </w:r>
    </w:p>
    <w:p>
      <w:pPr>
        <w:tabs>
          <w:tab w:val="left" w:pos="1620"/>
          <w:tab w:val="left" w:pos="2340"/>
        </w:tabs>
        <w:adjustRightInd w:val="0"/>
        <w:snapToGrid w:val="0"/>
        <w:spacing w:beforeLines="0" w:after="0" w:line="360" w:lineRule="auto"/>
        <w:ind w:left="899"/>
        <w:rPr>
          <w:color w:val="auto"/>
        </w:rPr>
      </w:pPr>
      <w:r>
        <w:rPr>
          <w:rFonts w:hint="eastAsia"/>
          <w:color w:val="auto"/>
        </w:rPr>
        <w:t>⑴如本工程竣工验收质量未达到合同约定的标准，承包人应按</w:t>
      </w:r>
      <w:r>
        <w:rPr>
          <w:rFonts w:hint="eastAsia"/>
          <w:b/>
          <w:i/>
          <w:color w:val="auto"/>
        </w:rPr>
        <w:t>专用条款</w:t>
      </w:r>
      <w:r>
        <w:rPr>
          <w:rFonts w:hint="eastAsia"/>
          <w:color w:val="auto"/>
        </w:rPr>
        <w:t>的约定承担违约责任。</w:t>
      </w:r>
    </w:p>
    <w:p>
      <w:pPr>
        <w:tabs>
          <w:tab w:val="left" w:pos="1620"/>
          <w:tab w:val="left" w:pos="2340"/>
        </w:tabs>
        <w:adjustRightInd w:val="0"/>
        <w:snapToGrid w:val="0"/>
        <w:spacing w:beforeLines="0" w:after="0" w:line="360" w:lineRule="auto"/>
        <w:ind w:left="899"/>
        <w:rPr>
          <w:color w:val="auto"/>
        </w:rPr>
      </w:pPr>
      <w:r>
        <w:rPr>
          <w:rFonts w:hint="eastAsia"/>
          <w:color w:val="auto"/>
        </w:rPr>
        <w:t>⑵如本工程竣工验收质量未达到合同约定的标准，</w:t>
      </w:r>
      <w:r>
        <w:rPr>
          <w:color w:val="auto"/>
        </w:rPr>
        <w:t>监理人</w:t>
      </w:r>
      <w:r>
        <w:rPr>
          <w:rFonts w:hint="eastAsia"/>
          <w:color w:val="auto"/>
        </w:rPr>
        <w:t>应在验收工作完毕后7天内向承包人发出不予验收的指令，要求承包人对达不到合同约定标准的工程返工或修复。承包人在完成上述工作后，应重新提出竣工验收申请。发包人应按照第26.1款的约定重新组织竣工验收。竣工验收通过，发包人应按第26.2款的约定签发交接证书。交接证书中写明的实际竣工日期应为重新验收合格之日。</w:t>
      </w:r>
    </w:p>
    <w:p>
      <w:pPr>
        <w:adjustRightInd w:val="0"/>
        <w:snapToGrid w:val="0"/>
        <w:spacing w:before="0" w:beforeLines="0" w:after="0" w:line="360" w:lineRule="auto"/>
        <w:ind w:left="359"/>
        <w:rPr>
          <w:color w:val="auto"/>
        </w:rPr>
      </w:pPr>
      <w:r>
        <w:rPr>
          <w:b/>
          <w:color w:val="auto"/>
        </w:rPr>
        <w:t>26.4</w:t>
      </w:r>
      <w:r>
        <w:rPr>
          <w:rFonts w:hint="eastAsia"/>
          <w:b/>
          <w:color w:val="auto"/>
        </w:rPr>
        <w:t>竣工日期</w:t>
      </w:r>
    </w:p>
    <w:p>
      <w:pPr>
        <w:tabs>
          <w:tab w:val="left" w:pos="1620"/>
          <w:tab w:val="left" w:pos="2340"/>
        </w:tabs>
        <w:adjustRightInd w:val="0"/>
        <w:snapToGrid w:val="0"/>
        <w:spacing w:beforeLines="0" w:after="0" w:line="360" w:lineRule="auto"/>
        <w:ind w:left="899"/>
        <w:rPr>
          <w:color w:val="auto"/>
        </w:rPr>
      </w:pPr>
      <w:r>
        <w:rPr>
          <w:color w:val="auto"/>
        </w:rPr>
        <w:t>工程经竣工验收合格的，以</w:t>
      </w:r>
      <w:r>
        <w:rPr>
          <w:rFonts w:hint="eastAsia"/>
          <w:color w:val="auto"/>
        </w:rPr>
        <w:t>竣工验收合格</w:t>
      </w:r>
      <w:r>
        <w:rPr>
          <w:color w:val="auto"/>
        </w:rPr>
        <w:t>之日为实际竣工日期，并在工程接收证书中载明；因发包人原因，未在监理人收到承包人提交的竣工验收申请报告42天内完成</w:t>
      </w:r>
      <w:r>
        <w:rPr>
          <w:rFonts w:hint="eastAsia"/>
          <w:color w:val="auto"/>
        </w:rPr>
        <w:t>竣工</w:t>
      </w:r>
      <w:r>
        <w:rPr>
          <w:color w:val="auto"/>
        </w:rPr>
        <w:t>验收</w:t>
      </w:r>
      <w:r>
        <w:rPr>
          <w:rFonts w:hint="eastAsia"/>
          <w:color w:val="auto"/>
        </w:rPr>
        <w:t>，或完成竣工验收不予签发工程接收证书</w:t>
      </w:r>
      <w:r>
        <w:rPr>
          <w:color w:val="auto"/>
        </w:rPr>
        <w:t>的，以提交竣工验收申请报告的日期为实际竣工日期；工程未经竣工验收，发包人擅自使用的，以转移占有工程之日为实际竣工日期。</w:t>
      </w:r>
    </w:p>
    <w:p>
      <w:pPr>
        <w:adjustRightInd w:val="0"/>
        <w:snapToGrid w:val="0"/>
        <w:spacing w:before="0" w:beforeLines="0" w:after="0" w:line="360" w:lineRule="auto"/>
        <w:ind w:left="359"/>
        <w:rPr>
          <w:color w:val="auto"/>
        </w:rPr>
      </w:pPr>
      <w:r>
        <w:rPr>
          <w:b/>
          <w:color w:val="auto"/>
        </w:rPr>
        <w:t>26.5拒绝接收全部或部分工程</w:t>
      </w:r>
    </w:p>
    <w:p>
      <w:pPr>
        <w:tabs>
          <w:tab w:val="left" w:pos="1620"/>
          <w:tab w:val="left" w:pos="2340"/>
        </w:tabs>
        <w:adjustRightInd w:val="0"/>
        <w:snapToGrid w:val="0"/>
        <w:spacing w:beforeLines="0" w:after="0" w:line="360" w:lineRule="auto"/>
        <w:ind w:left="899"/>
        <w:rPr>
          <w:color w:val="auto"/>
        </w:rPr>
      </w:pPr>
      <w:r>
        <w:rPr>
          <w:color w:val="auto"/>
        </w:rPr>
        <w:t>对于竣工验收不合格的工程，承包人完成整改后，</w:t>
      </w:r>
      <w:r>
        <w:rPr>
          <w:rFonts w:hint="eastAsia"/>
          <w:color w:val="auto"/>
        </w:rPr>
        <w:t>应当</w:t>
      </w:r>
      <w:r>
        <w:rPr>
          <w:color w:val="auto"/>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djustRightInd w:val="0"/>
        <w:snapToGrid w:val="0"/>
        <w:spacing w:before="0" w:beforeLines="0" w:after="0" w:line="360" w:lineRule="auto"/>
        <w:ind w:left="359"/>
        <w:rPr>
          <w:color w:val="auto"/>
        </w:rPr>
      </w:pPr>
      <w:r>
        <w:rPr>
          <w:b/>
          <w:color w:val="auto"/>
        </w:rPr>
        <w:t>26.6</w:t>
      </w:r>
      <w:r>
        <w:rPr>
          <w:rFonts w:hint="eastAsia"/>
          <w:b/>
          <w:color w:val="auto"/>
        </w:rPr>
        <w:t>竣工验收工程质量争议处理</w:t>
      </w:r>
    </w:p>
    <w:p>
      <w:pPr>
        <w:tabs>
          <w:tab w:val="left" w:pos="1620"/>
          <w:tab w:val="left" w:pos="2340"/>
        </w:tabs>
        <w:adjustRightInd w:val="0"/>
        <w:snapToGrid w:val="0"/>
        <w:spacing w:beforeLines="0" w:after="0" w:line="360" w:lineRule="auto"/>
        <w:ind w:left="899"/>
        <w:rPr>
          <w:color w:val="auto"/>
        </w:rPr>
      </w:pPr>
      <w:r>
        <w:rPr>
          <w:rFonts w:hint="eastAsia"/>
          <w:color w:val="auto"/>
        </w:rPr>
        <w:t>除发包人同意降低合同约定的质量标准接收工程(但不得低于国家强制性质量标准)外，发包人对工程质量有异议，拒不签发工程交接证书的，发包人与承包人应将此质量争议共同委托</w:t>
      </w:r>
      <w:r>
        <w:rPr>
          <w:rFonts w:hint="eastAsia"/>
          <w:b/>
          <w:i/>
          <w:color w:val="auto"/>
        </w:rPr>
        <w:t>专用条款</w:t>
      </w:r>
      <w:r>
        <w:rPr>
          <w:rFonts w:hint="eastAsia"/>
          <w:color w:val="auto"/>
        </w:rPr>
        <w:t>约定的有资质的质量检测鉴定机构进行检测。若质量检测合格，检测费用由发包人承担；若质量检测不合格，检测费用由承包人承担，并同时负责无偿修复此质量缺陷。</w:t>
      </w:r>
    </w:p>
    <w:p>
      <w:pPr>
        <w:adjustRightInd w:val="0"/>
        <w:snapToGrid w:val="0"/>
        <w:spacing w:before="0" w:beforeLines="0" w:after="0" w:line="360" w:lineRule="auto"/>
        <w:ind w:left="359"/>
        <w:rPr>
          <w:color w:val="auto"/>
        </w:rPr>
      </w:pPr>
      <w:r>
        <w:rPr>
          <w:b/>
          <w:color w:val="auto"/>
        </w:rPr>
        <w:t>26.7</w:t>
      </w:r>
      <w:r>
        <w:rPr>
          <w:rFonts w:hint="eastAsia"/>
          <w:b/>
          <w:color w:val="auto"/>
        </w:rPr>
        <w:t>履约评价与优质优价</w:t>
      </w:r>
    </w:p>
    <w:p>
      <w:pPr>
        <w:tabs>
          <w:tab w:val="left" w:pos="1620"/>
          <w:tab w:val="left" w:pos="2340"/>
        </w:tabs>
        <w:adjustRightInd w:val="0"/>
        <w:snapToGrid w:val="0"/>
        <w:spacing w:beforeLines="0" w:after="0" w:line="360" w:lineRule="auto"/>
        <w:ind w:left="899"/>
        <w:rPr>
          <w:color w:val="auto"/>
        </w:rPr>
      </w:pPr>
      <w:r>
        <w:rPr>
          <w:rFonts w:hint="eastAsia"/>
          <w:color w:val="auto"/>
        </w:rPr>
        <w:t>⑴发包人应按照</w:t>
      </w:r>
      <w:r>
        <w:rPr>
          <w:rFonts w:hint="eastAsia"/>
          <w:b/>
          <w:i/>
          <w:color w:val="auto"/>
        </w:rPr>
        <w:t>专用条款</w:t>
      </w:r>
      <w:r>
        <w:rPr>
          <w:rFonts w:hint="eastAsia"/>
          <w:color w:val="auto"/>
        </w:rPr>
        <w:t>中的约定对承包人进行履约评价。</w:t>
      </w:r>
    </w:p>
    <w:p>
      <w:pPr>
        <w:tabs>
          <w:tab w:val="left" w:pos="1620"/>
          <w:tab w:val="left" w:pos="2340"/>
        </w:tabs>
        <w:adjustRightInd w:val="0"/>
        <w:snapToGrid w:val="0"/>
        <w:spacing w:beforeLines="0" w:after="0" w:line="360" w:lineRule="auto"/>
        <w:ind w:left="899"/>
        <w:rPr>
          <w:color w:val="auto"/>
        </w:rPr>
      </w:pPr>
      <w:r>
        <w:rPr>
          <w:rFonts w:hint="eastAsia"/>
          <w:color w:val="auto"/>
        </w:rPr>
        <w:t>⑵本工程实行优质优价，发包人与承包人应在</w:t>
      </w:r>
      <w:r>
        <w:rPr>
          <w:rFonts w:hint="eastAsia"/>
          <w:b/>
          <w:i/>
          <w:color w:val="auto"/>
        </w:rPr>
        <w:t>专用条款</w:t>
      </w:r>
      <w:r>
        <w:rPr>
          <w:rFonts w:hint="eastAsia"/>
          <w:color w:val="auto"/>
        </w:rPr>
        <w:t>中约定履约评价奖励及工程创优的奖励办法。</w:t>
      </w:r>
    </w:p>
    <w:p>
      <w:pPr>
        <w:adjustRightInd w:val="0"/>
        <w:snapToGrid w:val="0"/>
        <w:spacing w:before="0" w:beforeLines="0" w:after="0" w:line="360" w:lineRule="auto"/>
        <w:ind w:left="178"/>
        <w:rPr>
          <w:color w:val="auto"/>
          <w:sz w:val="28"/>
        </w:rPr>
      </w:pPr>
      <w:r>
        <w:rPr>
          <w:b/>
          <w:color w:val="auto"/>
          <w:sz w:val="28"/>
        </w:rPr>
        <w:t>27</w:t>
      </w:r>
      <w:r>
        <w:rPr>
          <w:rFonts w:hint="eastAsia"/>
          <w:b/>
          <w:color w:val="auto"/>
          <w:sz w:val="28"/>
        </w:rPr>
        <w:t>竣工结算</w:t>
      </w:r>
    </w:p>
    <w:p>
      <w:pPr>
        <w:adjustRightInd w:val="0"/>
        <w:snapToGrid w:val="0"/>
        <w:spacing w:before="0" w:beforeLines="0" w:after="0" w:line="360" w:lineRule="auto"/>
        <w:ind w:left="359"/>
        <w:rPr>
          <w:color w:val="auto"/>
        </w:rPr>
      </w:pPr>
      <w:r>
        <w:rPr>
          <w:b/>
          <w:color w:val="auto"/>
        </w:rPr>
        <w:t>27.1</w:t>
      </w:r>
      <w:r>
        <w:rPr>
          <w:rFonts w:hint="eastAsia"/>
          <w:b/>
          <w:color w:val="auto"/>
        </w:rPr>
        <w:t>竣工结算书的编制和提交</w:t>
      </w:r>
    </w:p>
    <w:p>
      <w:pPr>
        <w:tabs>
          <w:tab w:val="left" w:pos="1620"/>
          <w:tab w:val="left" w:pos="2340"/>
        </w:tabs>
        <w:adjustRightInd w:val="0"/>
        <w:snapToGrid w:val="0"/>
        <w:spacing w:beforeLines="0" w:after="0" w:line="360" w:lineRule="auto"/>
        <w:ind w:left="899"/>
        <w:rPr>
          <w:color w:val="auto"/>
        </w:rPr>
      </w:pPr>
      <w:r>
        <w:rPr>
          <w:rFonts w:hint="eastAsia"/>
          <w:color w:val="auto"/>
        </w:rPr>
        <w:t>⑴承包人应按照第20.1款约定的签约合同价和第20.2款约定的</w:t>
      </w:r>
      <w:r>
        <w:rPr>
          <w:color w:val="auto"/>
        </w:rPr>
        <w:t>合同价格调整</w:t>
      </w:r>
      <w:r>
        <w:rPr>
          <w:rFonts w:hint="eastAsia"/>
          <w:color w:val="auto"/>
        </w:rPr>
        <w:t>内容计算竣工结算价款，编制竣工结算书，并汇总竣工结算资料。竣工结算资料一般包括施工合同、工程竣工图纸及资料、双方确认的工程量、双方确认追加(减)的合同价格、双方确认的索赔和现场签证事项及价款、招标文件、投标文件、工程量清单报价单或施工图预算书等与竣工结算有关的资料。</w:t>
      </w:r>
    </w:p>
    <w:p>
      <w:pPr>
        <w:tabs>
          <w:tab w:val="left" w:pos="1620"/>
          <w:tab w:val="left" w:pos="2340"/>
        </w:tabs>
        <w:adjustRightInd w:val="0"/>
        <w:snapToGrid w:val="0"/>
        <w:spacing w:beforeLines="0" w:after="0" w:line="360" w:lineRule="auto"/>
        <w:ind w:left="899"/>
        <w:rPr>
          <w:color w:val="auto"/>
        </w:rPr>
      </w:pPr>
      <w:r>
        <w:rPr>
          <w:rFonts w:hint="eastAsia"/>
          <w:color w:val="auto"/>
        </w:rPr>
        <w:t>发包人与承包人开展施工过程结算的，双方确认的过程结算文件将作为竣工结算资料的组成部分，具体在</w:t>
      </w:r>
      <w:r>
        <w:rPr>
          <w:rFonts w:hint="eastAsia"/>
          <w:b/>
          <w:i/>
          <w:color w:val="auto"/>
        </w:rPr>
        <w:t>专用条款</w:t>
      </w:r>
      <w:r>
        <w:rPr>
          <w:rFonts w:hint="eastAsia"/>
          <w:color w:val="auto"/>
        </w:rPr>
        <w:t>约定。</w:t>
      </w:r>
    </w:p>
    <w:p>
      <w:pPr>
        <w:tabs>
          <w:tab w:val="left" w:pos="1620"/>
          <w:tab w:val="left" w:pos="2340"/>
        </w:tabs>
        <w:adjustRightInd w:val="0"/>
        <w:snapToGrid w:val="0"/>
        <w:spacing w:beforeLines="0" w:after="0" w:line="360" w:lineRule="auto"/>
        <w:ind w:left="899"/>
        <w:rPr>
          <w:color w:val="auto"/>
        </w:rPr>
      </w:pPr>
      <w:r>
        <w:rPr>
          <w:rFonts w:hint="eastAsia"/>
          <w:color w:val="auto"/>
        </w:rPr>
        <w:t>⑵工程竣工验收合格后，在</w:t>
      </w:r>
      <w:r>
        <w:rPr>
          <w:rFonts w:hint="eastAsia"/>
          <w:b/>
          <w:i/>
          <w:color w:val="auto"/>
        </w:rPr>
        <w:t>专用条款</w:t>
      </w:r>
      <w:r>
        <w:rPr>
          <w:rFonts w:hint="eastAsia"/>
          <w:color w:val="auto"/>
        </w:rPr>
        <w:t>约定的时间内，承包人应向发包人提交竣工结算书及完整的结算资料。政府投资项目应按《深圳经济特区政府投资项目管理条例》等相关规定执行。</w:t>
      </w:r>
    </w:p>
    <w:p>
      <w:pPr>
        <w:adjustRightInd w:val="0"/>
        <w:snapToGrid w:val="0"/>
        <w:spacing w:before="0" w:beforeLines="0" w:after="0" w:line="360" w:lineRule="auto"/>
        <w:ind w:left="359"/>
        <w:rPr>
          <w:color w:val="auto"/>
        </w:rPr>
      </w:pPr>
      <w:r>
        <w:rPr>
          <w:b/>
          <w:color w:val="auto"/>
        </w:rPr>
        <w:t>27.2</w:t>
      </w:r>
      <w:r>
        <w:rPr>
          <w:rFonts w:hint="eastAsia"/>
          <w:b/>
          <w:color w:val="auto"/>
        </w:rPr>
        <w:t>竣工结算书的核对和修改</w:t>
      </w:r>
    </w:p>
    <w:p>
      <w:pPr>
        <w:tabs>
          <w:tab w:val="left" w:pos="1620"/>
          <w:tab w:val="left" w:pos="2340"/>
        </w:tabs>
        <w:adjustRightInd w:val="0"/>
        <w:snapToGrid w:val="0"/>
        <w:spacing w:beforeLines="0" w:line="360" w:lineRule="auto"/>
        <w:ind w:left="899"/>
        <w:rPr>
          <w:color w:val="auto"/>
        </w:rPr>
      </w:pPr>
      <w:r>
        <w:rPr>
          <w:color w:val="auto"/>
        </w:rPr>
        <w:t>⑴</w:t>
      </w:r>
      <w:r>
        <w:rPr>
          <w:rFonts w:hint="eastAsia"/>
          <w:color w:val="auto"/>
        </w:rPr>
        <w:t>发包人在收到承包人提交的竣工结算书及结算资料后28天或</w:t>
      </w:r>
      <w:r>
        <w:rPr>
          <w:rFonts w:hint="eastAsia"/>
          <w:b/>
          <w:i/>
          <w:color w:val="auto"/>
        </w:rPr>
        <w:t>专用条款</w:t>
      </w:r>
      <w:r>
        <w:rPr>
          <w:rFonts w:hint="eastAsia"/>
          <w:color w:val="auto"/>
        </w:rPr>
        <w:t>约定的时间内，应按合同的有关约定，依据结算资料，在</w:t>
      </w:r>
      <w:r>
        <w:rPr>
          <w:color w:val="auto"/>
        </w:rPr>
        <w:t>监理人</w:t>
      </w:r>
      <w:r>
        <w:rPr>
          <w:rFonts w:hint="eastAsia"/>
          <w:color w:val="auto"/>
        </w:rPr>
        <w:t>的协助下，对承包人提交的竣工结算书进行核对：</w:t>
      </w:r>
    </w:p>
    <w:p>
      <w:pPr>
        <w:tabs>
          <w:tab w:val="left" w:pos="1620"/>
          <w:tab w:val="left" w:pos="2340"/>
        </w:tabs>
        <w:adjustRightInd w:val="0"/>
        <w:snapToGrid w:val="0"/>
        <w:spacing w:beforeLines="0" w:line="360" w:lineRule="auto"/>
        <w:ind w:left="899" w:firstLine="181"/>
        <w:rPr>
          <w:color w:val="auto"/>
        </w:rPr>
      </w:pPr>
      <w:r>
        <w:rPr>
          <w:rFonts w:hint="eastAsia"/>
          <w:color w:val="auto"/>
        </w:rPr>
        <w:t>①认可承包人提交的竣工结算书，并确认工程竣工结算价款；或</w:t>
      </w:r>
    </w:p>
    <w:p>
      <w:pPr>
        <w:tabs>
          <w:tab w:val="left" w:pos="1620"/>
          <w:tab w:val="left" w:pos="2340"/>
        </w:tabs>
        <w:adjustRightInd w:val="0"/>
        <w:snapToGrid w:val="0"/>
        <w:spacing w:beforeLines="0" w:line="360" w:lineRule="auto"/>
        <w:ind w:left="899" w:firstLine="181"/>
        <w:rPr>
          <w:color w:val="auto"/>
        </w:rPr>
      </w:pPr>
      <w:r>
        <w:rPr>
          <w:rFonts w:hint="eastAsia"/>
          <w:color w:val="auto"/>
        </w:rPr>
        <w:t>②提出核对意见或要求补充结算资料。</w:t>
      </w:r>
    </w:p>
    <w:p>
      <w:pPr>
        <w:tabs>
          <w:tab w:val="left" w:pos="1620"/>
          <w:tab w:val="left" w:pos="2340"/>
        </w:tabs>
        <w:adjustRightInd w:val="0"/>
        <w:snapToGrid w:val="0"/>
        <w:spacing w:before="0" w:beforeLines="0" w:after="0" w:line="360" w:lineRule="auto"/>
        <w:ind w:left="899"/>
        <w:rPr>
          <w:color w:val="auto"/>
        </w:rPr>
      </w:pPr>
      <w:r>
        <w:rPr>
          <w:rFonts w:hint="eastAsia"/>
          <w:color w:val="auto"/>
        </w:rPr>
        <w:t>⑵承包人应在收到发包人提出的核对意见后14天或</w:t>
      </w:r>
      <w:r>
        <w:rPr>
          <w:rFonts w:hint="eastAsia"/>
          <w:b/>
          <w:i/>
          <w:color w:val="auto"/>
        </w:rPr>
        <w:t>专用条款</w:t>
      </w:r>
      <w:r>
        <w:rPr>
          <w:rFonts w:hint="eastAsia"/>
          <w:color w:val="auto"/>
        </w:rPr>
        <w:t>约定的时间内，向发包人提交经修改的竣工结算书或补充结算资料。发包人应在收到后14天或</w:t>
      </w:r>
      <w:r>
        <w:rPr>
          <w:rFonts w:hint="eastAsia"/>
          <w:b/>
          <w:i/>
          <w:color w:val="auto"/>
        </w:rPr>
        <w:t>专用条款</w:t>
      </w:r>
      <w:r>
        <w:rPr>
          <w:rFonts w:hint="eastAsia"/>
          <w:color w:val="auto"/>
        </w:rPr>
        <w:t>约定的时间内，进行核对，经与承包人协商达成一致意见后确认工程竣工结算价款。</w:t>
      </w:r>
    </w:p>
    <w:p>
      <w:pPr>
        <w:tabs>
          <w:tab w:val="left" w:pos="1620"/>
          <w:tab w:val="left" w:pos="2340"/>
        </w:tabs>
        <w:adjustRightInd w:val="0"/>
        <w:snapToGrid w:val="0"/>
        <w:spacing w:before="0" w:beforeLines="0" w:after="0" w:line="360" w:lineRule="auto"/>
        <w:ind w:left="899"/>
        <w:rPr>
          <w:color w:val="auto"/>
        </w:rPr>
      </w:pPr>
      <w:r>
        <w:rPr>
          <w:rFonts w:hint="eastAsia"/>
          <w:color w:val="auto"/>
        </w:rPr>
        <w:t>⑶承包人在收到发包人提出的核对意见后14天或</w:t>
      </w:r>
      <w:r>
        <w:rPr>
          <w:rFonts w:hint="eastAsia"/>
          <w:b/>
          <w:i/>
          <w:color w:val="auto"/>
        </w:rPr>
        <w:t>专用条款</w:t>
      </w:r>
      <w:r>
        <w:rPr>
          <w:rFonts w:hint="eastAsia"/>
          <w:color w:val="auto"/>
        </w:rPr>
        <w:t>约定的时间内未提出异议或没有明确答复的，视为发包人的核对意见被承包人认可且接受，竣工结算至此办理完毕。</w:t>
      </w:r>
    </w:p>
    <w:p>
      <w:pPr>
        <w:adjustRightInd w:val="0"/>
        <w:snapToGrid w:val="0"/>
        <w:spacing w:before="0" w:beforeLines="0" w:after="0" w:line="360" w:lineRule="auto"/>
        <w:ind w:left="359"/>
        <w:rPr>
          <w:color w:val="auto"/>
        </w:rPr>
      </w:pPr>
      <w:r>
        <w:rPr>
          <w:b/>
          <w:color w:val="auto"/>
        </w:rPr>
        <w:t>27.3</w:t>
      </w:r>
      <w:r>
        <w:rPr>
          <w:rFonts w:hint="eastAsia"/>
          <w:b/>
          <w:color w:val="auto"/>
        </w:rPr>
        <w:t>竣工结算书核对次数</w:t>
      </w:r>
    </w:p>
    <w:p>
      <w:pPr>
        <w:tabs>
          <w:tab w:val="left" w:pos="1620"/>
          <w:tab w:val="left" w:pos="2340"/>
        </w:tabs>
        <w:adjustRightInd w:val="0"/>
        <w:snapToGrid w:val="0"/>
        <w:spacing w:before="0" w:beforeLines="0" w:after="0" w:line="360" w:lineRule="auto"/>
        <w:ind w:left="899"/>
        <w:rPr>
          <w:color w:val="auto"/>
        </w:rPr>
      </w:pPr>
      <w:r>
        <w:rPr>
          <w:color w:val="auto"/>
        </w:rPr>
        <w:t>⑴</w:t>
      </w:r>
      <w:r>
        <w:rPr>
          <w:rFonts w:hint="eastAsia"/>
          <w:color w:val="auto"/>
        </w:rPr>
        <w:t>除</w:t>
      </w:r>
      <w:r>
        <w:rPr>
          <w:rFonts w:hint="eastAsia"/>
          <w:b/>
          <w:i/>
          <w:color w:val="auto"/>
        </w:rPr>
        <w:t>专用条款</w:t>
      </w:r>
      <w:r>
        <w:rPr>
          <w:rFonts w:hint="eastAsia"/>
          <w:color w:val="auto"/>
        </w:rPr>
        <w:t>明确约定核对人及核对次数，发包人、承包人双方对竣工结算仅需核对一次，但承包人依据发包人提出的核对意见后修改重新提交核对的除外。本工程竣工结算核对完成，发包人、承包人双方签字确认后，发包人不应要求承包人与另一个或多个工程造价咨询机构重复核对发包人和承包人已确认的竣工结算。</w:t>
      </w:r>
    </w:p>
    <w:p>
      <w:pPr>
        <w:tabs>
          <w:tab w:val="left" w:pos="1620"/>
          <w:tab w:val="left" w:pos="2340"/>
        </w:tabs>
        <w:adjustRightInd w:val="0"/>
        <w:snapToGrid w:val="0"/>
        <w:spacing w:before="0" w:beforeLines="0" w:after="0" w:line="360" w:lineRule="auto"/>
        <w:ind w:left="899"/>
        <w:rPr>
          <w:color w:val="auto"/>
        </w:rPr>
      </w:pPr>
      <w:r>
        <w:rPr>
          <w:rFonts w:hint="eastAsia"/>
          <w:color w:val="auto"/>
        </w:rPr>
        <w:t>⑵依据相关法律、法规、规章，要求使用国有资金和集体所有资金等投资建设工程的竣工结算需向政府指定机构提交审计或审核的，该审计或审核行为不视为第27.3</w:t>
      </w:r>
      <w:r>
        <w:rPr>
          <w:color w:val="auto"/>
        </w:rPr>
        <w:t>⑴</w:t>
      </w:r>
      <w:r>
        <w:rPr>
          <w:rFonts w:hint="eastAsia"/>
          <w:color w:val="auto"/>
        </w:rPr>
        <w:t>款所述核对。</w:t>
      </w:r>
    </w:p>
    <w:p>
      <w:pPr>
        <w:adjustRightInd w:val="0"/>
        <w:snapToGrid w:val="0"/>
        <w:spacing w:before="0" w:beforeLines="0" w:after="0" w:line="360" w:lineRule="auto"/>
        <w:ind w:left="359"/>
        <w:rPr>
          <w:color w:val="auto"/>
        </w:rPr>
      </w:pPr>
      <w:r>
        <w:rPr>
          <w:b/>
          <w:color w:val="auto"/>
        </w:rPr>
        <w:t>27.4</w:t>
      </w:r>
      <w:r>
        <w:rPr>
          <w:rFonts w:hint="eastAsia"/>
          <w:b/>
          <w:color w:val="auto"/>
        </w:rPr>
        <w:t>承包人不提交竣工结算书</w:t>
      </w:r>
    </w:p>
    <w:p>
      <w:pPr>
        <w:tabs>
          <w:tab w:val="left" w:pos="1620"/>
          <w:tab w:val="left" w:pos="2340"/>
        </w:tabs>
        <w:adjustRightInd w:val="0"/>
        <w:snapToGrid w:val="0"/>
        <w:spacing w:before="0" w:beforeLines="0" w:after="0" w:line="360" w:lineRule="auto"/>
        <w:ind w:left="899"/>
        <w:rPr>
          <w:color w:val="auto"/>
        </w:rPr>
      </w:pPr>
      <w:r>
        <w:rPr>
          <w:rFonts w:hint="eastAsia"/>
          <w:color w:val="auto"/>
        </w:rPr>
        <w:t>在本合同约定期限内，承包人未提交竣工结算书及结算资料(包括经修改的竣工结算书或补充结算资料)，</w:t>
      </w:r>
      <w:r>
        <w:rPr>
          <w:color w:val="auto"/>
        </w:rPr>
        <w:t>监理人</w:t>
      </w:r>
      <w:r>
        <w:rPr>
          <w:rFonts w:hint="eastAsia"/>
          <w:color w:val="auto"/>
        </w:rPr>
        <w:t>应通知其要求提交，通知后14天内仍不提交的</w:t>
      </w:r>
      <w:r>
        <w:rPr>
          <w:color w:val="auto"/>
        </w:rPr>
        <w:t>或没有明确答复</w:t>
      </w:r>
      <w:r>
        <w:rPr>
          <w:rFonts w:hint="eastAsia"/>
          <w:color w:val="auto"/>
        </w:rPr>
        <w:t>的</w:t>
      </w:r>
      <w:r>
        <w:rPr>
          <w:color w:val="auto"/>
        </w:rPr>
        <w:t>，</w:t>
      </w:r>
      <w:r>
        <w:rPr>
          <w:rFonts w:hint="eastAsia"/>
          <w:color w:val="auto"/>
        </w:rPr>
        <w:t>发包人可在</w:t>
      </w:r>
      <w:r>
        <w:rPr>
          <w:rFonts w:hint="eastAsia"/>
          <w:b/>
          <w:i/>
          <w:color w:val="auto"/>
        </w:rPr>
        <w:t>专用条款</w:t>
      </w:r>
      <w:r>
        <w:rPr>
          <w:rFonts w:hint="eastAsia"/>
          <w:color w:val="auto"/>
        </w:rPr>
        <w:t>中约定按以下方式进行处理：</w:t>
      </w:r>
    </w:p>
    <w:p>
      <w:pPr>
        <w:tabs>
          <w:tab w:val="left" w:pos="1620"/>
          <w:tab w:val="left" w:pos="2340"/>
        </w:tabs>
        <w:adjustRightInd w:val="0"/>
        <w:snapToGrid w:val="0"/>
        <w:spacing w:beforeLines="0" w:line="360" w:lineRule="auto"/>
        <w:ind w:left="1079"/>
        <w:rPr>
          <w:color w:val="auto"/>
        </w:rPr>
      </w:pPr>
      <w:r>
        <w:rPr>
          <w:rFonts w:hint="eastAsia"/>
          <w:color w:val="auto"/>
        </w:rPr>
        <w:t>(</w:t>
      </w:r>
      <w:r>
        <w:rPr>
          <w:color w:val="auto"/>
        </w:rPr>
        <w:t>1)</w:t>
      </w:r>
      <w:r>
        <w:rPr>
          <w:rFonts w:hint="eastAsia"/>
          <w:color w:val="auto"/>
        </w:rPr>
        <w:t>依据已有资料进行审查、核实，并确定工程竣工结算价款，书面提交承包人，并以此作为竣工结算价款支付依据。若承包人不予接受的，按第30条［争议解决］的约定处理。</w:t>
      </w:r>
    </w:p>
    <w:p>
      <w:pPr>
        <w:tabs>
          <w:tab w:val="left" w:pos="1620"/>
          <w:tab w:val="left" w:pos="2340"/>
        </w:tabs>
        <w:adjustRightInd w:val="0"/>
        <w:snapToGrid w:val="0"/>
        <w:spacing w:beforeLines="0" w:line="360" w:lineRule="auto"/>
        <w:ind w:left="1079"/>
        <w:rPr>
          <w:color w:val="auto"/>
        </w:rPr>
      </w:pPr>
      <w:r>
        <w:rPr>
          <w:color w:val="auto"/>
        </w:rPr>
        <w:t>(2)</w:t>
      </w:r>
      <w:r>
        <w:rPr>
          <w:rFonts w:hint="eastAsia"/>
          <w:color w:val="auto"/>
        </w:rPr>
        <w:t>按</w:t>
      </w:r>
      <w:r>
        <w:rPr>
          <w:rFonts w:hint="eastAsia"/>
          <w:b/>
          <w:i/>
          <w:color w:val="auto"/>
        </w:rPr>
        <w:t>专用条款</w:t>
      </w:r>
      <w:r>
        <w:rPr>
          <w:rFonts w:hint="eastAsia"/>
          <w:color w:val="auto"/>
        </w:rPr>
        <w:t>的约定对承包人进行处罚。</w:t>
      </w:r>
    </w:p>
    <w:p>
      <w:pPr>
        <w:adjustRightInd w:val="0"/>
        <w:snapToGrid w:val="0"/>
        <w:spacing w:before="0" w:beforeLines="0" w:after="0" w:line="360" w:lineRule="auto"/>
        <w:ind w:left="359"/>
        <w:rPr>
          <w:color w:val="auto"/>
        </w:rPr>
      </w:pPr>
      <w:r>
        <w:rPr>
          <w:b/>
          <w:color w:val="auto"/>
        </w:rPr>
        <w:t>27.5</w:t>
      </w:r>
      <w:r>
        <w:rPr>
          <w:rFonts w:hint="eastAsia"/>
          <w:b/>
          <w:color w:val="auto"/>
        </w:rPr>
        <w:t>发包人逾期不结算</w:t>
      </w:r>
    </w:p>
    <w:p>
      <w:pPr>
        <w:tabs>
          <w:tab w:val="left" w:pos="1620"/>
          <w:tab w:val="left" w:pos="2340"/>
        </w:tabs>
        <w:adjustRightInd w:val="0"/>
        <w:snapToGrid w:val="0"/>
        <w:spacing w:before="0" w:beforeLines="0" w:after="0" w:line="360" w:lineRule="auto"/>
        <w:ind w:left="899"/>
        <w:rPr>
          <w:color w:val="auto"/>
        </w:rPr>
      </w:pPr>
      <w:r>
        <w:rPr>
          <w:rFonts w:hint="eastAsia"/>
          <w:color w:val="auto"/>
        </w:rPr>
        <w:t>发包人收到竣工结算书及结算资料后28天或</w:t>
      </w:r>
      <w:r>
        <w:rPr>
          <w:rFonts w:hint="eastAsia"/>
          <w:b/>
          <w:i/>
          <w:color w:val="auto"/>
        </w:rPr>
        <w:t>专用条款</w:t>
      </w:r>
      <w:r>
        <w:rPr>
          <w:rFonts w:hint="eastAsia"/>
          <w:color w:val="auto"/>
        </w:rPr>
        <w:t>约定的时间内，或在收到经修改的竣工结算书或补充结算资料后14天或</w:t>
      </w:r>
      <w:r>
        <w:rPr>
          <w:rFonts w:hint="eastAsia"/>
          <w:b/>
          <w:i/>
          <w:color w:val="auto"/>
        </w:rPr>
        <w:t>专用条款</w:t>
      </w:r>
      <w:r>
        <w:rPr>
          <w:rFonts w:hint="eastAsia"/>
          <w:color w:val="auto"/>
        </w:rPr>
        <w:t>约定的时间内，既不认可承包人提交的竣工结算书(包括经修改的竣工结算书)，又不提出异议的，视同认可承包人提交的竣工结算书。承包人依此向发包人申请支付，发包人拒不支付的，按第30条［争议解决］的约定处理。</w:t>
      </w:r>
    </w:p>
    <w:p>
      <w:pPr>
        <w:adjustRightInd w:val="0"/>
        <w:snapToGrid w:val="0"/>
        <w:spacing w:before="0" w:beforeLines="0" w:after="0" w:line="360" w:lineRule="auto"/>
        <w:ind w:left="359"/>
        <w:rPr>
          <w:color w:val="auto"/>
        </w:rPr>
      </w:pPr>
      <w:r>
        <w:rPr>
          <w:b/>
          <w:color w:val="auto"/>
        </w:rPr>
        <w:t>27.6</w:t>
      </w:r>
      <w:r>
        <w:rPr>
          <w:rFonts w:hint="eastAsia"/>
          <w:b/>
          <w:color w:val="auto"/>
        </w:rPr>
        <w:t>竣工结算审计或审核</w:t>
      </w:r>
    </w:p>
    <w:p>
      <w:pPr>
        <w:tabs>
          <w:tab w:val="left" w:pos="1620"/>
          <w:tab w:val="left" w:pos="2340"/>
        </w:tabs>
        <w:adjustRightInd w:val="0"/>
        <w:snapToGrid w:val="0"/>
        <w:spacing w:before="0" w:beforeLines="0" w:after="0" w:line="360" w:lineRule="auto"/>
        <w:ind w:left="899"/>
        <w:rPr>
          <w:color w:val="auto"/>
        </w:rPr>
      </w:pPr>
      <w:r>
        <w:rPr>
          <w:rFonts w:hint="eastAsia"/>
          <w:color w:val="auto"/>
        </w:rPr>
        <w:t>⑴在发包人和承包人确认竣工结算价款后7天内，发包人应当将经发包人和承包人共同确认的竣工结算书按规定报政府指定机构审计或审核。在</w:t>
      </w:r>
      <w:r>
        <w:rPr>
          <w:rFonts w:hint="eastAsia"/>
          <w:b/>
          <w:i/>
          <w:color w:val="auto"/>
        </w:rPr>
        <w:t>专用条款</w:t>
      </w:r>
      <w:r>
        <w:rPr>
          <w:rFonts w:hint="eastAsia"/>
          <w:color w:val="auto"/>
        </w:rPr>
        <w:t>约定的特殊情况下，发包人可启动强制结算机制，将其单方编制的结算文件送审计或审核。</w:t>
      </w:r>
    </w:p>
    <w:p>
      <w:pPr>
        <w:tabs>
          <w:tab w:val="left" w:pos="1620"/>
          <w:tab w:val="left" w:pos="2340"/>
        </w:tabs>
        <w:adjustRightInd w:val="0"/>
        <w:snapToGrid w:val="0"/>
        <w:spacing w:before="0" w:beforeLines="0" w:after="0" w:line="360" w:lineRule="auto"/>
        <w:ind w:left="899"/>
        <w:rPr>
          <w:color w:val="auto"/>
        </w:rPr>
      </w:pPr>
      <w:r>
        <w:rPr>
          <w:rFonts w:hint="eastAsia"/>
          <w:color w:val="auto"/>
        </w:rPr>
        <w:t>⑵</w:t>
      </w:r>
      <w:r>
        <w:rPr>
          <w:color w:val="auto"/>
        </w:rPr>
        <w:t>本合同的任何</w:t>
      </w:r>
      <w:r>
        <w:rPr>
          <w:rFonts w:hint="eastAsia"/>
          <w:color w:val="auto"/>
        </w:rPr>
        <w:t>工程</w:t>
      </w:r>
      <w:r>
        <w:rPr>
          <w:color w:val="auto"/>
        </w:rPr>
        <w:t>变更、索赔、</w:t>
      </w:r>
      <w:r>
        <w:rPr>
          <w:rFonts w:hint="eastAsia"/>
          <w:color w:val="auto"/>
        </w:rPr>
        <w:t>签证</w:t>
      </w:r>
      <w:r>
        <w:rPr>
          <w:color w:val="auto"/>
        </w:rPr>
        <w:t>和竣工结算以及补充协议</w:t>
      </w:r>
      <w:r>
        <w:rPr>
          <w:rFonts w:hint="eastAsia"/>
          <w:color w:val="auto"/>
        </w:rPr>
        <w:t>(</w:t>
      </w:r>
      <w:r>
        <w:rPr>
          <w:color w:val="auto"/>
        </w:rPr>
        <w:t>如果有</w:t>
      </w:r>
      <w:r>
        <w:rPr>
          <w:rFonts w:hint="eastAsia"/>
          <w:color w:val="auto"/>
        </w:rPr>
        <w:t>)应按规定</w:t>
      </w:r>
      <w:r>
        <w:rPr>
          <w:color w:val="auto"/>
        </w:rPr>
        <w:t>经过</w:t>
      </w:r>
      <w:r>
        <w:rPr>
          <w:rFonts w:hint="eastAsia"/>
          <w:color w:val="auto"/>
        </w:rPr>
        <w:t>政府指定机构</w:t>
      </w:r>
      <w:r>
        <w:rPr>
          <w:color w:val="auto"/>
        </w:rPr>
        <w:t>审</w:t>
      </w:r>
      <w:r>
        <w:rPr>
          <w:rFonts w:hint="eastAsia"/>
          <w:color w:val="auto"/>
        </w:rPr>
        <w:t>计或审核</w:t>
      </w:r>
      <w:r>
        <w:rPr>
          <w:color w:val="auto"/>
        </w:rPr>
        <w:t>。</w:t>
      </w:r>
      <w:r>
        <w:rPr>
          <w:rFonts w:hint="eastAsia"/>
          <w:color w:val="auto"/>
        </w:rPr>
        <w:t>最终的竣工结算和支付依据按</w:t>
      </w:r>
      <w:r>
        <w:rPr>
          <w:rFonts w:hint="eastAsia"/>
          <w:b/>
          <w:i/>
          <w:color w:val="auto"/>
        </w:rPr>
        <w:t>专用条款</w:t>
      </w:r>
      <w:r>
        <w:rPr>
          <w:rFonts w:hint="eastAsia"/>
          <w:color w:val="auto"/>
        </w:rPr>
        <w:t>约定执行。</w:t>
      </w:r>
    </w:p>
    <w:p>
      <w:pPr>
        <w:tabs>
          <w:tab w:val="left" w:pos="1620"/>
          <w:tab w:val="left" w:pos="2340"/>
        </w:tabs>
        <w:adjustRightInd w:val="0"/>
        <w:snapToGrid w:val="0"/>
        <w:spacing w:before="0" w:beforeLines="0" w:after="0" w:line="360" w:lineRule="auto"/>
        <w:ind w:left="899"/>
        <w:rPr>
          <w:color w:val="auto"/>
        </w:rPr>
      </w:pPr>
      <w:r>
        <w:rPr>
          <w:rFonts w:hint="eastAsia"/>
          <w:color w:val="auto"/>
        </w:rPr>
        <w:t>⑶政府指定机构的</w:t>
      </w:r>
      <w:r>
        <w:rPr>
          <w:color w:val="auto"/>
        </w:rPr>
        <w:t>审</w:t>
      </w:r>
      <w:r>
        <w:rPr>
          <w:rFonts w:hint="eastAsia"/>
          <w:color w:val="auto"/>
        </w:rPr>
        <w:t>计或审核</w:t>
      </w:r>
      <w:r>
        <w:rPr>
          <w:color w:val="auto"/>
        </w:rPr>
        <w:t>包括合同履行期间的过程审计</w:t>
      </w:r>
      <w:r>
        <w:rPr>
          <w:rFonts w:hint="eastAsia"/>
          <w:color w:val="auto"/>
        </w:rPr>
        <w:t>或审核、工程完工后的</w:t>
      </w:r>
      <w:r>
        <w:rPr>
          <w:color w:val="auto"/>
        </w:rPr>
        <w:t>竣工结算审计</w:t>
      </w:r>
      <w:r>
        <w:rPr>
          <w:rFonts w:hint="eastAsia"/>
          <w:color w:val="auto"/>
        </w:rPr>
        <w:t>或审核</w:t>
      </w:r>
      <w:r>
        <w:rPr>
          <w:color w:val="auto"/>
        </w:rPr>
        <w:t>。</w:t>
      </w:r>
      <w:r>
        <w:rPr>
          <w:rFonts w:hint="eastAsia"/>
          <w:color w:val="auto"/>
        </w:rPr>
        <w:t>发包人和</w:t>
      </w:r>
      <w:r>
        <w:rPr>
          <w:color w:val="auto"/>
        </w:rPr>
        <w:t>承包人</w:t>
      </w:r>
      <w:r>
        <w:rPr>
          <w:rFonts w:hint="eastAsia"/>
          <w:color w:val="auto"/>
        </w:rPr>
        <w:t>均</w:t>
      </w:r>
      <w:r>
        <w:rPr>
          <w:color w:val="auto"/>
        </w:rPr>
        <w:t>不得拒绝</w:t>
      </w:r>
      <w:r>
        <w:rPr>
          <w:rFonts w:hint="eastAsia"/>
          <w:color w:val="auto"/>
        </w:rPr>
        <w:t>政府指定机构的任何监管</w:t>
      </w:r>
      <w:r>
        <w:rPr>
          <w:color w:val="auto"/>
        </w:rPr>
        <w:t>，必须充分配合</w:t>
      </w:r>
      <w:r>
        <w:rPr>
          <w:rFonts w:hint="eastAsia"/>
          <w:color w:val="auto"/>
        </w:rPr>
        <w:t>审计或审核</w:t>
      </w:r>
      <w:r>
        <w:rPr>
          <w:color w:val="auto"/>
        </w:rPr>
        <w:t>，不得拖延。</w:t>
      </w:r>
    </w:p>
    <w:p>
      <w:pPr>
        <w:adjustRightInd w:val="0"/>
        <w:snapToGrid w:val="0"/>
        <w:spacing w:before="0" w:beforeLines="0" w:after="0" w:line="360" w:lineRule="auto"/>
        <w:ind w:left="359"/>
        <w:rPr>
          <w:color w:val="auto"/>
        </w:rPr>
      </w:pPr>
      <w:r>
        <w:rPr>
          <w:b/>
          <w:color w:val="auto"/>
        </w:rPr>
        <w:t>27.7</w:t>
      </w:r>
      <w:r>
        <w:rPr>
          <w:rFonts w:hint="eastAsia"/>
          <w:b/>
          <w:color w:val="auto"/>
        </w:rPr>
        <w:t>竣工结算支付</w:t>
      </w:r>
    </w:p>
    <w:p>
      <w:pPr>
        <w:tabs>
          <w:tab w:val="left" w:pos="1620"/>
          <w:tab w:val="left" w:pos="2340"/>
        </w:tabs>
        <w:adjustRightInd w:val="0"/>
        <w:snapToGrid w:val="0"/>
        <w:spacing w:before="0" w:beforeLines="0" w:after="0" w:line="360" w:lineRule="auto"/>
        <w:ind w:left="899"/>
        <w:rPr>
          <w:color w:val="auto"/>
        </w:rPr>
      </w:pPr>
      <w:r>
        <w:rPr>
          <w:rFonts w:hint="eastAsia"/>
          <w:color w:val="auto"/>
        </w:rPr>
        <w:t>⑴在按27.6款竣工结算</w:t>
      </w:r>
      <w:r>
        <w:rPr>
          <w:color w:val="auto"/>
        </w:rPr>
        <w:t>审计</w:t>
      </w:r>
      <w:r>
        <w:rPr>
          <w:rFonts w:hint="eastAsia"/>
          <w:color w:val="auto"/>
        </w:rPr>
        <w:t>或审核完毕后7天内，</w:t>
      </w:r>
      <w:r>
        <w:rPr>
          <w:color w:val="auto"/>
        </w:rPr>
        <w:t>监理人</w:t>
      </w:r>
      <w:r>
        <w:rPr>
          <w:rFonts w:hint="eastAsia"/>
          <w:color w:val="auto"/>
        </w:rPr>
        <w:t>应签发竣工支付证书，报发包人批准后送交承包人。竣工支付证书中应载明按照经确认的工程竣工结算价款及根据合同约定最后应支付给承包人的价款。</w:t>
      </w:r>
    </w:p>
    <w:p>
      <w:pPr>
        <w:tabs>
          <w:tab w:val="left" w:pos="1620"/>
          <w:tab w:val="left" w:pos="2340"/>
        </w:tabs>
        <w:adjustRightInd w:val="0"/>
        <w:snapToGrid w:val="0"/>
        <w:spacing w:before="0" w:beforeLines="0" w:after="0" w:line="360" w:lineRule="auto"/>
        <w:ind w:left="899"/>
        <w:rPr>
          <w:color w:val="auto"/>
        </w:rPr>
      </w:pPr>
      <w:r>
        <w:rPr>
          <w:rFonts w:hint="eastAsia"/>
          <w:color w:val="auto"/>
        </w:rPr>
        <w:t>⑵发包人应在确认竣工支付证书后14天内向承包人支付除按本合同附件《工程质量保修书》约定扣留的质量保证金以外的本工程竣工结算价款。</w:t>
      </w:r>
    </w:p>
    <w:p>
      <w:pPr>
        <w:tabs>
          <w:tab w:val="left" w:pos="1620"/>
          <w:tab w:val="left" w:pos="2340"/>
        </w:tabs>
        <w:adjustRightInd w:val="0"/>
        <w:snapToGrid w:val="0"/>
        <w:spacing w:before="0" w:beforeLines="0" w:after="0" w:line="360" w:lineRule="auto"/>
        <w:ind w:left="899"/>
        <w:rPr>
          <w:color w:val="auto"/>
        </w:rPr>
      </w:pPr>
      <w:r>
        <w:rPr>
          <w:rFonts w:hint="eastAsia"/>
          <w:color w:val="auto"/>
        </w:rPr>
        <w:t>⑶发包人在确认竣工结算价款后14天内无正当理由不支付工程竣工结算价款，从第15天起按同期银行贷款利率支付拖欠工程价款的贷款利息，并承担第28.1⑵项约定的违约责任。承包人可以催告发包人支付结算价款，如双方达成延期支付协议，发包人应按同期银行贷款利率支付拖欠工程价款的利息。如双方未达成延期支付协议，发包人在收到催告后14天内仍不支付的，承包人可以对留置的标的物进行处理；或者向保证人提出支付担保索赔；或者与发包人协议将该工程折价或拍卖，承包人就该工程折价或拍卖的价款优先受偿。</w:t>
      </w:r>
    </w:p>
    <w:p>
      <w:pPr>
        <w:tabs>
          <w:tab w:val="left" w:pos="1620"/>
          <w:tab w:val="left" w:pos="2340"/>
        </w:tabs>
        <w:adjustRightInd w:val="0"/>
        <w:snapToGrid w:val="0"/>
        <w:spacing w:before="0" w:beforeLines="0" w:after="0" w:line="360" w:lineRule="auto"/>
        <w:ind w:left="899"/>
        <w:rPr>
          <w:color w:val="auto"/>
        </w:rPr>
      </w:pPr>
      <w:r>
        <w:rPr>
          <w:rFonts w:hint="eastAsia"/>
          <w:color w:val="auto"/>
        </w:rPr>
        <w:t>⑷有关本工程竣工结算的文件的编制和审核均须经注册造价工程师签字盖章确认。</w:t>
      </w:r>
    </w:p>
    <w:p>
      <w:pPr>
        <w:adjustRightInd w:val="0"/>
        <w:snapToGrid w:val="0"/>
        <w:spacing w:before="0" w:beforeLines="0" w:after="0" w:line="360" w:lineRule="auto"/>
        <w:ind w:left="359"/>
        <w:rPr>
          <w:color w:val="auto"/>
        </w:rPr>
      </w:pPr>
      <w:r>
        <w:rPr>
          <w:b/>
          <w:color w:val="auto"/>
        </w:rPr>
        <w:t>27.8</w:t>
      </w:r>
      <w:r>
        <w:rPr>
          <w:rFonts w:hint="eastAsia"/>
          <w:b/>
          <w:color w:val="auto"/>
        </w:rPr>
        <w:t>最终结清申请</w:t>
      </w:r>
    </w:p>
    <w:p>
      <w:pPr>
        <w:tabs>
          <w:tab w:val="left" w:pos="1620"/>
          <w:tab w:val="left" w:pos="2340"/>
        </w:tabs>
        <w:adjustRightInd w:val="0"/>
        <w:snapToGrid w:val="0"/>
        <w:spacing w:before="0" w:beforeLines="0" w:after="0" w:line="360" w:lineRule="auto"/>
        <w:ind w:left="899"/>
        <w:rPr>
          <w:color w:val="auto"/>
        </w:rPr>
      </w:pPr>
      <w:r>
        <w:rPr>
          <w:rFonts w:hint="eastAsia"/>
          <w:color w:val="auto"/>
        </w:rPr>
        <w:t>⑴</w:t>
      </w:r>
      <w:r>
        <w:rPr>
          <w:color w:val="auto"/>
        </w:rPr>
        <w:t>除</w:t>
      </w:r>
      <w:r>
        <w:rPr>
          <w:b/>
          <w:i/>
          <w:color w:val="auto"/>
        </w:rPr>
        <w:t>专用条款</w:t>
      </w:r>
      <w:r>
        <w:rPr>
          <w:color w:val="auto"/>
        </w:rPr>
        <w:t>另有约定外，承包人应在缺陷责任期终止证书颁发后7天内，按</w:t>
      </w:r>
      <w:r>
        <w:rPr>
          <w:b/>
          <w:i/>
          <w:color w:val="auto"/>
        </w:rPr>
        <w:t>专用条款</w:t>
      </w:r>
      <w:r>
        <w:rPr>
          <w:color w:val="auto"/>
        </w:rPr>
        <w:t>约定的份数向发包人提交最终结清申请单，并提供相关证明材料。</w:t>
      </w:r>
    </w:p>
    <w:p>
      <w:pPr>
        <w:tabs>
          <w:tab w:val="left" w:pos="1620"/>
          <w:tab w:val="left" w:pos="2340"/>
        </w:tabs>
        <w:adjustRightInd w:val="0"/>
        <w:snapToGrid w:val="0"/>
        <w:spacing w:before="0" w:beforeLines="0" w:after="0" w:line="360" w:lineRule="auto"/>
        <w:ind w:left="899"/>
        <w:rPr>
          <w:color w:val="auto"/>
        </w:rPr>
      </w:pPr>
      <w:r>
        <w:rPr>
          <w:color w:val="auto"/>
        </w:rPr>
        <w:t>除</w:t>
      </w:r>
      <w:r>
        <w:rPr>
          <w:b/>
          <w:i/>
          <w:color w:val="auto"/>
        </w:rPr>
        <w:t>专用条款</w:t>
      </w:r>
      <w:r>
        <w:rPr>
          <w:color w:val="auto"/>
        </w:rPr>
        <w:t>另有约定外，最终结清申请单应列明质量保证金、应扣除的质量保证金、缺陷责任期内发生的增减费用。</w:t>
      </w:r>
    </w:p>
    <w:p>
      <w:pPr>
        <w:tabs>
          <w:tab w:val="left" w:pos="1620"/>
          <w:tab w:val="left" w:pos="2340"/>
        </w:tabs>
        <w:adjustRightInd w:val="0"/>
        <w:snapToGrid w:val="0"/>
        <w:spacing w:before="0" w:beforeLines="0" w:after="0" w:line="360" w:lineRule="auto"/>
        <w:ind w:left="899"/>
        <w:rPr>
          <w:color w:val="auto"/>
        </w:rPr>
      </w:pPr>
      <w:r>
        <w:rPr>
          <w:rFonts w:hint="eastAsia"/>
          <w:color w:val="auto"/>
        </w:rPr>
        <w:t>⑵</w:t>
      </w:r>
      <w:r>
        <w:rPr>
          <w:color w:val="auto"/>
        </w:rPr>
        <w:t>发包人对最终结清申请单内容有异议的，有权要求承包人进行修正和提供补充资料，承包人应向发包人提交修正后的最终结清申请单。</w:t>
      </w:r>
    </w:p>
    <w:p>
      <w:pPr>
        <w:adjustRightInd w:val="0"/>
        <w:snapToGrid w:val="0"/>
        <w:spacing w:before="0" w:beforeLines="0" w:after="0" w:line="360" w:lineRule="auto"/>
        <w:ind w:left="359"/>
        <w:rPr>
          <w:color w:val="auto"/>
        </w:rPr>
      </w:pPr>
      <w:r>
        <w:rPr>
          <w:b/>
          <w:color w:val="auto"/>
        </w:rPr>
        <w:t>27.9最终结清证书和支付</w:t>
      </w:r>
    </w:p>
    <w:p>
      <w:pPr>
        <w:tabs>
          <w:tab w:val="left" w:pos="1620"/>
          <w:tab w:val="left" w:pos="2340"/>
        </w:tabs>
        <w:adjustRightInd w:val="0"/>
        <w:snapToGrid w:val="0"/>
        <w:spacing w:before="0" w:beforeLines="0" w:after="0" w:line="360" w:lineRule="auto"/>
        <w:ind w:left="899"/>
        <w:rPr>
          <w:color w:val="auto"/>
        </w:rPr>
      </w:pPr>
      <w:r>
        <w:rPr>
          <w:rFonts w:hint="eastAsia"/>
          <w:color w:val="auto"/>
        </w:rPr>
        <w:t>⑴</w:t>
      </w:r>
      <w:r>
        <w:rPr>
          <w:color w:val="auto"/>
        </w:rPr>
        <w:t>除</w:t>
      </w:r>
      <w:r>
        <w:rPr>
          <w:b/>
          <w:i/>
          <w:color w:val="auto"/>
        </w:rPr>
        <w:t>专用条款</w:t>
      </w:r>
      <w:r>
        <w:rPr>
          <w:color w:val="auto"/>
        </w:rPr>
        <w:t>另有约定外，发包人应在收到承包人提交的最终结清申请单后14天内完成审批并向承包人颁发最终结清证书。发包人逾期未完成</w:t>
      </w:r>
      <w:r>
        <w:rPr>
          <w:rFonts w:hint="eastAsia"/>
          <w:color w:val="auto"/>
        </w:rPr>
        <w:t>审批</w:t>
      </w:r>
      <w:r>
        <w:rPr>
          <w:color w:val="auto"/>
        </w:rPr>
        <w:t>，又未提出修改意见的，视为发包人同意承包人提交的最终结清申请单，且自发包人收到承包人提交的最终结清申请单后15天起视为已颁发最终结清证书。</w:t>
      </w:r>
    </w:p>
    <w:p>
      <w:pPr>
        <w:tabs>
          <w:tab w:val="left" w:pos="1620"/>
          <w:tab w:val="left" w:pos="2340"/>
        </w:tabs>
        <w:adjustRightInd w:val="0"/>
        <w:snapToGrid w:val="0"/>
        <w:spacing w:before="0" w:beforeLines="0" w:after="0" w:line="360" w:lineRule="auto"/>
        <w:ind w:left="899"/>
        <w:rPr>
          <w:color w:val="auto"/>
        </w:rPr>
      </w:pPr>
      <w:r>
        <w:rPr>
          <w:rFonts w:hint="eastAsia"/>
          <w:color w:val="auto"/>
        </w:rPr>
        <w:t>⑵</w:t>
      </w:r>
      <w:r>
        <w:rPr>
          <w:color w:val="auto"/>
        </w:rPr>
        <w:t>除</w:t>
      </w:r>
      <w:r>
        <w:rPr>
          <w:b/>
          <w:i/>
          <w:color w:val="auto"/>
        </w:rPr>
        <w:t>专用条款</w:t>
      </w:r>
      <w:r>
        <w:rPr>
          <w:color w:val="auto"/>
        </w:rPr>
        <w:t>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tabs>
          <w:tab w:val="left" w:pos="1620"/>
          <w:tab w:val="left" w:pos="2340"/>
        </w:tabs>
        <w:adjustRightInd w:val="0"/>
        <w:snapToGrid w:val="0"/>
        <w:spacing w:before="0" w:beforeLines="0" w:after="0" w:line="360" w:lineRule="auto"/>
        <w:ind w:left="899"/>
        <w:rPr>
          <w:color w:val="auto"/>
        </w:rPr>
      </w:pPr>
      <w:r>
        <w:rPr>
          <w:rFonts w:hint="eastAsia"/>
          <w:color w:val="auto"/>
        </w:rPr>
        <w:t>⑶</w:t>
      </w:r>
      <w:r>
        <w:rPr>
          <w:color w:val="auto"/>
        </w:rPr>
        <w:t>承包人对发包人颁发的最终结清证书有异议的，按第</w:t>
      </w:r>
      <w:r>
        <w:rPr>
          <w:rFonts w:hint="eastAsia"/>
          <w:color w:val="auto"/>
        </w:rPr>
        <w:t>3</w:t>
      </w:r>
      <w:r>
        <w:rPr>
          <w:color w:val="auto"/>
        </w:rPr>
        <w:t>0条</w:t>
      </w:r>
      <w:r>
        <w:rPr>
          <w:rFonts w:hint="eastAsia"/>
          <w:color w:val="auto"/>
        </w:rPr>
        <w:t>〔</w:t>
      </w:r>
      <w:r>
        <w:rPr>
          <w:color w:val="auto"/>
        </w:rPr>
        <w:t>争议解决</w:t>
      </w:r>
      <w:r>
        <w:rPr>
          <w:rFonts w:hint="eastAsia"/>
          <w:color w:val="auto"/>
        </w:rPr>
        <w:t>〕</w:t>
      </w:r>
      <w:r>
        <w:rPr>
          <w:color w:val="auto"/>
        </w:rPr>
        <w:t>的约定办理。</w:t>
      </w:r>
    </w:p>
    <w:p>
      <w:pPr>
        <w:adjustRightInd w:val="0"/>
        <w:snapToGrid w:val="0"/>
        <w:spacing w:before="0" w:beforeLines="0" w:after="0" w:line="360" w:lineRule="auto"/>
        <w:ind w:left="178"/>
        <w:rPr>
          <w:color w:val="auto"/>
          <w:sz w:val="28"/>
        </w:rPr>
      </w:pPr>
      <w:r>
        <w:rPr>
          <w:b/>
          <w:color w:val="auto"/>
          <w:sz w:val="28"/>
        </w:rPr>
        <w:t>28</w:t>
      </w:r>
      <w:r>
        <w:rPr>
          <w:rFonts w:hint="eastAsia"/>
          <w:b/>
          <w:color w:val="auto"/>
          <w:sz w:val="28"/>
        </w:rPr>
        <w:t>违约</w:t>
      </w:r>
    </w:p>
    <w:p>
      <w:pPr>
        <w:adjustRightInd w:val="0"/>
        <w:snapToGrid w:val="0"/>
        <w:spacing w:before="0" w:beforeLines="0" w:after="0" w:line="360" w:lineRule="auto"/>
        <w:ind w:left="359"/>
        <w:rPr>
          <w:color w:val="auto"/>
        </w:rPr>
      </w:pPr>
      <w:r>
        <w:rPr>
          <w:b/>
          <w:color w:val="auto"/>
        </w:rPr>
        <w:t>28.1</w:t>
      </w:r>
      <w:r>
        <w:rPr>
          <w:rFonts w:hint="eastAsia"/>
          <w:b/>
          <w:color w:val="auto"/>
        </w:rPr>
        <w:t>发包人违约</w:t>
      </w:r>
    </w:p>
    <w:p>
      <w:pPr>
        <w:tabs>
          <w:tab w:val="left" w:pos="1620"/>
          <w:tab w:val="left" w:pos="2340"/>
        </w:tabs>
        <w:adjustRightInd w:val="0"/>
        <w:snapToGrid w:val="0"/>
        <w:spacing w:beforeLines="0" w:line="360" w:lineRule="auto"/>
        <w:ind w:left="899"/>
        <w:rPr>
          <w:color w:val="auto"/>
        </w:rPr>
      </w:pPr>
      <w:r>
        <w:rPr>
          <w:rFonts w:hint="eastAsia"/>
          <w:color w:val="auto"/>
        </w:rPr>
        <w:t>发包人不履行合同义务或不按合同约定履行义务，应承担违约责任，赔偿因其违约给承包人造成的损失，顺延延误的工期。当发生下列情况时，发包人应根据</w:t>
      </w:r>
      <w:r>
        <w:rPr>
          <w:rFonts w:hint="eastAsia"/>
          <w:b/>
          <w:i/>
          <w:color w:val="auto"/>
        </w:rPr>
        <w:t>专用条款</w:t>
      </w:r>
      <w:r>
        <w:rPr>
          <w:rFonts w:hint="eastAsia"/>
          <w:color w:val="auto"/>
        </w:rPr>
        <w:t>的约定承担违约责任。</w:t>
      </w:r>
    </w:p>
    <w:p>
      <w:pPr>
        <w:tabs>
          <w:tab w:val="left" w:pos="1620"/>
          <w:tab w:val="left" w:pos="2340"/>
        </w:tabs>
        <w:adjustRightInd w:val="0"/>
        <w:snapToGrid w:val="0"/>
        <w:spacing w:beforeLines="0" w:line="360" w:lineRule="auto"/>
        <w:ind w:left="1079"/>
        <w:rPr>
          <w:color w:val="auto"/>
        </w:rPr>
      </w:pPr>
      <w:r>
        <w:rPr>
          <w:rFonts w:hint="eastAsia"/>
          <w:color w:val="auto"/>
        </w:rPr>
        <w:t>⑴</w:t>
      </w:r>
      <w:r>
        <w:rPr>
          <w:color w:val="auto"/>
        </w:rPr>
        <w:t>因发包人原因未能在计划开工日期前7天内下达开工通知的；</w:t>
      </w:r>
    </w:p>
    <w:p>
      <w:pPr>
        <w:tabs>
          <w:tab w:val="left" w:pos="1620"/>
          <w:tab w:val="left" w:pos="2340"/>
        </w:tabs>
        <w:adjustRightInd w:val="0"/>
        <w:snapToGrid w:val="0"/>
        <w:spacing w:beforeLines="0" w:line="360" w:lineRule="auto"/>
        <w:ind w:left="1079"/>
        <w:rPr>
          <w:color w:val="auto"/>
        </w:rPr>
      </w:pPr>
      <w:r>
        <w:rPr>
          <w:rFonts w:hint="eastAsia"/>
          <w:color w:val="auto"/>
        </w:rPr>
        <w:t>⑵发包人不按时支付工程预付款、工程进度款、工程竣工结算款；</w:t>
      </w:r>
    </w:p>
    <w:p>
      <w:pPr>
        <w:tabs>
          <w:tab w:val="left" w:pos="1620"/>
          <w:tab w:val="left" w:pos="2340"/>
        </w:tabs>
        <w:adjustRightInd w:val="0"/>
        <w:snapToGrid w:val="0"/>
        <w:spacing w:beforeLines="0" w:line="360" w:lineRule="auto"/>
        <w:ind w:left="1079"/>
        <w:rPr>
          <w:color w:val="auto"/>
        </w:rPr>
      </w:pPr>
      <w:r>
        <w:rPr>
          <w:rFonts w:hint="eastAsia"/>
          <w:color w:val="auto"/>
        </w:rPr>
        <w:t>⑶</w:t>
      </w:r>
      <w:r>
        <w:rPr>
          <w:color w:val="auto"/>
        </w:rPr>
        <w:t>发包人提供的材料、工程设备的规格、数量或质量不符合合同约定，或因发包人原因导致交货日期延误或交货地点变更等情况的；</w:t>
      </w:r>
    </w:p>
    <w:p>
      <w:pPr>
        <w:tabs>
          <w:tab w:val="left" w:pos="1620"/>
          <w:tab w:val="left" w:pos="2340"/>
        </w:tabs>
        <w:adjustRightInd w:val="0"/>
        <w:snapToGrid w:val="0"/>
        <w:spacing w:beforeLines="0" w:line="360" w:lineRule="auto"/>
        <w:ind w:left="1079"/>
        <w:rPr>
          <w:color w:val="auto"/>
        </w:rPr>
      </w:pPr>
      <w:r>
        <w:rPr>
          <w:rFonts w:hint="eastAsia"/>
          <w:color w:val="auto"/>
        </w:rPr>
        <w:t>⑷</w:t>
      </w:r>
      <w:r>
        <w:rPr>
          <w:color w:val="auto"/>
        </w:rPr>
        <w:t>因发包人违反合同约定造成暂停施工的；</w:t>
      </w:r>
    </w:p>
    <w:p>
      <w:pPr>
        <w:tabs>
          <w:tab w:val="left" w:pos="1620"/>
          <w:tab w:val="left" w:pos="2340"/>
        </w:tabs>
        <w:adjustRightInd w:val="0"/>
        <w:snapToGrid w:val="0"/>
        <w:spacing w:beforeLines="0" w:line="360" w:lineRule="auto"/>
        <w:ind w:left="1079"/>
        <w:rPr>
          <w:color w:val="auto"/>
        </w:rPr>
      </w:pPr>
      <w:r>
        <w:rPr>
          <w:rFonts w:hint="eastAsia"/>
          <w:color w:val="auto"/>
        </w:rPr>
        <w:t>⑸</w:t>
      </w:r>
      <w:r>
        <w:rPr>
          <w:color w:val="auto"/>
        </w:rPr>
        <w:t>发包人无正当理由没有在约定期限内发出复工指示，导致承包人无法复工的；</w:t>
      </w:r>
    </w:p>
    <w:p>
      <w:pPr>
        <w:tabs>
          <w:tab w:val="left" w:pos="1620"/>
          <w:tab w:val="left" w:pos="2340"/>
        </w:tabs>
        <w:adjustRightInd w:val="0"/>
        <w:snapToGrid w:val="0"/>
        <w:spacing w:beforeLines="0" w:line="360" w:lineRule="auto"/>
        <w:ind w:left="1079"/>
        <w:rPr>
          <w:color w:val="auto"/>
        </w:rPr>
      </w:pPr>
      <w:r>
        <w:rPr>
          <w:rFonts w:hint="eastAsia"/>
          <w:color w:val="auto"/>
        </w:rPr>
        <w:t>⑹</w:t>
      </w:r>
      <w:r>
        <w:rPr>
          <w:color w:val="auto"/>
        </w:rPr>
        <w:t>发包人明确表示或者以其行为表明不履行合同主要义务的；</w:t>
      </w:r>
    </w:p>
    <w:p>
      <w:pPr>
        <w:tabs>
          <w:tab w:val="left" w:pos="1620"/>
          <w:tab w:val="left" w:pos="2340"/>
        </w:tabs>
        <w:adjustRightInd w:val="0"/>
        <w:snapToGrid w:val="0"/>
        <w:spacing w:beforeLines="0" w:line="360" w:lineRule="auto"/>
        <w:ind w:left="1079"/>
        <w:rPr>
          <w:color w:val="auto"/>
        </w:rPr>
      </w:pPr>
      <w:r>
        <w:rPr>
          <w:rFonts w:hint="eastAsia"/>
          <w:color w:val="auto"/>
        </w:rPr>
        <w:t>⑺</w:t>
      </w:r>
      <w:r>
        <w:rPr>
          <w:color w:val="auto"/>
        </w:rPr>
        <w:t>发包人未能按照合同约定履行其他义务的。</w:t>
      </w:r>
    </w:p>
    <w:p>
      <w:pPr>
        <w:adjustRightInd w:val="0"/>
        <w:snapToGrid w:val="0"/>
        <w:spacing w:before="0" w:beforeLines="0" w:after="0" w:line="360" w:lineRule="auto"/>
        <w:ind w:left="359"/>
        <w:rPr>
          <w:color w:val="auto"/>
        </w:rPr>
      </w:pPr>
      <w:r>
        <w:rPr>
          <w:b/>
          <w:color w:val="auto"/>
        </w:rPr>
        <w:t>28.2</w:t>
      </w:r>
      <w:r>
        <w:rPr>
          <w:rFonts w:hint="eastAsia"/>
          <w:b/>
          <w:color w:val="auto"/>
        </w:rPr>
        <w:t>承包人违约</w:t>
      </w:r>
    </w:p>
    <w:p>
      <w:pPr>
        <w:tabs>
          <w:tab w:val="left" w:pos="1620"/>
          <w:tab w:val="left" w:pos="2340"/>
        </w:tabs>
        <w:adjustRightInd w:val="0"/>
        <w:snapToGrid w:val="0"/>
        <w:spacing w:beforeLines="0" w:line="360" w:lineRule="auto"/>
        <w:ind w:left="899"/>
        <w:rPr>
          <w:color w:val="auto"/>
        </w:rPr>
      </w:pPr>
      <w:r>
        <w:rPr>
          <w:rFonts w:hint="eastAsia"/>
          <w:color w:val="auto"/>
        </w:rPr>
        <w:t>承包人不履行合同义务或不按合同约定履行义务，应承担违约责任，赔偿因其违约给发包人造成的损失。当发生下列情况时，承包人应根据</w:t>
      </w:r>
      <w:r>
        <w:rPr>
          <w:rFonts w:hint="eastAsia"/>
          <w:b/>
          <w:i/>
          <w:color w:val="auto"/>
        </w:rPr>
        <w:t>专用条款</w:t>
      </w:r>
      <w:r>
        <w:rPr>
          <w:rFonts w:hint="eastAsia"/>
          <w:color w:val="auto"/>
        </w:rPr>
        <w:t>的约定承担违约责任。</w:t>
      </w:r>
    </w:p>
    <w:p>
      <w:pPr>
        <w:tabs>
          <w:tab w:val="left" w:pos="1620"/>
          <w:tab w:val="left" w:pos="2340"/>
        </w:tabs>
        <w:adjustRightInd w:val="0"/>
        <w:snapToGrid w:val="0"/>
        <w:spacing w:beforeLines="0" w:line="360" w:lineRule="auto"/>
        <w:ind w:left="1079"/>
        <w:rPr>
          <w:bCs/>
          <w:color w:val="auto"/>
        </w:rPr>
      </w:pPr>
      <w:r>
        <w:rPr>
          <w:rFonts w:hint="eastAsia"/>
          <w:color w:val="auto"/>
        </w:rPr>
        <w:t>⑴</w:t>
      </w:r>
      <w:r>
        <w:rPr>
          <w:bCs/>
          <w:color w:val="auto"/>
        </w:rPr>
        <w:t>承包人违反合同约定进行转包或违法分包的；</w:t>
      </w:r>
    </w:p>
    <w:p>
      <w:pPr>
        <w:tabs>
          <w:tab w:val="left" w:pos="1620"/>
          <w:tab w:val="left" w:pos="2340"/>
        </w:tabs>
        <w:adjustRightInd w:val="0"/>
        <w:snapToGrid w:val="0"/>
        <w:spacing w:beforeLines="0" w:line="360" w:lineRule="auto"/>
        <w:ind w:left="1079"/>
        <w:rPr>
          <w:bCs/>
          <w:color w:val="auto"/>
        </w:rPr>
      </w:pPr>
      <w:r>
        <w:rPr>
          <w:rFonts w:hint="eastAsia"/>
          <w:color w:val="auto"/>
        </w:rPr>
        <w:t>⑵</w:t>
      </w:r>
      <w:r>
        <w:rPr>
          <w:bCs/>
          <w:color w:val="auto"/>
        </w:rPr>
        <w:t>承包人违反合同约定采购和使用不合格的材料和工程设备的；</w:t>
      </w:r>
    </w:p>
    <w:p>
      <w:pPr>
        <w:tabs>
          <w:tab w:val="left" w:pos="1620"/>
          <w:tab w:val="left" w:pos="2340"/>
        </w:tabs>
        <w:adjustRightInd w:val="0"/>
        <w:snapToGrid w:val="0"/>
        <w:spacing w:beforeLines="0" w:line="360" w:lineRule="auto"/>
        <w:ind w:left="1079"/>
        <w:rPr>
          <w:bCs/>
          <w:color w:val="auto"/>
        </w:rPr>
      </w:pPr>
      <w:r>
        <w:rPr>
          <w:rFonts w:hint="eastAsia"/>
          <w:color w:val="auto"/>
        </w:rPr>
        <w:t>⑶</w:t>
      </w:r>
      <w:r>
        <w:rPr>
          <w:bCs/>
          <w:color w:val="auto"/>
        </w:rPr>
        <w:t>因承包人原因导致工程质量不符合合同要求的；</w:t>
      </w:r>
    </w:p>
    <w:p>
      <w:pPr>
        <w:tabs>
          <w:tab w:val="left" w:pos="1620"/>
          <w:tab w:val="left" w:pos="2340"/>
        </w:tabs>
        <w:adjustRightInd w:val="0"/>
        <w:snapToGrid w:val="0"/>
        <w:spacing w:beforeLines="0" w:line="360" w:lineRule="auto"/>
        <w:ind w:left="1079"/>
        <w:rPr>
          <w:bCs/>
          <w:color w:val="auto"/>
        </w:rPr>
      </w:pPr>
      <w:r>
        <w:rPr>
          <w:rFonts w:hint="eastAsia"/>
          <w:color w:val="auto"/>
        </w:rPr>
        <w:t>⑷</w:t>
      </w:r>
      <w:r>
        <w:rPr>
          <w:bCs/>
          <w:color w:val="auto"/>
        </w:rPr>
        <w:t>承包人未经批准，私自将已按照合同约定进入施工现场的材料或设备撤离施工现场的；</w:t>
      </w:r>
    </w:p>
    <w:p>
      <w:pPr>
        <w:tabs>
          <w:tab w:val="left" w:pos="1620"/>
          <w:tab w:val="left" w:pos="2340"/>
        </w:tabs>
        <w:adjustRightInd w:val="0"/>
        <w:snapToGrid w:val="0"/>
        <w:spacing w:beforeLines="0" w:line="360" w:lineRule="auto"/>
        <w:ind w:left="1079"/>
        <w:rPr>
          <w:bCs/>
          <w:color w:val="auto"/>
        </w:rPr>
      </w:pPr>
      <w:r>
        <w:rPr>
          <w:rFonts w:hint="eastAsia"/>
          <w:color w:val="auto"/>
        </w:rPr>
        <w:t>⑸</w:t>
      </w:r>
      <w:r>
        <w:rPr>
          <w:bCs/>
          <w:color w:val="auto"/>
        </w:rPr>
        <w:t>承包人未能按施工进度计划及时完成合同约定的工作，造成工期延误的；</w:t>
      </w:r>
    </w:p>
    <w:p>
      <w:pPr>
        <w:tabs>
          <w:tab w:val="left" w:pos="1620"/>
          <w:tab w:val="left" w:pos="2340"/>
        </w:tabs>
        <w:adjustRightInd w:val="0"/>
        <w:snapToGrid w:val="0"/>
        <w:spacing w:beforeLines="0" w:line="360" w:lineRule="auto"/>
        <w:ind w:left="1079"/>
        <w:rPr>
          <w:bCs/>
          <w:color w:val="auto"/>
        </w:rPr>
      </w:pPr>
      <w:r>
        <w:rPr>
          <w:rFonts w:hint="eastAsia"/>
          <w:color w:val="auto"/>
        </w:rPr>
        <w:t>⑹</w:t>
      </w:r>
      <w:r>
        <w:rPr>
          <w:bCs/>
          <w:color w:val="auto"/>
        </w:rPr>
        <w:t>承包人在缺陷责任期及保修期内，未能在合理期限对工程缺陷进行修复，或拒绝按发包人要求进行修复的；</w:t>
      </w:r>
    </w:p>
    <w:p>
      <w:pPr>
        <w:tabs>
          <w:tab w:val="left" w:pos="1620"/>
          <w:tab w:val="left" w:pos="2340"/>
        </w:tabs>
        <w:adjustRightInd w:val="0"/>
        <w:snapToGrid w:val="0"/>
        <w:spacing w:beforeLines="0" w:line="360" w:lineRule="auto"/>
        <w:ind w:left="1079"/>
        <w:rPr>
          <w:bCs/>
          <w:color w:val="auto"/>
        </w:rPr>
      </w:pPr>
      <w:r>
        <w:rPr>
          <w:rFonts w:hint="eastAsia"/>
          <w:bCs/>
          <w:color w:val="auto"/>
        </w:rPr>
        <w:t>⑺因承包人原因导致BIM实施应用不符合合同要求的；</w:t>
      </w:r>
    </w:p>
    <w:p>
      <w:pPr>
        <w:tabs>
          <w:tab w:val="left" w:pos="1620"/>
          <w:tab w:val="left" w:pos="2340"/>
        </w:tabs>
        <w:adjustRightInd w:val="0"/>
        <w:snapToGrid w:val="0"/>
        <w:spacing w:beforeLines="0" w:line="360" w:lineRule="auto"/>
        <w:ind w:left="1079"/>
        <w:rPr>
          <w:bCs/>
          <w:color w:val="auto"/>
        </w:rPr>
      </w:pPr>
      <w:r>
        <w:rPr>
          <w:rFonts w:hint="eastAsia"/>
          <w:bCs/>
          <w:color w:val="auto"/>
        </w:rPr>
        <w:t>⑻</w:t>
      </w:r>
      <w:r>
        <w:rPr>
          <w:bCs/>
          <w:color w:val="auto"/>
        </w:rPr>
        <w:t>承包人明确表示或者以其行为表明不履行合同主要义务的；</w:t>
      </w:r>
    </w:p>
    <w:p>
      <w:pPr>
        <w:tabs>
          <w:tab w:val="left" w:pos="1620"/>
          <w:tab w:val="left" w:pos="2340"/>
        </w:tabs>
        <w:adjustRightInd w:val="0"/>
        <w:snapToGrid w:val="0"/>
        <w:spacing w:beforeLines="0" w:line="360" w:lineRule="auto"/>
        <w:ind w:left="1079"/>
        <w:rPr>
          <w:bCs/>
          <w:color w:val="auto"/>
        </w:rPr>
      </w:pPr>
      <w:r>
        <w:rPr>
          <w:rFonts w:hint="eastAsia"/>
          <w:bCs/>
          <w:color w:val="auto"/>
        </w:rPr>
        <w:t>⑼</w:t>
      </w:r>
      <w:r>
        <w:rPr>
          <w:bCs/>
          <w:color w:val="auto"/>
        </w:rPr>
        <w:t>承包人未能按照合同约定履行其他义务的。</w:t>
      </w:r>
    </w:p>
    <w:p>
      <w:pPr>
        <w:adjustRightInd w:val="0"/>
        <w:snapToGrid w:val="0"/>
        <w:spacing w:before="0" w:beforeLines="0" w:after="0" w:line="360" w:lineRule="auto"/>
        <w:ind w:left="359"/>
        <w:rPr>
          <w:color w:val="auto"/>
        </w:rPr>
      </w:pPr>
      <w:r>
        <w:rPr>
          <w:b/>
          <w:color w:val="auto"/>
        </w:rPr>
        <w:t>28.3第三人造成的违约</w:t>
      </w:r>
    </w:p>
    <w:p>
      <w:pPr>
        <w:tabs>
          <w:tab w:val="left" w:pos="1620"/>
          <w:tab w:val="left" w:pos="2340"/>
        </w:tabs>
        <w:adjustRightInd w:val="0"/>
        <w:snapToGrid w:val="0"/>
        <w:spacing w:beforeLines="0" w:line="360" w:lineRule="auto"/>
        <w:ind w:left="899"/>
        <w:rPr>
          <w:color w:val="auto"/>
        </w:rPr>
      </w:pPr>
      <w:r>
        <w:rPr>
          <w:color w:val="auto"/>
        </w:rPr>
        <w:t>在履行合同过程中，</w:t>
      </w:r>
      <w:r>
        <w:rPr>
          <w:rFonts w:hint="eastAsia"/>
          <w:color w:val="auto"/>
        </w:rPr>
        <w:t>发包人或承包人</w:t>
      </w:r>
      <w:r>
        <w:rPr>
          <w:color w:val="auto"/>
        </w:rPr>
        <w:t>一方因第三人的原因造成违约的，应当向对方承担违约责任。</w:t>
      </w:r>
      <w:r>
        <w:rPr>
          <w:rFonts w:hint="eastAsia"/>
          <w:color w:val="auto"/>
        </w:rPr>
        <w:t>发包人或承包人</w:t>
      </w:r>
      <w:r>
        <w:rPr>
          <w:color w:val="auto"/>
        </w:rPr>
        <w:t>一方和第三人之间的纠纷，依照</w:t>
      </w:r>
      <w:r>
        <w:rPr>
          <w:rFonts w:hint="eastAsia"/>
          <w:color w:val="auto"/>
        </w:rPr>
        <w:t>相关</w:t>
      </w:r>
      <w:r>
        <w:rPr>
          <w:color w:val="auto"/>
        </w:rPr>
        <w:t>法律规定解决。</w:t>
      </w:r>
    </w:p>
    <w:p>
      <w:pPr>
        <w:adjustRightInd w:val="0"/>
        <w:snapToGrid w:val="0"/>
        <w:spacing w:before="0" w:beforeLines="0" w:after="0" w:line="360" w:lineRule="auto"/>
        <w:ind w:left="359"/>
        <w:rPr>
          <w:color w:val="auto"/>
        </w:rPr>
      </w:pPr>
      <w:r>
        <w:rPr>
          <w:b/>
          <w:color w:val="auto"/>
        </w:rPr>
        <w:t>28.4</w:t>
      </w:r>
      <w:r>
        <w:rPr>
          <w:rFonts w:hint="eastAsia"/>
          <w:b/>
          <w:color w:val="auto"/>
        </w:rPr>
        <w:t>继续履行合同</w:t>
      </w:r>
    </w:p>
    <w:p>
      <w:pPr>
        <w:tabs>
          <w:tab w:val="left" w:pos="1620"/>
          <w:tab w:val="left" w:pos="2340"/>
        </w:tabs>
        <w:adjustRightInd w:val="0"/>
        <w:snapToGrid w:val="0"/>
        <w:spacing w:beforeLines="0" w:line="360" w:lineRule="auto"/>
        <w:ind w:left="899"/>
        <w:rPr>
          <w:color w:val="auto"/>
        </w:rPr>
      </w:pPr>
      <w:r>
        <w:rPr>
          <w:rFonts w:hint="eastAsia"/>
          <w:color w:val="auto"/>
        </w:rPr>
        <w:t>除非另有约定，发包人和承包人一方违约后，另一方要求违约方继续履行本合同时，违约方承担上述违约责任后仍应继续履行合同。</w:t>
      </w:r>
    </w:p>
    <w:p>
      <w:pPr>
        <w:adjustRightInd w:val="0"/>
        <w:snapToGrid w:val="0"/>
        <w:spacing w:before="0" w:beforeLines="0" w:after="0" w:line="360" w:lineRule="auto"/>
        <w:ind w:left="178"/>
        <w:rPr>
          <w:color w:val="auto"/>
          <w:sz w:val="28"/>
        </w:rPr>
      </w:pPr>
      <w:r>
        <w:rPr>
          <w:b/>
          <w:color w:val="auto"/>
          <w:sz w:val="28"/>
        </w:rPr>
        <w:t>29</w:t>
      </w:r>
      <w:r>
        <w:rPr>
          <w:rFonts w:hint="eastAsia"/>
          <w:b/>
          <w:color w:val="auto"/>
          <w:sz w:val="28"/>
        </w:rPr>
        <w:t>索赔</w:t>
      </w:r>
    </w:p>
    <w:p>
      <w:pPr>
        <w:adjustRightInd w:val="0"/>
        <w:snapToGrid w:val="0"/>
        <w:spacing w:before="0" w:beforeLines="0" w:after="0" w:line="360" w:lineRule="auto"/>
        <w:ind w:left="359"/>
        <w:rPr>
          <w:color w:val="auto"/>
        </w:rPr>
      </w:pPr>
      <w:r>
        <w:rPr>
          <w:b/>
          <w:color w:val="auto"/>
        </w:rPr>
        <w:t>29.1</w:t>
      </w:r>
      <w:r>
        <w:rPr>
          <w:rFonts w:hint="eastAsia"/>
          <w:b/>
          <w:color w:val="auto"/>
        </w:rPr>
        <w:t>索赔理由与记录</w:t>
      </w:r>
    </w:p>
    <w:p>
      <w:pPr>
        <w:tabs>
          <w:tab w:val="left" w:pos="1620"/>
          <w:tab w:val="left" w:pos="2340"/>
        </w:tabs>
        <w:adjustRightInd w:val="0"/>
        <w:snapToGrid w:val="0"/>
        <w:spacing w:beforeLines="0" w:after="0" w:line="360" w:lineRule="auto"/>
        <w:ind w:left="899"/>
        <w:rPr>
          <w:color w:val="auto"/>
        </w:rPr>
      </w:pPr>
      <w:r>
        <w:rPr>
          <w:rFonts w:hint="eastAsia"/>
          <w:color w:val="auto"/>
        </w:rPr>
        <w:t>⑴发包人和承包人双方中，当一方向另一方提出索赔时，要有合理的索赔理由，且有其要求索赔的事件发生时的有效证据。</w:t>
      </w:r>
    </w:p>
    <w:p>
      <w:pPr>
        <w:tabs>
          <w:tab w:val="left" w:pos="1620"/>
          <w:tab w:val="left" w:pos="2340"/>
        </w:tabs>
        <w:adjustRightInd w:val="0"/>
        <w:snapToGrid w:val="0"/>
        <w:spacing w:beforeLines="0" w:after="0" w:line="360" w:lineRule="auto"/>
        <w:ind w:left="899"/>
        <w:rPr>
          <w:color w:val="auto"/>
        </w:rPr>
      </w:pPr>
      <w:r>
        <w:rPr>
          <w:rFonts w:hint="eastAsia"/>
          <w:color w:val="auto"/>
        </w:rPr>
        <w:t>⑵提出索赔的一方在其要求索赔的事件发生时，应保存好必要的记录，以便证明提出的索赔，并应允许另一方或</w:t>
      </w:r>
      <w:r>
        <w:rPr>
          <w:color w:val="auto"/>
        </w:rPr>
        <w:t>监理人</w:t>
      </w:r>
      <w:r>
        <w:rPr>
          <w:rFonts w:hint="eastAsia"/>
          <w:color w:val="auto"/>
        </w:rPr>
        <w:t>查阅全部记录。</w:t>
      </w:r>
    </w:p>
    <w:p>
      <w:pPr>
        <w:adjustRightInd w:val="0"/>
        <w:snapToGrid w:val="0"/>
        <w:spacing w:before="0" w:beforeLines="0" w:after="0" w:line="360" w:lineRule="auto"/>
        <w:ind w:left="359"/>
        <w:rPr>
          <w:color w:val="auto"/>
        </w:rPr>
      </w:pPr>
      <w:r>
        <w:rPr>
          <w:b/>
          <w:color w:val="auto"/>
        </w:rPr>
        <w:t>29.2</w:t>
      </w:r>
      <w:r>
        <w:rPr>
          <w:rFonts w:hint="eastAsia"/>
          <w:b/>
          <w:color w:val="auto"/>
        </w:rPr>
        <w:t>索赔内容</w:t>
      </w:r>
    </w:p>
    <w:p>
      <w:pPr>
        <w:tabs>
          <w:tab w:val="left" w:pos="1620"/>
          <w:tab w:val="left" w:pos="2340"/>
        </w:tabs>
        <w:adjustRightInd w:val="0"/>
        <w:snapToGrid w:val="0"/>
        <w:spacing w:before="0" w:beforeLines="0" w:line="360" w:lineRule="auto"/>
        <w:ind w:left="899"/>
        <w:rPr>
          <w:color w:val="auto"/>
        </w:rPr>
      </w:pPr>
      <w:r>
        <w:rPr>
          <w:rFonts w:hint="eastAsia"/>
          <w:color w:val="auto"/>
        </w:rPr>
        <w:t>⑴发包人提出索赔时，可选择下列一项或几项方式获得赔偿：</w:t>
      </w:r>
    </w:p>
    <w:p>
      <w:pPr>
        <w:tabs>
          <w:tab w:val="left" w:pos="1620"/>
          <w:tab w:val="left" w:pos="2340"/>
        </w:tabs>
        <w:adjustRightInd w:val="0"/>
        <w:snapToGrid w:val="0"/>
        <w:spacing w:beforeLines="0" w:line="360" w:lineRule="auto"/>
        <w:ind w:left="1134"/>
        <w:rPr>
          <w:color w:val="auto"/>
        </w:rPr>
      </w:pPr>
      <w:r>
        <w:rPr>
          <w:rFonts w:hint="eastAsia"/>
          <w:color w:val="auto"/>
        </w:rPr>
        <w:t>①延长质量缺陷修复期限；</w:t>
      </w:r>
    </w:p>
    <w:p>
      <w:pPr>
        <w:tabs>
          <w:tab w:val="left" w:pos="1620"/>
          <w:tab w:val="left" w:pos="2340"/>
        </w:tabs>
        <w:adjustRightInd w:val="0"/>
        <w:snapToGrid w:val="0"/>
        <w:spacing w:beforeLines="0" w:line="360" w:lineRule="auto"/>
        <w:ind w:left="1134"/>
        <w:rPr>
          <w:color w:val="auto"/>
        </w:rPr>
      </w:pPr>
      <w:r>
        <w:rPr>
          <w:rFonts w:hint="eastAsia"/>
          <w:color w:val="auto"/>
        </w:rPr>
        <w:t>②要求承包人支付实际发生的额外费用；</w:t>
      </w:r>
    </w:p>
    <w:p>
      <w:pPr>
        <w:tabs>
          <w:tab w:val="left" w:pos="1620"/>
          <w:tab w:val="left" w:pos="2340"/>
        </w:tabs>
        <w:adjustRightInd w:val="0"/>
        <w:snapToGrid w:val="0"/>
        <w:spacing w:beforeLines="0" w:line="360" w:lineRule="auto"/>
        <w:ind w:left="1134"/>
        <w:rPr>
          <w:color w:val="auto"/>
        </w:rPr>
      </w:pPr>
      <w:r>
        <w:rPr>
          <w:rFonts w:hint="eastAsia"/>
          <w:color w:val="auto"/>
        </w:rPr>
        <w:t>③要求承包人支付合同约定的违约金。</w:t>
      </w:r>
    </w:p>
    <w:p>
      <w:pPr>
        <w:tabs>
          <w:tab w:val="left" w:pos="1620"/>
          <w:tab w:val="left" w:pos="2340"/>
        </w:tabs>
        <w:adjustRightInd w:val="0"/>
        <w:snapToGrid w:val="0"/>
        <w:spacing w:beforeLines="0" w:line="360" w:lineRule="auto"/>
        <w:ind w:left="899"/>
        <w:rPr>
          <w:color w:val="auto"/>
        </w:rPr>
      </w:pPr>
      <w:r>
        <w:rPr>
          <w:rFonts w:hint="eastAsia"/>
          <w:color w:val="auto"/>
        </w:rPr>
        <w:t>⑵承包人提出索赔时，可选择下列一项或几项方式获得赔偿：</w:t>
      </w:r>
    </w:p>
    <w:p>
      <w:pPr>
        <w:tabs>
          <w:tab w:val="left" w:pos="1620"/>
          <w:tab w:val="left" w:pos="2340"/>
        </w:tabs>
        <w:adjustRightInd w:val="0"/>
        <w:snapToGrid w:val="0"/>
        <w:spacing w:beforeLines="0" w:line="360" w:lineRule="auto"/>
        <w:ind w:left="1134"/>
        <w:rPr>
          <w:color w:val="auto"/>
        </w:rPr>
      </w:pPr>
      <w:r>
        <w:rPr>
          <w:rFonts w:hint="eastAsia"/>
          <w:color w:val="auto"/>
        </w:rPr>
        <w:t>①延长工期；</w:t>
      </w:r>
    </w:p>
    <w:p>
      <w:pPr>
        <w:tabs>
          <w:tab w:val="left" w:pos="1620"/>
          <w:tab w:val="left" w:pos="2340"/>
        </w:tabs>
        <w:adjustRightInd w:val="0"/>
        <w:snapToGrid w:val="0"/>
        <w:spacing w:beforeLines="0" w:line="360" w:lineRule="auto"/>
        <w:ind w:left="1134"/>
        <w:rPr>
          <w:color w:val="auto"/>
        </w:rPr>
      </w:pPr>
      <w:r>
        <w:rPr>
          <w:rFonts w:hint="eastAsia"/>
          <w:color w:val="auto"/>
        </w:rPr>
        <w:t>②要求发包人支付实际发生的额外费用；</w:t>
      </w:r>
    </w:p>
    <w:p>
      <w:pPr>
        <w:tabs>
          <w:tab w:val="left" w:pos="1620"/>
          <w:tab w:val="left" w:pos="2340"/>
        </w:tabs>
        <w:adjustRightInd w:val="0"/>
        <w:snapToGrid w:val="0"/>
        <w:spacing w:beforeLines="0" w:line="360" w:lineRule="auto"/>
        <w:ind w:left="1134"/>
        <w:rPr>
          <w:color w:val="auto"/>
        </w:rPr>
      </w:pPr>
      <w:r>
        <w:rPr>
          <w:rFonts w:hint="eastAsia"/>
          <w:color w:val="auto"/>
        </w:rPr>
        <w:t>③要求发包人支付合理的预期利润；</w:t>
      </w:r>
    </w:p>
    <w:p>
      <w:pPr>
        <w:tabs>
          <w:tab w:val="left" w:pos="1620"/>
          <w:tab w:val="left" w:pos="2340"/>
        </w:tabs>
        <w:adjustRightInd w:val="0"/>
        <w:snapToGrid w:val="0"/>
        <w:spacing w:beforeLines="0" w:line="360" w:lineRule="auto"/>
        <w:ind w:left="1134"/>
        <w:rPr>
          <w:color w:val="auto"/>
        </w:rPr>
      </w:pPr>
      <w:r>
        <w:rPr>
          <w:rFonts w:hint="eastAsia"/>
          <w:color w:val="auto"/>
        </w:rPr>
        <w:t>④要求发包人支付合同约定的违约金。</w:t>
      </w:r>
    </w:p>
    <w:p>
      <w:pPr>
        <w:adjustRightInd w:val="0"/>
        <w:snapToGrid w:val="0"/>
        <w:spacing w:before="0" w:beforeLines="0" w:after="0" w:line="360" w:lineRule="auto"/>
        <w:ind w:left="359"/>
        <w:rPr>
          <w:color w:val="auto"/>
        </w:rPr>
      </w:pPr>
      <w:r>
        <w:rPr>
          <w:b/>
          <w:color w:val="auto"/>
        </w:rPr>
        <w:t>29.3</w:t>
      </w:r>
      <w:r>
        <w:rPr>
          <w:rFonts w:hint="eastAsia"/>
          <w:b/>
          <w:color w:val="auto"/>
        </w:rPr>
        <w:t>发包人索赔情形</w:t>
      </w:r>
    </w:p>
    <w:p>
      <w:pPr>
        <w:tabs>
          <w:tab w:val="left" w:pos="1620"/>
          <w:tab w:val="left" w:pos="2340"/>
        </w:tabs>
        <w:adjustRightInd w:val="0"/>
        <w:snapToGrid w:val="0"/>
        <w:spacing w:beforeLines="0" w:line="360" w:lineRule="auto"/>
        <w:ind w:left="899"/>
        <w:rPr>
          <w:color w:val="auto"/>
        </w:rPr>
      </w:pPr>
      <w:r>
        <w:rPr>
          <w:rFonts w:hint="eastAsia"/>
          <w:color w:val="auto"/>
        </w:rPr>
        <w:t>在施工合同履行过程中发生下列情形之一的，发包人可向承包人提出索赔：</w:t>
      </w:r>
    </w:p>
    <w:p>
      <w:pPr>
        <w:tabs>
          <w:tab w:val="left" w:pos="1620"/>
          <w:tab w:val="left" w:pos="2340"/>
        </w:tabs>
        <w:adjustRightInd w:val="0"/>
        <w:snapToGrid w:val="0"/>
        <w:spacing w:beforeLines="0" w:line="360" w:lineRule="auto"/>
        <w:ind w:left="1079"/>
        <w:rPr>
          <w:color w:val="auto"/>
        </w:rPr>
      </w:pPr>
      <w:r>
        <w:rPr>
          <w:rFonts w:hint="eastAsia"/>
          <w:color w:val="auto"/>
        </w:rPr>
        <w:t>⑴承包人使用的设备和材料不符合合同规定，或施工质量不符合施工技术规程的要求；</w:t>
      </w:r>
    </w:p>
    <w:p>
      <w:pPr>
        <w:tabs>
          <w:tab w:val="left" w:pos="1620"/>
          <w:tab w:val="left" w:pos="2340"/>
        </w:tabs>
        <w:adjustRightInd w:val="0"/>
        <w:snapToGrid w:val="0"/>
        <w:spacing w:beforeLines="0" w:line="360" w:lineRule="auto"/>
        <w:ind w:left="1079"/>
        <w:rPr>
          <w:color w:val="auto"/>
        </w:rPr>
      </w:pPr>
      <w:r>
        <w:rPr>
          <w:rFonts w:hint="eastAsia"/>
          <w:color w:val="auto"/>
        </w:rPr>
        <w:t>⑵由于承包人原因导致工期延误；</w:t>
      </w:r>
    </w:p>
    <w:p>
      <w:pPr>
        <w:tabs>
          <w:tab w:val="left" w:pos="1620"/>
          <w:tab w:val="left" w:pos="2340"/>
        </w:tabs>
        <w:adjustRightInd w:val="0"/>
        <w:snapToGrid w:val="0"/>
        <w:spacing w:beforeLines="0" w:line="360" w:lineRule="auto"/>
        <w:ind w:left="1079"/>
        <w:rPr>
          <w:color w:val="auto"/>
        </w:rPr>
      </w:pPr>
      <w:r>
        <w:rPr>
          <w:rFonts w:hint="eastAsia"/>
          <w:color w:val="auto"/>
        </w:rPr>
        <w:t>⑶工程竣工验收合格后，因承包人原因导致的缺陷或损坏致使工程、单位工程或某项主要设备不能按原定目的使用；</w:t>
      </w:r>
    </w:p>
    <w:p>
      <w:pPr>
        <w:tabs>
          <w:tab w:val="left" w:pos="1620"/>
          <w:tab w:val="left" w:pos="2340"/>
        </w:tabs>
        <w:adjustRightInd w:val="0"/>
        <w:snapToGrid w:val="0"/>
        <w:spacing w:beforeLines="0" w:line="360" w:lineRule="auto"/>
        <w:ind w:left="1079"/>
        <w:rPr>
          <w:color w:val="auto"/>
        </w:rPr>
      </w:pPr>
      <w:r>
        <w:rPr>
          <w:rFonts w:hint="eastAsia"/>
          <w:color w:val="auto"/>
        </w:rPr>
        <w:t>⑷</w:t>
      </w:r>
      <w:r>
        <w:rPr>
          <w:b/>
          <w:i/>
          <w:color w:val="auto"/>
        </w:rPr>
        <w:t>专用条款</w:t>
      </w:r>
      <w:r>
        <w:rPr>
          <w:color w:val="auto"/>
        </w:rPr>
        <w:t>中约定的其他情形。</w:t>
      </w:r>
    </w:p>
    <w:p>
      <w:pPr>
        <w:adjustRightInd w:val="0"/>
        <w:snapToGrid w:val="0"/>
        <w:spacing w:before="0" w:beforeLines="0" w:after="0" w:line="360" w:lineRule="auto"/>
        <w:ind w:left="359"/>
        <w:rPr>
          <w:color w:val="auto"/>
        </w:rPr>
      </w:pPr>
      <w:r>
        <w:rPr>
          <w:b/>
          <w:color w:val="auto"/>
        </w:rPr>
        <w:t>29.4</w:t>
      </w:r>
      <w:r>
        <w:rPr>
          <w:rFonts w:hint="eastAsia"/>
          <w:b/>
          <w:color w:val="auto"/>
        </w:rPr>
        <w:t>发包人索赔程序</w:t>
      </w:r>
    </w:p>
    <w:p>
      <w:pPr>
        <w:tabs>
          <w:tab w:val="left" w:pos="1620"/>
          <w:tab w:val="left" w:pos="2340"/>
        </w:tabs>
        <w:adjustRightInd w:val="0"/>
        <w:snapToGrid w:val="0"/>
        <w:spacing w:beforeLines="0" w:line="360" w:lineRule="auto"/>
        <w:ind w:left="899"/>
        <w:rPr>
          <w:color w:val="auto"/>
        </w:rPr>
      </w:pPr>
      <w:r>
        <w:rPr>
          <w:rFonts w:hint="eastAsia"/>
          <w:color w:val="auto"/>
        </w:rPr>
        <w:t>承包人未能按合同约定履行义务、发生错误以及应由承包人承担责任的其他情况，给发包人造成损失的，发包人可按下列程序向承包人提出索赔：</w:t>
      </w:r>
    </w:p>
    <w:p>
      <w:pPr>
        <w:tabs>
          <w:tab w:val="left" w:pos="1620"/>
          <w:tab w:val="left" w:pos="2340"/>
        </w:tabs>
        <w:adjustRightInd w:val="0"/>
        <w:snapToGrid w:val="0"/>
        <w:spacing w:beforeLines="0" w:line="360" w:lineRule="auto"/>
        <w:ind w:left="1079"/>
        <w:rPr>
          <w:color w:val="auto"/>
        </w:rPr>
      </w:pPr>
      <w:r>
        <w:rPr>
          <w:rFonts w:hint="eastAsia"/>
          <w:color w:val="auto"/>
        </w:rPr>
        <w:t>⑴索赔的事件发生后28天内，向承包人提出索赔意向通知。逾期不提出的，视为放弃索赔；</w:t>
      </w:r>
    </w:p>
    <w:p>
      <w:pPr>
        <w:tabs>
          <w:tab w:val="left" w:pos="1620"/>
          <w:tab w:val="left" w:pos="2340"/>
        </w:tabs>
        <w:adjustRightInd w:val="0"/>
        <w:snapToGrid w:val="0"/>
        <w:spacing w:beforeLines="0" w:line="360" w:lineRule="auto"/>
        <w:ind w:left="1079"/>
        <w:rPr>
          <w:color w:val="auto"/>
        </w:rPr>
      </w:pPr>
      <w:r>
        <w:rPr>
          <w:rFonts w:hint="eastAsia"/>
          <w:color w:val="auto"/>
        </w:rPr>
        <w:t>⑵在提出索赔意向通知后28天内，向承包人提出赔偿损失的索赔报告及有关资料；</w:t>
      </w:r>
    </w:p>
    <w:p>
      <w:pPr>
        <w:tabs>
          <w:tab w:val="left" w:pos="1620"/>
          <w:tab w:val="left" w:pos="2340"/>
        </w:tabs>
        <w:adjustRightInd w:val="0"/>
        <w:snapToGrid w:val="0"/>
        <w:spacing w:beforeLines="0" w:line="360" w:lineRule="auto"/>
        <w:ind w:left="1079"/>
        <w:rPr>
          <w:color w:val="auto"/>
        </w:rPr>
      </w:pPr>
      <w:r>
        <w:rPr>
          <w:rFonts w:hint="eastAsia"/>
          <w:color w:val="auto"/>
        </w:rPr>
        <w:t>⑶承包人在收到发包人提交的索赔报告和有关资料后，于28天内给予答复，或要求发包人进一步补充索赔理由和证据；</w:t>
      </w:r>
    </w:p>
    <w:p>
      <w:pPr>
        <w:tabs>
          <w:tab w:val="left" w:pos="1620"/>
          <w:tab w:val="left" w:pos="2340"/>
        </w:tabs>
        <w:adjustRightInd w:val="0"/>
        <w:snapToGrid w:val="0"/>
        <w:spacing w:beforeLines="0" w:line="360" w:lineRule="auto"/>
        <w:ind w:left="1079"/>
        <w:rPr>
          <w:color w:val="auto"/>
        </w:rPr>
      </w:pPr>
      <w:r>
        <w:rPr>
          <w:rFonts w:hint="eastAsia"/>
          <w:color w:val="auto"/>
        </w:rPr>
        <w:t>⑷承包人在收到发包人提交的索赔报告和有关资料后28天内未予答复或未对发包人作进一步要求，视为该项索赔已被认可；</w:t>
      </w:r>
    </w:p>
    <w:p>
      <w:pPr>
        <w:tabs>
          <w:tab w:val="left" w:pos="1620"/>
          <w:tab w:val="left" w:pos="2340"/>
        </w:tabs>
        <w:adjustRightInd w:val="0"/>
        <w:snapToGrid w:val="0"/>
        <w:spacing w:beforeLines="0" w:line="360" w:lineRule="auto"/>
        <w:ind w:left="1079"/>
        <w:rPr>
          <w:color w:val="auto"/>
        </w:rPr>
      </w:pPr>
      <w:r>
        <w:rPr>
          <w:color w:val="auto"/>
        </w:rPr>
        <w:t>⑸</w:t>
      </w:r>
      <w:r>
        <w:rPr>
          <w:rFonts w:hint="eastAsia"/>
          <w:color w:val="auto"/>
        </w:rPr>
        <w:t>当索赔事件持续进行时，发包人应阶段性向承包人提出索赔意向通知，在该事件终了后28天内，向承包人提交索赔的有关资料和最终索赔报告。索赔答复程序与第29.6⑶、⑷项约定相同。</w:t>
      </w:r>
    </w:p>
    <w:p>
      <w:pPr>
        <w:tabs>
          <w:tab w:val="left" w:pos="1620"/>
          <w:tab w:val="left" w:pos="2340"/>
        </w:tabs>
        <w:adjustRightInd w:val="0"/>
        <w:snapToGrid w:val="0"/>
        <w:spacing w:beforeLines="0" w:line="360" w:lineRule="auto"/>
        <w:ind w:left="1079"/>
        <w:rPr>
          <w:color w:val="auto"/>
        </w:rPr>
      </w:pPr>
      <w:r>
        <w:rPr>
          <w:rFonts w:hint="eastAsia"/>
          <w:color w:val="auto"/>
        </w:rPr>
        <w:t>⑹</w:t>
      </w:r>
      <w:r>
        <w:rPr>
          <w:color w:val="auto"/>
        </w:rPr>
        <w:t>承包人接受索赔处理结果的，发包人可从应支付给承包人的合同价款中扣除赔付的金额或延长缺陷责任期；发包人不接受索赔处理结果的，按第</w:t>
      </w:r>
      <w:r>
        <w:rPr>
          <w:rFonts w:hint="eastAsia"/>
          <w:color w:val="auto"/>
        </w:rPr>
        <w:t>3</w:t>
      </w:r>
      <w:r>
        <w:rPr>
          <w:color w:val="auto"/>
        </w:rPr>
        <w:t>0条</w:t>
      </w:r>
      <w:r>
        <w:rPr>
          <w:rFonts w:hint="eastAsia"/>
          <w:color w:val="auto"/>
        </w:rPr>
        <w:t>〔</w:t>
      </w:r>
      <w:r>
        <w:rPr>
          <w:color w:val="auto"/>
        </w:rPr>
        <w:t>争议解决</w:t>
      </w:r>
      <w:r>
        <w:rPr>
          <w:rFonts w:hint="eastAsia"/>
          <w:color w:val="auto"/>
        </w:rPr>
        <w:t>〕</w:t>
      </w:r>
      <w:r>
        <w:rPr>
          <w:color w:val="auto"/>
        </w:rPr>
        <w:t>约定处理。</w:t>
      </w:r>
    </w:p>
    <w:p>
      <w:pPr>
        <w:adjustRightInd w:val="0"/>
        <w:snapToGrid w:val="0"/>
        <w:spacing w:before="0" w:beforeLines="0" w:after="0" w:line="360" w:lineRule="auto"/>
        <w:ind w:left="359"/>
        <w:rPr>
          <w:color w:val="auto"/>
        </w:rPr>
      </w:pPr>
      <w:r>
        <w:rPr>
          <w:b/>
          <w:color w:val="auto"/>
        </w:rPr>
        <w:t>29.5</w:t>
      </w:r>
      <w:r>
        <w:rPr>
          <w:rFonts w:hint="eastAsia"/>
          <w:b/>
          <w:color w:val="auto"/>
        </w:rPr>
        <w:t>承包人索赔情形</w:t>
      </w:r>
    </w:p>
    <w:p>
      <w:pPr>
        <w:tabs>
          <w:tab w:val="left" w:pos="1620"/>
          <w:tab w:val="left" w:pos="2340"/>
        </w:tabs>
        <w:adjustRightInd w:val="0"/>
        <w:snapToGrid w:val="0"/>
        <w:spacing w:beforeLines="0" w:line="360" w:lineRule="auto"/>
        <w:ind w:left="899"/>
        <w:rPr>
          <w:color w:val="auto"/>
        </w:rPr>
      </w:pPr>
      <w:r>
        <w:rPr>
          <w:rFonts w:hint="eastAsia"/>
          <w:color w:val="auto"/>
        </w:rPr>
        <w:t>在施工合同履行过程中发生下列情形之一的，承包人可向发包人提出索赔：</w:t>
      </w:r>
    </w:p>
    <w:p>
      <w:pPr>
        <w:tabs>
          <w:tab w:val="left" w:pos="1620"/>
          <w:tab w:val="left" w:pos="2340"/>
        </w:tabs>
        <w:adjustRightInd w:val="0"/>
        <w:snapToGrid w:val="0"/>
        <w:spacing w:beforeLines="0" w:line="360" w:lineRule="auto"/>
        <w:ind w:left="899"/>
        <w:rPr>
          <w:color w:val="auto"/>
        </w:rPr>
      </w:pPr>
      <w:r>
        <w:rPr>
          <w:color w:val="auto"/>
        </w:rPr>
        <w:fldChar w:fldCharType="begin"/>
      </w:r>
      <w:r>
        <w:rPr>
          <w:color w:val="auto"/>
        </w:rPr>
        <w:instrText xml:space="preserve"> </w:instrText>
      </w:r>
      <w:r>
        <w:rPr>
          <w:rFonts w:hint="eastAsia"/>
          <w:color w:val="auto"/>
        </w:rPr>
        <w:instrText xml:space="preserve">= 1 \* GB2</w:instrText>
      </w:r>
      <w:r>
        <w:rPr>
          <w:color w:val="auto"/>
        </w:rPr>
        <w:instrText xml:space="preserve"> </w:instrText>
      </w:r>
      <w:r>
        <w:rPr>
          <w:color w:val="auto"/>
        </w:rPr>
        <w:fldChar w:fldCharType="separate"/>
      </w:r>
      <w:r>
        <w:rPr>
          <w:rFonts w:hint="eastAsia"/>
          <w:color w:val="auto"/>
        </w:rPr>
        <w:t>⑴</w:t>
      </w:r>
      <w:r>
        <w:rPr>
          <w:color w:val="auto"/>
        </w:rPr>
        <w:fldChar w:fldCharType="end"/>
      </w:r>
      <w:r>
        <w:rPr>
          <w:color w:val="auto"/>
        </w:rPr>
        <w:t>发包人未能按合同约定提供图纸或所提供图纸不符合合同约定的；</w:t>
      </w:r>
    </w:p>
    <w:p>
      <w:pPr>
        <w:tabs>
          <w:tab w:val="left" w:pos="1620"/>
          <w:tab w:val="left" w:pos="2340"/>
        </w:tabs>
        <w:adjustRightInd w:val="0"/>
        <w:snapToGrid w:val="0"/>
        <w:spacing w:beforeLines="0" w:line="360" w:lineRule="auto"/>
        <w:ind w:left="899"/>
        <w:rPr>
          <w:color w:val="auto"/>
        </w:rPr>
      </w:pPr>
      <w:r>
        <w:rPr>
          <w:color w:val="auto"/>
        </w:rPr>
        <w:fldChar w:fldCharType="begin"/>
      </w:r>
      <w:r>
        <w:rPr>
          <w:color w:val="auto"/>
        </w:rPr>
        <w:instrText xml:space="preserve"> </w:instrText>
      </w:r>
      <w:r>
        <w:rPr>
          <w:rFonts w:hint="eastAsia"/>
          <w:color w:val="auto"/>
        </w:rPr>
        <w:instrText xml:space="preserve">= 2 \* GB2</w:instrText>
      </w:r>
      <w:r>
        <w:rPr>
          <w:color w:val="auto"/>
        </w:rPr>
        <w:instrText xml:space="preserve"> </w:instrText>
      </w:r>
      <w:r>
        <w:rPr>
          <w:color w:val="auto"/>
        </w:rPr>
        <w:fldChar w:fldCharType="separate"/>
      </w:r>
      <w:r>
        <w:rPr>
          <w:rFonts w:hint="eastAsia"/>
          <w:color w:val="auto"/>
        </w:rPr>
        <w:t>⑵</w:t>
      </w:r>
      <w:r>
        <w:rPr>
          <w:color w:val="auto"/>
        </w:rPr>
        <w:fldChar w:fldCharType="end"/>
      </w:r>
      <w:r>
        <w:rPr>
          <w:color w:val="auto"/>
        </w:rPr>
        <w:t>发包人未能按合同约定提供施工现场、施工条件、基础资料、许可、批准等开工条件的；</w:t>
      </w:r>
    </w:p>
    <w:p>
      <w:pPr>
        <w:tabs>
          <w:tab w:val="left" w:pos="1620"/>
          <w:tab w:val="left" w:pos="2340"/>
        </w:tabs>
        <w:adjustRightInd w:val="0"/>
        <w:snapToGrid w:val="0"/>
        <w:spacing w:beforeLines="0" w:line="360" w:lineRule="auto"/>
        <w:ind w:left="899"/>
        <w:rPr>
          <w:color w:val="auto"/>
        </w:rPr>
      </w:pPr>
      <w:r>
        <w:rPr>
          <w:color w:val="auto"/>
        </w:rPr>
        <w:fldChar w:fldCharType="begin"/>
      </w:r>
      <w:r>
        <w:rPr>
          <w:color w:val="auto"/>
        </w:rPr>
        <w:instrText xml:space="preserve"> </w:instrText>
      </w:r>
      <w:r>
        <w:rPr>
          <w:rFonts w:hint="eastAsia"/>
          <w:color w:val="auto"/>
        </w:rPr>
        <w:instrText xml:space="preserve">= 3 \* GB2</w:instrText>
      </w:r>
      <w:r>
        <w:rPr>
          <w:color w:val="auto"/>
        </w:rPr>
        <w:instrText xml:space="preserve"> </w:instrText>
      </w:r>
      <w:r>
        <w:rPr>
          <w:color w:val="auto"/>
        </w:rPr>
        <w:fldChar w:fldCharType="separate"/>
      </w:r>
      <w:r>
        <w:rPr>
          <w:rFonts w:hint="eastAsia"/>
          <w:color w:val="auto"/>
        </w:rPr>
        <w:t>⑶</w:t>
      </w:r>
      <w:r>
        <w:rPr>
          <w:color w:val="auto"/>
        </w:rPr>
        <w:fldChar w:fldCharType="end"/>
      </w:r>
      <w:r>
        <w:rPr>
          <w:color w:val="auto"/>
        </w:rPr>
        <w:t>发包人提供的测量基准点、基准线和水准点及其书面资料存在错误或疏漏的；</w:t>
      </w:r>
    </w:p>
    <w:p>
      <w:pPr>
        <w:tabs>
          <w:tab w:val="left" w:pos="1620"/>
          <w:tab w:val="left" w:pos="2340"/>
        </w:tabs>
        <w:adjustRightInd w:val="0"/>
        <w:snapToGrid w:val="0"/>
        <w:spacing w:beforeLines="0" w:line="360" w:lineRule="auto"/>
        <w:ind w:left="899"/>
        <w:rPr>
          <w:color w:val="auto"/>
        </w:rPr>
      </w:pPr>
      <w:r>
        <w:rPr>
          <w:color w:val="auto"/>
        </w:rPr>
        <w:fldChar w:fldCharType="begin"/>
      </w:r>
      <w:r>
        <w:rPr>
          <w:color w:val="auto"/>
        </w:rPr>
        <w:instrText xml:space="preserve"> </w:instrText>
      </w:r>
      <w:r>
        <w:rPr>
          <w:rFonts w:hint="eastAsia"/>
          <w:color w:val="auto"/>
        </w:rPr>
        <w:instrText xml:space="preserve">= 4 \* GB2</w:instrText>
      </w:r>
      <w:r>
        <w:rPr>
          <w:color w:val="auto"/>
        </w:rPr>
        <w:instrText xml:space="preserve"> </w:instrText>
      </w:r>
      <w:r>
        <w:rPr>
          <w:color w:val="auto"/>
        </w:rPr>
        <w:fldChar w:fldCharType="separate"/>
      </w:r>
      <w:r>
        <w:rPr>
          <w:rFonts w:hint="eastAsia"/>
          <w:color w:val="auto"/>
        </w:rPr>
        <w:t>⑷</w:t>
      </w:r>
      <w:r>
        <w:rPr>
          <w:color w:val="auto"/>
        </w:rPr>
        <w:fldChar w:fldCharType="end"/>
      </w:r>
      <w:r>
        <w:rPr>
          <w:color w:val="auto"/>
        </w:rPr>
        <w:t>发包人未能在计划开工日期之日起7天内同意下达开工通知的；</w:t>
      </w:r>
    </w:p>
    <w:p>
      <w:pPr>
        <w:tabs>
          <w:tab w:val="left" w:pos="1620"/>
          <w:tab w:val="left" w:pos="2340"/>
        </w:tabs>
        <w:adjustRightInd w:val="0"/>
        <w:snapToGrid w:val="0"/>
        <w:spacing w:beforeLines="0" w:line="360" w:lineRule="auto"/>
        <w:ind w:left="899"/>
        <w:rPr>
          <w:color w:val="auto"/>
        </w:rPr>
      </w:pPr>
      <w:r>
        <w:rPr>
          <w:color w:val="auto"/>
        </w:rPr>
        <w:fldChar w:fldCharType="begin"/>
      </w:r>
      <w:r>
        <w:rPr>
          <w:color w:val="auto"/>
        </w:rPr>
        <w:instrText xml:space="preserve"> </w:instrText>
      </w:r>
      <w:r>
        <w:rPr>
          <w:rFonts w:hint="eastAsia"/>
          <w:color w:val="auto"/>
        </w:rPr>
        <w:instrText xml:space="preserve">= 5 \* GB2</w:instrText>
      </w:r>
      <w:r>
        <w:rPr>
          <w:color w:val="auto"/>
        </w:rPr>
        <w:instrText xml:space="preserve"> </w:instrText>
      </w:r>
      <w:r>
        <w:rPr>
          <w:color w:val="auto"/>
        </w:rPr>
        <w:fldChar w:fldCharType="separate"/>
      </w:r>
      <w:r>
        <w:rPr>
          <w:rFonts w:hint="eastAsia"/>
          <w:color w:val="auto"/>
        </w:rPr>
        <w:t>⑸</w:t>
      </w:r>
      <w:r>
        <w:rPr>
          <w:color w:val="auto"/>
        </w:rPr>
        <w:fldChar w:fldCharType="end"/>
      </w:r>
      <w:r>
        <w:rPr>
          <w:color w:val="auto"/>
        </w:rPr>
        <w:t>发包人未能按合同约定日期支付工程预付款、进度款或竣工结算款的；</w:t>
      </w:r>
    </w:p>
    <w:p>
      <w:pPr>
        <w:tabs>
          <w:tab w:val="left" w:pos="1620"/>
          <w:tab w:val="left" w:pos="2340"/>
        </w:tabs>
        <w:adjustRightInd w:val="0"/>
        <w:snapToGrid w:val="0"/>
        <w:spacing w:beforeLines="0" w:line="360" w:lineRule="auto"/>
        <w:ind w:left="899"/>
        <w:rPr>
          <w:color w:val="auto"/>
        </w:rPr>
      </w:pPr>
      <w:r>
        <w:rPr>
          <w:color w:val="auto"/>
        </w:rPr>
        <w:fldChar w:fldCharType="begin"/>
      </w:r>
      <w:r>
        <w:rPr>
          <w:color w:val="auto"/>
        </w:rPr>
        <w:instrText xml:space="preserve"> </w:instrText>
      </w:r>
      <w:r>
        <w:rPr>
          <w:rFonts w:hint="eastAsia"/>
          <w:color w:val="auto"/>
        </w:rPr>
        <w:instrText xml:space="preserve">= 6 \* GB2</w:instrText>
      </w:r>
      <w:r>
        <w:rPr>
          <w:color w:val="auto"/>
        </w:rPr>
        <w:instrText xml:space="preserve"> </w:instrText>
      </w:r>
      <w:r>
        <w:rPr>
          <w:color w:val="auto"/>
        </w:rPr>
        <w:fldChar w:fldCharType="separate"/>
      </w:r>
      <w:r>
        <w:rPr>
          <w:rFonts w:hint="eastAsia"/>
          <w:color w:val="auto"/>
        </w:rPr>
        <w:t>⑹</w:t>
      </w:r>
      <w:r>
        <w:rPr>
          <w:color w:val="auto"/>
        </w:rPr>
        <w:fldChar w:fldCharType="end"/>
      </w:r>
      <w:r>
        <w:rPr>
          <w:color w:val="auto"/>
        </w:rPr>
        <w:t>监理单位未按合同约定发出指示、批准等文件的；</w:t>
      </w:r>
    </w:p>
    <w:p>
      <w:pPr>
        <w:tabs>
          <w:tab w:val="left" w:pos="1620"/>
          <w:tab w:val="left" w:pos="2340"/>
        </w:tabs>
        <w:adjustRightInd w:val="0"/>
        <w:snapToGrid w:val="0"/>
        <w:spacing w:beforeLines="0" w:line="360" w:lineRule="auto"/>
        <w:ind w:left="899"/>
        <w:rPr>
          <w:color w:val="auto"/>
        </w:rPr>
      </w:pPr>
      <w:r>
        <w:rPr>
          <w:color w:val="auto"/>
        </w:rPr>
        <w:fldChar w:fldCharType="begin"/>
      </w:r>
      <w:r>
        <w:rPr>
          <w:color w:val="auto"/>
        </w:rPr>
        <w:instrText xml:space="preserve"> </w:instrText>
      </w:r>
      <w:r>
        <w:rPr>
          <w:rFonts w:hint="eastAsia"/>
          <w:color w:val="auto"/>
        </w:rPr>
        <w:instrText xml:space="preserve">= 7 \* GB2</w:instrText>
      </w:r>
      <w:r>
        <w:rPr>
          <w:color w:val="auto"/>
        </w:rPr>
        <w:instrText xml:space="preserve"> </w:instrText>
      </w:r>
      <w:r>
        <w:rPr>
          <w:color w:val="auto"/>
        </w:rPr>
        <w:fldChar w:fldCharType="separate"/>
      </w:r>
      <w:r>
        <w:rPr>
          <w:rFonts w:hint="eastAsia"/>
          <w:color w:val="auto"/>
        </w:rPr>
        <w:t>⑺</w:t>
      </w:r>
      <w:r>
        <w:rPr>
          <w:color w:val="auto"/>
        </w:rPr>
        <w:fldChar w:fldCharType="end"/>
      </w:r>
      <w:r>
        <w:rPr>
          <w:b/>
          <w:i/>
          <w:color w:val="auto"/>
        </w:rPr>
        <w:t>专用条款</w:t>
      </w:r>
      <w:r>
        <w:rPr>
          <w:color w:val="auto"/>
        </w:rPr>
        <w:t>中约定的其他情形。</w:t>
      </w:r>
    </w:p>
    <w:p>
      <w:pPr>
        <w:adjustRightInd w:val="0"/>
        <w:snapToGrid w:val="0"/>
        <w:spacing w:before="0" w:beforeLines="0" w:after="0" w:line="360" w:lineRule="auto"/>
        <w:ind w:left="359"/>
        <w:rPr>
          <w:color w:val="auto"/>
        </w:rPr>
      </w:pPr>
      <w:r>
        <w:rPr>
          <w:b/>
          <w:color w:val="auto"/>
        </w:rPr>
        <w:t>29.6</w:t>
      </w:r>
      <w:r>
        <w:rPr>
          <w:rFonts w:hint="eastAsia"/>
          <w:b/>
          <w:color w:val="auto"/>
        </w:rPr>
        <w:t>承包人索赔程序</w:t>
      </w:r>
    </w:p>
    <w:p>
      <w:pPr>
        <w:tabs>
          <w:tab w:val="left" w:pos="1620"/>
          <w:tab w:val="left" w:pos="2340"/>
        </w:tabs>
        <w:adjustRightInd w:val="0"/>
        <w:snapToGrid w:val="0"/>
        <w:spacing w:beforeLines="0" w:line="360" w:lineRule="auto"/>
        <w:ind w:left="899"/>
        <w:rPr>
          <w:color w:val="auto"/>
        </w:rPr>
      </w:pPr>
      <w:r>
        <w:rPr>
          <w:rFonts w:hint="eastAsia"/>
          <w:color w:val="auto"/>
        </w:rPr>
        <w:t>发包人未能按合同约定履行义务、发生错误以及应由发包人承担责任的其他情况，给承包人造成损失和(或)导致工期延误的，承包人可按下列程序向发包人提出索赔：</w:t>
      </w:r>
    </w:p>
    <w:p>
      <w:pPr>
        <w:tabs>
          <w:tab w:val="left" w:pos="1620"/>
          <w:tab w:val="left" w:pos="2340"/>
        </w:tabs>
        <w:adjustRightInd w:val="0"/>
        <w:snapToGrid w:val="0"/>
        <w:spacing w:beforeLines="0" w:line="360" w:lineRule="auto"/>
        <w:ind w:left="1079"/>
        <w:rPr>
          <w:color w:val="auto"/>
        </w:rPr>
      </w:pPr>
      <w:r>
        <w:rPr>
          <w:rFonts w:hint="eastAsia"/>
          <w:color w:val="auto"/>
        </w:rPr>
        <w:t>⑴索赔的事件发生后28天内，向</w:t>
      </w:r>
      <w:r>
        <w:rPr>
          <w:color w:val="auto"/>
        </w:rPr>
        <w:t>监理人</w:t>
      </w:r>
      <w:r>
        <w:rPr>
          <w:rFonts w:hint="eastAsia"/>
          <w:color w:val="auto"/>
        </w:rPr>
        <w:t>提出索赔意向通知。逾期不提出的，视为放弃索赔；</w:t>
      </w:r>
    </w:p>
    <w:p>
      <w:pPr>
        <w:tabs>
          <w:tab w:val="left" w:pos="1620"/>
          <w:tab w:val="left" w:pos="2340"/>
        </w:tabs>
        <w:adjustRightInd w:val="0"/>
        <w:snapToGrid w:val="0"/>
        <w:spacing w:beforeLines="0" w:line="360" w:lineRule="auto"/>
        <w:ind w:left="1079"/>
        <w:rPr>
          <w:color w:val="auto"/>
        </w:rPr>
      </w:pPr>
      <w:r>
        <w:rPr>
          <w:rFonts w:hint="eastAsia"/>
          <w:color w:val="auto"/>
        </w:rPr>
        <w:t>⑵在提出索赔意向通知后28天内，向</w:t>
      </w:r>
      <w:r>
        <w:rPr>
          <w:color w:val="auto"/>
        </w:rPr>
        <w:t>监理人</w:t>
      </w:r>
      <w:r>
        <w:rPr>
          <w:rFonts w:hint="eastAsia"/>
          <w:color w:val="auto"/>
        </w:rPr>
        <w:t>提交赔偿损失和(或)延长工期的索赔报告及有关资料；</w:t>
      </w:r>
    </w:p>
    <w:p>
      <w:pPr>
        <w:tabs>
          <w:tab w:val="left" w:pos="1620"/>
          <w:tab w:val="left" w:pos="2340"/>
        </w:tabs>
        <w:adjustRightInd w:val="0"/>
        <w:snapToGrid w:val="0"/>
        <w:spacing w:beforeLines="0" w:line="360" w:lineRule="auto"/>
        <w:ind w:left="1079"/>
        <w:rPr>
          <w:color w:val="auto"/>
        </w:rPr>
      </w:pPr>
      <w:r>
        <w:rPr>
          <w:rFonts w:hint="eastAsia"/>
          <w:color w:val="auto"/>
        </w:rPr>
        <w:t>⑶</w:t>
      </w:r>
      <w:r>
        <w:rPr>
          <w:color w:val="auto"/>
        </w:rPr>
        <w:t>监理人</w:t>
      </w:r>
      <w:r>
        <w:rPr>
          <w:rFonts w:hint="eastAsia"/>
          <w:color w:val="auto"/>
        </w:rPr>
        <w:t>在收到承包人提交的索赔报告和有关资料后，于28天内给予答复，或要求承包人进一步补充索赔理由和证据；</w:t>
      </w:r>
    </w:p>
    <w:p>
      <w:pPr>
        <w:tabs>
          <w:tab w:val="left" w:pos="1620"/>
          <w:tab w:val="left" w:pos="2340"/>
        </w:tabs>
        <w:adjustRightInd w:val="0"/>
        <w:snapToGrid w:val="0"/>
        <w:spacing w:beforeLines="0" w:line="360" w:lineRule="auto"/>
        <w:ind w:left="1079"/>
        <w:rPr>
          <w:color w:val="auto"/>
        </w:rPr>
      </w:pPr>
      <w:r>
        <w:rPr>
          <w:rFonts w:hint="eastAsia"/>
          <w:color w:val="auto"/>
        </w:rPr>
        <w:t>⑷</w:t>
      </w:r>
      <w:r>
        <w:rPr>
          <w:color w:val="auto"/>
        </w:rPr>
        <w:t>监理人</w:t>
      </w:r>
      <w:r>
        <w:rPr>
          <w:rFonts w:hint="eastAsia"/>
          <w:color w:val="auto"/>
        </w:rPr>
        <w:t>在收到承包人提交的索赔报告和有关资料后28天内未予答复或未对承包人作进一步要求，视为该项索赔已被认可；</w:t>
      </w:r>
    </w:p>
    <w:p>
      <w:pPr>
        <w:tabs>
          <w:tab w:val="left" w:pos="1620"/>
          <w:tab w:val="left" w:pos="2340"/>
        </w:tabs>
        <w:adjustRightInd w:val="0"/>
        <w:snapToGrid w:val="0"/>
        <w:spacing w:beforeLines="0" w:line="360" w:lineRule="auto"/>
        <w:ind w:left="1079"/>
        <w:rPr>
          <w:color w:val="auto"/>
        </w:rPr>
      </w:pPr>
      <w:r>
        <w:rPr>
          <w:color w:val="auto"/>
        </w:rPr>
        <w:t>⑸</w:t>
      </w:r>
      <w:r>
        <w:rPr>
          <w:rFonts w:hint="eastAsia"/>
          <w:color w:val="auto"/>
        </w:rPr>
        <w:t>当索赔事件持续进行时，承包人应阶段性向</w:t>
      </w:r>
      <w:r>
        <w:rPr>
          <w:color w:val="auto"/>
        </w:rPr>
        <w:t>监理人</w:t>
      </w:r>
      <w:r>
        <w:rPr>
          <w:rFonts w:hint="eastAsia"/>
          <w:color w:val="auto"/>
        </w:rPr>
        <w:t>提出索赔意向通知，在该事件终了后28天内，向</w:t>
      </w:r>
      <w:r>
        <w:rPr>
          <w:color w:val="auto"/>
        </w:rPr>
        <w:t>监理人</w:t>
      </w:r>
      <w:r>
        <w:rPr>
          <w:rFonts w:hint="eastAsia"/>
          <w:color w:val="auto"/>
        </w:rPr>
        <w:t>提交索赔的有关资料和最终索赔报告。索赔答复程序与第29.4⑶、⑷项的约定相同。</w:t>
      </w:r>
    </w:p>
    <w:p>
      <w:pPr>
        <w:tabs>
          <w:tab w:val="left" w:pos="1620"/>
          <w:tab w:val="left" w:pos="2340"/>
        </w:tabs>
        <w:adjustRightInd w:val="0"/>
        <w:snapToGrid w:val="0"/>
        <w:spacing w:beforeLines="0" w:line="360" w:lineRule="auto"/>
        <w:ind w:left="1079"/>
        <w:rPr>
          <w:color w:val="auto"/>
        </w:rPr>
      </w:pPr>
      <w:r>
        <w:rPr>
          <w:rFonts w:hint="eastAsia"/>
          <w:color w:val="auto"/>
        </w:rPr>
        <w:t>⑹</w:t>
      </w:r>
      <w:r>
        <w:rPr>
          <w:color w:val="auto"/>
        </w:rPr>
        <w:t>承包人接受索赔处理结果的，索赔款项在当期进度款中进行支付；承包人不接受索赔处理结果的，按照第</w:t>
      </w:r>
      <w:r>
        <w:rPr>
          <w:rFonts w:hint="eastAsia"/>
          <w:color w:val="auto"/>
        </w:rPr>
        <w:t>3</w:t>
      </w:r>
      <w:r>
        <w:rPr>
          <w:color w:val="auto"/>
        </w:rPr>
        <w:t>0条</w:t>
      </w:r>
      <w:r>
        <w:rPr>
          <w:rFonts w:hint="eastAsia"/>
          <w:color w:val="auto"/>
        </w:rPr>
        <w:t>〔</w:t>
      </w:r>
      <w:r>
        <w:rPr>
          <w:color w:val="auto"/>
        </w:rPr>
        <w:t>争议解决</w:t>
      </w:r>
      <w:r>
        <w:rPr>
          <w:rFonts w:hint="eastAsia"/>
          <w:color w:val="auto"/>
        </w:rPr>
        <w:t>〕</w:t>
      </w:r>
      <w:r>
        <w:rPr>
          <w:color w:val="auto"/>
        </w:rPr>
        <w:t>约定处理。</w:t>
      </w:r>
    </w:p>
    <w:p>
      <w:pPr>
        <w:adjustRightInd w:val="0"/>
        <w:snapToGrid w:val="0"/>
        <w:spacing w:before="0" w:beforeLines="0" w:after="0" w:line="360" w:lineRule="auto"/>
        <w:ind w:left="359"/>
        <w:rPr>
          <w:color w:val="auto"/>
        </w:rPr>
      </w:pPr>
      <w:r>
        <w:rPr>
          <w:b/>
          <w:color w:val="auto"/>
        </w:rPr>
        <w:t>29.7</w:t>
      </w:r>
      <w:r>
        <w:rPr>
          <w:rFonts w:hint="eastAsia"/>
          <w:b/>
          <w:color w:val="auto"/>
        </w:rPr>
        <w:t>提出索赔的期限</w:t>
      </w:r>
    </w:p>
    <w:p>
      <w:pPr>
        <w:tabs>
          <w:tab w:val="left" w:pos="1620"/>
          <w:tab w:val="left" w:pos="2340"/>
        </w:tabs>
        <w:adjustRightInd w:val="0"/>
        <w:snapToGrid w:val="0"/>
        <w:spacing w:beforeLines="0" w:after="0" w:line="360" w:lineRule="auto"/>
        <w:ind w:left="899"/>
        <w:rPr>
          <w:color w:val="auto"/>
        </w:rPr>
      </w:pPr>
      <w:r>
        <w:rPr>
          <w:rFonts w:hint="eastAsia"/>
          <w:color w:val="auto"/>
        </w:rPr>
        <w:t>⑴</w:t>
      </w:r>
      <w:r>
        <w:rPr>
          <w:color w:val="auto"/>
        </w:rPr>
        <w:t>承包人按第</w:t>
      </w:r>
      <w:r>
        <w:rPr>
          <w:rFonts w:hint="eastAsia"/>
          <w:color w:val="auto"/>
        </w:rPr>
        <w:t>27</w:t>
      </w:r>
      <w:r>
        <w:rPr>
          <w:color w:val="auto"/>
        </w:rPr>
        <w:t>.</w:t>
      </w:r>
      <w:r>
        <w:rPr>
          <w:rFonts w:hint="eastAsia"/>
          <w:color w:val="auto"/>
        </w:rPr>
        <w:t>7</w:t>
      </w:r>
      <w:r>
        <w:rPr>
          <w:color w:val="auto"/>
        </w:rPr>
        <w:t>款</w:t>
      </w:r>
      <w:r>
        <w:rPr>
          <w:rFonts w:hint="eastAsia"/>
          <w:color w:val="auto"/>
        </w:rPr>
        <w:t>〔</w:t>
      </w:r>
      <w:r>
        <w:rPr>
          <w:color w:val="auto"/>
        </w:rPr>
        <w:t>竣工结算</w:t>
      </w:r>
      <w:r>
        <w:rPr>
          <w:rFonts w:hint="eastAsia"/>
          <w:color w:val="auto"/>
        </w:rPr>
        <w:t>支付〕</w:t>
      </w:r>
      <w:r>
        <w:rPr>
          <w:color w:val="auto"/>
        </w:rPr>
        <w:t>约定接收竣工</w:t>
      </w:r>
      <w:r>
        <w:rPr>
          <w:rFonts w:hint="eastAsia"/>
          <w:color w:val="auto"/>
        </w:rPr>
        <w:t>支付</w:t>
      </w:r>
      <w:r>
        <w:rPr>
          <w:color w:val="auto"/>
        </w:rPr>
        <w:t>证书后，应被视为已无权再提出在工程接收证书颁发前所发生的任何索赔。</w:t>
      </w:r>
    </w:p>
    <w:p>
      <w:pPr>
        <w:tabs>
          <w:tab w:val="left" w:pos="1620"/>
          <w:tab w:val="left" w:pos="2340"/>
        </w:tabs>
        <w:adjustRightInd w:val="0"/>
        <w:snapToGrid w:val="0"/>
        <w:spacing w:beforeLines="0" w:after="0" w:line="360" w:lineRule="auto"/>
        <w:ind w:left="899"/>
        <w:rPr>
          <w:color w:val="auto"/>
        </w:rPr>
      </w:pPr>
      <w:r>
        <w:rPr>
          <w:rFonts w:hint="eastAsia"/>
          <w:color w:val="auto"/>
        </w:rPr>
        <w:t>⑵</w:t>
      </w:r>
      <w:r>
        <w:rPr>
          <w:color w:val="auto"/>
        </w:rPr>
        <w:t>承包人按第</w:t>
      </w:r>
      <w:r>
        <w:rPr>
          <w:rFonts w:hint="eastAsia"/>
          <w:color w:val="auto"/>
        </w:rPr>
        <w:t>27</w:t>
      </w:r>
      <w:r>
        <w:rPr>
          <w:color w:val="auto"/>
        </w:rPr>
        <w:t>.</w:t>
      </w:r>
      <w:r>
        <w:rPr>
          <w:rFonts w:hint="eastAsia"/>
          <w:color w:val="auto"/>
        </w:rPr>
        <w:t>8</w:t>
      </w:r>
      <w:r>
        <w:rPr>
          <w:color w:val="auto"/>
        </w:rPr>
        <w:t>款</w:t>
      </w:r>
      <w:r>
        <w:rPr>
          <w:rFonts w:hint="eastAsia"/>
          <w:color w:val="auto"/>
        </w:rPr>
        <w:t>〔</w:t>
      </w:r>
      <w:r>
        <w:rPr>
          <w:color w:val="auto"/>
        </w:rPr>
        <w:t>最终结清</w:t>
      </w:r>
      <w:r>
        <w:rPr>
          <w:rFonts w:hint="eastAsia"/>
          <w:color w:val="auto"/>
        </w:rPr>
        <w:t>申请〕</w:t>
      </w:r>
      <w:r>
        <w:rPr>
          <w:color w:val="auto"/>
        </w:rPr>
        <w:t>提交的最终结清申请单中，只限于提出工程接收证书颁发后发生的索赔。提出索赔的期限自接受最终结清证书时终止。</w:t>
      </w:r>
    </w:p>
    <w:p>
      <w:pPr>
        <w:adjustRightInd w:val="0"/>
        <w:snapToGrid w:val="0"/>
        <w:spacing w:before="0" w:beforeLines="0" w:after="0" w:line="360" w:lineRule="auto"/>
        <w:ind w:left="359"/>
        <w:rPr>
          <w:color w:val="auto"/>
        </w:rPr>
      </w:pPr>
      <w:r>
        <w:rPr>
          <w:b/>
          <w:color w:val="auto"/>
        </w:rPr>
        <w:t>29.8</w:t>
      </w:r>
      <w:r>
        <w:rPr>
          <w:rFonts w:hint="eastAsia"/>
          <w:b/>
          <w:color w:val="auto"/>
        </w:rPr>
        <w:t>索赔费用的支付</w:t>
      </w:r>
    </w:p>
    <w:p>
      <w:pPr>
        <w:tabs>
          <w:tab w:val="left" w:pos="1620"/>
          <w:tab w:val="left" w:pos="2340"/>
        </w:tabs>
        <w:adjustRightInd w:val="0"/>
        <w:snapToGrid w:val="0"/>
        <w:spacing w:beforeLines="0" w:after="0" w:line="360" w:lineRule="auto"/>
        <w:ind w:left="899"/>
        <w:rPr>
          <w:color w:val="auto"/>
        </w:rPr>
      </w:pPr>
      <w:r>
        <w:rPr>
          <w:rFonts w:hint="eastAsia"/>
          <w:color w:val="auto"/>
        </w:rPr>
        <w:t>⑴</w:t>
      </w:r>
      <w:r>
        <w:rPr>
          <w:color w:val="auto"/>
        </w:rPr>
        <w:t>监理人</w:t>
      </w:r>
      <w:r>
        <w:rPr>
          <w:rFonts w:hint="eastAsia"/>
          <w:color w:val="auto"/>
        </w:rPr>
        <w:t>对承包人根据第29.</w:t>
      </w:r>
      <w:r>
        <w:rPr>
          <w:color w:val="auto"/>
        </w:rPr>
        <w:t>6</w:t>
      </w:r>
      <w:r>
        <w:rPr>
          <w:rFonts w:hint="eastAsia"/>
          <w:color w:val="auto"/>
        </w:rPr>
        <w:t>款提交的索赔报告和有关资料进行核实，并报发包人批准后，确定赔偿的费用并与工程款同期支付，确定延误的工期并顺延工期。</w:t>
      </w:r>
    </w:p>
    <w:p>
      <w:pPr>
        <w:tabs>
          <w:tab w:val="left" w:pos="1620"/>
          <w:tab w:val="left" w:pos="2340"/>
        </w:tabs>
        <w:adjustRightInd w:val="0"/>
        <w:snapToGrid w:val="0"/>
        <w:spacing w:beforeLines="0" w:after="0" w:line="360" w:lineRule="auto"/>
        <w:ind w:left="899"/>
        <w:rPr>
          <w:color w:val="auto"/>
        </w:rPr>
      </w:pPr>
      <w:r>
        <w:rPr>
          <w:rFonts w:hint="eastAsia"/>
          <w:color w:val="auto"/>
        </w:rPr>
        <w:t>⑵承包人对发包人根据第29.</w:t>
      </w:r>
      <w:r>
        <w:rPr>
          <w:color w:val="auto"/>
        </w:rPr>
        <w:t>4</w:t>
      </w:r>
      <w:r>
        <w:rPr>
          <w:rFonts w:hint="eastAsia"/>
          <w:color w:val="auto"/>
        </w:rPr>
        <w:t>款提交的索赔报告和有关资料进行核实，与发包人协商后确定赔偿的费用并在</w:t>
      </w:r>
      <w:r>
        <w:rPr>
          <w:color w:val="auto"/>
        </w:rPr>
        <w:t>监理人</w:t>
      </w:r>
      <w:r>
        <w:rPr>
          <w:rFonts w:hint="eastAsia"/>
          <w:color w:val="auto"/>
        </w:rPr>
        <w:t>签发给承包人的支付证书中予以扣除。</w:t>
      </w:r>
    </w:p>
    <w:p>
      <w:pPr>
        <w:tabs>
          <w:tab w:val="left" w:pos="1620"/>
          <w:tab w:val="left" w:pos="2340"/>
        </w:tabs>
        <w:adjustRightInd w:val="0"/>
        <w:snapToGrid w:val="0"/>
        <w:spacing w:beforeLines="0" w:after="0" w:line="360" w:lineRule="auto"/>
        <w:ind w:left="899"/>
        <w:rPr>
          <w:color w:val="auto"/>
        </w:rPr>
      </w:pPr>
      <w:r>
        <w:rPr>
          <w:rFonts w:hint="eastAsia"/>
          <w:color w:val="auto"/>
        </w:rPr>
        <w:t>⑶有关本工程索赔的文件的编制和审核均须经注册造价工程师签字盖章确认。</w:t>
      </w:r>
    </w:p>
    <w:p>
      <w:pPr>
        <w:adjustRightInd w:val="0"/>
        <w:snapToGrid w:val="0"/>
        <w:spacing w:before="0" w:beforeLines="0" w:after="0" w:line="360" w:lineRule="auto"/>
        <w:ind w:left="178"/>
        <w:rPr>
          <w:color w:val="auto"/>
          <w:sz w:val="28"/>
        </w:rPr>
      </w:pPr>
      <w:r>
        <w:rPr>
          <w:b/>
          <w:color w:val="auto"/>
          <w:sz w:val="28"/>
        </w:rPr>
        <w:t>30</w:t>
      </w:r>
      <w:r>
        <w:rPr>
          <w:rFonts w:hint="eastAsia"/>
          <w:b/>
          <w:color w:val="auto"/>
          <w:sz w:val="28"/>
        </w:rPr>
        <w:t>争议解决</w:t>
      </w:r>
    </w:p>
    <w:p>
      <w:pPr>
        <w:adjustRightInd w:val="0"/>
        <w:snapToGrid w:val="0"/>
        <w:spacing w:before="0" w:beforeLines="0" w:after="0" w:line="360" w:lineRule="auto"/>
        <w:ind w:left="359"/>
        <w:rPr>
          <w:color w:val="auto"/>
        </w:rPr>
      </w:pPr>
      <w:r>
        <w:rPr>
          <w:b/>
          <w:color w:val="auto"/>
        </w:rPr>
        <w:t>30.1</w:t>
      </w:r>
      <w:r>
        <w:rPr>
          <w:rFonts w:hint="eastAsia"/>
          <w:b/>
          <w:color w:val="auto"/>
        </w:rPr>
        <w:t>争议的解决方式</w:t>
      </w:r>
    </w:p>
    <w:p>
      <w:pPr>
        <w:tabs>
          <w:tab w:val="left" w:pos="1620"/>
          <w:tab w:val="left" w:pos="2340"/>
        </w:tabs>
        <w:adjustRightInd w:val="0"/>
        <w:snapToGrid w:val="0"/>
        <w:spacing w:beforeLines="0" w:after="0" w:line="360" w:lineRule="auto"/>
        <w:ind w:left="899"/>
        <w:rPr>
          <w:color w:val="auto"/>
        </w:rPr>
      </w:pPr>
      <w:r>
        <w:rPr>
          <w:rFonts w:hint="eastAsia"/>
          <w:color w:val="auto"/>
        </w:rPr>
        <w:t>⑴凡因本合同引起的或与本合同有关的任何争议，发包人与承包人可自行和解，和解不成的可提交</w:t>
      </w:r>
      <w:r>
        <w:rPr>
          <w:rFonts w:hint="eastAsia"/>
          <w:b/>
          <w:i/>
          <w:color w:val="auto"/>
        </w:rPr>
        <w:t>专用条款</w:t>
      </w:r>
      <w:r>
        <w:rPr>
          <w:rFonts w:hint="eastAsia"/>
          <w:color w:val="auto"/>
        </w:rPr>
        <w:t>中约定的机构进行调解。和解或调解成功的，发包人和承包人应签订书面和解协议。</w:t>
      </w:r>
    </w:p>
    <w:p>
      <w:pPr>
        <w:tabs>
          <w:tab w:val="left" w:pos="1620"/>
          <w:tab w:val="left" w:pos="2340"/>
        </w:tabs>
        <w:adjustRightInd w:val="0"/>
        <w:snapToGrid w:val="0"/>
        <w:spacing w:beforeLines="0" w:after="0" w:line="360" w:lineRule="auto"/>
        <w:ind w:left="899"/>
        <w:rPr>
          <w:color w:val="auto"/>
        </w:rPr>
      </w:pPr>
      <w:r>
        <w:rPr>
          <w:rFonts w:hint="eastAsia"/>
          <w:color w:val="auto"/>
        </w:rPr>
        <w:t>⑵发包人或承包人一方不愿调解或调解不成的，双方可按</w:t>
      </w:r>
      <w:r>
        <w:rPr>
          <w:rFonts w:hint="eastAsia"/>
          <w:b/>
          <w:i/>
          <w:color w:val="auto"/>
        </w:rPr>
        <w:t>专用条款</w:t>
      </w:r>
      <w:r>
        <w:rPr>
          <w:rFonts w:hint="eastAsia"/>
          <w:color w:val="auto"/>
        </w:rPr>
        <w:t>中约定的方式申请仲裁或提起诉讼解决争议。</w:t>
      </w:r>
    </w:p>
    <w:p>
      <w:pPr>
        <w:adjustRightInd w:val="0"/>
        <w:snapToGrid w:val="0"/>
        <w:spacing w:before="0" w:beforeLines="0" w:after="0" w:line="360" w:lineRule="auto"/>
        <w:ind w:left="359"/>
        <w:rPr>
          <w:color w:val="auto"/>
        </w:rPr>
      </w:pPr>
      <w:r>
        <w:rPr>
          <w:b/>
          <w:color w:val="auto"/>
        </w:rPr>
        <w:t>30.2</w:t>
      </w:r>
      <w:r>
        <w:rPr>
          <w:rFonts w:hint="eastAsia"/>
          <w:b/>
          <w:color w:val="auto"/>
        </w:rPr>
        <w:t>继续履行合同</w:t>
      </w:r>
    </w:p>
    <w:p>
      <w:pPr>
        <w:tabs>
          <w:tab w:val="left" w:pos="1620"/>
          <w:tab w:val="left" w:pos="2340"/>
        </w:tabs>
        <w:adjustRightInd w:val="0"/>
        <w:snapToGrid w:val="0"/>
        <w:spacing w:beforeLines="0" w:line="360" w:lineRule="auto"/>
        <w:ind w:left="899"/>
        <w:rPr>
          <w:color w:val="auto"/>
        </w:rPr>
      </w:pPr>
      <w:r>
        <w:rPr>
          <w:rFonts w:hint="eastAsia"/>
          <w:color w:val="auto"/>
        </w:rPr>
        <w:t>发生争议后，除非出现下列情况及本合同另有约定的情况，双方都应继续履行合同，保持施工连续，保护好已完工程：</w:t>
      </w:r>
    </w:p>
    <w:p>
      <w:pPr>
        <w:tabs>
          <w:tab w:val="left" w:pos="1620"/>
          <w:tab w:val="left" w:pos="2340"/>
        </w:tabs>
        <w:adjustRightInd w:val="0"/>
        <w:snapToGrid w:val="0"/>
        <w:spacing w:beforeLines="0" w:line="360" w:lineRule="auto"/>
        <w:ind w:left="1079"/>
        <w:rPr>
          <w:color w:val="auto"/>
        </w:rPr>
      </w:pPr>
      <w:r>
        <w:rPr>
          <w:rFonts w:hint="eastAsia"/>
          <w:color w:val="auto"/>
        </w:rPr>
        <w:t>⑴单方违约导致合同确已无法履行，双方协议停止施工；</w:t>
      </w:r>
    </w:p>
    <w:p>
      <w:pPr>
        <w:tabs>
          <w:tab w:val="left" w:pos="1620"/>
          <w:tab w:val="left" w:pos="2340"/>
        </w:tabs>
        <w:adjustRightInd w:val="0"/>
        <w:snapToGrid w:val="0"/>
        <w:spacing w:beforeLines="0" w:line="360" w:lineRule="auto"/>
        <w:ind w:left="1079"/>
        <w:rPr>
          <w:color w:val="auto"/>
        </w:rPr>
      </w:pPr>
      <w:r>
        <w:rPr>
          <w:rFonts w:hint="eastAsia"/>
          <w:color w:val="auto"/>
        </w:rPr>
        <w:t>⑵调解要求停止施工，且为双方接受；</w:t>
      </w:r>
    </w:p>
    <w:p>
      <w:pPr>
        <w:tabs>
          <w:tab w:val="left" w:pos="1620"/>
          <w:tab w:val="left" w:pos="2340"/>
        </w:tabs>
        <w:adjustRightInd w:val="0"/>
        <w:snapToGrid w:val="0"/>
        <w:spacing w:beforeLines="0" w:line="360" w:lineRule="auto"/>
        <w:ind w:left="1079"/>
        <w:rPr>
          <w:color w:val="auto"/>
        </w:rPr>
      </w:pPr>
      <w:r>
        <w:rPr>
          <w:rFonts w:hint="eastAsia"/>
          <w:color w:val="auto"/>
        </w:rPr>
        <w:t>⑶仲裁机构要求停止施工；</w:t>
      </w:r>
    </w:p>
    <w:p>
      <w:pPr>
        <w:tabs>
          <w:tab w:val="left" w:pos="1620"/>
          <w:tab w:val="left" w:pos="2340"/>
        </w:tabs>
        <w:adjustRightInd w:val="0"/>
        <w:snapToGrid w:val="0"/>
        <w:spacing w:beforeLines="0" w:line="360" w:lineRule="auto"/>
        <w:ind w:left="1079"/>
        <w:rPr>
          <w:color w:val="auto"/>
        </w:rPr>
      </w:pPr>
      <w:r>
        <w:rPr>
          <w:rFonts w:hint="eastAsia"/>
          <w:color w:val="auto"/>
        </w:rPr>
        <w:t>⑷法院要求停止施工。</w:t>
      </w:r>
    </w:p>
    <w:p>
      <w:pPr>
        <w:adjustRightInd w:val="0"/>
        <w:snapToGrid w:val="0"/>
        <w:spacing w:before="0" w:beforeLines="0" w:after="0" w:line="360" w:lineRule="auto"/>
        <w:ind w:left="178"/>
        <w:rPr>
          <w:color w:val="auto"/>
          <w:sz w:val="28"/>
        </w:rPr>
      </w:pPr>
      <w:r>
        <w:rPr>
          <w:b/>
          <w:color w:val="auto"/>
          <w:sz w:val="28"/>
        </w:rPr>
        <w:t>31</w:t>
      </w:r>
      <w:r>
        <w:rPr>
          <w:rFonts w:hint="eastAsia"/>
          <w:b/>
          <w:color w:val="auto"/>
          <w:sz w:val="28"/>
        </w:rPr>
        <w:t>工程缺陷责任与保修</w:t>
      </w:r>
    </w:p>
    <w:p>
      <w:pPr>
        <w:adjustRightInd w:val="0"/>
        <w:snapToGrid w:val="0"/>
        <w:spacing w:before="0" w:beforeLines="0" w:after="0" w:line="360" w:lineRule="auto"/>
        <w:ind w:left="359"/>
        <w:rPr>
          <w:color w:val="auto"/>
        </w:rPr>
      </w:pPr>
      <w:r>
        <w:rPr>
          <w:b/>
          <w:color w:val="auto"/>
        </w:rPr>
        <w:t>31.1</w:t>
      </w:r>
      <w:r>
        <w:rPr>
          <w:rFonts w:hint="eastAsia"/>
          <w:b/>
          <w:color w:val="auto"/>
        </w:rPr>
        <w:t>工程保修的原则</w:t>
      </w:r>
    </w:p>
    <w:p>
      <w:pPr>
        <w:tabs>
          <w:tab w:val="left" w:pos="1620"/>
          <w:tab w:val="left" w:pos="2340"/>
        </w:tabs>
        <w:adjustRightInd w:val="0"/>
        <w:snapToGrid w:val="0"/>
        <w:spacing w:beforeLines="0" w:after="0" w:line="360" w:lineRule="auto"/>
        <w:ind w:left="899"/>
        <w:rPr>
          <w:color w:val="auto"/>
        </w:rPr>
      </w:pPr>
      <w:r>
        <w:rPr>
          <w:color w:val="auto"/>
        </w:rPr>
        <w:t>在工程移交发包人后，因承包人原因产生的质量缺陷，承包人应承担质量缺陷责任和保修义务。缺陷责任期届满，承包人仍应按合同约定的工程各部位保修年限承担保修义务。</w:t>
      </w:r>
    </w:p>
    <w:p>
      <w:pPr>
        <w:adjustRightInd w:val="0"/>
        <w:snapToGrid w:val="0"/>
        <w:spacing w:before="0" w:beforeLines="0" w:after="0" w:line="360" w:lineRule="auto"/>
        <w:ind w:left="359"/>
        <w:rPr>
          <w:color w:val="auto"/>
        </w:rPr>
      </w:pPr>
      <w:r>
        <w:rPr>
          <w:b/>
          <w:color w:val="auto"/>
        </w:rPr>
        <w:t>31.2</w:t>
      </w:r>
      <w:r>
        <w:rPr>
          <w:rFonts w:hint="eastAsia"/>
          <w:b/>
          <w:color w:val="auto"/>
        </w:rPr>
        <w:t>缺陷责任期</w:t>
      </w:r>
    </w:p>
    <w:p>
      <w:pPr>
        <w:tabs>
          <w:tab w:val="left" w:pos="1620"/>
          <w:tab w:val="left" w:pos="2340"/>
        </w:tabs>
        <w:adjustRightInd w:val="0"/>
        <w:snapToGrid w:val="0"/>
        <w:spacing w:beforeLines="0" w:after="0" w:line="360" w:lineRule="auto"/>
        <w:ind w:left="899"/>
        <w:rPr>
          <w:color w:val="auto"/>
        </w:rPr>
      </w:pPr>
      <w:r>
        <w:rPr>
          <w:rFonts w:hint="eastAsia"/>
          <w:color w:val="auto"/>
        </w:rPr>
        <w:t>⑴</w:t>
      </w:r>
      <w:r>
        <w:rPr>
          <w:color w:val="auto"/>
        </w:rPr>
        <w:t>缺陷责任期自</w:t>
      </w:r>
      <w:r>
        <w:rPr>
          <w:rFonts w:hint="eastAsia"/>
          <w:color w:val="auto"/>
        </w:rPr>
        <w:t>实际竣工日期</w:t>
      </w:r>
      <w:r>
        <w:rPr>
          <w:color w:val="auto"/>
        </w:rPr>
        <w:t>起计算，承发包双方应在</w:t>
      </w:r>
      <w:r>
        <w:rPr>
          <w:b/>
          <w:i/>
          <w:color w:val="auto"/>
        </w:rPr>
        <w:t>专用条款</w:t>
      </w:r>
      <w:r>
        <w:rPr>
          <w:color w:val="auto"/>
        </w:rPr>
        <w:t>约定缺陷责任期的具体期限，但该期限最长不超过24个月。</w:t>
      </w:r>
    </w:p>
    <w:p>
      <w:pPr>
        <w:tabs>
          <w:tab w:val="left" w:pos="1620"/>
          <w:tab w:val="left" w:pos="2340"/>
        </w:tabs>
        <w:adjustRightInd w:val="0"/>
        <w:snapToGrid w:val="0"/>
        <w:spacing w:beforeLines="0" w:after="0" w:line="360" w:lineRule="auto"/>
        <w:ind w:left="899"/>
        <w:rPr>
          <w:color w:val="auto"/>
        </w:rPr>
      </w:pPr>
      <w:r>
        <w:rPr>
          <w:color w:val="auto"/>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w:t>
      </w:r>
      <w:r>
        <w:rPr>
          <w:rFonts w:hint="eastAsia"/>
          <w:color w:val="auto"/>
        </w:rPr>
        <w:t>第91天（含）</w:t>
      </w:r>
      <w:r>
        <w:rPr>
          <w:color w:val="auto"/>
        </w:rPr>
        <w:t>开始计算；发包人未经竣工验收擅自使用工程的，缺陷责任期自工程转移占有之日起开始计算。</w:t>
      </w:r>
    </w:p>
    <w:p>
      <w:pPr>
        <w:tabs>
          <w:tab w:val="left" w:pos="1620"/>
          <w:tab w:val="left" w:pos="2340"/>
        </w:tabs>
        <w:adjustRightInd w:val="0"/>
        <w:snapToGrid w:val="0"/>
        <w:spacing w:beforeLines="0" w:after="0" w:line="360" w:lineRule="auto"/>
        <w:ind w:left="899"/>
        <w:rPr>
          <w:color w:val="auto"/>
        </w:rPr>
      </w:pPr>
      <w:r>
        <w:rPr>
          <w:rFonts w:hint="eastAsia"/>
          <w:color w:val="auto"/>
        </w:rPr>
        <w:t>⑵</w:t>
      </w:r>
      <w:r>
        <w:rPr>
          <w:color w:val="auto"/>
        </w:rPr>
        <w:t>工程竣工验收合格后，因承包人原因导致的缺陷或损坏致使工程、单位工程或某项主要设备不能按原定目的使用的，则发包人有权要求承包人延长缺陷责任期，并应在原缺陷责任期届满前发出延长通知，但缺陷责任期最长不能超过24个月。</w:t>
      </w:r>
    </w:p>
    <w:p>
      <w:pPr>
        <w:tabs>
          <w:tab w:val="left" w:pos="1620"/>
          <w:tab w:val="left" w:pos="2340"/>
        </w:tabs>
        <w:adjustRightInd w:val="0"/>
        <w:snapToGrid w:val="0"/>
        <w:spacing w:beforeLines="0" w:after="0" w:line="360" w:lineRule="auto"/>
        <w:ind w:left="899"/>
        <w:rPr>
          <w:color w:val="auto"/>
        </w:rPr>
      </w:pPr>
      <w:r>
        <w:rPr>
          <w:rFonts w:hint="eastAsia"/>
          <w:color w:val="auto"/>
        </w:rPr>
        <w:t>⑶</w:t>
      </w:r>
      <w:r>
        <w:rPr>
          <w:color w:val="auto"/>
        </w:rPr>
        <w:t>任何一项缺陷或损坏修复后，经检查证明其影响了工程或工程设备的使用性能，承包人应重新进行合同约定的试验和试运行，试验和试运行的全部费用应由责任方承担。</w:t>
      </w:r>
    </w:p>
    <w:p>
      <w:pPr>
        <w:tabs>
          <w:tab w:val="left" w:pos="1620"/>
          <w:tab w:val="left" w:pos="2340"/>
        </w:tabs>
        <w:adjustRightInd w:val="0"/>
        <w:snapToGrid w:val="0"/>
        <w:spacing w:beforeLines="0" w:after="0" w:line="360" w:lineRule="auto"/>
        <w:ind w:left="899"/>
        <w:rPr>
          <w:color w:val="auto"/>
        </w:rPr>
      </w:pPr>
      <w:r>
        <w:rPr>
          <w:rFonts w:hint="eastAsia"/>
          <w:color w:val="auto"/>
        </w:rPr>
        <w:t>⑷</w:t>
      </w:r>
      <w:r>
        <w:rPr>
          <w:color w:val="auto"/>
        </w:rPr>
        <w:t>除</w:t>
      </w:r>
      <w:r>
        <w:rPr>
          <w:b/>
          <w:i/>
          <w:color w:val="auto"/>
        </w:rPr>
        <w:t>专用条款</w:t>
      </w:r>
      <w:r>
        <w:rPr>
          <w:color w:val="auto"/>
        </w:rPr>
        <w:t>另有约定外，承包人应于缺陷责任期届满后7天内向发包人发出缺陷责任期</w:t>
      </w:r>
      <w:r>
        <w:rPr>
          <w:rFonts w:hint="eastAsia"/>
          <w:color w:val="auto"/>
        </w:rPr>
        <w:t>届</w:t>
      </w:r>
      <w:r>
        <w:rPr>
          <w:color w:val="auto"/>
        </w:rPr>
        <w:t>满通知，发包人应在</w:t>
      </w:r>
      <w:r>
        <w:rPr>
          <w:rFonts w:hint="eastAsia"/>
          <w:color w:val="auto"/>
        </w:rPr>
        <w:t>收</w:t>
      </w:r>
      <w:r>
        <w:rPr>
          <w:color w:val="auto"/>
        </w:rPr>
        <w:t>到缺陷责任期满通知后14天内核实承包人是否履行缺陷</w:t>
      </w:r>
      <w:r>
        <w:rPr>
          <w:rFonts w:hint="eastAsia"/>
          <w:color w:val="auto"/>
        </w:rPr>
        <w:t>修复</w:t>
      </w:r>
      <w:r>
        <w:rPr>
          <w:color w:val="auto"/>
        </w:rPr>
        <w:t>义务，承包人未能履行缺陷</w:t>
      </w:r>
      <w:r>
        <w:rPr>
          <w:rFonts w:hint="eastAsia"/>
          <w:color w:val="auto"/>
        </w:rPr>
        <w:t>修复</w:t>
      </w:r>
      <w:r>
        <w:rPr>
          <w:color w:val="auto"/>
        </w:rPr>
        <w:t>义务的，发包人有权扣除相应金额的维修费用。发包人应在</w:t>
      </w:r>
      <w:r>
        <w:rPr>
          <w:rFonts w:hint="eastAsia"/>
          <w:color w:val="auto"/>
        </w:rPr>
        <w:t>收到</w:t>
      </w:r>
      <w:r>
        <w:rPr>
          <w:color w:val="auto"/>
        </w:rPr>
        <w:t>缺陷责任期</w:t>
      </w:r>
      <w:r>
        <w:rPr>
          <w:rFonts w:hint="eastAsia"/>
          <w:color w:val="auto"/>
        </w:rPr>
        <w:t>届</w:t>
      </w:r>
      <w:r>
        <w:rPr>
          <w:color w:val="auto"/>
        </w:rPr>
        <w:t>满</w:t>
      </w:r>
      <w:r>
        <w:rPr>
          <w:rFonts w:hint="eastAsia"/>
          <w:color w:val="auto"/>
        </w:rPr>
        <w:t>通知后</w:t>
      </w:r>
      <w:r>
        <w:rPr>
          <w:color w:val="auto"/>
        </w:rPr>
        <w:t>14天内，向承包人颁发缺陷责任期终止证</w:t>
      </w:r>
      <w:r>
        <w:rPr>
          <w:rFonts w:hint="eastAsia"/>
          <w:color w:val="auto"/>
        </w:rPr>
        <w:t>书</w:t>
      </w:r>
      <w:r>
        <w:rPr>
          <w:color w:val="auto"/>
        </w:rPr>
        <w:t>。</w:t>
      </w:r>
    </w:p>
    <w:p>
      <w:pPr>
        <w:adjustRightInd w:val="0"/>
        <w:snapToGrid w:val="0"/>
        <w:spacing w:before="0" w:beforeLines="0" w:after="0" w:line="360" w:lineRule="auto"/>
        <w:ind w:left="359"/>
        <w:rPr>
          <w:color w:val="auto"/>
        </w:rPr>
      </w:pPr>
      <w:r>
        <w:rPr>
          <w:b/>
          <w:color w:val="auto"/>
        </w:rPr>
        <w:t>31.3</w:t>
      </w:r>
      <w:r>
        <w:rPr>
          <w:rFonts w:hint="eastAsia"/>
          <w:b/>
          <w:color w:val="auto"/>
        </w:rPr>
        <w:t>质量保证金</w:t>
      </w:r>
    </w:p>
    <w:p>
      <w:pPr>
        <w:tabs>
          <w:tab w:val="left" w:pos="1620"/>
          <w:tab w:val="left" w:pos="2340"/>
        </w:tabs>
        <w:adjustRightInd w:val="0"/>
        <w:snapToGrid w:val="0"/>
        <w:spacing w:beforeLines="0" w:line="360" w:lineRule="auto"/>
        <w:ind w:left="899"/>
        <w:rPr>
          <w:color w:val="auto"/>
        </w:rPr>
      </w:pPr>
      <w:r>
        <w:rPr>
          <w:rFonts w:hint="eastAsia"/>
          <w:color w:val="auto"/>
        </w:rPr>
        <w:t>⑴经承发包双方协商一致扣留质量保证金的，应在</w:t>
      </w:r>
      <w:r>
        <w:rPr>
          <w:rFonts w:hint="eastAsia"/>
          <w:b/>
          <w:i/>
          <w:color w:val="auto"/>
        </w:rPr>
        <w:t>专用条款</w:t>
      </w:r>
      <w:r>
        <w:rPr>
          <w:rFonts w:hint="eastAsia"/>
          <w:color w:val="auto"/>
        </w:rPr>
        <w:t>中予以明确。</w:t>
      </w:r>
    </w:p>
    <w:p>
      <w:pPr>
        <w:tabs>
          <w:tab w:val="left" w:pos="1620"/>
          <w:tab w:val="left" w:pos="2340"/>
        </w:tabs>
        <w:adjustRightInd w:val="0"/>
        <w:snapToGrid w:val="0"/>
        <w:spacing w:beforeLines="0" w:line="360" w:lineRule="auto"/>
        <w:ind w:left="899"/>
        <w:rPr>
          <w:color w:val="auto"/>
        </w:rPr>
      </w:pPr>
      <w:r>
        <w:rPr>
          <w:rFonts w:hint="eastAsia"/>
          <w:color w:val="auto"/>
        </w:rPr>
        <w:t>⑵承包人提供</w:t>
      </w:r>
      <w:r>
        <w:rPr>
          <w:color w:val="auto"/>
        </w:rPr>
        <w:t>质量保证金</w:t>
      </w:r>
      <w:r>
        <w:rPr>
          <w:rFonts w:hint="eastAsia"/>
          <w:color w:val="auto"/>
        </w:rPr>
        <w:t>有</w:t>
      </w:r>
      <w:r>
        <w:rPr>
          <w:color w:val="auto"/>
        </w:rPr>
        <w:t>以下</w:t>
      </w:r>
      <w:r>
        <w:rPr>
          <w:rFonts w:hint="eastAsia"/>
          <w:color w:val="auto"/>
        </w:rPr>
        <w:t>三种方</w:t>
      </w:r>
      <w:r>
        <w:rPr>
          <w:color w:val="auto"/>
        </w:rPr>
        <w:t>式：</w:t>
      </w:r>
    </w:p>
    <w:p>
      <w:pPr>
        <w:tabs>
          <w:tab w:val="left" w:pos="1620"/>
          <w:tab w:val="left" w:pos="2340"/>
        </w:tabs>
        <w:adjustRightInd w:val="0"/>
        <w:snapToGrid w:val="0"/>
        <w:spacing w:beforeLines="0" w:line="360" w:lineRule="auto"/>
        <w:ind w:left="1267" w:leftChars="528"/>
        <w:rPr>
          <w:color w:val="auto"/>
        </w:rPr>
      </w:pPr>
      <w:r>
        <w:rPr>
          <w:rFonts w:hint="eastAsia"/>
          <w:color w:val="auto"/>
        </w:rPr>
        <w:t>①</w:t>
      </w:r>
      <w:r>
        <w:rPr>
          <w:color w:val="auto"/>
        </w:rPr>
        <w:t>质量保证金保函；</w:t>
      </w:r>
    </w:p>
    <w:p>
      <w:pPr>
        <w:tabs>
          <w:tab w:val="left" w:pos="1620"/>
          <w:tab w:val="left" w:pos="2340"/>
        </w:tabs>
        <w:adjustRightInd w:val="0"/>
        <w:snapToGrid w:val="0"/>
        <w:spacing w:beforeLines="0" w:line="360" w:lineRule="auto"/>
        <w:ind w:left="1267" w:leftChars="528"/>
        <w:rPr>
          <w:color w:val="auto"/>
        </w:rPr>
      </w:pPr>
      <w:r>
        <w:rPr>
          <w:rFonts w:hint="eastAsia"/>
          <w:color w:val="auto"/>
        </w:rPr>
        <w:t>②</w:t>
      </w:r>
      <w:r>
        <w:rPr>
          <w:color w:val="auto"/>
        </w:rPr>
        <w:t>相应比例的工程款；</w:t>
      </w:r>
    </w:p>
    <w:p>
      <w:pPr>
        <w:tabs>
          <w:tab w:val="left" w:pos="1620"/>
          <w:tab w:val="left" w:pos="2340"/>
        </w:tabs>
        <w:adjustRightInd w:val="0"/>
        <w:snapToGrid w:val="0"/>
        <w:spacing w:beforeLines="0" w:line="360" w:lineRule="auto"/>
        <w:ind w:left="1267" w:leftChars="528"/>
        <w:rPr>
          <w:color w:val="auto"/>
        </w:rPr>
      </w:pPr>
      <w:r>
        <w:rPr>
          <w:rFonts w:hint="eastAsia"/>
          <w:color w:val="auto"/>
        </w:rPr>
        <w:t>③</w:t>
      </w:r>
      <w:r>
        <w:rPr>
          <w:color w:val="auto"/>
        </w:rPr>
        <w:t>双方约定的其他</w:t>
      </w:r>
      <w:r>
        <w:rPr>
          <w:rFonts w:hint="eastAsia"/>
          <w:color w:val="auto"/>
        </w:rPr>
        <w:t>方</w:t>
      </w:r>
      <w:r>
        <w:rPr>
          <w:color w:val="auto"/>
        </w:rPr>
        <w:t>式。</w:t>
      </w:r>
    </w:p>
    <w:p>
      <w:pPr>
        <w:tabs>
          <w:tab w:val="left" w:pos="1620"/>
          <w:tab w:val="left" w:pos="2340"/>
        </w:tabs>
        <w:adjustRightInd w:val="0"/>
        <w:snapToGrid w:val="0"/>
        <w:spacing w:beforeLines="0" w:line="360" w:lineRule="auto"/>
        <w:ind w:left="899"/>
        <w:rPr>
          <w:color w:val="auto"/>
        </w:rPr>
      </w:pPr>
      <w:r>
        <w:rPr>
          <w:color w:val="auto"/>
        </w:rPr>
        <w:t>除</w:t>
      </w:r>
      <w:r>
        <w:rPr>
          <w:b/>
          <w:i/>
          <w:color w:val="auto"/>
        </w:rPr>
        <w:t>专用条款</w:t>
      </w:r>
      <w:r>
        <w:rPr>
          <w:color w:val="auto"/>
        </w:rPr>
        <w:t>另有约定外，质量保证金</w:t>
      </w:r>
      <w:r>
        <w:rPr>
          <w:rFonts w:hint="eastAsia"/>
          <w:color w:val="auto"/>
        </w:rPr>
        <w:t>原则上</w:t>
      </w:r>
      <w:r>
        <w:rPr>
          <w:color w:val="auto"/>
        </w:rPr>
        <w:t>采</w:t>
      </w:r>
      <w:r>
        <w:rPr>
          <w:rFonts w:hint="eastAsia"/>
          <w:color w:val="auto"/>
        </w:rPr>
        <w:t>用上述</w:t>
      </w:r>
      <w:r>
        <w:rPr>
          <w:color w:val="auto"/>
        </w:rPr>
        <w:t>第</w:t>
      </w:r>
      <w:r>
        <w:rPr>
          <w:rFonts w:hint="eastAsia"/>
          <w:color w:val="auto"/>
        </w:rPr>
        <w:t>①</w:t>
      </w:r>
      <w:r>
        <w:rPr>
          <w:color w:val="auto"/>
        </w:rPr>
        <w:t>种</w:t>
      </w:r>
      <w:r>
        <w:rPr>
          <w:rFonts w:hint="eastAsia"/>
          <w:color w:val="auto"/>
        </w:rPr>
        <w:t>方式。</w:t>
      </w:r>
    </w:p>
    <w:p>
      <w:pPr>
        <w:tabs>
          <w:tab w:val="left" w:pos="1620"/>
          <w:tab w:val="left" w:pos="2340"/>
        </w:tabs>
        <w:adjustRightInd w:val="0"/>
        <w:snapToGrid w:val="0"/>
        <w:spacing w:beforeLines="0" w:line="360" w:lineRule="auto"/>
        <w:ind w:left="899"/>
        <w:rPr>
          <w:color w:val="auto"/>
        </w:rPr>
      </w:pPr>
      <w:r>
        <w:rPr>
          <w:rFonts w:hint="eastAsia"/>
          <w:color w:val="auto"/>
        </w:rPr>
        <w:t>⑶</w:t>
      </w:r>
      <w:r>
        <w:rPr>
          <w:color w:val="auto"/>
        </w:rPr>
        <w:t>质量保证金</w:t>
      </w:r>
      <w:r>
        <w:rPr>
          <w:rFonts w:hint="eastAsia"/>
          <w:color w:val="auto"/>
        </w:rPr>
        <w:t>的</w:t>
      </w:r>
      <w:r>
        <w:rPr>
          <w:color w:val="auto"/>
        </w:rPr>
        <w:t>扣留</w:t>
      </w:r>
      <w:r>
        <w:rPr>
          <w:rFonts w:hint="eastAsia"/>
          <w:color w:val="auto"/>
        </w:rPr>
        <w:t>有</w:t>
      </w:r>
      <w:r>
        <w:rPr>
          <w:color w:val="auto"/>
        </w:rPr>
        <w:t>以下</w:t>
      </w:r>
      <w:r>
        <w:rPr>
          <w:rFonts w:hint="eastAsia"/>
          <w:color w:val="auto"/>
        </w:rPr>
        <w:t>三</w:t>
      </w:r>
      <w:r>
        <w:rPr>
          <w:color w:val="auto"/>
        </w:rPr>
        <w:t>种</w:t>
      </w:r>
      <w:r>
        <w:rPr>
          <w:rFonts w:hint="eastAsia"/>
          <w:color w:val="auto"/>
        </w:rPr>
        <w:t>方式</w:t>
      </w:r>
      <w:r>
        <w:rPr>
          <w:color w:val="auto"/>
        </w:rPr>
        <w:t>：</w:t>
      </w:r>
    </w:p>
    <w:p>
      <w:pPr>
        <w:tabs>
          <w:tab w:val="left" w:pos="1620"/>
          <w:tab w:val="left" w:pos="2340"/>
        </w:tabs>
        <w:adjustRightInd w:val="0"/>
        <w:snapToGrid w:val="0"/>
        <w:spacing w:beforeLines="0" w:line="360" w:lineRule="auto"/>
        <w:ind w:left="1267" w:leftChars="528"/>
        <w:rPr>
          <w:color w:val="auto"/>
        </w:rPr>
      </w:pPr>
      <w:r>
        <w:rPr>
          <w:rFonts w:hint="eastAsia"/>
          <w:color w:val="auto"/>
        </w:rPr>
        <w:t>①</w:t>
      </w:r>
      <w:r>
        <w:rPr>
          <w:color w:val="auto"/>
        </w:rPr>
        <w:t>在支付工程进度款时逐次扣留，在此情形下，质量保证金的计算基数不包括预付款的支付、扣回以及价格调整的金额；</w:t>
      </w:r>
    </w:p>
    <w:p>
      <w:pPr>
        <w:tabs>
          <w:tab w:val="left" w:pos="1620"/>
          <w:tab w:val="left" w:pos="2340"/>
        </w:tabs>
        <w:adjustRightInd w:val="0"/>
        <w:snapToGrid w:val="0"/>
        <w:spacing w:beforeLines="0" w:line="360" w:lineRule="auto"/>
        <w:ind w:left="1267" w:leftChars="528"/>
        <w:rPr>
          <w:color w:val="auto"/>
        </w:rPr>
      </w:pPr>
      <w:r>
        <w:rPr>
          <w:rFonts w:hint="eastAsia"/>
          <w:color w:val="auto"/>
        </w:rPr>
        <w:t>②</w:t>
      </w:r>
      <w:r>
        <w:rPr>
          <w:color w:val="auto"/>
        </w:rPr>
        <w:t>工程竣工结算时一次性扣留质量保证金；</w:t>
      </w:r>
    </w:p>
    <w:p>
      <w:pPr>
        <w:tabs>
          <w:tab w:val="left" w:pos="1620"/>
          <w:tab w:val="left" w:pos="2340"/>
        </w:tabs>
        <w:adjustRightInd w:val="0"/>
        <w:snapToGrid w:val="0"/>
        <w:spacing w:beforeLines="0" w:line="360" w:lineRule="auto"/>
        <w:ind w:left="1267" w:leftChars="528"/>
        <w:rPr>
          <w:color w:val="auto"/>
        </w:rPr>
      </w:pPr>
      <w:r>
        <w:rPr>
          <w:rFonts w:hint="eastAsia"/>
          <w:color w:val="auto"/>
        </w:rPr>
        <w:t>③</w:t>
      </w:r>
      <w:r>
        <w:rPr>
          <w:color w:val="auto"/>
        </w:rPr>
        <w:t>双方约定的其他扣留方式。</w:t>
      </w:r>
    </w:p>
    <w:p>
      <w:pPr>
        <w:tabs>
          <w:tab w:val="left" w:pos="1620"/>
          <w:tab w:val="left" w:pos="2340"/>
        </w:tabs>
        <w:adjustRightInd w:val="0"/>
        <w:snapToGrid w:val="0"/>
        <w:spacing w:beforeLines="0" w:line="360" w:lineRule="auto"/>
        <w:ind w:left="899"/>
        <w:rPr>
          <w:color w:val="auto"/>
        </w:rPr>
      </w:pPr>
      <w:r>
        <w:rPr>
          <w:color w:val="auto"/>
        </w:rPr>
        <w:t>除</w:t>
      </w:r>
      <w:r>
        <w:rPr>
          <w:b/>
          <w:i/>
          <w:color w:val="auto"/>
        </w:rPr>
        <w:t>专用条款</w:t>
      </w:r>
      <w:r>
        <w:rPr>
          <w:color w:val="auto"/>
        </w:rPr>
        <w:t>另有约定外，质量保证金</w:t>
      </w:r>
      <w:r>
        <w:rPr>
          <w:rFonts w:hint="eastAsia"/>
          <w:color w:val="auto"/>
        </w:rPr>
        <w:t>的</w:t>
      </w:r>
      <w:r>
        <w:rPr>
          <w:color w:val="auto"/>
        </w:rPr>
        <w:t>扣留</w:t>
      </w:r>
      <w:r>
        <w:rPr>
          <w:rFonts w:hint="eastAsia"/>
          <w:color w:val="auto"/>
        </w:rPr>
        <w:t>原则上</w:t>
      </w:r>
      <w:r>
        <w:rPr>
          <w:color w:val="auto"/>
        </w:rPr>
        <w:t>采</w:t>
      </w:r>
      <w:r>
        <w:rPr>
          <w:rFonts w:hint="eastAsia"/>
          <w:color w:val="auto"/>
        </w:rPr>
        <w:t>用上述</w:t>
      </w:r>
      <w:r>
        <w:rPr>
          <w:color w:val="auto"/>
        </w:rPr>
        <w:t>第</w:t>
      </w:r>
      <w:r>
        <w:rPr>
          <w:rFonts w:hint="eastAsia"/>
          <w:color w:val="auto"/>
        </w:rPr>
        <w:t>①</w:t>
      </w:r>
      <w:r>
        <w:rPr>
          <w:color w:val="auto"/>
        </w:rPr>
        <w:t>种方式</w:t>
      </w:r>
      <w:r>
        <w:rPr>
          <w:rFonts w:hint="eastAsia"/>
          <w:color w:val="auto"/>
        </w:rPr>
        <w:t>。但在工程项目竣工前，承包人已提供履约担保的，发包人不得同时预留质量保证金。</w:t>
      </w:r>
    </w:p>
    <w:p>
      <w:pPr>
        <w:tabs>
          <w:tab w:val="left" w:pos="1620"/>
          <w:tab w:val="left" w:pos="2340"/>
        </w:tabs>
        <w:adjustRightInd w:val="0"/>
        <w:snapToGrid w:val="0"/>
        <w:spacing w:beforeLines="0" w:line="360" w:lineRule="auto"/>
        <w:ind w:left="899"/>
        <w:rPr>
          <w:color w:val="auto"/>
        </w:rPr>
      </w:pPr>
      <w:r>
        <w:rPr>
          <w:color w:val="auto"/>
        </w:rPr>
        <w:t>发包人累计扣留的质量保证金不得超过结算合同价格的</w:t>
      </w:r>
      <w:r>
        <w:rPr>
          <w:rFonts w:hint="eastAsia"/>
          <w:color w:val="auto"/>
        </w:rPr>
        <w:t>3</w:t>
      </w:r>
      <w:r>
        <w:rPr>
          <w:color w:val="auto"/>
        </w:rPr>
        <w:t>%，</w:t>
      </w:r>
      <w:r>
        <w:rPr>
          <w:rFonts w:hint="eastAsia"/>
          <w:color w:val="auto"/>
        </w:rPr>
        <w:t>以银行保函替代预留保证金的，保函金额不得超过结算合同价格的3%。如</w:t>
      </w:r>
      <w:r>
        <w:rPr>
          <w:color w:val="auto"/>
        </w:rPr>
        <w:t>承包人在发包人签发竣工付款证书后28天内提交质量保证金保函，发包人应同时退还扣留的作为质量保证金的工程价款。</w:t>
      </w:r>
    </w:p>
    <w:p>
      <w:pPr>
        <w:tabs>
          <w:tab w:val="left" w:pos="1620"/>
          <w:tab w:val="left" w:pos="2340"/>
        </w:tabs>
        <w:adjustRightInd w:val="0"/>
        <w:snapToGrid w:val="0"/>
        <w:spacing w:beforeLines="0" w:line="360" w:lineRule="auto"/>
        <w:ind w:left="899"/>
        <w:rPr>
          <w:color w:val="auto"/>
        </w:rPr>
      </w:pPr>
      <w:r>
        <w:rPr>
          <w:rFonts w:hint="eastAsia"/>
          <w:color w:val="auto"/>
        </w:rPr>
        <w:t>⑷发包人应</w:t>
      </w:r>
      <w:r>
        <w:rPr>
          <w:color w:val="auto"/>
        </w:rPr>
        <w:t>按</w:t>
      </w:r>
      <w:r>
        <w:rPr>
          <w:rFonts w:hint="eastAsia"/>
          <w:color w:val="auto"/>
        </w:rPr>
        <w:t>27</w:t>
      </w:r>
      <w:r>
        <w:rPr>
          <w:color w:val="auto"/>
        </w:rPr>
        <w:t>.</w:t>
      </w:r>
      <w:r>
        <w:rPr>
          <w:rFonts w:hint="eastAsia"/>
          <w:color w:val="auto"/>
        </w:rPr>
        <w:t>8</w:t>
      </w:r>
      <w:r>
        <w:rPr>
          <w:color w:val="auto"/>
        </w:rPr>
        <w:t>款</w:t>
      </w:r>
      <w:r>
        <w:rPr>
          <w:rFonts w:hint="eastAsia"/>
          <w:color w:val="auto"/>
        </w:rPr>
        <w:t>〔</w:t>
      </w:r>
      <w:r>
        <w:rPr>
          <w:color w:val="auto"/>
        </w:rPr>
        <w:t>最终结清</w:t>
      </w:r>
      <w:r>
        <w:rPr>
          <w:rFonts w:hint="eastAsia"/>
          <w:color w:val="auto"/>
        </w:rPr>
        <w:t>申请〕的</w:t>
      </w:r>
      <w:r>
        <w:rPr>
          <w:color w:val="auto"/>
        </w:rPr>
        <w:t>约定</w:t>
      </w:r>
      <w:r>
        <w:rPr>
          <w:rFonts w:hint="eastAsia"/>
          <w:color w:val="auto"/>
        </w:rPr>
        <w:t>退还</w:t>
      </w:r>
      <w:r>
        <w:rPr>
          <w:color w:val="auto"/>
        </w:rPr>
        <w:t>质量保证金。</w:t>
      </w:r>
    </w:p>
    <w:p>
      <w:pPr>
        <w:adjustRightInd w:val="0"/>
        <w:snapToGrid w:val="0"/>
        <w:spacing w:before="0" w:beforeLines="0" w:after="0" w:line="360" w:lineRule="auto"/>
        <w:ind w:left="359"/>
        <w:rPr>
          <w:color w:val="auto"/>
        </w:rPr>
      </w:pPr>
      <w:r>
        <w:rPr>
          <w:b/>
          <w:color w:val="auto"/>
        </w:rPr>
        <w:t>31.4保修责任</w:t>
      </w:r>
    </w:p>
    <w:p>
      <w:pPr>
        <w:tabs>
          <w:tab w:val="left" w:pos="1620"/>
          <w:tab w:val="left" w:pos="2340"/>
        </w:tabs>
        <w:adjustRightInd w:val="0"/>
        <w:snapToGrid w:val="0"/>
        <w:spacing w:beforeLines="0" w:after="0" w:line="360" w:lineRule="auto"/>
        <w:ind w:left="899"/>
        <w:rPr>
          <w:color w:val="auto"/>
        </w:rPr>
      </w:pPr>
      <w:r>
        <w:rPr>
          <w:color w:val="auto"/>
        </w:rPr>
        <w:t>工程保修期从工程竣工验收合格之日起算，具体分部分项工程的保修期由</w:t>
      </w:r>
      <w:r>
        <w:rPr>
          <w:rFonts w:hint="eastAsia"/>
          <w:color w:val="auto"/>
        </w:rPr>
        <w:t>承发包双方</w:t>
      </w:r>
      <w:r>
        <w:rPr>
          <w:color w:val="auto"/>
        </w:rPr>
        <w:t>在</w:t>
      </w:r>
      <w:r>
        <w:rPr>
          <w:b/>
          <w:i/>
          <w:color w:val="auto"/>
        </w:rPr>
        <w:t>专用条款</w:t>
      </w:r>
      <w:r>
        <w:rPr>
          <w:color w:val="auto"/>
        </w:rPr>
        <w:t>中约定，但不得低于法定最低保修年限。在工程保修期内，承包人应当根据有关法律规定以及合同约定承担保修责任。</w:t>
      </w:r>
    </w:p>
    <w:p>
      <w:pPr>
        <w:tabs>
          <w:tab w:val="left" w:pos="1620"/>
          <w:tab w:val="left" w:pos="2340"/>
        </w:tabs>
        <w:adjustRightInd w:val="0"/>
        <w:snapToGrid w:val="0"/>
        <w:spacing w:beforeLines="0" w:after="0" w:line="360" w:lineRule="auto"/>
        <w:ind w:left="899"/>
        <w:rPr>
          <w:color w:val="auto"/>
        </w:rPr>
      </w:pPr>
      <w:r>
        <w:rPr>
          <w:color w:val="auto"/>
        </w:rPr>
        <w:t>发包人未经竣工验收擅自使用工程的，保修期自转移占有之日起算。</w:t>
      </w:r>
    </w:p>
    <w:p>
      <w:pPr>
        <w:adjustRightInd w:val="0"/>
        <w:snapToGrid w:val="0"/>
        <w:spacing w:before="0" w:beforeLines="0" w:after="0" w:line="360" w:lineRule="auto"/>
        <w:ind w:left="359"/>
        <w:rPr>
          <w:color w:val="auto"/>
        </w:rPr>
      </w:pPr>
      <w:r>
        <w:rPr>
          <w:b/>
          <w:color w:val="auto"/>
        </w:rPr>
        <w:t>31.5修复费用</w:t>
      </w:r>
    </w:p>
    <w:p>
      <w:pPr>
        <w:tabs>
          <w:tab w:val="left" w:pos="1620"/>
          <w:tab w:val="left" w:pos="2340"/>
        </w:tabs>
        <w:adjustRightInd w:val="0"/>
        <w:snapToGrid w:val="0"/>
        <w:spacing w:beforeLines="0" w:after="0" w:line="360" w:lineRule="auto"/>
        <w:ind w:left="899"/>
        <w:rPr>
          <w:color w:val="auto"/>
        </w:rPr>
      </w:pPr>
      <w:r>
        <w:rPr>
          <w:color w:val="auto"/>
        </w:rPr>
        <w:t>保修期内，修复的费用按照以下约定处理：</w:t>
      </w:r>
    </w:p>
    <w:p>
      <w:pPr>
        <w:tabs>
          <w:tab w:val="left" w:pos="1620"/>
          <w:tab w:val="left" w:pos="2340"/>
        </w:tabs>
        <w:adjustRightInd w:val="0"/>
        <w:snapToGrid w:val="0"/>
        <w:spacing w:beforeLines="0" w:after="0" w:line="360" w:lineRule="auto"/>
        <w:ind w:left="899"/>
        <w:rPr>
          <w:color w:val="auto"/>
        </w:rPr>
      </w:pPr>
      <w:r>
        <w:rPr>
          <w:color w:val="auto"/>
        </w:rPr>
        <w:t>(1)保修期内，因承包人原因造成工程的缺陷、损坏，承包人应负责修复，并承担修复的费用以及因工程的缺陷、损坏造成的人身伤害和财产损失；</w:t>
      </w:r>
    </w:p>
    <w:p>
      <w:pPr>
        <w:tabs>
          <w:tab w:val="left" w:pos="1620"/>
          <w:tab w:val="left" w:pos="2340"/>
        </w:tabs>
        <w:adjustRightInd w:val="0"/>
        <w:snapToGrid w:val="0"/>
        <w:spacing w:beforeLines="0" w:after="0" w:line="360" w:lineRule="auto"/>
        <w:ind w:left="899"/>
        <w:rPr>
          <w:color w:val="auto"/>
        </w:rPr>
      </w:pPr>
      <w:r>
        <w:rPr>
          <w:color w:val="auto"/>
        </w:rPr>
        <w:t>(2)保修期内，因发包人使用不当造成工程的缺陷、损坏，可以委托承包人修复，但发包人应承担修复的费用，并支付承包人合理利润；</w:t>
      </w:r>
    </w:p>
    <w:p>
      <w:pPr>
        <w:tabs>
          <w:tab w:val="left" w:pos="1620"/>
          <w:tab w:val="left" w:pos="2340"/>
        </w:tabs>
        <w:adjustRightInd w:val="0"/>
        <w:snapToGrid w:val="0"/>
        <w:spacing w:beforeLines="0" w:after="0" w:line="360" w:lineRule="auto"/>
        <w:ind w:left="899"/>
        <w:rPr>
          <w:color w:val="auto"/>
        </w:rPr>
      </w:pPr>
      <w:r>
        <w:rPr>
          <w:color w:val="auto"/>
        </w:rPr>
        <w:t>(3)因其他原因造成工程的缺陷、损坏，可以委托承包人修复，发包人应承担修复的费用，并支付承包人合理的利润，因工程的缺陷、损坏造成的人身伤害和财产损失由责任方承担。</w:t>
      </w:r>
    </w:p>
    <w:p>
      <w:pPr>
        <w:adjustRightInd w:val="0"/>
        <w:snapToGrid w:val="0"/>
        <w:spacing w:before="0" w:beforeLines="0" w:after="0" w:line="360" w:lineRule="auto"/>
        <w:ind w:left="359"/>
        <w:rPr>
          <w:color w:val="auto"/>
        </w:rPr>
      </w:pPr>
      <w:r>
        <w:rPr>
          <w:b/>
          <w:color w:val="auto"/>
        </w:rPr>
        <w:t>31.6修复通知</w:t>
      </w:r>
    </w:p>
    <w:p>
      <w:pPr>
        <w:tabs>
          <w:tab w:val="left" w:pos="1620"/>
          <w:tab w:val="left" w:pos="2340"/>
        </w:tabs>
        <w:adjustRightInd w:val="0"/>
        <w:snapToGrid w:val="0"/>
        <w:spacing w:beforeLines="0" w:after="0" w:line="360" w:lineRule="auto"/>
        <w:ind w:left="899"/>
        <w:rPr>
          <w:color w:val="auto"/>
        </w:rPr>
      </w:pPr>
      <w:r>
        <w:rPr>
          <w:color w:val="auto"/>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w:t>
      </w:r>
      <w:r>
        <w:rPr>
          <w:b/>
          <w:i/>
          <w:color w:val="auto"/>
        </w:rPr>
        <w:t>专用条款</w:t>
      </w:r>
      <w:r>
        <w:rPr>
          <w:color w:val="auto"/>
        </w:rPr>
        <w:t>约定的合理期限内到达工程现场并修复缺陷或损坏。</w:t>
      </w:r>
    </w:p>
    <w:p>
      <w:pPr>
        <w:adjustRightInd w:val="0"/>
        <w:snapToGrid w:val="0"/>
        <w:spacing w:before="0" w:beforeLines="0" w:after="0" w:line="360" w:lineRule="auto"/>
        <w:ind w:left="359"/>
        <w:rPr>
          <w:color w:val="auto"/>
        </w:rPr>
      </w:pPr>
      <w:r>
        <w:rPr>
          <w:b/>
          <w:color w:val="auto"/>
        </w:rPr>
        <w:t>31.7未能修复</w:t>
      </w:r>
    </w:p>
    <w:p>
      <w:pPr>
        <w:tabs>
          <w:tab w:val="left" w:pos="1620"/>
          <w:tab w:val="left" w:pos="2340"/>
        </w:tabs>
        <w:adjustRightInd w:val="0"/>
        <w:snapToGrid w:val="0"/>
        <w:spacing w:beforeLines="0" w:after="0" w:line="360" w:lineRule="auto"/>
        <w:ind w:left="899"/>
        <w:rPr>
          <w:color w:val="auto"/>
        </w:rPr>
      </w:pPr>
      <w:r>
        <w:rPr>
          <w:color w:val="auto"/>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color w:val="auto"/>
        </w:rPr>
        <w:t>但修复范围超出缺陷或损坏范围的，超出范围部分的修复费用由发包人承担。</w:t>
      </w:r>
    </w:p>
    <w:p>
      <w:pPr>
        <w:adjustRightInd w:val="0"/>
        <w:snapToGrid w:val="0"/>
        <w:spacing w:before="0" w:beforeLines="0" w:after="0" w:line="360" w:lineRule="auto"/>
        <w:ind w:left="359"/>
        <w:rPr>
          <w:color w:val="auto"/>
        </w:rPr>
      </w:pPr>
      <w:r>
        <w:rPr>
          <w:b/>
          <w:color w:val="auto"/>
        </w:rPr>
        <w:t>31.8承包人出入权</w:t>
      </w:r>
    </w:p>
    <w:p>
      <w:pPr>
        <w:tabs>
          <w:tab w:val="left" w:pos="1620"/>
          <w:tab w:val="left" w:pos="2340"/>
        </w:tabs>
        <w:adjustRightInd w:val="0"/>
        <w:snapToGrid w:val="0"/>
        <w:spacing w:beforeLines="0" w:after="0" w:line="360" w:lineRule="auto"/>
        <w:ind w:left="899"/>
        <w:rPr>
          <w:color w:val="auto"/>
        </w:rPr>
      </w:pPr>
      <w:r>
        <w:rPr>
          <w:color w:val="auto"/>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adjustRightInd w:val="0"/>
        <w:snapToGrid w:val="0"/>
        <w:spacing w:before="0" w:beforeLines="0" w:after="0" w:line="360" w:lineRule="auto"/>
        <w:ind w:left="178"/>
        <w:rPr>
          <w:color w:val="auto"/>
          <w:sz w:val="28"/>
        </w:rPr>
      </w:pPr>
      <w:r>
        <w:rPr>
          <w:b/>
          <w:color w:val="auto"/>
          <w:sz w:val="28"/>
        </w:rPr>
        <w:t>32</w:t>
      </w:r>
      <w:r>
        <w:rPr>
          <w:rFonts w:hint="eastAsia"/>
          <w:b/>
          <w:color w:val="auto"/>
          <w:sz w:val="28"/>
        </w:rPr>
        <w:t>不可抗力</w:t>
      </w:r>
    </w:p>
    <w:p>
      <w:pPr>
        <w:adjustRightInd w:val="0"/>
        <w:snapToGrid w:val="0"/>
        <w:spacing w:before="0" w:beforeLines="0" w:after="0" w:line="360" w:lineRule="auto"/>
        <w:ind w:left="359"/>
        <w:rPr>
          <w:color w:val="auto"/>
        </w:rPr>
      </w:pPr>
      <w:r>
        <w:rPr>
          <w:b/>
          <w:color w:val="auto"/>
        </w:rPr>
        <w:t>32.1</w:t>
      </w:r>
      <w:r>
        <w:rPr>
          <w:rFonts w:hint="eastAsia"/>
          <w:b/>
          <w:color w:val="auto"/>
        </w:rPr>
        <w:t>不可抗力包括范围</w:t>
      </w:r>
    </w:p>
    <w:p>
      <w:pPr>
        <w:tabs>
          <w:tab w:val="left" w:pos="1620"/>
          <w:tab w:val="left" w:pos="2340"/>
        </w:tabs>
        <w:adjustRightInd w:val="0"/>
        <w:snapToGrid w:val="0"/>
        <w:spacing w:beforeLines="0" w:after="0" w:line="360" w:lineRule="auto"/>
        <w:ind w:left="899"/>
        <w:rPr>
          <w:color w:val="auto"/>
        </w:rPr>
      </w:pPr>
      <w:r>
        <w:rPr>
          <w:rFonts w:hint="eastAsia"/>
          <w:color w:val="auto"/>
        </w:rPr>
        <w:t>不可抗力事件是指发包人和承包人在订立合同时无法预见，在合同履行过程中不可避免发生并不能克服的自然灾害和社会突发事件，包括战争、恐怖活动、动乱、瘟疫、空中飞行物体坠落或其他非发包人与承包人责任造成的爆炸、火灾，以及地震、洪涝和</w:t>
      </w:r>
      <w:r>
        <w:rPr>
          <w:rFonts w:hint="eastAsia"/>
          <w:b/>
          <w:i/>
          <w:color w:val="auto"/>
        </w:rPr>
        <w:t>专用条款</w:t>
      </w:r>
      <w:r>
        <w:rPr>
          <w:rFonts w:hint="eastAsia"/>
          <w:color w:val="auto"/>
        </w:rPr>
        <w:t>约定的大风、暴雨、高温等自然灾害，以至于本合同部分或全部不能继续履行。</w:t>
      </w:r>
    </w:p>
    <w:p>
      <w:pPr>
        <w:adjustRightInd w:val="0"/>
        <w:snapToGrid w:val="0"/>
        <w:spacing w:before="0" w:beforeLines="0" w:after="0" w:line="360" w:lineRule="auto"/>
        <w:ind w:left="359"/>
        <w:rPr>
          <w:color w:val="auto"/>
        </w:rPr>
      </w:pPr>
      <w:r>
        <w:rPr>
          <w:b/>
          <w:color w:val="auto"/>
        </w:rPr>
        <w:t>32.2</w:t>
      </w:r>
      <w:r>
        <w:rPr>
          <w:rFonts w:hint="eastAsia"/>
          <w:b/>
          <w:color w:val="auto"/>
        </w:rPr>
        <w:t>不可抗力的确认</w:t>
      </w:r>
    </w:p>
    <w:p>
      <w:pPr>
        <w:tabs>
          <w:tab w:val="left" w:pos="1620"/>
          <w:tab w:val="left" w:pos="2340"/>
        </w:tabs>
        <w:adjustRightInd w:val="0"/>
        <w:snapToGrid w:val="0"/>
        <w:spacing w:beforeLines="0" w:after="0" w:line="360" w:lineRule="auto"/>
        <w:ind w:left="899"/>
        <w:rPr>
          <w:color w:val="auto"/>
        </w:rPr>
      </w:pPr>
      <w:r>
        <w:rPr>
          <w:color w:val="auto"/>
        </w:rPr>
        <w:t>不可抗力发生后，发包人和承包人应收集证明不可抗力发生及不可抗力造成损失的证据，并及时认真统计所造成的损失。承发包双方对是否属于不可抗力或其损失的意见不一致的，按第</w:t>
      </w:r>
      <w:r>
        <w:rPr>
          <w:rFonts w:hint="eastAsia"/>
          <w:color w:val="auto"/>
        </w:rPr>
        <w:t>3</w:t>
      </w:r>
      <w:r>
        <w:rPr>
          <w:color w:val="auto"/>
        </w:rPr>
        <w:t>0条</w:t>
      </w:r>
      <w:r>
        <w:rPr>
          <w:rFonts w:hint="eastAsia"/>
          <w:color w:val="auto"/>
        </w:rPr>
        <w:t>〔</w:t>
      </w:r>
      <w:r>
        <w:rPr>
          <w:color w:val="auto"/>
        </w:rPr>
        <w:t>争议解决</w:t>
      </w:r>
      <w:r>
        <w:rPr>
          <w:rFonts w:hint="eastAsia"/>
          <w:color w:val="auto"/>
        </w:rPr>
        <w:t>〕</w:t>
      </w:r>
      <w:r>
        <w:rPr>
          <w:color w:val="auto"/>
        </w:rPr>
        <w:t>的约定处理。</w:t>
      </w:r>
    </w:p>
    <w:p>
      <w:pPr>
        <w:adjustRightInd w:val="0"/>
        <w:snapToGrid w:val="0"/>
        <w:spacing w:before="0" w:beforeLines="0" w:after="0" w:line="360" w:lineRule="auto"/>
        <w:ind w:left="359"/>
        <w:rPr>
          <w:color w:val="auto"/>
        </w:rPr>
      </w:pPr>
      <w:r>
        <w:rPr>
          <w:b/>
          <w:color w:val="auto"/>
        </w:rPr>
        <w:t>32.3</w:t>
      </w:r>
      <w:r>
        <w:rPr>
          <w:rFonts w:hint="eastAsia"/>
          <w:b/>
          <w:color w:val="auto"/>
        </w:rPr>
        <w:t>不可抗力处理程序</w:t>
      </w:r>
    </w:p>
    <w:p>
      <w:pPr>
        <w:tabs>
          <w:tab w:val="left" w:pos="1620"/>
          <w:tab w:val="left" w:pos="2340"/>
        </w:tabs>
        <w:adjustRightInd w:val="0"/>
        <w:snapToGrid w:val="0"/>
        <w:spacing w:beforeLines="0" w:after="0" w:line="360" w:lineRule="auto"/>
        <w:ind w:left="899"/>
        <w:rPr>
          <w:color w:val="auto"/>
        </w:rPr>
      </w:pPr>
      <w:r>
        <w:rPr>
          <w:rFonts w:hint="eastAsia"/>
          <w:color w:val="auto"/>
        </w:rPr>
        <w:t>⑴不可抗力事件发生后，承包人应立即通知</w:t>
      </w:r>
      <w:r>
        <w:rPr>
          <w:color w:val="auto"/>
        </w:rPr>
        <w:t>监理人</w:t>
      </w:r>
      <w:r>
        <w:rPr>
          <w:rFonts w:hint="eastAsia"/>
          <w:color w:val="auto"/>
        </w:rPr>
        <w:t>，并在力所能及的条件下迅速采取措施，尽力减少损失，发包人应协助承包人采取措施。</w:t>
      </w:r>
      <w:r>
        <w:rPr>
          <w:color w:val="auto"/>
        </w:rPr>
        <w:t>监理人</w:t>
      </w:r>
      <w:r>
        <w:rPr>
          <w:rFonts w:hint="eastAsia"/>
          <w:color w:val="auto"/>
        </w:rPr>
        <w:t>认为应暂停施工的，承包人应暂停施工。不可抗力事件结束后48小时内承包人向</w:t>
      </w:r>
      <w:r>
        <w:rPr>
          <w:color w:val="auto"/>
        </w:rPr>
        <w:t>监理人</w:t>
      </w:r>
      <w:r>
        <w:rPr>
          <w:rFonts w:hint="eastAsia"/>
          <w:color w:val="auto"/>
        </w:rPr>
        <w:t>通报受害情况以及预计清理和修复的费用。不可抗力事件持续发生，承包人应每隔7天向</w:t>
      </w:r>
      <w:r>
        <w:rPr>
          <w:color w:val="auto"/>
        </w:rPr>
        <w:t>监理人</w:t>
      </w:r>
      <w:r>
        <w:rPr>
          <w:rFonts w:hint="eastAsia"/>
          <w:color w:val="auto"/>
        </w:rPr>
        <w:t>报告一次受害情况。不可抗力事件结束后14天内，承包人向</w:t>
      </w:r>
      <w:r>
        <w:rPr>
          <w:color w:val="auto"/>
        </w:rPr>
        <w:t>监理人</w:t>
      </w:r>
      <w:r>
        <w:rPr>
          <w:rFonts w:hint="eastAsia"/>
          <w:color w:val="auto"/>
        </w:rPr>
        <w:t>提交清理和修复费用的正式报告及有关资料。</w:t>
      </w:r>
    </w:p>
    <w:p>
      <w:pPr>
        <w:tabs>
          <w:tab w:val="left" w:pos="1620"/>
          <w:tab w:val="left" w:pos="2340"/>
        </w:tabs>
        <w:adjustRightInd w:val="0"/>
        <w:snapToGrid w:val="0"/>
        <w:spacing w:beforeLines="0" w:after="0" w:line="360" w:lineRule="auto"/>
        <w:ind w:left="899"/>
        <w:rPr>
          <w:color w:val="auto"/>
        </w:rPr>
      </w:pPr>
      <w:r>
        <w:rPr>
          <w:rFonts w:hint="eastAsia"/>
          <w:color w:val="auto"/>
        </w:rPr>
        <w:t>⑵本工程的有关各方均应始终尽所有合理的努力，使不可抗力对本工程及履行本合同造成的损失减至最小。</w:t>
      </w:r>
    </w:p>
    <w:p>
      <w:pPr>
        <w:tabs>
          <w:tab w:val="left" w:pos="1620"/>
          <w:tab w:val="left" w:pos="2340"/>
        </w:tabs>
        <w:adjustRightInd w:val="0"/>
        <w:snapToGrid w:val="0"/>
        <w:spacing w:beforeLines="0" w:after="0" w:line="360" w:lineRule="auto"/>
        <w:ind w:left="899"/>
        <w:rPr>
          <w:color w:val="auto"/>
        </w:rPr>
      </w:pPr>
      <w:r>
        <w:rPr>
          <w:rFonts w:hint="eastAsia"/>
          <w:color w:val="auto"/>
        </w:rPr>
        <w:t>⑶因发包人和承包人一方迟延履行合同后发生不可抗力的，不能免除迟延履行方的迟延履行责任。</w:t>
      </w:r>
    </w:p>
    <w:p>
      <w:pPr>
        <w:adjustRightInd w:val="0"/>
        <w:snapToGrid w:val="0"/>
        <w:spacing w:before="0" w:beforeLines="0" w:after="0" w:line="360" w:lineRule="auto"/>
        <w:ind w:left="359"/>
        <w:rPr>
          <w:color w:val="auto"/>
        </w:rPr>
      </w:pPr>
      <w:r>
        <w:rPr>
          <w:b/>
          <w:color w:val="auto"/>
        </w:rPr>
        <w:t>32.4</w:t>
      </w:r>
      <w:r>
        <w:rPr>
          <w:rFonts w:hint="eastAsia"/>
          <w:b/>
          <w:color w:val="auto"/>
        </w:rPr>
        <w:t>不可抗力损失费用承担</w:t>
      </w:r>
    </w:p>
    <w:p>
      <w:pPr>
        <w:tabs>
          <w:tab w:val="left" w:pos="1620"/>
          <w:tab w:val="left" w:pos="2340"/>
        </w:tabs>
        <w:adjustRightInd w:val="0"/>
        <w:snapToGrid w:val="0"/>
        <w:spacing w:beforeLines="0" w:line="360" w:lineRule="auto"/>
        <w:ind w:left="899"/>
        <w:rPr>
          <w:color w:val="auto"/>
        </w:rPr>
      </w:pPr>
      <w:r>
        <w:rPr>
          <w:rFonts w:hint="eastAsia"/>
          <w:color w:val="auto"/>
        </w:rPr>
        <w:t>因不可抗力事件导致的费用及延误的工期由发包人和承包人按以下方法分别承担：</w:t>
      </w:r>
    </w:p>
    <w:p>
      <w:pPr>
        <w:tabs>
          <w:tab w:val="left" w:pos="1620"/>
          <w:tab w:val="left" w:pos="2340"/>
        </w:tabs>
        <w:adjustRightInd w:val="0"/>
        <w:snapToGrid w:val="0"/>
        <w:spacing w:beforeLines="0" w:line="360" w:lineRule="auto"/>
        <w:ind w:left="899"/>
        <w:rPr>
          <w:color w:val="auto"/>
        </w:rPr>
      </w:pPr>
      <w:r>
        <w:rPr>
          <w:color w:val="auto"/>
        </w:rPr>
        <w:t>⑴</w:t>
      </w:r>
      <w:r>
        <w:rPr>
          <w:rFonts w:hint="eastAsia"/>
          <w:color w:val="auto"/>
        </w:rPr>
        <w:t>工程本身的损害、因工程损害导致第三方人员伤亡和财产损失以及运至施工场地用于施工的材料和待安装的设备的损害，由发包人承担；</w:t>
      </w:r>
    </w:p>
    <w:p>
      <w:pPr>
        <w:tabs>
          <w:tab w:val="left" w:pos="1620"/>
          <w:tab w:val="left" w:pos="2340"/>
        </w:tabs>
        <w:adjustRightInd w:val="0"/>
        <w:snapToGrid w:val="0"/>
        <w:spacing w:beforeLines="0" w:line="360" w:lineRule="auto"/>
        <w:ind w:left="899"/>
        <w:rPr>
          <w:color w:val="auto"/>
        </w:rPr>
      </w:pPr>
      <w:r>
        <w:rPr>
          <w:color w:val="auto"/>
        </w:rPr>
        <w:t>⑵</w:t>
      </w:r>
      <w:r>
        <w:rPr>
          <w:rFonts w:hint="eastAsia"/>
          <w:color w:val="auto"/>
        </w:rPr>
        <w:t>发包人、承包人人员伤亡由其所在单位负责，并承担相应费用；</w:t>
      </w:r>
    </w:p>
    <w:p>
      <w:pPr>
        <w:tabs>
          <w:tab w:val="left" w:pos="1620"/>
          <w:tab w:val="left" w:pos="2340"/>
        </w:tabs>
        <w:adjustRightInd w:val="0"/>
        <w:snapToGrid w:val="0"/>
        <w:spacing w:beforeLines="0" w:line="360" w:lineRule="auto"/>
        <w:ind w:left="899"/>
        <w:rPr>
          <w:color w:val="auto"/>
        </w:rPr>
      </w:pPr>
      <w:r>
        <w:rPr>
          <w:color w:val="auto"/>
        </w:rPr>
        <w:t>⑶</w:t>
      </w:r>
      <w:r>
        <w:rPr>
          <w:rFonts w:hint="eastAsia"/>
          <w:color w:val="auto"/>
        </w:rPr>
        <w:t>承包人装备损坏、用于本工程的周转材料损坏及停工损失，由承包人承担；发包人提供的施工机械、设备发生损坏，由发包人承担；</w:t>
      </w:r>
    </w:p>
    <w:p>
      <w:pPr>
        <w:tabs>
          <w:tab w:val="left" w:pos="1620"/>
          <w:tab w:val="left" w:pos="2340"/>
        </w:tabs>
        <w:adjustRightInd w:val="0"/>
        <w:snapToGrid w:val="0"/>
        <w:spacing w:beforeLines="0" w:line="360" w:lineRule="auto"/>
        <w:ind w:left="899"/>
        <w:rPr>
          <w:color w:val="auto"/>
        </w:rPr>
      </w:pPr>
      <w:r>
        <w:rPr>
          <w:color w:val="auto"/>
        </w:rPr>
        <w:t>⑷</w:t>
      </w:r>
      <w:r>
        <w:rPr>
          <w:rFonts w:hint="eastAsia"/>
          <w:color w:val="auto"/>
        </w:rPr>
        <w:t>因不可抗力导致停工期间，承包人应发包人或</w:t>
      </w:r>
      <w:r>
        <w:rPr>
          <w:color w:val="auto"/>
        </w:rPr>
        <w:t>监理人</w:t>
      </w:r>
      <w:r>
        <w:rPr>
          <w:rFonts w:hint="eastAsia"/>
          <w:color w:val="auto"/>
        </w:rPr>
        <w:t>要求留在施工场地的必要的管理人员及保卫人员的费用由发包人承担；</w:t>
      </w:r>
    </w:p>
    <w:p>
      <w:pPr>
        <w:tabs>
          <w:tab w:val="left" w:pos="1620"/>
          <w:tab w:val="left" w:pos="2340"/>
        </w:tabs>
        <w:adjustRightInd w:val="0"/>
        <w:snapToGrid w:val="0"/>
        <w:spacing w:beforeLines="0" w:line="360" w:lineRule="auto"/>
        <w:ind w:left="899"/>
        <w:rPr>
          <w:color w:val="auto"/>
        </w:rPr>
      </w:pPr>
      <w:r>
        <w:rPr>
          <w:color w:val="auto"/>
        </w:rPr>
        <w:t>⑸</w:t>
      </w:r>
      <w:r>
        <w:rPr>
          <w:rFonts w:hint="eastAsia"/>
          <w:color w:val="auto"/>
        </w:rPr>
        <w:t>工程所需清理、修复费用，由发包人承担；</w:t>
      </w:r>
    </w:p>
    <w:p>
      <w:pPr>
        <w:tabs>
          <w:tab w:val="left" w:pos="1620"/>
          <w:tab w:val="left" w:pos="2340"/>
        </w:tabs>
        <w:adjustRightInd w:val="0"/>
        <w:snapToGrid w:val="0"/>
        <w:spacing w:beforeLines="0" w:line="360" w:lineRule="auto"/>
        <w:ind w:left="899"/>
        <w:rPr>
          <w:color w:val="auto"/>
        </w:rPr>
      </w:pPr>
      <w:r>
        <w:rPr>
          <w:color w:val="auto"/>
        </w:rPr>
        <w:t>⑹</w:t>
      </w:r>
      <w:r>
        <w:rPr>
          <w:rFonts w:hint="eastAsia"/>
          <w:color w:val="auto"/>
        </w:rPr>
        <w:t>延误的工期相应顺延。</w:t>
      </w:r>
    </w:p>
    <w:p>
      <w:pPr>
        <w:adjustRightInd w:val="0"/>
        <w:snapToGrid w:val="0"/>
        <w:spacing w:before="0" w:beforeLines="0" w:after="0" w:line="360" w:lineRule="auto"/>
        <w:ind w:left="178"/>
        <w:rPr>
          <w:color w:val="auto"/>
          <w:sz w:val="28"/>
        </w:rPr>
      </w:pPr>
      <w:r>
        <w:rPr>
          <w:b/>
          <w:color w:val="auto"/>
          <w:sz w:val="28"/>
        </w:rPr>
        <w:t>33</w:t>
      </w:r>
      <w:r>
        <w:rPr>
          <w:rFonts w:hint="eastAsia"/>
          <w:b/>
          <w:color w:val="auto"/>
          <w:sz w:val="28"/>
        </w:rPr>
        <w:t>保险</w:t>
      </w:r>
    </w:p>
    <w:p>
      <w:pPr>
        <w:adjustRightInd w:val="0"/>
        <w:snapToGrid w:val="0"/>
        <w:spacing w:before="0" w:beforeLines="0" w:after="0" w:line="360" w:lineRule="auto"/>
        <w:ind w:left="359"/>
        <w:rPr>
          <w:color w:val="auto"/>
        </w:rPr>
      </w:pPr>
      <w:r>
        <w:rPr>
          <w:b/>
          <w:color w:val="auto"/>
        </w:rPr>
        <w:t>33.1</w:t>
      </w:r>
      <w:r>
        <w:rPr>
          <w:rFonts w:hint="eastAsia"/>
          <w:b/>
          <w:color w:val="auto"/>
        </w:rPr>
        <w:t>发包人办理的保险</w:t>
      </w:r>
    </w:p>
    <w:p>
      <w:pPr>
        <w:tabs>
          <w:tab w:val="left" w:pos="1620"/>
          <w:tab w:val="left" w:pos="2340"/>
        </w:tabs>
        <w:adjustRightInd w:val="0"/>
        <w:snapToGrid w:val="0"/>
        <w:spacing w:beforeLines="0" w:after="0" w:line="360" w:lineRule="auto"/>
        <w:ind w:left="899"/>
        <w:rPr>
          <w:color w:val="auto"/>
        </w:rPr>
      </w:pPr>
      <w:r>
        <w:rPr>
          <w:rFonts w:hint="eastAsia"/>
          <w:color w:val="auto"/>
        </w:rPr>
        <w:t>工程开工前，发包人应为本工程、施工场地内的自有人员、第三者人员生命财产、运至施工场地内用于永久工程的材料和待安装设备办理保险，支付保险费用。保险期从开工之日起至工程竣工验收合格之日止。发包人可以按</w:t>
      </w:r>
      <w:r>
        <w:rPr>
          <w:rFonts w:hint="eastAsia"/>
          <w:b/>
          <w:i/>
          <w:color w:val="auto"/>
        </w:rPr>
        <w:t>专用条款</w:t>
      </w:r>
      <w:r>
        <w:rPr>
          <w:rFonts w:hint="eastAsia"/>
          <w:color w:val="auto"/>
        </w:rPr>
        <w:t>的约定将上述有关保险事项委托承包人办理，费用由发包人承担。</w:t>
      </w:r>
    </w:p>
    <w:p>
      <w:pPr>
        <w:adjustRightInd w:val="0"/>
        <w:snapToGrid w:val="0"/>
        <w:spacing w:before="0" w:beforeLines="0" w:after="0" w:line="360" w:lineRule="auto"/>
        <w:ind w:left="359"/>
        <w:rPr>
          <w:color w:val="auto"/>
        </w:rPr>
      </w:pPr>
      <w:r>
        <w:rPr>
          <w:b/>
          <w:color w:val="auto"/>
        </w:rPr>
        <w:t>33.2</w:t>
      </w:r>
      <w:r>
        <w:rPr>
          <w:rFonts w:hint="eastAsia"/>
          <w:b/>
          <w:color w:val="auto"/>
        </w:rPr>
        <w:t>承包人办理的保险</w:t>
      </w:r>
    </w:p>
    <w:p>
      <w:pPr>
        <w:tabs>
          <w:tab w:val="left" w:pos="1620"/>
          <w:tab w:val="left" w:pos="2340"/>
        </w:tabs>
        <w:adjustRightInd w:val="0"/>
        <w:snapToGrid w:val="0"/>
        <w:spacing w:beforeLines="0" w:after="0" w:line="360" w:lineRule="auto"/>
        <w:ind w:left="899"/>
        <w:rPr>
          <w:color w:val="auto"/>
        </w:rPr>
      </w:pPr>
      <w:r>
        <w:rPr>
          <w:rFonts w:hint="eastAsia"/>
          <w:color w:val="auto"/>
        </w:rPr>
        <w:t>承包人必须为从事危险作业的职工办理意外伤害保险，并为施工场地内的自有人员生命财产及施工机械设备办理保险，支付保险费用。保险期从开工之日起至工程竣工验收合格之日止。</w:t>
      </w:r>
      <w:r>
        <w:rPr>
          <w:color w:val="auto"/>
        </w:rPr>
        <w:t>承包人在保险投保时还必须符合深圳市</w:t>
      </w:r>
      <w:r>
        <w:rPr>
          <w:rFonts w:hint="eastAsia"/>
          <w:color w:val="auto"/>
        </w:rPr>
        <w:t>有关员工和机械、设备保险办理规定。对于分包人的人员，此类保险应由分包人投保，但承包人应对其符合本条规定负责。</w:t>
      </w:r>
    </w:p>
    <w:p>
      <w:pPr>
        <w:adjustRightInd w:val="0"/>
        <w:snapToGrid w:val="0"/>
        <w:spacing w:before="0" w:beforeLines="0" w:after="0" w:line="360" w:lineRule="auto"/>
        <w:ind w:left="359"/>
        <w:rPr>
          <w:color w:val="auto"/>
        </w:rPr>
      </w:pPr>
      <w:r>
        <w:rPr>
          <w:b/>
          <w:color w:val="auto"/>
        </w:rPr>
        <w:t>33.3</w:t>
      </w:r>
      <w:r>
        <w:rPr>
          <w:rFonts w:hint="eastAsia"/>
          <w:b/>
          <w:color w:val="auto"/>
        </w:rPr>
        <w:t>投保人责任</w:t>
      </w:r>
    </w:p>
    <w:p>
      <w:pPr>
        <w:tabs>
          <w:tab w:val="left" w:pos="1620"/>
          <w:tab w:val="left" w:pos="2340"/>
        </w:tabs>
        <w:adjustRightInd w:val="0"/>
        <w:snapToGrid w:val="0"/>
        <w:spacing w:beforeLines="0" w:after="0" w:line="360" w:lineRule="auto"/>
        <w:ind w:left="899"/>
        <w:rPr>
          <w:color w:val="auto"/>
        </w:rPr>
      </w:pPr>
      <w:r>
        <w:rPr>
          <w:rFonts w:hint="eastAsia"/>
          <w:color w:val="auto"/>
        </w:rPr>
        <w:t>⑴发包人和承包人中一方应向另一方提供按本合同要求其投保的各项保险已经生效的证明。</w:t>
      </w:r>
    </w:p>
    <w:p>
      <w:pPr>
        <w:tabs>
          <w:tab w:val="left" w:pos="1620"/>
          <w:tab w:val="left" w:pos="2340"/>
        </w:tabs>
        <w:adjustRightInd w:val="0"/>
        <w:snapToGrid w:val="0"/>
        <w:spacing w:beforeLines="0" w:after="0" w:line="360" w:lineRule="auto"/>
        <w:ind w:left="899"/>
        <w:rPr>
          <w:color w:val="auto"/>
        </w:rPr>
      </w:pPr>
      <w:r>
        <w:rPr>
          <w:rFonts w:hint="eastAsia"/>
          <w:color w:val="auto"/>
        </w:rPr>
        <w:t>⑵当合同工程施工的性质、规模或工期以及人员发生变更时，被保险人应及时通知保险公司，并在合同履行期间按本合同保险条款的规定保证足够的保险额，因而造成的费用由责任人承担。</w:t>
      </w:r>
    </w:p>
    <w:p>
      <w:pPr>
        <w:adjustRightInd w:val="0"/>
        <w:snapToGrid w:val="0"/>
        <w:spacing w:before="0" w:beforeLines="0" w:after="0" w:line="360" w:lineRule="auto"/>
        <w:ind w:left="359"/>
        <w:rPr>
          <w:color w:val="auto"/>
        </w:rPr>
      </w:pPr>
      <w:r>
        <w:rPr>
          <w:b/>
          <w:color w:val="auto"/>
        </w:rPr>
        <w:t>33.4</w:t>
      </w:r>
      <w:r>
        <w:rPr>
          <w:rFonts w:hint="eastAsia"/>
          <w:b/>
          <w:color w:val="auto"/>
        </w:rPr>
        <w:t>保险理赔</w:t>
      </w:r>
    </w:p>
    <w:p>
      <w:pPr>
        <w:tabs>
          <w:tab w:val="left" w:pos="1620"/>
          <w:tab w:val="left" w:pos="2340"/>
        </w:tabs>
        <w:adjustRightInd w:val="0"/>
        <w:snapToGrid w:val="0"/>
        <w:spacing w:beforeLines="0" w:after="0" w:line="360" w:lineRule="auto"/>
        <w:ind w:left="899"/>
        <w:rPr>
          <w:color w:val="auto"/>
        </w:rPr>
      </w:pPr>
      <w:r>
        <w:rPr>
          <w:rFonts w:hint="eastAsia"/>
          <w:color w:val="auto"/>
        </w:rPr>
        <w:t>⑴当发生本工程承保项目的损失或损害时，被保险人应在风险发生后及时向保险公司提供损失情况和估价报告，如损失继续发生，被保险人在递交第一次报告后每7天报告一次，直到损害结束。发包人和承包人中一方应协助另一方做好向保险公司的报告和索赔工作。</w:t>
      </w:r>
    </w:p>
    <w:p>
      <w:pPr>
        <w:tabs>
          <w:tab w:val="left" w:pos="1620"/>
          <w:tab w:val="left" w:pos="2340"/>
        </w:tabs>
        <w:adjustRightInd w:val="0"/>
        <w:snapToGrid w:val="0"/>
        <w:spacing w:beforeLines="0" w:after="0" w:line="360" w:lineRule="auto"/>
        <w:ind w:left="899"/>
        <w:rPr>
          <w:color w:val="auto"/>
        </w:rPr>
      </w:pPr>
      <w:r>
        <w:rPr>
          <w:rFonts w:hint="eastAsia"/>
          <w:color w:val="auto"/>
        </w:rPr>
        <w:t>⑵从保险公司收到的因合同工程本身损失或损坏的保险赔偿金,应专款用于修复合同工程这些损失或损坏，或作为对未能修复合同工程这些损失或损坏的补偿。</w:t>
      </w:r>
    </w:p>
    <w:p>
      <w:pPr>
        <w:adjustRightInd w:val="0"/>
        <w:snapToGrid w:val="0"/>
        <w:spacing w:before="0" w:beforeLines="0" w:after="0" w:line="360" w:lineRule="auto"/>
        <w:ind w:left="359"/>
        <w:rPr>
          <w:color w:val="auto"/>
        </w:rPr>
      </w:pPr>
      <w:r>
        <w:rPr>
          <w:b/>
          <w:color w:val="auto"/>
        </w:rPr>
        <w:t>33.5</w:t>
      </w:r>
      <w:r>
        <w:rPr>
          <w:rFonts w:hint="eastAsia"/>
          <w:b/>
          <w:color w:val="auto"/>
        </w:rPr>
        <w:t>未按约定投保的补救</w:t>
      </w:r>
    </w:p>
    <w:p>
      <w:pPr>
        <w:tabs>
          <w:tab w:val="left" w:pos="1620"/>
          <w:tab w:val="left" w:pos="2340"/>
        </w:tabs>
        <w:adjustRightInd w:val="0"/>
        <w:snapToGrid w:val="0"/>
        <w:spacing w:beforeLines="0" w:after="0" w:line="360" w:lineRule="auto"/>
        <w:ind w:left="899"/>
        <w:rPr>
          <w:color w:val="auto"/>
        </w:rPr>
      </w:pPr>
      <w:r>
        <w:rPr>
          <w:rFonts w:hint="eastAsia"/>
          <w:color w:val="auto"/>
        </w:rPr>
        <w:t>⑴</w:t>
      </w:r>
      <w:r>
        <w:rPr>
          <w:color w:val="auto"/>
        </w:rPr>
        <w:t>发包人未按合同约定办理保险，或未能使保险持续有效的，则承包人可代为办理，所需费用由发包人承担。发包人未按合同约定办理保险，导致未能得到足额赔偿的，由发包人负责补足。</w:t>
      </w:r>
    </w:p>
    <w:p>
      <w:pPr>
        <w:tabs>
          <w:tab w:val="left" w:pos="1620"/>
          <w:tab w:val="left" w:pos="2340"/>
        </w:tabs>
        <w:adjustRightInd w:val="0"/>
        <w:snapToGrid w:val="0"/>
        <w:spacing w:beforeLines="0" w:after="0" w:line="360" w:lineRule="auto"/>
        <w:ind w:left="899"/>
        <w:rPr>
          <w:color w:val="auto"/>
        </w:rPr>
      </w:pPr>
      <w:r>
        <w:rPr>
          <w:rFonts w:hint="eastAsia"/>
          <w:color w:val="auto"/>
        </w:rPr>
        <w:t>⑵</w:t>
      </w:r>
      <w:r>
        <w:rPr>
          <w:color w:val="auto"/>
        </w:rPr>
        <w:t>承包人未按合同约定办理保险，或未能使保险持续有效的，则发包人可代为办理，所需费用由承包人承担。承包人未按合同约定办理保险，导致未能得到足额赔偿的，由承包人负责补足。</w:t>
      </w:r>
    </w:p>
    <w:p>
      <w:pPr>
        <w:adjustRightInd w:val="0"/>
        <w:snapToGrid w:val="0"/>
        <w:spacing w:before="0" w:beforeLines="0" w:after="0" w:line="360" w:lineRule="auto"/>
        <w:ind w:left="178"/>
        <w:rPr>
          <w:color w:val="auto"/>
          <w:sz w:val="28"/>
        </w:rPr>
      </w:pPr>
      <w:r>
        <w:rPr>
          <w:b/>
          <w:color w:val="auto"/>
          <w:sz w:val="28"/>
        </w:rPr>
        <w:t>34</w:t>
      </w:r>
      <w:r>
        <w:rPr>
          <w:rFonts w:hint="eastAsia"/>
          <w:b/>
          <w:color w:val="auto"/>
          <w:sz w:val="28"/>
        </w:rPr>
        <w:t>工程担保</w:t>
      </w:r>
    </w:p>
    <w:p>
      <w:pPr>
        <w:adjustRightInd w:val="0"/>
        <w:snapToGrid w:val="0"/>
        <w:spacing w:before="0" w:beforeLines="0" w:after="0" w:line="360" w:lineRule="auto"/>
        <w:ind w:left="359"/>
        <w:rPr>
          <w:color w:val="auto"/>
        </w:rPr>
      </w:pPr>
      <w:r>
        <w:rPr>
          <w:b/>
          <w:color w:val="auto"/>
        </w:rPr>
        <w:t>34.1</w:t>
      </w:r>
      <w:r>
        <w:rPr>
          <w:rFonts w:hint="eastAsia"/>
          <w:b/>
          <w:color w:val="auto"/>
        </w:rPr>
        <w:t>履约担保</w:t>
      </w:r>
    </w:p>
    <w:p>
      <w:pPr>
        <w:tabs>
          <w:tab w:val="left" w:pos="1620"/>
          <w:tab w:val="left" w:pos="2340"/>
        </w:tabs>
        <w:adjustRightInd w:val="0"/>
        <w:snapToGrid w:val="0"/>
        <w:spacing w:beforeLines="0" w:after="0" w:line="360" w:lineRule="auto"/>
        <w:ind w:left="899"/>
        <w:rPr>
          <w:color w:val="auto"/>
        </w:rPr>
      </w:pPr>
      <w:r>
        <w:rPr>
          <w:rFonts w:hint="eastAsia"/>
          <w:color w:val="auto"/>
        </w:rPr>
        <w:t>⑴承包人应按</w:t>
      </w:r>
      <w:r>
        <w:rPr>
          <w:rFonts w:hint="eastAsia"/>
          <w:b/>
          <w:i/>
          <w:color w:val="auto"/>
        </w:rPr>
        <w:t>专用条款</w:t>
      </w:r>
      <w:r>
        <w:rPr>
          <w:rFonts w:hint="eastAsia"/>
          <w:color w:val="auto"/>
        </w:rPr>
        <w:t>约定的金额和方式向发包人提交履约担保，履约担保应由保证人(银行、保险公司、担保公司)出具。</w:t>
      </w:r>
    </w:p>
    <w:p>
      <w:pPr>
        <w:tabs>
          <w:tab w:val="left" w:pos="1620"/>
          <w:tab w:val="left" w:pos="2340"/>
        </w:tabs>
        <w:adjustRightInd w:val="0"/>
        <w:snapToGrid w:val="0"/>
        <w:spacing w:beforeLines="0" w:after="0" w:line="360" w:lineRule="auto"/>
        <w:ind w:left="899"/>
        <w:rPr>
          <w:color w:val="auto"/>
        </w:rPr>
      </w:pPr>
      <w:r>
        <w:rPr>
          <w:rFonts w:hint="eastAsia"/>
          <w:color w:val="auto"/>
        </w:rPr>
        <w:t>⑵履约担保的有效期应截止到本工程竣工验收合格之日。本工程实际竣工验收合格之日之前履约担保的有效期已过的，承包人应及时续保。发包人应在本工程实际竣工验收合格之日后14天内将履约担保退还给承包人。</w:t>
      </w:r>
    </w:p>
    <w:p>
      <w:pPr>
        <w:adjustRightInd w:val="0"/>
        <w:snapToGrid w:val="0"/>
        <w:spacing w:before="0" w:beforeLines="0" w:after="0" w:line="360" w:lineRule="auto"/>
        <w:ind w:left="359"/>
        <w:rPr>
          <w:color w:val="auto"/>
        </w:rPr>
      </w:pPr>
      <w:r>
        <w:rPr>
          <w:b/>
          <w:color w:val="auto"/>
        </w:rPr>
        <w:t>34.2</w:t>
      </w:r>
      <w:r>
        <w:rPr>
          <w:rFonts w:hint="eastAsia"/>
          <w:b/>
          <w:color w:val="auto"/>
        </w:rPr>
        <w:t>支付担保</w:t>
      </w:r>
    </w:p>
    <w:p>
      <w:pPr>
        <w:tabs>
          <w:tab w:val="left" w:pos="1620"/>
          <w:tab w:val="left" w:pos="2340"/>
        </w:tabs>
        <w:adjustRightInd w:val="0"/>
        <w:snapToGrid w:val="0"/>
        <w:spacing w:beforeLines="0" w:after="0" w:line="360" w:lineRule="auto"/>
        <w:ind w:left="899"/>
        <w:rPr>
          <w:color w:val="auto"/>
        </w:rPr>
      </w:pPr>
      <w:r>
        <w:rPr>
          <w:rFonts w:hint="eastAsia"/>
          <w:color w:val="auto"/>
        </w:rPr>
        <w:t>⑴发包人和承包人在签订本合同的同时，发包人应按</w:t>
      </w:r>
      <w:r>
        <w:rPr>
          <w:rFonts w:hint="eastAsia"/>
          <w:b/>
          <w:i/>
          <w:color w:val="auto"/>
        </w:rPr>
        <w:t>专用条款</w:t>
      </w:r>
      <w:r>
        <w:rPr>
          <w:rFonts w:hint="eastAsia"/>
          <w:color w:val="auto"/>
        </w:rPr>
        <w:t>约定的金额和方式向承包人提交支付担保，支付担保应由保证人(银行、保险公司、担保公司)出具。</w:t>
      </w:r>
    </w:p>
    <w:p>
      <w:pPr>
        <w:tabs>
          <w:tab w:val="left" w:pos="1620"/>
          <w:tab w:val="left" w:pos="2340"/>
        </w:tabs>
        <w:adjustRightInd w:val="0"/>
        <w:snapToGrid w:val="0"/>
        <w:spacing w:beforeLines="0" w:after="0" w:line="360" w:lineRule="auto"/>
        <w:ind w:left="899"/>
        <w:rPr>
          <w:color w:val="auto"/>
        </w:rPr>
      </w:pPr>
      <w:r>
        <w:rPr>
          <w:rFonts w:hint="eastAsia"/>
          <w:color w:val="auto"/>
        </w:rPr>
        <w:t>⑵支付担保的有效期应截止到发包人根据本合同约定完成了除质量保证金以外的全部工程结算款项支付之日。上述款项实际完成支付之前支付担保的有效期已过的，发包人应及时续保。承包人应在上述款项实际完成支付之日后14天内将支付担保退还发包人。</w:t>
      </w:r>
    </w:p>
    <w:p>
      <w:pPr>
        <w:adjustRightInd w:val="0"/>
        <w:snapToGrid w:val="0"/>
        <w:spacing w:before="0" w:beforeLines="0" w:after="0" w:line="360" w:lineRule="auto"/>
        <w:ind w:left="359"/>
        <w:rPr>
          <w:color w:val="auto"/>
        </w:rPr>
      </w:pPr>
      <w:r>
        <w:rPr>
          <w:b/>
          <w:color w:val="auto"/>
        </w:rPr>
        <w:t>34.3</w:t>
      </w:r>
      <w:r>
        <w:rPr>
          <w:rFonts w:hint="eastAsia"/>
          <w:b/>
          <w:color w:val="auto"/>
        </w:rPr>
        <w:t>保证人支付索赔款项</w:t>
      </w:r>
    </w:p>
    <w:p>
      <w:pPr>
        <w:tabs>
          <w:tab w:val="left" w:pos="1620"/>
          <w:tab w:val="left" w:pos="2340"/>
        </w:tabs>
        <w:adjustRightInd w:val="0"/>
        <w:snapToGrid w:val="0"/>
        <w:spacing w:beforeLines="0" w:after="0" w:line="360" w:lineRule="auto"/>
        <w:ind w:left="899"/>
        <w:rPr>
          <w:color w:val="auto"/>
        </w:rPr>
      </w:pPr>
      <w:r>
        <w:rPr>
          <w:rFonts w:hint="eastAsia"/>
          <w:color w:val="auto"/>
        </w:rPr>
        <w:t>⑴如承包人在履行本合同中，由于资金、技术、质量或非不可抗力等原因给发包人造成损失时，在履约担保书的有效期内，发包人应书面通知承包人，说明导致索赔的原因，并及时向保证人提出索赔文件，保证人应无条件就担保金额向发包人支付索赔款项，无须征得承包人的同意。</w:t>
      </w:r>
    </w:p>
    <w:p>
      <w:pPr>
        <w:tabs>
          <w:tab w:val="left" w:pos="1620"/>
          <w:tab w:val="left" w:pos="2340"/>
        </w:tabs>
        <w:adjustRightInd w:val="0"/>
        <w:snapToGrid w:val="0"/>
        <w:spacing w:beforeLines="0" w:after="0" w:line="360" w:lineRule="auto"/>
        <w:ind w:left="899"/>
        <w:rPr>
          <w:color w:val="auto"/>
        </w:rPr>
      </w:pPr>
      <w:r>
        <w:rPr>
          <w:rFonts w:hint="eastAsia"/>
          <w:color w:val="auto"/>
        </w:rPr>
        <w:t>⑵如发包人在履行本合同中，由于资金不足或非不可抗力等原因给承包人造成损失时，在支付担保书的有效期内，承包人应书面通知发包人，说明导致索赔的原因，并及时向保证人提出索赔文件，保证人应无条件就担保金额向承包人支付索赔款项，无须征得发包人的同意。</w:t>
      </w:r>
    </w:p>
    <w:p>
      <w:pPr>
        <w:adjustRightInd w:val="0"/>
        <w:snapToGrid w:val="0"/>
        <w:spacing w:before="0" w:beforeLines="0" w:after="0" w:line="360" w:lineRule="auto"/>
        <w:ind w:left="359"/>
        <w:rPr>
          <w:color w:val="auto"/>
        </w:rPr>
      </w:pPr>
      <w:r>
        <w:rPr>
          <w:b/>
          <w:color w:val="auto"/>
        </w:rPr>
        <w:t>34.4</w:t>
      </w:r>
      <w:r>
        <w:rPr>
          <w:rFonts w:hint="eastAsia"/>
          <w:b/>
          <w:color w:val="auto"/>
        </w:rPr>
        <w:t>留置或追加支付担保</w:t>
      </w:r>
    </w:p>
    <w:p>
      <w:pPr>
        <w:tabs>
          <w:tab w:val="left" w:pos="1620"/>
          <w:tab w:val="left" w:pos="2340"/>
        </w:tabs>
        <w:adjustRightInd w:val="0"/>
        <w:snapToGrid w:val="0"/>
        <w:spacing w:beforeLines="0" w:after="0" w:line="360" w:lineRule="auto"/>
        <w:ind w:left="899"/>
        <w:rPr>
          <w:color w:val="auto"/>
        </w:rPr>
      </w:pPr>
      <w:r>
        <w:rPr>
          <w:rFonts w:hint="eastAsia"/>
          <w:color w:val="auto"/>
        </w:rPr>
        <w:t>在工程竣工验收时，承包人可留置与预计未结算工程价款当的标的物，或者要求发包人提供追加支付担保。追加支付担保金额由应发包人和承包人根据预计未结算工程价款款额按34.2⑴款约定确定。追加支付担保的办理及索赔程序同支付担保。</w:t>
      </w:r>
    </w:p>
    <w:p>
      <w:pPr>
        <w:adjustRightInd w:val="0"/>
        <w:snapToGrid w:val="0"/>
        <w:spacing w:before="0" w:beforeLines="0" w:after="0" w:line="360" w:lineRule="auto"/>
        <w:ind w:left="178"/>
        <w:rPr>
          <w:color w:val="auto"/>
          <w:sz w:val="28"/>
        </w:rPr>
      </w:pPr>
      <w:r>
        <w:rPr>
          <w:b/>
          <w:color w:val="auto"/>
          <w:sz w:val="28"/>
        </w:rPr>
        <w:t>35</w:t>
      </w:r>
      <w:r>
        <w:rPr>
          <w:rFonts w:hint="eastAsia"/>
          <w:b/>
          <w:color w:val="auto"/>
          <w:sz w:val="28"/>
        </w:rPr>
        <w:t>合同的生效、终止和解除</w:t>
      </w:r>
    </w:p>
    <w:p>
      <w:pPr>
        <w:adjustRightInd w:val="0"/>
        <w:snapToGrid w:val="0"/>
        <w:spacing w:before="0" w:beforeLines="0" w:after="0" w:line="360" w:lineRule="auto"/>
        <w:ind w:left="359"/>
        <w:rPr>
          <w:color w:val="auto"/>
        </w:rPr>
      </w:pPr>
      <w:r>
        <w:rPr>
          <w:b/>
          <w:color w:val="auto"/>
        </w:rPr>
        <w:t>35.1</w:t>
      </w:r>
      <w:r>
        <w:rPr>
          <w:rFonts w:hint="eastAsia"/>
          <w:b/>
          <w:color w:val="auto"/>
        </w:rPr>
        <w:t>合同的生效</w:t>
      </w:r>
    </w:p>
    <w:p>
      <w:pPr>
        <w:tabs>
          <w:tab w:val="left" w:pos="1620"/>
          <w:tab w:val="left" w:pos="2340"/>
        </w:tabs>
        <w:adjustRightInd w:val="0"/>
        <w:snapToGrid w:val="0"/>
        <w:spacing w:beforeLines="0" w:after="0" w:line="360" w:lineRule="auto"/>
        <w:ind w:left="899"/>
        <w:rPr>
          <w:color w:val="auto"/>
        </w:rPr>
      </w:pPr>
      <w:r>
        <w:rPr>
          <w:rFonts w:hint="eastAsia"/>
          <w:color w:val="auto"/>
        </w:rPr>
        <w:t>发包人和承包人在协议书中约定本合同生效的方式。</w:t>
      </w:r>
    </w:p>
    <w:p>
      <w:pPr>
        <w:adjustRightInd w:val="0"/>
        <w:snapToGrid w:val="0"/>
        <w:spacing w:before="0" w:beforeLines="0" w:after="0" w:line="360" w:lineRule="auto"/>
        <w:ind w:left="359"/>
        <w:rPr>
          <w:color w:val="auto"/>
        </w:rPr>
      </w:pPr>
      <w:r>
        <w:rPr>
          <w:b/>
          <w:color w:val="auto"/>
        </w:rPr>
        <w:t>35.2</w:t>
      </w:r>
      <w:r>
        <w:rPr>
          <w:rFonts w:hint="eastAsia"/>
          <w:b/>
          <w:color w:val="auto"/>
        </w:rPr>
        <w:t>合同的终止</w:t>
      </w:r>
    </w:p>
    <w:p>
      <w:pPr>
        <w:tabs>
          <w:tab w:val="left" w:pos="1620"/>
          <w:tab w:val="left" w:pos="2340"/>
        </w:tabs>
        <w:adjustRightInd w:val="0"/>
        <w:snapToGrid w:val="0"/>
        <w:spacing w:beforeLines="0" w:after="0" w:line="360" w:lineRule="auto"/>
        <w:ind w:left="899"/>
        <w:rPr>
          <w:color w:val="auto"/>
        </w:rPr>
      </w:pPr>
      <w:r>
        <w:rPr>
          <w:rFonts w:hint="eastAsia"/>
          <w:color w:val="auto"/>
        </w:rPr>
        <w:t>⑴除第30条有关争议及第31条有关缺陷责任外，发包人和承包人履行本合同全部义务，工程竣工交付完毕，工程竣工结算价款支付完毕，本合同即告终止。</w:t>
      </w:r>
    </w:p>
    <w:p>
      <w:pPr>
        <w:tabs>
          <w:tab w:val="left" w:pos="1620"/>
          <w:tab w:val="left" w:pos="2340"/>
        </w:tabs>
        <w:adjustRightInd w:val="0"/>
        <w:snapToGrid w:val="0"/>
        <w:spacing w:beforeLines="0" w:after="0" w:line="360" w:lineRule="auto"/>
        <w:ind w:left="899"/>
        <w:rPr>
          <w:color w:val="auto"/>
        </w:rPr>
      </w:pPr>
      <w:r>
        <w:rPr>
          <w:rFonts w:hint="eastAsia"/>
          <w:color w:val="auto"/>
        </w:rPr>
        <w:t>⑵本合同的权利义务终止后，发包人和承包人应遵循诚实信用原则，履行通知、协助、保密等义务。</w:t>
      </w:r>
    </w:p>
    <w:p>
      <w:pPr>
        <w:adjustRightInd w:val="0"/>
        <w:snapToGrid w:val="0"/>
        <w:spacing w:before="0" w:beforeLines="0" w:after="0" w:line="360" w:lineRule="auto"/>
        <w:ind w:left="359"/>
        <w:rPr>
          <w:color w:val="auto"/>
        </w:rPr>
      </w:pPr>
      <w:r>
        <w:rPr>
          <w:b/>
          <w:color w:val="auto"/>
        </w:rPr>
        <w:t>35.3</w:t>
      </w:r>
      <w:r>
        <w:rPr>
          <w:rFonts w:hint="eastAsia"/>
          <w:b/>
          <w:color w:val="auto"/>
        </w:rPr>
        <w:t>解除合同的情形</w:t>
      </w:r>
    </w:p>
    <w:p>
      <w:pPr>
        <w:tabs>
          <w:tab w:val="left" w:pos="1620"/>
          <w:tab w:val="left" w:pos="2340"/>
        </w:tabs>
        <w:adjustRightInd w:val="0"/>
        <w:snapToGrid w:val="0"/>
        <w:spacing w:beforeLines="0" w:after="0" w:line="360" w:lineRule="auto"/>
        <w:ind w:left="899"/>
        <w:rPr>
          <w:color w:val="auto"/>
        </w:rPr>
      </w:pPr>
      <w:r>
        <w:rPr>
          <w:rFonts w:hint="eastAsia"/>
          <w:color w:val="auto"/>
        </w:rPr>
        <w:t>⑴发包人和承包人协商一致，可以解除合同。</w:t>
      </w:r>
    </w:p>
    <w:p>
      <w:pPr>
        <w:tabs>
          <w:tab w:val="left" w:pos="1620"/>
          <w:tab w:val="left" w:pos="2340"/>
        </w:tabs>
        <w:adjustRightInd w:val="0"/>
        <w:snapToGrid w:val="0"/>
        <w:spacing w:beforeLines="0" w:after="0" w:line="360" w:lineRule="auto"/>
        <w:ind w:left="899"/>
        <w:rPr>
          <w:color w:val="auto"/>
        </w:rPr>
      </w:pPr>
      <w:r>
        <w:rPr>
          <w:rFonts w:hint="eastAsia"/>
          <w:color w:val="auto"/>
        </w:rPr>
        <w:t>⑵发生第6.1款和第6.2款禁止的情况，承包人将其承包的全部工程或任何部分转让给他人，或者将其承包的全部工程肢解分包，发包人有权解除合同。</w:t>
      </w:r>
    </w:p>
    <w:p>
      <w:pPr>
        <w:tabs>
          <w:tab w:val="left" w:pos="1620"/>
          <w:tab w:val="left" w:pos="2340"/>
        </w:tabs>
        <w:adjustRightInd w:val="0"/>
        <w:snapToGrid w:val="0"/>
        <w:spacing w:beforeLines="0" w:after="0" w:line="360" w:lineRule="auto"/>
        <w:ind w:left="899"/>
        <w:rPr>
          <w:color w:val="auto"/>
        </w:rPr>
      </w:pPr>
      <w:r>
        <w:rPr>
          <w:rFonts w:hint="eastAsia"/>
          <w:color w:val="auto"/>
        </w:rPr>
        <w:t>⑶</w:t>
      </w:r>
      <w:r>
        <w:rPr>
          <w:color w:val="auto"/>
        </w:rPr>
        <w:t>因不可抗力导致合同无法履行连续超过84天或累计超过140天的，发包人和承包人均有权解除合同</w:t>
      </w:r>
      <w:r>
        <w:rPr>
          <w:rFonts w:hint="eastAsia"/>
          <w:color w:val="auto"/>
        </w:rPr>
        <w:t>；</w:t>
      </w:r>
    </w:p>
    <w:p>
      <w:pPr>
        <w:tabs>
          <w:tab w:val="left" w:pos="1620"/>
          <w:tab w:val="left" w:pos="2340"/>
        </w:tabs>
        <w:adjustRightInd w:val="0"/>
        <w:snapToGrid w:val="0"/>
        <w:spacing w:beforeLines="0" w:after="0" w:line="360" w:lineRule="auto"/>
        <w:ind w:left="899"/>
        <w:rPr>
          <w:color w:val="auto"/>
        </w:rPr>
      </w:pPr>
      <w:r>
        <w:rPr>
          <w:rFonts w:hint="eastAsia"/>
          <w:color w:val="auto"/>
        </w:rPr>
        <w:t>⑷因一方违约(包括因发包人原因造成工程停建或缓建)致使合同无法履行，另一方可以解除合同。</w:t>
      </w:r>
    </w:p>
    <w:p>
      <w:pPr>
        <w:adjustRightInd w:val="0"/>
        <w:snapToGrid w:val="0"/>
        <w:spacing w:before="0" w:beforeLines="0" w:after="0" w:line="360" w:lineRule="auto"/>
        <w:ind w:left="359"/>
        <w:rPr>
          <w:color w:val="auto"/>
        </w:rPr>
      </w:pPr>
      <w:r>
        <w:rPr>
          <w:b/>
          <w:color w:val="auto"/>
        </w:rPr>
        <w:t>35.4</w:t>
      </w:r>
      <w:r>
        <w:rPr>
          <w:rFonts w:hint="eastAsia"/>
          <w:b/>
          <w:color w:val="auto"/>
        </w:rPr>
        <w:t>解除合同的程序</w:t>
      </w:r>
    </w:p>
    <w:p>
      <w:pPr>
        <w:tabs>
          <w:tab w:val="left" w:pos="1620"/>
          <w:tab w:val="left" w:pos="2340"/>
        </w:tabs>
        <w:adjustRightInd w:val="0"/>
        <w:snapToGrid w:val="0"/>
        <w:spacing w:beforeLines="0" w:after="0" w:line="360" w:lineRule="auto"/>
        <w:ind w:left="899"/>
        <w:rPr>
          <w:color w:val="auto"/>
        </w:rPr>
      </w:pPr>
      <w:r>
        <w:rPr>
          <w:rFonts w:hint="eastAsia"/>
          <w:color w:val="auto"/>
        </w:rPr>
        <w:t>⑴发包人和承包人一方按第35.3款要求解除合同的，应以书面形式向对方发出解除合同的通知，双方签订解除合同协议后本合同解除。</w:t>
      </w:r>
    </w:p>
    <w:p>
      <w:pPr>
        <w:tabs>
          <w:tab w:val="left" w:pos="1620"/>
          <w:tab w:val="left" w:pos="2340"/>
        </w:tabs>
        <w:adjustRightInd w:val="0"/>
        <w:snapToGrid w:val="0"/>
        <w:spacing w:beforeLines="0" w:after="0" w:line="360" w:lineRule="auto"/>
        <w:ind w:left="899"/>
        <w:rPr>
          <w:color w:val="auto"/>
        </w:rPr>
      </w:pPr>
      <w:r>
        <w:rPr>
          <w:rFonts w:hint="eastAsia"/>
          <w:color w:val="auto"/>
        </w:rPr>
        <w:t>⑵合同解除后，承包人应妥善做好已完工程和已购材料、设备的保护和移交工作，按发包人要求将承包人装备和人员撤出施工场地。发包人应为承包人撤出提供必要条件，支付以上所发生的费用，并按合同约定支付已完工程价款。已经订货的材料、设备由订货方负责退货或解除订货合同，因未及时退货造成的损失由责任方承担。不能退还的货款和因退货、解除订货合同发生的费用，由责任方承担，但是因不可抗力造成合同解除的由发包人承担。除此之外，有过错的一方应赔偿因合同解除给对方造成的损失。</w:t>
      </w:r>
    </w:p>
    <w:p>
      <w:pPr>
        <w:tabs>
          <w:tab w:val="left" w:pos="1620"/>
          <w:tab w:val="left" w:pos="2340"/>
        </w:tabs>
        <w:adjustRightInd w:val="0"/>
        <w:snapToGrid w:val="0"/>
        <w:spacing w:beforeLines="0" w:after="0" w:line="360" w:lineRule="auto"/>
        <w:ind w:left="899"/>
        <w:rPr>
          <w:color w:val="auto"/>
        </w:rPr>
      </w:pPr>
      <w:r>
        <w:rPr>
          <w:rFonts w:hint="eastAsia"/>
          <w:color w:val="auto"/>
        </w:rPr>
        <w:t>⑶合同解除后，不影响发包人和承包人在合同中约定的结算和清理条款的效力。</w:t>
      </w:r>
    </w:p>
    <w:p>
      <w:pPr>
        <w:adjustRightInd w:val="0"/>
        <w:snapToGrid w:val="0"/>
        <w:spacing w:before="0" w:beforeLines="0" w:after="0" w:line="360" w:lineRule="auto"/>
        <w:ind w:left="178"/>
        <w:rPr>
          <w:color w:val="auto"/>
          <w:sz w:val="28"/>
        </w:rPr>
      </w:pPr>
      <w:r>
        <w:rPr>
          <w:b/>
          <w:color w:val="auto"/>
          <w:sz w:val="28"/>
        </w:rPr>
        <w:t>36</w:t>
      </w:r>
      <w:r>
        <w:rPr>
          <w:rFonts w:hint="eastAsia"/>
          <w:b/>
          <w:color w:val="auto"/>
          <w:sz w:val="28"/>
        </w:rPr>
        <w:t>合同份数</w:t>
      </w:r>
    </w:p>
    <w:p>
      <w:pPr>
        <w:adjustRightInd w:val="0"/>
        <w:snapToGrid w:val="0"/>
        <w:spacing w:before="0" w:beforeLines="0" w:after="0" w:line="360" w:lineRule="auto"/>
        <w:ind w:left="359"/>
        <w:rPr>
          <w:color w:val="auto"/>
        </w:rPr>
      </w:pPr>
      <w:r>
        <w:rPr>
          <w:b/>
          <w:color w:val="auto"/>
        </w:rPr>
        <w:t>36.1</w:t>
      </w:r>
      <w:r>
        <w:rPr>
          <w:rFonts w:hint="eastAsia"/>
          <w:b/>
          <w:color w:val="auto"/>
        </w:rPr>
        <w:t>合同份数</w:t>
      </w:r>
    </w:p>
    <w:p>
      <w:pPr>
        <w:tabs>
          <w:tab w:val="left" w:pos="1620"/>
          <w:tab w:val="left" w:pos="2340"/>
        </w:tabs>
        <w:adjustRightInd w:val="0"/>
        <w:snapToGrid w:val="0"/>
        <w:spacing w:beforeLines="0" w:after="0" w:line="360" w:lineRule="auto"/>
        <w:ind w:left="899"/>
        <w:rPr>
          <w:color w:val="auto"/>
        </w:rPr>
      </w:pPr>
      <w:r>
        <w:rPr>
          <w:rFonts w:hint="eastAsia"/>
          <w:color w:val="auto"/>
        </w:rPr>
        <w:t>⑴本合同正本两份，由发包人和承包人分别保存一份。</w:t>
      </w:r>
    </w:p>
    <w:p>
      <w:pPr>
        <w:tabs>
          <w:tab w:val="left" w:pos="1620"/>
          <w:tab w:val="left" w:pos="2340"/>
        </w:tabs>
        <w:adjustRightInd w:val="0"/>
        <w:snapToGrid w:val="0"/>
        <w:spacing w:beforeLines="0" w:after="0" w:line="360" w:lineRule="auto"/>
        <w:ind w:left="899"/>
        <w:rPr>
          <w:color w:val="auto"/>
        </w:rPr>
      </w:pPr>
      <w:r>
        <w:rPr>
          <w:rFonts w:hint="eastAsia"/>
          <w:color w:val="auto"/>
        </w:rPr>
        <w:t>⑵发包人和承包人按有关规定在</w:t>
      </w:r>
      <w:r>
        <w:rPr>
          <w:rFonts w:hint="eastAsia"/>
          <w:b/>
          <w:i/>
          <w:color w:val="auto"/>
        </w:rPr>
        <w:t>专用条款</w:t>
      </w:r>
      <w:r>
        <w:rPr>
          <w:rFonts w:hint="eastAsia"/>
          <w:color w:val="auto"/>
        </w:rPr>
        <w:t>中约定本合同副本的份数及保存单位，本合同正副本均具有同等效力。</w:t>
      </w:r>
    </w:p>
    <w:p>
      <w:pPr>
        <w:spacing w:line="360" w:lineRule="auto"/>
      </w:pPr>
      <w:r>
        <w:br w:type="page"/>
      </w:r>
    </w:p>
    <w:p>
      <w:pPr>
        <w:keepNext w:val="0"/>
        <w:keepLines w:val="0"/>
        <w:pageBreakBefore w:val="0"/>
        <w:kinsoku/>
        <w:topLinePunct w:val="0"/>
        <w:autoSpaceDE/>
        <w:autoSpaceDN/>
        <w:bidi w:val="0"/>
        <w:adjustRightInd w:val="0"/>
        <w:snapToGrid w:val="0"/>
        <w:spacing w:line="360" w:lineRule="auto"/>
        <w:jc w:val="center"/>
        <w:outlineLvl w:val="0"/>
        <w:rPr>
          <w:rFonts w:ascii="黑体" w:hAnsi="黑体" w:eastAsia="黑体"/>
          <w:sz w:val="32"/>
        </w:rPr>
      </w:pPr>
      <w:r>
        <w:rPr>
          <w:rFonts w:hint="eastAsia" w:ascii="黑体" w:hAnsi="黑体" w:eastAsia="黑体"/>
          <w:sz w:val="32"/>
        </w:rPr>
        <w:t>第三部分  专用条款</w:t>
      </w:r>
    </w:p>
    <w:p>
      <w:pPr>
        <w:keepNext w:val="0"/>
        <w:keepLines w:val="0"/>
        <w:pageBreakBefore w:val="0"/>
        <w:widowControl w:val="0"/>
        <w:kinsoku/>
        <w:topLinePunct w:val="0"/>
        <w:autoSpaceDE/>
        <w:autoSpaceDN/>
        <w:bidi w:val="0"/>
        <w:adjustRightInd w:val="0"/>
        <w:snapToGrid w:val="0"/>
        <w:spacing w:line="360" w:lineRule="auto"/>
        <w:jc w:val="both"/>
        <w:outlineLvl w:val="0"/>
        <w:rPr>
          <w:b/>
          <w:bCs/>
          <w:kern w:val="44"/>
        </w:rPr>
      </w:pPr>
      <w:bookmarkStart w:id="34" w:name="_Toc18482"/>
      <w:bookmarkStart w:id="35" w:name="_Toc46325242"/>
      <w:bookmarkStart w:id="36" w:name="_Toc6773"/>
      <w:bookmarkStart w:id="37" w:name="_Toc1999884"/>
      <w:r>
        <w:rPr>
          <w:rFonts w:hint="eastAsia"/>
          <w:b/>
          <w:bCs/>
          <w:kern w:val="44"/>
        </w:rPr>
        <w:t>1词语定义</w:t>
      </w:r>
    </w:p>
    <w:p>
      <w:pPr>
        <w:keepNext w:val="0"/>
        <w:keepLines w:val="0"/>
        <w:pageBreakBefore w:val="0"/>
        <w:widowControl w:val="0"/>
        <w:kinsoku/>
        <w:topLinePunct w:val="0"/>
        <w:autoSpaceDE/>
        <w:autoSpaceDN/>
        <w:bidi w:val="0"/>
        <w:adjustRightInd w:val="0"/>
        <w:snapToGrid w:val="0"/>
        <w:spacing w:line="360" w:lineRule="auto"/>
        <w:ind w:firstLine="480"/>
        <w:jc w:val="both"/>
        <w:rPr>
          <w:kern w:val="2"/>
          <w:u w:val="single"/>
        </w:rPr>
      </w:pPr>
      <w:r>
        <w:rPr>
          <w:rFonts w:hint="eastAsia"/>
          <w:kern w:val="2"/>
        </w:rPr>
        <w:t>发包人和承包人另行约定的词语定义如下：</w:t>
      </w:r>
      <w:r>
        <w:rPr>
          <w:rFonts w:hint="eastAsia"/>
          <w:kern w:val="2"/>
          <w:u w:val="single"/>
        </w:rPr>
        <w:t xml:space="preserve">  </w:t>
      </w:r>
      <w:r>
        <w:rPr>
          <w:rFonts w:hint="eastAsia"/>
          <w:bCs/>
          <w:kern w:val="2"/>
          <w:u w:val="single"/>
        </w:rPr>
        <w:t>/  。</w:t>
      </w:r>
    </w:p>
    <w:p>
      <w:pPr>
        <w:keepNext w:val="0"/>
        <w:keepLines w:val="0"/>
        <w:pageBreakBefore w:val="0"/>
        <w:widowControl w:val="0"/>
        <w:kinsoku/>
        <w:topLinePunct w:val="0"/>
        <w:autoSpaceDE/>
        <w:autoSpaceDN/>
        <w:bidi w:val="0"/>
        <w:adjustRightInd w:val="0"/>
        <w:snapToGrid w:val="0"/>
        <w:spacing w:line="360" w:lineRule="auto"/>
        <w:ind w:left="180"/>
        <w:jc w:val="both"/>
        <w:outlineLvl w:val="1"/>
        <w:rPr>
          <w:b/>
          <w:bCs/>
          <w:kern w:val="2"/>
        </w:rPr>
      </w:pPr>
      <w:r>
        <w:rPr>
          <w:rFonts w:hint="eastAsia"/>
          <w:b/>
          <w:bCs/>
          <w:kern w:val="2"/>
        </w:rPr>
        <w:t>1.2 合同文件</w:t>
      </w:r>
    </w:p>
    <w:p>
      <w:pPr>
        <w:keepNext w:val="0"/>
        <w:keepLines w:val="0"/>
        <w:pageBreakBefore w:val="0"/>
        <w:widowControl w:val="0"/>
        <w:kinsoku/>
        <w:topLinePunct w:val="0"/>
        <w:autoSpaceDE/>
        <w:autoSpaceDN/>
        <w:bidi w:val="0"/>
        <w:adjustRightInd w:val="0"/>
        <w:snapToGrid w:val="0"/>
        <w:spacing w:line="360" w:lineRule="auto"/>
        <w:ind w:firstLine="480"/>
        <w:rPr>
          <w:kern w:val="2"/>
          <w:u w:val="single"/>
        </w:rPr>
      </w:pPr>
      <w:r>
        <w:rPr>
          <w:rFonts w:hint="eastAsia"/>
          <w:kern w:val="2"/>
        </w:rPr>
        <w:t>(6)其他合同文件包括：</w:t>
      </w:r>
      <w:r>
        <w:rPr>
          <w:rFonts w:hint="eastAsia"/>
          <w:kern w:val="2"/>
          <w:u w:val="single"/>
        </w:rPr>
        <w:t xml:space="preserve">  </w:t>
      </w:r>
      <w:r>
        <w:rPr>
          <w:rFonts w:hint="eastAsia"/>
          <w:bCs/>
          <w:kern w:val="2"/>
          <w:u w:val="single"/>
        </w:rPr>
        <w:t>/  。</w:t>
      </w:r>
    </w:p>
    <w:p>
      <w:pPr>
        <w:keepNext w:val="0"/>
        <w:keepLines w:val="0"/>
        <w:pageBreakBefore w:val="0"/>
        <w:widowControl w:val="0"/>
        <w:kinsoku/>
        <w:topLinePunct w:val="0"/>
        <w:autoSpaceDE/>
        <w:autoSpaceDN/>
        <w:bidi w:val="0"/>
        <w:adjustRightInd w:val="0"/>
        <w:snapToGrid w:val="0"/>
        <w:spacing w:line="360" w:lineRule="auto"/>
        <w:ind w:left="180"/>
        <w:jc w:val="both"/>
        <w:outlineLvl w:val="1"/>
        <w:rPr>
          <w:b/>
          <w:bCs/>
          <w:kern w:val="2"/>
        </w:rPr>
      </w:pPr>
      <w:r>
        <w:rPr>
          <w:rFonts w:hint="eastAsia"/>
          <w:b/>
          <w:bCs/>
          <w:kern w:val="2"/>
        </w:rPr>
        <w:t>1.8 书面形式</w:t>
      </w:r>
    </w:p>
    <w:p>
      <w:pPr>
        <w:keepNext w:val="0"/>
        <w:keepLines w:val="0"/>
        <w:pageBreakBefore w:val="0"/>
        <w:widowControl w:val="0"/>
        <w:kinsoku/>
        <w:topLinePunct w:val="0"/>
        <w:autoSpaceDE/>
        <w:autoSpaceDN/>
        <w:bidi w:val="0"/>
        <w:adjustRightInd w:val="0"/>
        <w:snapToGrid w:val="0"/>
        <w:spacing w:line="360" w:lineRule="auto"/>
        <w:ind w:firstLine="480"/>
        <w:jc w:val="both"/>
        <w:rPr>
          <w:kern w:val="2"/>
          <w:u w:val="single"/>
        </w:rPr>
      </w:pPr>
      <w:r>
        <w:rPr>
          <w:rFonts w:hint="eastAsia"/>
          <w:kern w:val="2"/>
        </w:rPr>
        <w:t>（2）本合同全部或部分采用手写形式进行填写的，发包人和承包人共同指定的填写人的姓名：</w:t>
      </w:r>
      <w:r>
        <w:rPr>
          <w:rFonts w:hint="eastAsia"/>
          <w:kern w:val="2"/>
          <w:u w:val="single"/>
        </w:rPr>
        <w:t xml:space="preserve">  </w:t>
      </w:r>
      <w:r>
        <w:rPr>
          <w:rFonts w:hint="eastAsia"/>
          <w:bCs/>
          <w:kern w:val="2"/>
          <w:u w:val="single"/>
        </w:rPr>
        <w:t xml:space="preserve">/  </w:t>
      </w:r>
      <w:r>
        <w:rPr>
          <w:rFonts w:hint="eastAsia"/>
          <w:kern w:val="2"/>
        </w:rPr>
        <w:t>，身份证号码：</w:t>
      </w:r>
      <w:r>
        <w:rPr>
          <w:rFonts w:hint="eastAsia"/>
          <w:kern w:val="2"/>
          <w:u w:val="single"/>
        </w:rPr>
        <w:t xml:space="preserve">  </w:t>
      </w:r>
      <w:r>
        <w:rPr>
          <w:rFonts w:hint="eastAsia"/>
          <w:bCs/>
          <w:kern w:val="2"/>
          <w:u w:val="single"/>
        </w:rPr>
        <w:t xml:space="preserve">/  </w:t>
      </w:r>
      <w:r>
        <w:rPr>
          <w:rFonts w:hint="eastAsia"/>
          <w:kern w:val="2"/>
        </w:rPr>
        <w:t>。</w:t>
      </w:r>
    </w:p>
    <w:p>
      <w:pPr>
        <w:keepNext w:val="0"/>
        <w:keepLines w:val="0"/>
        <w:pageBreakBefore w:val="0"/>
        <w:widowControl w:val="0"/>
        <w:kinsoku/>
        <w:topLinePunct w:val="0"/>
        <w:autoSpaceDE/>
        <w:autoSpaceDN/>
        <w:bidi w:val="0"/>
        <w:adjustRightInd w:val="0"/>
        <w:snapToGrid w:val="0"/>
        <w:spacing w:line="360" w:lineRule="auto"/>
        <w:jc w:val="both"/>
        <w:outlineLvl w:val="0"/>
        <w:rPr>
          <w:b/>
          <w:bCs/>
          <w:kern w:val="44"/>
        </w:rPr>
      </w:pPr>
      <w:r>
        <w:rPr>
          <w:rFonts w:hint="eastAsia"/>
          <w:b/>
          <w:bCs/>
          <w:kern w:val="44"/>
        </w:rPr>
        <w:t>2一般约定</w:t>
      </w:r>
    </w:p>
    <w:p>
      <w:pPr>
        <w:keepNext w:val="0"/>
        <w:keepLines w:val="0"/>
        <w:pageBreakBefore w:val="0"/>
        <w:widowControl w:val="0"/>
        <w:tabs>
          <w:tab w:val="left" w:pos="540"/>
          <w:tab w:val="left" w:pos="2340"/>
        </w:tabs>
        <w:kinsoku/>
        <w:topLinePunct w:val="0"/>
        <w:autoSpaceDE/>
        <w:autoSpaceDN/>
        <w:bidi w:val="0"/>
        <w:adjustRightInd w:val="0"/>
        <w:snapToGrid w:val="0"/>
        <w:spacing w:line="360" w:lineRule="auto"/>
        <w:ind w:left="180"/>
        <w:jc w:val="left"/>
        <w:outlineLvl w:val="2"/>
        <w:rPr>
          <w:rFonts w:cs="Times New Roman"/>
          <w:b/>
          <w:bCs/>
          <w:kern w:val="2"/>
        </w:rPr>
      </w:pPr>
      <w:r>
        <w:rPr>
          <w:rFonts w:hint="eastAsia" w:cs="Times New Roman"/>
          <w:b/>
          <w:bCs/>
          <w:kern w:val="2"/>
          <w:szCs w:val="32"/>
        </w:rPr>
        <w:t xml:space="preserve">2.4 </w:t>
      </w:r>
      <w:r>
        <w:rPr>
          <w:rFonts w:hint="eastAsia" w:cs="Times New Roman"/>
          <w:b/>
          <w:bCs/>
          <w:kern w:val="2"/>
        </w:rPr>
        <w:t>法律、法规和规章</w:t>
      </w:r>
      <w:bookmarkEnd w:id="34"/>
      <w:bookmarkEnd w:id="35"/>
      <w:bookmarkEnd w:id="36"/>
      <w:bookmarkEnd w:id="37"/>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rPr>
        <w:t>需要明示的法律、法规、规章：</w:t>
      </w:r>
      <w:r>
        <w:rPr>
          <w:rFonts w:hint="eastAsia" w:cs="Times New Roman"/>
          <w:u w:val="single"/>
        </w:rPr>
        <w:t>《中华人民共和国民法典》、《中华人民共和国建筑法》、《建设工程质量管理条例》、《建设工程安全生产管理条例》、《深圳市建设工程质量管理条例》、《建设工程工程量清单计价规范》</w:t>
      </w:r>
      <w:r>
        <w:rPr>
          <w:rFonts w:cs="Times New Roman"/>
          <w:u w:val="single"/>
        </w:rPr>
        <w:t>(GB50500-2013)、《深圳市建设现场文明施工管理办法》、《深圳市员工工资支付条例》《建筑工程施工质量验收统一标准》、《深圳市建设工程现场文明施工管理办法》、《房屋建筑和市政基础设施工程施工分包管理办法》、《深圳市建设工程竣工验收及备案管理办法》、《深圳市建设工程造价管理规定》、《深圳市住房和建设局关于在施工招标中增加不设置“霸王条</w:t>
      </w:r>
      <w:r>
        <w:rPr>
          <w:rFonts w:hint="eastAsia" w:cs="Times New Roman"/>
          <w:u w:val="single"/>
        </w:rPr>
        <w:t>款”承诺等内容的通知》、深圳市关于“净畅宁”工程的要求、关于推进劳务工实名制和分账制管理工作的要求，以及国家、广东省、深圳市、龙华区制定的其他有关建设方面的法律、法规、规章、制度和规范性文件，同时还应遵守发包人制定的相关管理制度。</w:t>
      </w:r>
    </w:p>
    <w:p>
      <w:pPr>
        <w:keepNext w:val="0"/>
        <w:keepLines w:val="0"/>
        <w:pageBreakBefore w:val="0"/>
        <w:widowControl w:val="0"/>
        <w:tabs>
          <w:tab w:val="left" w:pos="540"/>
          <w:tab w:val="left" w:pos="2340"/>
          <w:tab w:val="left" w:pos="4032"/>
        </w:tabs>
        <w:kinsoku/>
        <w:topLinePunct w:val="0"/>
        <w:autoSpaceDE/>
        <w:autoSpaceDN/>
        <w:bidi w:val="0"/>
        <w:adjustRightInd w:val="0"/>
        <w:snapToGrid w:val="0"/>
        <w:spacing w:line="360" w:lineRule="auto"/>
        <w:ind w:left="180"/>
        <w:jc w:val="left"/>
        <w:outlineLvl w:val="2"/>
        <w:rPr>
          <w:rFonts w:cs="Times New Roman"/>
          <w:b/>
          <w:bCs/>
          <w:kern w:val="2"/>
          <w:szCs w:val="32"/>
        </w:rPr>
      </w:pPr>
      <w:bookmarkStart w:id="38" w:name="_Toc46325243"/>
      <w:bookmarkStart w:id="39" w:name="_Toc31671"/>
      <w:bookmarkStart w:id="40" w:name="_Toc4686"/>
      <w:bookmarkStart w:id="41" w:name="_Toc1999885"/>
      <w:r>
        <w:rPr>
          <w:rFonts w:hint="eastAsia" w:cs="Times New Roman"/>
          <w:b/>
          <w:bCs/>
          <w:kern w:val="2"/>
          <w:szCs w:val="32"/>
        </w:rPr>
        <w:t>2.5标准、规范</w:t>
      </w:r>
      <w:bookmarkEnd w:id="38"/>
      <w:bookmarkEnd w:id="39"/>
      <w:bookmarkEnd w:id="40"/>
      <w:bookmarkEnd w:id="41"/>
    </w:p>
    <w:p>
      <w:pPr>
        <w:keepNext w:val="0"/>
        <w:keepLines w:val="0"/>
        <w:pageBreakBefore w:val="0"/>
        <w:widowControl w:val="0"/>
        <w:kinsoku/>
        <w:topLinePunct w:val="0"/>
        <w:autoSpaceDE/>
        <w:autoSpaceDN/>
        <w:bidi w:val="0"/>
        <w:adjustRightInd w:val="0"/>
        <w:snapToGrid w:val="0"/>
        <w:spacing w:line="360" w:lineRule="auto"/>
        <w:ind w:firstLine="480" w:firstLineChars="200"/>
        <w:jc w:val="left"/>
        <w:rPr>
          <w:rFonts w:cs="Times New Roman"/>
          <w:kern w:val="2"/>
          <w:u w:val="single"/>
        </w:rPr>
      </w:pPr>
      <w:r>
        <w:rPr>
          <w:rFonts w:hint="eastAsia" w:cs="Times New Roman"/>
          <w:kern w:val="2"/>
        </w:rPr>
        <w:t>(2)技术标准、功能要求高于现行国家、行业或地方标准的约定：</w:t>
      </w:r>
      <w:r>
        <w:rPr>
          <w:rFonts w:hint="eastAsia" w:cs="Times New Roman"/>
          <w:u w:val="single"/>
        </w:rPr>
        <w:t>工程质量达到合格标准：工程质量应符合国家、广东省、深圳市现行有关法律、法规、规范和技术标准，符合设计文件、招标文件、合同文件所约定的技术要求和工程质量标准。当国家、行业及工程所在地地方标准、规范不一致时，以要求最严格者为准。当合同约定的质量要求与现行最新的相关法律、法规、规范和技</w:t>
      </w:r>
      <w:r>
        <w:rPr>
          <w:rFonts w:hint="eastAsia" w:cs="Times New Roman"/>
          <w:kern w:val="2"/>
          <w:u w:val="single"/>
        </w:rPr>
        <w:t>术标准矛盾时，以较高要求为准。</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 xml:space="preserve"> (4)用于本工程的标准、规范的提供方式：</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ascii="宋体" w:hAnsi="宋体" w:eastAsia="宋体" w:cs="Times New Roman"/>
          <w:kern w:val="0"/>
          <w:sz w:val="24"/>
          <w:szCs w:val="24"/>
        </w:rPr>
        <w:drawing>
          <wp:inline distT="0" distB="0" distL="0" distR="0">
            <wp:extent cx="152400" cy="141605"/>
            <wp:effectExtent l="0" t="0" r="0" b="1079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kern w:val="2"/>
        </w:rPr>
        <w:t>由发包人在本合同签订后天内向承包人提供套标准、规范；</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ascii="Segoe UI Emoji" w:hAnsi="Segoe UI Emoji" w:eastAsia="MS Mincho" w:cs="Segoe UI Emoji"/>
        </w:rPr>
        <w:t>☑</w:t>
      </w:r>
      <w:r>
        <w:rPr>
          <w:rFonts w:hint="eastAsia" w:cs="Times New Roman"/>
          <w:kern w:val="2"/>
        </w:rPr>
        <w:t>由承包人自备。</w:t>
      </w:r>
    </w:p>
    <w:p>
      <w:pPr>
        <w:keepNext w:val="0"/>
        <w:keepLines w:val="0"/>
        <w:pageBreakBefore w:val="0"/>
        <w:widowControl w:val="0"/>
        <w:tabs>
          <w:tab w:val="left" w:pos="540"/>
          <w:tab w:val="left" w:pos="2340"/>
          <w:tab w:val="left" w:pos="4032"/>
        </w:tabs>
        <w:kinsoku/>
        <w:topLinePunct w:val="0"/>
        <w:autoSpaceDE/>
        <w:autoSpaceDN/>
        <w:bidi w:val="0"/>
        <w:adjustRightInd w:val="0"/>
        <w:snapToGrid w:val="0"/>
        <w:spacing w:line="360" w:lineRule="auto"/>
        <w:ind w:left="180"/>
        <w:jc w:val="left"/>
        <w:outlineLvl w:val="2"/>
        <w:rPr>
          <w:rFonts w:cs="Times New Roman"/>
          <w:b/>
          <w:bCs/>
          <w:kern w:val="2"/>
          <w:szCs w:val="32"/>
        </w:rPr>
      </w:pPr>
      <w:bookmarkStart w:id="42" w:name="_Toc46325244"/>
      <w:bookmarkStart w:id="43" w:name="_Toc1999886"/>
      <w:bookmarkStart w:id="44" w:name="_Toc24786"/>
      <w:bookmarkStart w:id="45" w:name="_Toc15458"/>
      <w:bookmarkStart w:id="46" w:name="_Hlk145242998"/>
      <w:r>
        <w:rPr>
          <w:rFonts w:hint="eastAsia"/>
          <w:b/>
          <w:kern w:val="2"/>
        </w:rPr>
        <w:t>2.6图纸和技术资料的提供</w:t>
      </w:r>
      <w:bookmarkEnd w:id="42"/>
      <w:bookmarkEnd w:id="43"/>
      <w:bookmarkEnd w:id="44"/>
      <w:bookmarkEnd w:id="45"/>
    </w:p>
    <w:bookmarkEnd w:id="46"/>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(1)发包人应在本合同签订后</w:t>
      </w:r>
      <w:r>
        <w:rPr>
          <w:rFonts w:hint="eastAsia" w:cs="Times New Roman"/>
          <w:kern w:val="2"/>
          <w:u w:val="single"/>
        </w:rPr>
        <w:t xml:space="preserve"> 开工前7  </w:t>
      </w:r>
      <w:r>
        <w:rPr>
          <w:rFonts w:hint="eastAsia" w:cs="Times New Roman"/>
          <w:kern w:val="2"/>
        </w:rPr>
        <w:t>天内向承包人提供</w:t>
      </w:r>
      <w:r>
        <w:rPr>
          <w:rFonts w:hint="eastAsia" w:cs="Times New Roman"/>
          <w:kern w:val="2"/>
          <w:u w:val="single"/>
        </w:rPr>
        <w:t xml:space="preserve"> 4 </w:t>
      </w:r>
      <w:r>
        <w:rPr>
          <w:rFonts w:hint="eastAsia" w:cs="Times New Roman"/>
          <w:kern w:val="2"/>
        </w:rPr>
        <w:t>套完整的施工图和其它技术资料。</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(4)承包人发现发包人提供的图纸存在差错、遗漏或缺陷的，应在</w:t>
      </w:r>
      <w:r>
        <w:rPr>
          <w:rFonts w:hint="eastAsia" w:cs="Times New Roman"/>
          <w:kern w:val="2"/>
          <w:u w:val="single"/>
        </w:rPr>
        <w:t xml:space="preserve"> 3</w:t>
      </w:r>
      <w:r>
        <w:rPr>
          <w:rFonts w:hint="eastAsia" w:cs="Times New Roman"/>
          <w:kern w:val="2"/>
        </w:rPr>
        <w:t>天内通知监理人。监理人应附具相关意见并在</w:t>
      </w:r>
      <w:r>
        <w:rPr>
          <w:rFonts w:hint="eastAsia" w:cs="Times New Roman"/>
          <w:kern w:val="2"/>
          <w:u w:val="single"/>
        </w:rPr>
        <w:t xml:space="preserve"> 2</w:t>
      </w:r>
      <w:r>
        <w:rPr>
          <w:rFonts w:hint="eastAsia" w:cs="Times New Roman"/>
          <w:kern w:val="2"/>
        </w:rPr>
        <w:t>天内报送发包人，发包人应在收到监理人报送的通知后在</w:t>
      </w:r>
      <w:r>
        <w:rPr>
          <w:rFonts w:hint="eastAsia" w:cs="Times New Roman"/>
          <w:kern w:val="2"/>
          <w:u w:val="single"/>
        </w:rPr>
        <w:t xml:space="preserve"> 3 </w:t>
      </w:r>
      <w:r>
        <w:rPr>
          <w:rFonts w:hint="eastAsia" w:cs="Times New Roman"/>
          <w:kern w:val="2"/>
        </w:rPr>
        <w:t>天内作出决定。</w:t>
      </w:r>
    </w:p>
    <w:p>
      <w:pPr>
        <w:keepNext w:val="0"/>
        <w:keepLines w:val="0"/>
        <w:pageBreakBefore w:val="0"/>
        <w:widowControl w:val="0"/>
        <w:tabs>
          <w:tab w:val="left" w:pos="540"/>
          <w:tab w:val="left" w:pos="2340"/>
          <w:tab w:val="left" w:pos="4032"/>
        </w:tabs>
        <w:kinsoku/>
        <w:topLinePunct w:val="0"/>
        <w:autoSpaceDE/>
        <w:autoSpaceDN/>
        <w:bidi w:val="0"/>
        <w:adjustRightInd w:val="0"/>
        <w:snapToGrid w:val="0"/>
        <w:spacing w:line="360" w:lineRule="auto"/>
        <w:ind w:left="180"/>
        <w:jc w:val="left"/>
        <w:outlineLvl w:val="2"/>
        <w:rPr>
          <w:rFonts w:cs="Times New Roman"/>
          <w:b/>
          <w:bCs/>
          <w:kern w:val="2"/>
          <w:sz w:val="18"/>
          <w:szCs w:val="18"/>
        </w:rPr>
      </w:pPr>
      <w:bookmarkStart w:id="47" w:name="_Toc29547"/>
      <w:bookmarkStart w:id="48" w:name="_Toc1999887"/>
      <w:bookmarkStart w:id="49" w:name="_Toc28739"/>
      <w:bookmarkStart w:id="50" w:name="_Toc46325245"/>
      <w:r>
        <w:rPr>
          <w:rFonts w:hint="eastAsia" w:cs="Times New Roman"/>
          <w:b/>
          <w:bCs/>
          <w:kern w:val="2"/>
          <w:szCs w:val="32"/>
        </w:rPr>
        <w:t>2.8补充图纸和资料</w:t>
      </w:r>
      <w:bookmarkEnd w:id="47"/>
      <w:bookmarkEnd w:id="48"/>
      <w:bookmarkEnd w:id="49"/>
      <w:bookmarkEnd w:id="50"/>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发包人应在工程施工前</w:t>
      </w:r>
      <w:r>
        <w:rPr>
          <w:rFonts w:hint="eastAsia" w:cs="Times New Roman"/>
          <w:kern w:val="2"/>
          <w:u w:val="single"/>
        </w:rPr>
        <w:t xml:space="preserve"> 7 </w:t>
      </w:r>
      <w:r>
        <w:rPr>
          <w:rFonts w:hint="eastAsia" w:cs="Times New Roman"/>
          <w:kern w:val="2"/>
        </w:rPr>
        <w:t>日内向承包人提供</w:t>
      </w:r>
      <w:r>
        <w:rPr>
          <w:rFonts w:hint="eastAsia" w:cs="Times New Roman"/>
          <w:kern w:val="2"/>
          <w:u w:val="single"/>
        </w:rPr>
        <w:t xml:space="preserve"> 4 </w:t>
      </w:r>
      <w:r>
        <w:rPr>
          <w:rFonts w:hint="eastAsia" w:cs="Times New Roman"/>
          <w:kern w:val="2"/>
        </w:rPr>
        <w:t>套该部分工程的补充施工图(含深化设计图纸)和其它技术资料。</w:t>
      </w:r>
    </w:p>
    <w:p>
      <w:pPr>
        <w:keepNext w:val="0"/>
        <w:keepLines w:val="0"/>
        <w:pageBreakBefore w:val="0"/>
        <w:widowControl w:val="0"/>
        <w:tabs>
          <w:tab w:val="left" w:pos="540"/>
          <w:tab w:val="left" w:pos="2340"/>
          <w:tab w:val="left" w:pos="4032"/>
        </w:tabs>
        <w:kinsoku/>
        <w:topLinePunct w:val="0"/>
        <w:autoSpaceDE/>
        <w:autoSpaceDN/>
        <w:bidi w:val="0"/>
        <w:adjustRightInd w:val="0"/>
        <w:snapToGrid w:val="0"/>
        <w:spacing w:line="360" w:lineRule="auto"/>
        <w:ind w:left="180"/>
        <w:jc w:val="left"/>
        <w:outlineLvl w:val="2"/>
        <w:rPr>
          <w:rFonts w:cs="Times New Roman"/>
          <w:b/>
          <w:bCs/>
          <w:kern w:val="2"/>
          <w:szCs w:val="32"/>
        </w:rPr>
      </w:pPr>
      <w:bookmarkStart w:id="51" w:name="_Toc46325246"/>
      <w:bookmarkStart w:id="52" w:name="_Toc29475"/>
      <w:bookmarkStart w:id="53" w:name="_Toc1999888"/>
      <w:bookmarkStart w:id="54" w:name="_Toc18789"/>
      <w:r>
        <w:rPr>
          <w:rFonts w:hint="eastAsia" w:cs="Times New Roman"/>
          <w:b/>
          <w:bCs/>
          <w:kern w:val="2"/>
          <w:szCs w:val="32"/>
        </w:rPr>
        <w:t>2.10 竣工图</w:t>
      </w:r>
      <w:bookmarkEnd w:id="51"/>
      <w:bookmarkEnd w:id="52"/>
      <w:bookmarkEnd w:id="53"/>
      <w:bookmarkEnd w:id="54"/>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u w:val="single"/>
        </w:rPr>
      </w:pPr>
      <w:r>
        <w:rPr>
          <w:rFonts w:hint="eastAsia" w:cs="Times New Roman"/>
          <w:kern w:val="2"/>
        </w:rPr>
        <w:t>(1)关于竣工图编制的约定：</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u w:val="single"/>
        </w:rPr>
      </w:pPr>
      <w:r>
        <w:rPr>
          <w:rFonts w:hint="eastAsia" w:cs="Times New Roman"/>
          <w:u w:val="single"/>
        </w:rPr>
        <w:t>1）竣工资料的编制须满足相关法规、深圳市城建档案馆及相关部门的规定。在总监理工程师组织初步验收前7日内，承包人应提供齐全的竣工资料给监理人进行审核，审核不通过，承包人应按要求整改。承包人在工程竣工验收之日起（以工程竣工验收报告日期为准）三个月内按照深圳市城建档案馆现行的A类、B类工程档案归档目录要求及竣工图蓝图的编制要求向建设单位移交陆套完整的工程竣工档案，并配合完成档案移交及备案工作。如承包人未按规定时间将竣工资料交给发包人，违约责任详见补充条款及附件1约定。</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u w:val="single"/>
        </w:rPr>
      </w:pPr>
      <w:r>
        <w:rPr>
          <w:rFonts w:hint="eastAsia" w:cs="Times New Roman"/>
          <w:u w:val="single"/>
        </w:rPr>
        <w:t>2）承包人提交档案资料应符合《档案法》、《建设工程质量管理条例》、《深圳市建筑工程文件归档管理办法》及其他有关规定。工程档案应齐全、完整、系统，内容真实、准确；提交移交书及移交目录应填写真实；工程档案涂改、伪造档案，以及未尽妥善保管档案责任，导致档案损失的，承包人要承担和赔偿由此而造成发包人的全部经济损失；提交的移交工程档案不真实、不准确，导致使用者经济损失的，承包人将承担相应的经济责任。</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u w:val="single"/>
        </w:rPr>
        <w:t>3）本工程竣工图纸由承包人负责绘制，竣工图应认真绘制，与现场实际施工保持一致。竣工图上应明确标出变更或修改根据的具体条款，加盖竣工图章，经项目经理、技术负责人签字后，送监理人、设计院（加盖审核章）、发包人审核确认。</w:t>
      </w:r>
    </w:p>
    <w:p>
      <w:pPr>
        <w:keepNext w:val="0"/>
        <w:keepLines w:val="0"/>
        <w:pageBreakBefore w:val="0"/>
        <w:widowControl w:val="0"/>
        <w:tabs>
          <w:tab w:val="left" w:pos="540"/>
          <w:tab w:val="left" w:pos="2340"/>
        </w:tabs>
        <w:kinsoku/>
        <w:topLinePunct w:val="0"/>
        <w:autoSpaceDE/>
        <w:autoSpaceDN/>
        <w:bidi w:val="0"/>
        <w:adjustRightInd w:val="0"/>
        <w:snapToGrid w:val="0"/>
        <w:spacing w:line="360" w:lineRule="auto"/>
        <w:ind w:left="180"/>
        <w:jc w:val="left"/>
        <w:outlineLvl w:val="2"/>
        <w:rPr>
          <w:rFonts w:cs="Times New Roman"/>
          <w:b/>
          <w:bCs/>
          <w:kern w:val="2"/>
          <w:szCs w:val="32"/>
        </w:rPr>
      </w:pPr>
      <w:bookmarkStart w:id="55" w:name="_Toc7257"/>
      <w:bookmarkStart w:id="56" w:name="_Toc1999889"/>
      <w:bookmarkStart w:id="57" w:name="_Toc46325247"/>
      <w:bookmarkStart w:id="58" w:name="_Toc30621"/>
      <w:r>
        <w:rPr>
          <w:rFonts w:hint="eastAsia" w:cs="Times New Roman"/>
          <w:b/>
          <w:bCs/>
          <w:kern w:val="2"/>
          <w:szCs w:val="32"/>
        </w:rPr>
        <w:t>2.11 通知</w:t>
      </w:r>
      <w:bookmarkEnd w:id="55"/>
      <w:bookmarkEnd w:id="56"/>
      <w:bookmarkEnd w:id="57"/>
      <w:bookmarkEnd w:id="58"/>
    </w:p>
    <w:p>
      <w:pPr>
        <w:widowControl w:val="0"/>
        <w:spacing w:line="360" w:lineRule="auto"/>
        <w:ind w:firstLine="480"/>
        <w:rPr>
          <w:rFonts w:hint="eastAsia" w:eastAsia="宋体" w:cs="Times New Roman"/>
          <w:kern w:val="2"/>
          <w:lang w:eastAsia="zh-CN"/>
        </w:rPr>
      </w:pPr>
      <w:bookmarkStart w:id="59" w:name="_Toc4704"/>
      <w:bookmarkStart w:id="60" w:name="_Toc46325248"/>
      <w:bookmarkStart w:id="61" w:name="_Toc1999890"/>
      <w:bookmarkStart w:id="62" w:name="_Toc8379"/>
      <w:r>
        <w:rPr>
          <w:rFonts w:hint="eastAsia" w:cs="Times New Roman"/>
          <w:kern w:val="2"/>
        </w:rPr>
        <w:t>(1)承包人的地址 ：</w:t>
      </w:r>
      <w:r>
        <w:rPr>
          <w:rFonts w:hint="eastAsia" w:cs="Times New Roman"/>
          <w:bCs/>
          <w:kern w:val="2"/>
          <w:u w:val="single"/>
          <w:lang w:val="en-US" w:eastAsia="zh-CN"/>
        </w:rPr>
        <w:t>*********</w:t>
      </w:r>
      <w:r>
        <w:rPr>
          <w:rFonts w:hint="eastAsia" w:cs="Times New Roman"/>
          <w:kern w:val="2"/>
        </w:rPr>
        <w:t xml:space="preserve">   </w:t>
      </w:r>
      <w:r>
        <w:rPr>
          <w:rFonts w:hint="eastAsia" w:cs="Times New Roman"/>
          <w:bCs/>
          <w:kern w:val="2"/>
        </w:rPr>
        <w:t>邮编：</w:t>
      </w:r>
      <w:r>
        <w:rPr>
          <w:rFonts w:hint="eastAsia" w:cs="Times New Roman"/>
          <w:bCs/>
          <w:kern w:val="2"/>
          <w:u w:val="single"/>
          <w:lang w:val="en-US" w:eastAsia="zh-CN"/>
        </w:rPr>
        <w:t>*********</w:t>
      </w:r>
      <w:r>
        <w:rPr>
          <w:rFonts w:hint="eastAsia" w:cs="Times New Roman"/>
          <w:bCs/>
          <w:kern w:val="2"/>
        </w:rPr>
        <w:t xml:space="preserve">  </w:t>
      </w:r>
      <w:r>
        <w:rPr>
          <w:rFonts w:hint="eastAsia" w:cs="Times New Roman"/>
          <w:bCs/>
          <w:kern w:val="2"/>
          <w:lang w:eastAsia="zh-CN"/>
        </w:rPr>
        <w:t>。</w:t>
      </w:r>
    </w:p>
    <w:p>
      <w:pPr>
        <w:widowControl w:val="0"/>
        <w:spacing w:line="360" w:lineRule="auto"/>
        <w:ind w:firstLine="480"/>
        <w:rPr>
          <w:rFonts w:cs="Times New Roman"/>
          <w:bCs/>
          <w:kern w:val="2"/>
          <w:u w:val="single"/>
        </w:rPr>
      </w:pPr>
      <w:r>
        <w:rPr>
          <w:rFonts w:hint="eastAsia" w:cs="Times New Roman"/>
          <w:kern w:val="2"/>
        </w:rPr>
        <w:t>(2)发包人的地址：</w:t>
      </w:r>
      <w:r>
        <w:rPr>
          <w:rFonts w:hint="eastAsia" w:cs="Times New Roman"/>
          <w:bCs/>
          <w:kern w:val="2"/>
          <w:u w:val="single"/>
          <w:lang w:val="en-US" w:eastAsia="zh-CN"/>
        </w:rPr>
        <w:t>*********</w:t>
      </w:r>
      <w:r>
        <w:rPr>
          <w:rFonts w:hint="eastAsia" w:cs="Times New Roman"/>
          <w:kern w:val="2"/>
        </w:rPr>
        <w:t xml:space="preserve"> </w:t>
      </w:r>
      <w:r>
        <w:rPr>
          <w:rFonts w:hint="eastAsia" w:cs="Times New Roman"/>
          <w:kern w:val="2"/>
          <w:lang w:eastAsia="zh-CN"/>
        </w:rPr>
        <w:t>。</w:t>
      </w:r>
      <w:r>
        <w:rPr>
          <w:rFonts w:hint="eastAsia" w:cs="Times New Roman"/>
          <w:kern w:val="2"/>
        </w:rPr>
        <w:t xml:space="preserve">  </w:t>
      </w:r>
    </w:p>
    <w:p>
      <w:pPr>
        <w:widowControl w:val="0"/>
        <w:spacing w:line="360" w:lineRule="auto"/>
        <w:ind w:firstLine="480" w:firstLineChars="200"/>
        <w:rPr>
          <w:rFonts w:hint="eastAsia" w:eastAsia="宋体" w:cs="Times New Roman"/>
          <w:kern w:val="2"/>
          <w:u w:val="single"/>
          <w:lang w:eastAsia="zh-CN"/>
        </w:rPr>
      </w:pPr>
      <w:r>
        <w:rPr>
          <w:rFonts w:hint="eastAsia" w:cs="Times New Roman"/>
          <w:kern w:val="2"/>
        </w:rPr>
        <w:t>（3）监理人的地址：</w:t>
      </w:r>
      <w:r>
        <w:rPr>
          <w:rFonts w:hint="eastAsia" w:cs="Times New Roman"/>
          <w:kern w:val="2"/>
          <w:u w:val="single"/>
        </w:rPr>
        <w:t xml:space="preserve"> </w:t>
      </w:r>
      <w:r>
        <w:rPr>
          <w:rFonts w:hint="eastAsia" w:cs="Times New Roman"/>
          <w:bCs/>
          <w:kern w:val="2"/>
          <w:u w:val="single"/>
          <w:lang w:val="en-US" w:eastAsia="zh-CN"/>
        </w:rPr>
        <w:t>******</w:t>
      </w:r>
      <w:r>
        <w:rPr>
          <w:rFonts w:hint="eastAsia" w:cs="Times New Roman"/>
          <w:kern w:val="2"/>
          <w:u w:val="single"/>
        </w:rPr>
        <w:t xml:space="preserve"> </w:t>
      </w:r>
      <w:r>
        <w:rPr>
          <w:rFonts w:hint="eastAsia" w:cs="Times New Roman"/>
          <w:kern w:val="2"/>
        </w:rPr>
        <w:t xml:space="preserve">   </w:t>
      </w:r>
      <w:r>
        <w:rPr>
          <w:rFonts w:hint="eastAsia" w:cs="Times New Roman"/>
          <w:bCs/>
          <w:kern w:val="2"/>
        </w:rPr>
        <w:t>邮编：</w:t>
      </w:r>
      <w:r>
        <w:rPr>
          <w:rFonts w:hint="eastAsia" w:cs="Times New Roman"/>
          <w:bCs/>
          <w:kern w:val="2"/>
          <w:u w:val="single"/>
        </w:rPr>
        <w:t xml:space="preserve"> </w:t>
      </w:r>
      <w:r>
        <w:rPr>
          <w:rFonts w:hint="eastAsia" w:cs="Times New Roman"/>
          <w:bCs/>
          <w:kern w:val="2"/>
          <w:u w:val="single"/>
          <w:lang w:val="en-US" w:eastAsia="zh-CN"/>
        </w:rPr>
        <w:t>******</w:t>
      </w:r>
      <w:r>
        <w:rPr>
          <w:rFonts w:hint="eastAsia" w:cs="Times New Roman"/>
          <w:bCs/>
          <w:kern w:val="2"/>
          <w:u w:val="single"/>
        </w:rPr>
        <w:t xml:space="preserve"> </w:t>
      </w:r>
      <w:r>
        <w:rPr>
          <w:rFonts w:hint="eastAsia" w:cs="Times New Roman"/>
          <w:bCs/>
          <w:kern w:val="2"/>
        </w:rPr>
        <w:t xml:space="preserve"> </w:t>
      </w:r>
      <w:r>
        <w:rPr>
          <w:rFonts w:hint="eastAsia" w:cs="Times New Roman"/>
          <w:bCs/>
          <w:kern w:val="2"/>
          <w:lang w:eastAsia="zh-CN"/>
        </w:rPr>
        <w:t>。</w:t>
      </w:r>
    </w:p>
    <w:p>
      <w:pPr>
        <w:keepNext w:val="0"/>
        <w:keepLines w:val="0"/>
        <w:pageBreakBefore w:val="0"/>
        <w:widowControl w:val="0"/>
        <w:tabs>
          <w:tab w:val="left" w:pos="540"/>
          <w:tab w:val="left" w:pos="2340"/>
        </w:tabs>
        <w:kinsoku/>
        <w:topLinePunct w:val="0"/>
        <w:autoSpaceDE/>
        <w:autoSpaceDN/>
        <w:bidi w:val="0"/>
        <w:adjustRightInd w:val="0"/>
        <w:snapToGrid w:val="0"/>
        <w:spacing w:line="360" w:lineRule="auto"/>
        <w:ind w:left="180"/>
        <w:jc w:val="left"/>
        <w:outlineLvl w:val="2"/>
        <w:rPr>
          <w:rFonts w:cs="Times New Roman"/>
          <w:b/>
          <w:bCs/>
          <w:kern w:val="2"/>
          <w:szCs w:val="32"/>
          <w:highlight w:val="none"/>
        </w:rPr>
      </w:pPr>
      <w:r>
        <w:rPr>
          <w:rFonts w:hint="eastAsia" w:cs="Times New Roman"/>
          <w:b/>
          <w:bCs/>
          <w:kern w:val="2"/>
          <w:szCs w:val="32"/>
          <w:highlight w:val="none"/>
        </w:rPr>
        <w:t>2.13 交通运输</w:t>
      </w:r>
      <w:bookmarkEnd w:id="59"/>
      <w:bookmarkEnd w:id="60"/>
      <w:bookmarkEnd w:id="61"/>
      <w:bookmarkEnd w:id="62"/>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highlight w:val="none"/>
        </w:rPr>
      </w:pPr>
      <w:r>
        <w:rPr>
          <w:rFonts w:hint="eastAsia" w:cs="Times New Roman"/>
          <w:kern w:val="2"/>
          <w:highlight w:val="none"/>
        </w:rPr>
        <w:t>（1）出入现场的权利</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highlight w:val="none"/>
        </w:rPr>
      </w:pPr>
      <w:r>
        <w:rPr>
          <w:rFonts w:hint="eastAsia" w:cs="Times New Roman"/>
          <w:kern w:val="2"/>
          <w:highlight w:val="none"/>
        </w:rPr>
        <w:t>关于出入现场的权利的约定：</w:t>
      </w:r>
      <w:r>
        <w:rPr>
          <w:rFonts w:hint="eastAsia" w:cs="Times New Roman"/>
          <w:highlight w:val="none"/>
          <w:u w:val="single"/>
        </w:rPr>
        <w:t>由承包人按发包人要求取得出入施工现场所需的批准手续和全部权利</w:t>
      </w:r>
      <w:r>
        <w:rPr>
          <w:rFonts w:hint="eastAsia" w:cs="Times New Roman"/>
          <w:highlight w:val="none"/>
          <w:u w:val="single"/>
          <w:lang w:eastAsia="zh-CN"/>
        </w:rPr>
        <w:t>，</w:t>
      </w:r>
      <w:r>
        <w:rPr>
          <w:rFonts w:hint="eastAsia" w:cs="Times New Roman"/>
          <w:highlight w:val="none"/>
          <w:u w:val="single"/>
        </w:rPr>
        <w:t>并承担相关手续费用和建设费用，</w:t>
      </w:r>
      <w:r>
        <w:rPr>
          <w:rFonts w:hint="eastAsia" w:cs="Times New Roman"/>
          <w:b/>
          <w:bCs/>
          <w:highlight w:val="none"/>
          <w:u w:val="single"/>
        </w:rPr>
        <w:t>费用已在合同价中综合考虑，不再另行计取。</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highlight w:val="none"/>
        </w:rPr>
      </w:pPr>
      <w:r>
        <w:rPr>
          <w:rFonts w:hint="eastAsia" w:cs="Times New Roman"/>
          <w:kern w:val="2"/>
          <w:highlight w:val="none"/>
        </w:rPr>
        <w:t>（3）场内交通</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b/>
          <w:bCs/>
          <w:kern w:val="2"/>
          <w:highlight w:val="none"/>
        </w:rPr>
      </w:pPr>
      <w:r>
        <w:rPr>
          <w:rFonts w:hint="eastAsia" w:cs="Times New Roman"/>
          <w:kern w:val="2"/>
          <w:highlight w:val="none"/>
        </w:rPr>
        <w:t>关于场外交通和场内交通的边界的约定：</w:t>
      </w:r>
      <w:r>
        <w:rPr>
          <w:rFonts w:hint="eastAsia" w:cs="Times New Roman"/>
          <w:highlight w:val="none"/>
          <w:u w:val="single"/>
        </w:rPr>
        <w:t>施工现场封闭围挡范围以内为场内交通；范围以外为场外交通。发包人无需提供场外交通设施的技术参数和具体条件，相关的技术参数和具体条件由承包人自行负责收集。场外交通设施无法满足工程施工需要的，由承包人自行解决并承担相关费用，</w:t>
      </w:r>
      <w:r>
        <w:rPr>
          <w:rFonts w:hint="eastAsia" w:cs="Times New Roman"/>
          <w:b/>
          <w:bCs/>
          <w:highlight w:val="none"/>
          <w:u w:val="single"/>
        </w:rPr>
        <w:t>费用已在合同价中综合考虑，不再另行计取。</w:t>
      </w:r>
    </w:p>
    <w:p>
      <w:pPr>
        <w:keepNext w:val="0"/>
        <w:keepLines w:val="0"/>
        <w:pageBreakBefore w:val="0"/>
        <w:widowControl w:val="0"/>
        <w:kinsoku/>
        <w:topLinePunct w:val="0"/>
        <w:autoSpaceDE/>
        <w:autoSpaceDN/>
        <w:bidi w:val="0"/>
        <w:adjustRightInd w:val="0"/>
        <w:snapToGrid w:val="0"/>
        <w:spacing w:line="360" w:lineRule="auto"/>
        <w:ind w:firstLine="480" w:firstLineChars="200"/>
        <w:jc w:val="left"/>
        <w:rPr>
          <w:rFonts w:cs="Times New Roman"/>
          <w:highlight w:val="cyan"/>
          <w:u w:val="single"/>
        </w:rPr>
      </w:pPr>
      <w:r>
        <w:rPr>
          <w:rFonts w:hint="eastAsia" w:cs="Times New Roman"/>
          <w:kern w:val="2"/>
          <w:highlight w:val="none"/>
        </w:rPr>
        <w:t>关于发包人向承包人免费提供满足工程施工需要的场内道路和交通设施的约定：</w:t>
      </w:r>
      <w:r>
        <w:rPr>
          <w:rFonts w:hint="eastAsia" w:cs="Times New Roman"/>
          <w:highlight w:val="none"/>
          <w:u w:val="single"/>
        </w:rPr>
        <w:t>发包人无需提供场内交通设施的技术参数和具体条件。承包人需自行解决满足工程施工所需的场内道路和交通设施，并保证场内道路和交通设施满足施工方案所需全部大型机械设备和运输车辆进出施工现场及通行的需要，场内道路和交通设施全部由承包人负责完善，</w:t>
      </w:r>
      <w:r>
        <w:rPr>
          <w:rFonts w:hint="eastAsia" w:cs="Times New Roman"/>
          <w:b/>
          <w:bCs/>
          <w:highlight w:val="none"/>
          <w:u w:val="single"/>
        </w:rPr>
        <w:t>费用已在合同价中综合考虑，不再另行计取。</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（4）超大件和超重件的运输</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运输超大件或超重件所需道路和桥梁临时加固费用和其他费用由</w:t>
      </w:r>
      <w:r>
        <w:rPr>
          <w:rFonts w:hint="eastAsia" w:cs="Times New Roman"/>
          <w:kern w:val="2"/>
          <w:u w:val="single"/>
        </w:rPr>
        <w:t xml:space="preserve"> 承包人 </w:t>
      </w:r>
      <w:r>
        <w:rPr>
          <w:rFonts w:hint="eastAsia" w:cs="Times New Roman"/>
          <w:kern w:val="2"/>
        </w:rPr>
        <w:t xml:space="preserve"> 承担。</w:t>
      </w:r>
    </w:p>
    <w:p>
      <w:pPr>
        <w:keepNext w:val="0"/>
        <w:keepLines w:val="0"/>
        <w:pageBreakBefore w:val="0"/>
        <w:widowControl w:val="0"/>
        <w:tabs>
          <w:tab w:val="left" w:pos="540"/>
          <w:tab w:val="left" w:pos="2340"/>
        </w:tabs>
        <w:kinsoku/>
        <w:topLinePunct w:val="0"/>
        <w:autoSpaceDE/>
        <w:autoSpaceDN/>
        <w:bidi w:val="0"/>
        <w:adjustRightInd w:val="0"/>
        <w:snapToGrid w:val="0"/>
        <w:spacing w:line="360" w:lineRule="auto"/>
        <w:ind w:left="180"/>
        <w:jc w:val="left"/>
        <w:outlineLvl w:val="2"/>
        <w:rPr>
          <w:rFonts w:cs="Times New Roman"/>
          <w:b/>
          <w:bCs/>
          <w:kern w:val="2"/>
          <w:szCs w:val="32"/>
        </w:rPr>
      </w:pPr>
      <w:bookmarkStart w:id="63" w:name="_Toc1999891"/>
      <w:bookmarkStart w:id="64" w:name="_Toc1491"/>
      <w:bookmarkStart w:id="65" w:name="_Toc46325249"/>
      <w:bookmarkStart w:id="66" w:name="_Toc32113"/>
      <w:r>
        <w:rPr>
          <w:rFonts w:hint="eastAsia" w:cs="Times New Roman"/>
          <w:b/>
          <w:bCs/>
          <w:kern w:val="2"/>
          <w:szCs w:val="32"/>
        </w:rPr>
        <w:t>2.16 知识产权</w:t>
      </w:r>
      <w:bookmarkEnd w:id="63"/>
      <w:bookmarkEnd w:id="64"/>
      <w:bookmarkEnd w:id="65"/>
      <w:bookmarkEnd w:id="66"/>
    </w:p>
    <w:p>
      <w:pPr>
        <w:keepNext w:val="0"/>
        <w:keepLines w:val="0"/>
        <w:pageBreakBefore w:val="0"/>
        <w:widowControl w:val="0"/>
        <w:kinsoku/>
        <w:topLinePunct w:val="0"/>
        <w:autoSpaceDE/>
        <w:autoSpaceDN/>
        <w:bidi w:val="0"/>
        <w:adjustRightInd w:val="0"/>
        <w:snapToGrid w:val="0"/>
        <w:spacing w:line="360" w:lineRule="auto"/>
        <w:ind w:firstLine="480" w:firstLineChars="200"/>
        <w:jc w:val="left"/>
        <w:rPr>
          <w:rFonts w:hint="eastAsia" w:ascii="Times New Roman" w:hAnsi="Times New Roman" w:eastAsia="宋体" w:cs="Times New Roman"/>
          <w:kern w:val="2"/>
          <w:sz w:val="30"/>
          <w:szCs w:val="32"/>
          <w:lang w:eastAsia="zh-CN"/>
        </w:rPr>
      </w:pPr>
      <w:r>
        <w:rPr>
          <w:rFonts w:hint="eastAsia" w:cs="Times New Roman"/>
          <w:kern w:val="2"/>
        </w:rPr>
        <w:t>（1）关于发包人提供给承包人的图纸、发包人为实施工程自行编制或委托编制的技术规范以及反映发包人关于合同要求或其他类似性质的文件的著作权的归属：</w:t>
      </w:r>
      <w:r>
        <w:rPr>
          <w:rFonts w:hint="eastAsia" w:cs="Times New Roman"/>
          <w:u w:val="single"/>
        </w:rPr>
        <w:t>发包人</w:t>
      </w:r>
      <w:r>
        <w:rPr>
          <w:rFonts w:hint="eastAsia" w:cs="Times New Roman"/>
          <w:u w:val="single"/>
          <w:lang w:eastAsia="zh-CN"/>
        </w:rPr>
        <w:t>。</w:t>
      </w:r>
    </w:p>
    <w:p>
      <w:pPr>
        <w:keepNext w:val="0"/>
        <w:keepLines w:val="0"/>
        <w:pageBreakBefore w:val="0"/>
        <w:widowControl w:val="0"/>
        <w:kinsoku/>
        <w:topLinePunct w:val="0"/>
        <w:autoSpaceDE/>
        <w:autoSpaceDN/>
        <w:bidi w:val="0"/>
        <w:adjustRightInd w:val="0"/>
        <w:snapToGrid w:val="0"/>
        <w:spacing w:line="360" w:lineRule="auto"/>
        <w:ind w:firstLine="480"/>
        <w:jc w:val="left"/>
        <w:rPr>
          <w:rFonts w:ascii="Times New Roman" w:hAnsi="Times New Roman" w:eastAsia="仿宋_GB2312" w:cs="Times New Roman"/>
          <w:kern w:val="2"/>
          <w:sz w:val="30"/>
          <w:szCs w:val="32"/>
        </w:rPr>
      </w:pPr>
      <w:r>
        <w:rPr>
          <w:rFonts w:hint="eastAsia" w:cs="Times New Roman"/>
          <w:kern w:val="2"/>
        </w:rPr>
        <w:t>关于发包人提供的上述文件的使用限制的要求：</w:t>
      </w:r>
      <w:r>
        <w:rPr>
          <w:rFonts w:hint="eastAsia" w:cs="Times New Roman"/>
          <w:u w:val="single"/>
        </w:rPr>
        <w:t>除用于本工程或获得发包人书面同意外，不得用作任何其他用途。</w:t>
      </w:r>
    </w:p>
    <w:p>
      <w:pPr>
        <w:keepNext w:val="0"/>
        <w:keepLines w:val="0"/>
        <w:pageBreakBefore w:val="0"/>
        <w:widowControl w:val="0"/>
        <w:kinsoku/>
        <w:topLinePunct w:val="0"/>
        <w:autoSpaceDE/>
        <w:autoSpaceDN/>
        <w:bidi w:val="0"/>
        <w:adjustRightInd w:val="0"/>
        <w:snapToGrid w:val="0"/>
        <w:spacing w:line="360" w:lineRule="auto"/>
        <w:ind w:firstLine="480"/>
        <w:jc w:val="left"/>
        <w:rPr>
          <w:rFonts w:hint="eastAsia" w:ascii="Times New Roman" w:hAnsi="Times New Roman" w:eastAsia="宋体" w:cs="Times New Roman"/>
          <w:kern w:val="2"/>
          <w:sz w:val="30"/>
          <w:szCs w:val="32"/>
          <w:lang w:eastAsia="zh-CN"/>
        </w:rPr>
      </w:pPr>
      <w:r>
        <w:rPr>
          <w:rFonts w:hint="eastAsia" w:cs="Times New Roman"/>
          <w:kern w:val="2"/>
        </w:rPr>
        <w:t>（2）关于承包人为实施工程所编制文件的著作权的归属：</w:t>
      </w:r>
      <w:r>
        <w:rPr>
          <w:rFonts w:hint="eastAsia" w:cs="Times New Roman"/>
          <w:u w:val="single"/>
        </w:rPr>
        <w:t>发包人</w:t>
      </w:r>
      <w:r>
        <w:rPr>
          <w:rFonts w:hint="eastAsia" w:cs="Times New Roman"/>
          <w:u w:val="single"/>
          <w:lang w:eastAsia="zh-CN"/>
        </w:rPr>
        <w:t>。</w:t>
      </w:r>
    </w:p>
    <w:p>
      <w:pPr>
        <w:keepNext w:val="0"/>
        <w:keepLines w:val="0"/>
        <w:pageBreakBefore w:val="0"/>
        <w:widowControl w:val="0"/>
        <w:kinsoku/>
        <w:topLinePunct w:val="0"/>
        <w:autoSpaceDE/>
        <w:autoSpaceDN/>
        <w:bidi w:val="0"/>
        <w:adjustRightInd w:val="0"/>
        <w:snapToGrid w:val="0"/>
        <w:spacing w:line="360" w:lineRule="auto"/>
        <w:ind w:firstLine="480" w:firstLineChars="200"/>
        <w:jc w:val="left"/>
        <w:rPr>
          <w:rFonts w:ascii="Times New Roman" w:hAnsi="Times New Roman" w:eastAsia="仿宋_GB2312" w:cs="Times New Roman"/>
          <w:kern w:val="2"/>
          <w:sz w:val="30"/>
          <w:szCs w:val="32"/>
        </w:rPr>
      </w:pPr>
      <w:r>
        <w:rPr>
          <w:rFonts w:hint="eastAsia" w:cs="Times New Roman"/>
          <w:kern w:val="2"/>
        </w:rPr>
        <w:t>关于承包人提供的上述文件的使用限制的要求：</w:t>
      </w:r>
      <w:r>
        <w:rPr>
          <w:rFonts w:hint="eastAsia" w:cs="Times New Roman"/>
          <w:u w:val="single"/>
        </w:rPr>
        <w:t>除用于本工程或获得发包人书面同意外，不得用作任何其他用途。</w:t>
      </w:r>
    </w:p>
    <w:p>
      <w:pPr>
        <w:keepNext w:val="0"/>
        <w:keepLines w:val="0"/>
        <w:pageBreakBefore w:val="0"/>
        <w:widowControl w:val="0"/>
        <w:kinsoku/>
        <w:topLinePunct w:val="0"/>
        <w:autoSpaceDE/>
        <w:autoSpaceDN/>
        <w:bidi w:val="0"/>
        <w:adjustRightInd w:val="0"/>
        <w:snapToGrid w:val="0"/>
        <w:spacing w:line="360" w:lineRule="auto"/>
        <w:ind w:firstLine="480" w:firstLineChars="200"/>
        <w:jc w:val="left"/>
        <w:rPr>
          <w:rFonts w:cs="Times New Roman"/>
          <w:u w:val="single"/>
        </w:rPr>
      </w:pPr>
      <w:r>
        <w:rPr>
          <w:rFonts w:hint="eastAsia" w:cs="Times New Roman"/>
          <w:kern w:val="2"/>
        </w:rPr>
        <w:t>（4）承包人在施工过程中所采用的专利、专有技术、技术秘密的使用费的承担方式：</w:t>
      </w:r>
      <w:r>
        <w:rPr>
          <w:rFonts w:hint="eastAsia" w:cs="Times New Roman"/>
          <w:u w:val="single"/>
        </w:rPr>
        <w:t>由承包人自行解决，</w:t>
      </w:r>
      <w:r>
        <w:rPr>
          <w:rFonts w:hint="eastAsia" w:cs="Times New Roman"/>
          <w:b/>
          <w:bCs/>
          <w:u w:val="single"/>
        </w:rPr>
        <w:t>费用已在合同价中综合考虑，不再另行计取。</w:t>
      </w:r>
    </w:p>
    <w:p>
      <w:pPr>
        <w:keepNext w:val="0"/>
        <w:keepLines w:val="0"/>
        <w:pageBreakBefore w:val="0"/>
        <w:widowControl w:val="0"/>
        <w:kinsoku/>
        <w:topLinePunct w:val="0"/>
        <w:autoSpaceDE/>
        <w:autoSpaceDN/>
        <w:bidi w:val="0"/>
        <w:adjustRightInd w:val="0"/>
        <w:snapToGrid w:val="0"/>
        <w:spacing w:line="360" w:lineRule="auto"/>
        <w:ind w:firstLine="482" w:firstLineChars="200"/>
        <w:jc w:val="left"/>
        <w:rPr>
          <w:rFonts w:cs="Times New Roman"/>
          <w:b/>
          <w:kern w:val="2"/>
        </w:rPr>
      </w:pPr>
      <w:r>
        <w:rPr>
          <w:rFonts w:hint="eastAsia" w:cs="Times New Roman"/>
          <w:b/>
          <w:kern w:val="2"/>
        </w:rPr>
        <w:t>2.17保密</w:t>
      </w:r>
    </w:p>
    <w:p>
      <w:pPr>
        <w:keepNext w:val="0"/>
        <w:keepLines w:val="0"/>
        <w:pageBreakBefore w:val="0"/>
        <w:widowControl w:val="0"/>
        <w:kinsoku/>
        <w:topLinePunct w:val="0"/>
        <w:autoSpaceDE/>
        <w:autoSpaceDN/>
        <w:bidi w:val="0"/>
        <w:adjustRightInd w:val="0"/>
        <w:snapToGrid w:val="0"/>
        <w:spacing w:line="360" w:lineRule="auto"/>
        <w:ind w:firstLine="480" w:firstLineChars="200"/>
        <w:jc w:val="left"/>
        <w:rPr>
          <w:rFonts w:ascii="Times New Roman" w:hAnsi="Times New Roman" w:eastAsia="仿宋_GB2312" w:cs="Times New Roman"/>
          <w:sz w:val="30"/>
          <w:szCs w:val="32"/>
        </w:rPr>
      </w:pPr>
      <w:r>
        <w:rPr>
          <w:rFonts w:hint="eastAsia" w:cs="Times New Roman"/>
          <w:u w:val="single"/>
        </w:rPr>
        <w:t>未经发包人书面许可，承包人任何时候均不得将本工程的图纸和技术资料及文件泄漏给第三人。工程竣工验收合格后或应发包人要求，除承包人存档需要的图纸，应将其他全部图纸及资料退还发包人。工程所产生的全部资料、数据、成果、文件、图纸、照片、模型及版权、其他知识产权或其他合法权益的拥有权属于发包人，除用于工程或获得发包人授权或允许外，不得用作任何其他用途。发包人因此应向承包人支付的保密费用及其他费用，</w:t>
      </w:r>
      <w:r>
        <w:rPr>
          <w:rFonts w:hint="eastAsia" w:cs="Times New Roman"/>
          <w:b/>
          <w:bCs/>
          <w:u w:val="single"/>
        </w:rPr>
        <w:t>已在合同价中综合考虑，不再另行计取。</w:t>
      </w:r>
    </w:p>
    <w:p>
      <w:pPr>
        <w:keepNext w:val="0"/>
        <w:keepLines w:val="0"/>
        <w:pageBreakBefore w:val="0"/>
        <w:widowControl/>
        <w:tabs>
          <w:tab w:val="left" w:pos="1620"/>
          <w:tab w:val="left" w:pos="2340"/>
        </w:tabs>
        <w:kinsoku/>
        <w:topLinePunct w:val="0"/>
        <w:autoSpaceDE/>
        <w:autoSpaceDN/>
        <w:bidi w:val="0"/>
        <w:adjustRightInd w:val="0"/>
        <w:snapToGrid w:val="0"/>
        <w:spacing w:line="360" w:lineRule="auto"/>
        <w:jc w:val="left"/>
        <w:outlineLvl w:val="1"/>
        <w:rPr>
          <w:rFonts w:ascii="Times New Roman" w:cs="Times New Roman"/>
          <w:b/>
          <w:bCs/>
          <w:kern w:val="44"/>
          <w:sz w:val="28"/>
          <w:szCs w:val="28"/>
        </w:rPr>
      </w:pPr>
      <w:bookmarkStart w:id="67" w:name="_Toc46325250"/>
      <w:bookmarkStart w:id="68" w:name="_Toc1109"/>
      <w:bookmarkStart w:id="69" w:name="_Toc1999892"/>
      <w:bookmarkStart w:id="70" w:name="_Toc11282"/>
      <w:r>
        <w:rPr>
          <w:rFonts w:hint="eastAsia" w:ascii="Times New Roman" w:cs="Times New Roman"/>
          <w:b/>
          <w:bCs/>
          <w:kern w:val="44"/>
          <w:sz w:val="28"/>
          <w:szCs w:val="28"/>
        </w:rPr>
        <w:t>3 发包人</w:t>
      </w:r>
      <w:bookmarkEnd w:id="67"/>
      <w:bookmarkEnd w:id="68"/>
      <w:bookmarkEnd w:id="69"/>
      <w:bookmarkEnd w:id="70"/>
    </w:p>
    <w:p>
      <w:pPr>
        <w:keepNext w:val="0"/>
        <w:keepLines w:val="0"/>
        <w:pageBreakBefore w:val="0"/>
        <w:widowControl w:val="0"/>
        <w:tabs>
          <w:tab w:val="left" w:pos="540"/>
          <w:tab w:val="left" w:pos="2340"/>
        </w:tabs>
        <w:kinsoku/>
        <w:topLinePunct w:val="0"/>
        <w:autoSpaceDE/>
        <w:autoSpaceDN/>
        <w:bidi w:val="0"/>
        <w:adjustRightInd w:val="0"/>
        <w:snapToGrid w:val="0"/>
        <w:spacing w:line="360" w:lineRule="auto"/>
        <w:ind w:left="180"/>
        <w:jc w:val="left"/>
        <w:outlineLvl w:val="2"/>
        <w:rPr>
          <w:rFonts w:cs="Times New Roman"/>
          <w:b/>
          <w:bCs/>
          <w:kern w:val="2"/>
          <w:szCs w:val="32"/>
        </w:rPr>
      </w:pPr>
      <w:bookmarkStart w:id="71" w:name="_Toc11025"/>
      <w:bookmarkStart w:id="72" w:name="_Toc1999893"/>
      <w:bookmarkStart w:id="73" w:name="_Toc12786"/>
      <w:bookmarkStart w:id="74" w:name="_Toc46325251"/>
      <w:r>
        <w:rPr>
          <w:rFonts w:hint="eastAsia" w:cs="Times New Roman"/>
          <w:b/>
          <w:bCs/>
          <w:kern w:val="2"/>
          <w:szCs w:val="32"/>
        </w:rPr>
        <w:t>3.1 发包人代表</w:t>
      </w:r>
      <w:bookmarkEnd w:id="71"/>
      <w:bookmarkEnd w:id="72"/>
      <w:bookmarkEnd w:id="73"/>
      <w:bookmarkEnd w:id="74"/>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发包人代表的姓名：</w:t>
      </w:r>
      <w:r>
        <w:rPr>
          <w:rFonts w:hint="eastAsia" w:cs="Times New Roman"/>
          <w:kern w:val="2"/>
          <w:u w:val="single"/>
          <w:lang w:val="en-US" w:eastAsia="zh-CN"/>
        </w:rPr>
        <w:t>***</w:t>
      </w:r>
      <w:r>
        <w:rPr>
          <w:rFonts w:hint="eastAsia" w:cs="Times New Roman"/>
          <w:kern w:val="2"/>
        </w:rPr>
        <w:t>。</w:t>
      </w:r>
    </w:p>
    <w:p>
      <w:pPr>
        <w:keepNext w:val="0"/>
        <w:keepLines w:val="0"/>
        <w:pageBreakBefore w:val="0"/>
        <w:widowControl w:val="0"/>
        <w:tabs>
          <w:tab w:val="left" w:pos="540"/>
          <w:tab w:val="left" w:pos="2340"/>
        </w:tabs>
        <w:kinsoku/>
        <w:topLinePunct w:val="0"/>
        <w:autoSpaceDE/>
        <w:autoSpaceDN/>
        <w:bidi w:val="0"/>
        <w:adjustRightInd w:val="0"/>
        <w:snapToGrid w:val="0"/>
        <w:spacing w:line="360" w:lineRule="auto"/>
        <w:ind w:left="180"/>
        <w:jc w:val="left"/>
        <w:outlineLvl w:val="2"/>
        <w:rPr>
          <w:rFonts w:cs="Times New Roman"/>
          <w:b/>
          <w:bCs/>
          <w:kern w:val="2"/>
          <w:szCs w:val="32"/>
        </w:rPr>
      </w:pPr>
      <w:bookmarkStart w:id="75" w:name="_Toc46325252"/>
      <w:bookmarkStart w:id="76" w:name="_Toc1999894"/>
      <w:bookmarkStart w:id="77" w:name="_Toc16862"/>
      <w:bookmarkStart w:id="78" w:name="_Toc21151"/>
      <w:r>
        <w:rPr>
          <w:rFonts w:hint="eastAsia" w:cs="Times New Roman"/>
          <w:b/>
          <w:bCs/>
          <w:kern w:val="2"/>
          <w:szCs w:val="32"/>
        </w:rPr>
        <w:t>3.4 发包人的工作</w:t>
      </w:r>
      <w:bookmarkEnd w:id="75"/>
      <w:bookmarkEnd w:id="76"/>
      <w:bookmarkEnd w:id="77"/>
      <w:bookmarkEnd w:id="78"/>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(1)发包人完成工作的要求：</w:t>
      </w:r>
    </w:p>
    <w:p>
      <w:pPr>
        <w:widowControl w:val="0"/>
        <w:spacing w:line="360" w:lineRule="auto"/>
        <w:ind w:firstLine="480"/>
        <w:rPr>
          <w:rFonts w:cs="Times New Roman"/>
          <w:kern w:val="2"/>
          <w:u w:val="single"/>
        </w:rPr>
      </w:pPr>
      <w:r>
        <w:rPr>
          <w:rFonts w:hint="eastAsia" w:cs="Times New Roman"/>
          <w:kern w:val="2"/>
        </w:rPr>
        <w:t>②施工场地内施工所需用水、用电、通讯的接驳地点：</w:t>
      </w:r>
      <w:r>
        <w:rPr>
          <w:rFonts w:hint="eastAsia" w:cs="Times New Roman"/>
          <w:kern w:val="2"/>
          <w:u w:val="single"/>
        </w:rPr>
        <w:t>临时用水、用电、通讯由承包单位自行解决，发包人可协助处理。水电费由承包人缴纳。</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⑦发包人组织图纸会审和设计交底的时间：</w:t>
      </w:r>
      <w:r>
        <w:rPr>
          <w:rFonts w:hint="eastAsia" w:cs="Times New Roman"/>
          <w:kern w:val="2"/>
          <w:u w:val="single"/>
        </w:rPr>
        <w:t>视具体情况由发包人决定</w:t>
      </w:r>
      <w:r>
        <w:rPr>
          <w:rFonts w:hint="eastAsia" w:cs="Times New Roman"/>
          <w:kern w:val="2"/>
        </w:rPr>
        <w:t>。</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rPr>
        <w:t>⑨发包人应做的其他工作和要求：</w:t>
      </w:r>
      <w:r>
        <w:rPr>
          <w:rFonts w:hint="eastAsia" w:cs="Times New Roman"/>
          <w:kern w:val="2"/>
          <w:u w:val="single"/>
        </w:rPr>
        <w:t>本工程发包人代表在合同执行中行使发包人的权利和义务，参与施工全过程管理，协调施工中的各种关系；会同监理工程师办理工程变更、工程量计量、工程款支付、竣工验收等手续的审批以及造价送审。具体以发包人的质量管理体系文件、内部管理文件及相关政策规定为准。</w:t>
      </w:r>
    </w:p>
    <w:p>
      <w:pPr>
        <w:keepNext w:val="0"/>
        <w:keepLines w:val="0"/>
        <w:pageBreakBefore w:val="0"/>
        <w:widowControl w:val="0"/>
        <w:tabs>
          <w:tab w:val="left" w:pos="540"/>
          <w:tab w:val="left" w:pos="2340"/>
        </w:tabs>
        <w:kinsoku/>
        <w:topLinePunct w:val="0"/>
        <w:autoSpaceDE/>
        <w:autoSpaceDN/>
        <w:bidi w:val="0"/>
        <w:adjustRightInd w:val="0"/>
        <w:snapToGrid w:val="0"/>
        <w:spacing w:line="360" w:lineRule="auto"/>
        <w:ind w:left="180"/>
        <w:jc w:val="left"/>
        <w:outlineLvl w:val="2"/>
        <w:rPr>
          <w:rFonts w:cs="Times New Roman"/>
          <w:b/>
          <w:bCs/>
          <w:kern w:val="2"/>
          <w:szCs w:val="32"/>
        </w:rPr>
      </w:pPr>
      <w:bookmarkStart w:id="79" w:name="_Toc46325253"/>
      <w:bookmarkStart w:id="80" w:name="_Toc25804"/>
      <w:bookmarkStart w:id="81" w:name="_Toc1999895"/>
      <w:bookmarkStart w:id="82" w:name="_Toc17728"/>
      <w:r>
        <w:rPr>
          <w:rFonts w:hint="eastAsia" w:cs="Times New Roman"/>
          <w:b/>
          <w:bCs/>
          <w:kern w:val="2"/>
          <w:szCs w:val="32"/>
        </w:rPr>
        <w:t>3.5 发包人委托</w:t>
      </w:r>
      <w:bookmarkEnd w:id="79"/>
      <w:bookmarkEnd w:id="80"/>
      <w:bookmarkEnd w:id="81"/>
      <w:bookmarkEnd w:id="82"/>
    </w:p>
    <w:p>
      <w:pPr>
        <w:keepNext w:val="0"/>
        <w:keepLines w:val="0"/>
        <w:pageBreakBefore w:val="0"/>
        <w:widowControl w:val="0"/>
        <w:kinsoku/>
        <w:topLinePunct w:val="0"/>
        <w:autoSpaceDE/>
        <w:autoSpaceDN/>
        <w:bidi w:val="0"/>
        <w:adjustRightInd w:val="0"/>
        <w:snapToGrid w:val="0"/>
        <w:spacing w:line="360" w:lineRule="auto"/>
        <w:ind w:firstLine="480" w:firstLineChars="200"/>
        <w:jc w:val="left"/>
        <w:rPr>
          <w:b/>
          <w:bCs/>
          <w:kern w:val="2"/>
          <w:u w:val="single"/>
        </w:rPr>
      </w:pPr>
      <w:r>
        <w:rPr>
          <w:rFonts w:hint="eastAsia" w:cs="Times New Roman"/>
          <w:kern w:val="2"/>
        </w:rPr>
        <w:t>发包人委托承包人办理的工作：</w:t>
      </w:r>
      <w:bookmarkStart w:id="83" w:name="_Toc1999896"/>
      <w:r>
        <w:rPr>
          <w:rFonts w:hint="eastAsia" w:cs="Times New Roman"/>
          <w:kern w:val="2"/>
          <w:u w:val="single"/>
        </w:rPr>
        <w:t>详见补充条款及附件1。</w:t>
      </w:r>
    </w:p>
    <w:p>
      <w:pPr>
        <w:keepNext w:val="0"/>
        <w:keepLines w:val="0"/>
        <w:pageBreakBefore w:val="0"/>
        <w:widowControl/>
        <w:tabs>
          <w:tab w:val="left" w:pos="1620"/>
          <w:tab w:val="left" w:pos="2340"/>
        </w:tabs>
        <w:kinsoku/>
        <w:topLinePunct w:val="0"/>
        <w:autoSpaceDE/>
        <w:autoSpaceDN/>
        <w:bidi w:val="0"/>
        <w:adjustRightInd w:val="0"/>
        <w:snapToGrid w:val="0"/>
        <w:spacing w:line="360" w:lineRule="auto"/>
        <w:jc w:val="left"/>
        <w:outlineLvl w:val="1"/>
        <w:rPr>
          <w:rFonts w:ascii="Times New Roman" w:cs="Times New Roman"/>
          <w:b/>
          <w:bCs/>
          <w:kern w:val="44"/>
          <w:sz w:val="28"/>
          <w:szCs w:val="28"/>
        </w:rPr>
      </w:pPr>
      <w:bookmarkStart w:id="84" w:name="_Toc7666"/>
      <w:bookmarkStart w:id="85" w:name="_Toc15315"/>
      <w:r>
        <w:rPr>
          <w:rFonts w:hint="eastAsia" w:ascii="Times New Roman" w:cs="Times New Roman"/>
          <w:b/>
          <w:bCs/>
          <w:kern w:val="44"/>
          <w:sz w:val="28"/>
          <w:szCs w:val="28"/>
        </w:rPr>
        <w:t>4 承包人</w:t>
      </w:r>
      <w:bookmarkEnd w:id="83"/>
      <w:bookmarkEnd w:id="84"/>
      <w:bookmarkEnd w:id="85"/>
    </w:p>
    <w:p>
      <w:pPr>
        <w:keepNext w:val="0"/>
        <w:keepLines w:val="0"/>
        <w:pageBreakBefore w:val="0"/>
        <w:widowControl w:val="0"/>
        <w:tabs>
          <w:tab w:val="left" w:pos="540"/>
          <w:tab w:val="left" w:pos="2340"/>
        </w:tabs>
        <w:kinsoku/>
        <w:topLinePunct w:val="0"/>
        <w:autoSpaceDE/>
        <w:autoSpaceDN/>
        <w:bidi w:val="0"/>
        <w:adjustRightInd w:val="0"/>
        <w:snapToGrid w:val="0"/>
        <w:spacing w:line="360" w:lineRule="auto"/>
        <w:ind w:left="180"/>
        <w:jc w:val="left"/>
        <w:outlineLvl w:val="2"/>
        <w:rPr>
          <w:rFonts w:cs="Times New Roman"/>
          <w:b/>
          <w:bCs/>
          <w:kern w:val="2"/>
          <w:szCs w:val="32"/>
        </w:rPr>
      </w:pPr>
      <w:bookmarkStart w:id="86" w:name="_Toc1999897"/>
      <w:bookmarkStart w:id="87" w:name="_Toc18278"/>
      <w:bookmarkStart w:id="88" w:name="_Toc17632"/>
      <w:bookmarkStart w:id="89" w:name="_Toc46325254"/>
      <w:r>
        <w:rPr>
          <w:rFonts w:hint="eastAsia" w:cs="Times New Roman"/>
          <w:b/>
          <w:bCs/>
          <w:kern w:val="2"/>
          <w:szCs w:val="32"/>
        </w:rPr>
        <w:t>4.2 承包人的工作</w:t>
      </w:r>
      <w:bookmarkEnd w:id="86"/>
      <w:bookmarkEnd w:id="87"/>
      <w:bookmarkEnd w:id="88"/>
      <w:bookmarkEnd w:id="89"/>
    </w:p>
    <w:p>
      <w:pPr>
        <w:keepNext w:val="0"/>
        <w:keepLines w:val="0"/>
        <w:pageBreakBefore w:val="0"/>
        <w:widowControl w:val="0"/>
        <w:kinsoku/>
        <w:topLinePunct w:val="0"/>
        <w:autoSpaceDE/>
        <w:autoSpaceDN/>
        <w:bidi w:val="0"/>
        <w:adjustRightInd w:val="0"/>
        <w:snapToGrid w:val="0"/>
        <w:spacing w:line="360" w:lineRule="auto"/>
        <w:ind w:firstLine="480" w:firstLineChars="200"/>
        <w:jc w:val="left"/>
        <w:rPr>
          <w:rFonts w:cs="Times New Roman"/>
          <w:kern w:val="2"/>
        </w:rPr>
      </w:pPr>
      <w:r>
        <w:rPr>
          <w:rFonts w:hint="eastAsia" w:cs="Times New Roman"/>
          <w:kern w:val="2"/>
        </w:rPr>
        <w:t>(1)承包人完成工作的要求：</w:t>
      </w:r>
    </w:p>
    <w:p>
      <w:pPr>
        <w:keepNext w:val="0"/>
        <w:keepLines w:val="0"/>
        <w:pageBreakBefore w:val="0"/>
        <w:widowControl w:val="0"/>
        <w:kinsoku/>
        <w:topLinePunct w:val="0"/>
        <w:autoSpaceDE/>
        <w:autoSpaceDN/>
        <w:bidi w:val="0"/>
        <w:adjustRightInd w:val="0"/>
        <w:snapToGrid w:val="0"/>
        <w:spacing w:line="360" w:lineRule="auto"/>
        <w:ind w:firstLine="480" w:firstLineChars="200"/>
        <w:jc w:val="left"/>
        <w:rPr>
          <w:rFonts w:cs="Times New Roman"/>
          <w:kern w:val="2"/>
          <w:u w:val="single"/>
        </w:rPr>
      </w:pPr>
      <w:r>
        <w:rPr>
          <w:rFonts w:hint="eastAsia" w:cs="Times New Roman"/>
          <w:kern w:val="2"/>
        </w:rPr>
        <w:t>③承包人向发包人提供施工场地办公和生活的房屋及设施，费用承担方式为：</w:t>
      </w:r>
      <w:r>
        <w:rPr>
          <w:rFonts w:hint="eastAsia" w:cs="Times New Roman"/>
          <w:kern w:val="2"/>
          <w:u w:val="single"/>
        </w:rPr>
        <w:t xml:space="preserve"> 由承包人承担。</w:t>
      </w:r>
    </w:p>
    <w:p>
      <w:pPr>
        <w:widowControl w:val="0"/>
        <w:adjustRightInd w:val="0"/>
        <w:snapToGrid w:val="0"/>
        <w:spacing w:line="360" w:lineRule="auto"/>
        <w:ind w:firstLine="480"/>
      </w:pPr>
      <w:r>
        <w:rPr>
          <w:rFonts w:hint="eastAsia" w:cs="Times New Roman"/>
          <w:kern w:val="2"/>
        </w:rPr>
        <w:t>⑧承包人应在</w:t>
      </w:r>
      <w:r>
        <w:rPr>
          <w:rFonts w:hint="eastAsia" w:cs="Times New Roman"/>
          <w:u w:val="single"/>
        </w:rPr>
        <w:t>工程竣工验收合格后三个月内</w:t>
      </w:r>
      <w:r>
        <w:rPr>
          <w:rFonts w:hint="eastAsia" w:cs="Times New Roman"/>
          <w:kern w:val="2"/>
        </w:rPr>
        <w:t>向发包人提交</w:t>
      </w:r>
      <w:r>
        <w:rPr>
          <w:rFonts w:hint="eastAsia" w:cs="Times New Roman"/>
          <w:kern w:val="2"/>
          <w:u w:val="single"/>
        </w:rPr>
        <w:t xml:space="preserve"> 4 </w:t>
      </w:r>
      <w:r>
        <w:rPr>
          <w:rFonts w:hint="eastAsia" w:cs="Times New Roman"/>
          <w:kern w:val="2"/>
        </w:rPr>
        <w:t>套竣工资料。</w:t>
      </w:r>
    </w:p>
    <w:p>
      <w:pPr>
        <w:keepNext w:val="0"/>
        <w:keepLines w:val="0"/>
        <w:pageBreakBefore w:val="0"/>
        <w:widowControl w:val="0"/>
        <w:kinsoku/>
        <w:topLinePunct w:val="0"/>
        <w:autoSpaceDE/>
        <w:autoSpaceDN/>
        <w:bidi w:val="0"/>
        <w:adjustRightInd w:val="0"/>
        <w:snapToGrid w:val="0"/>
        <w:spacing w:line="360" w:lineRule="auto"/>
        <w:ind w:firstLine="480" w:firstLineChars="200"/>
        <w:jc w:val="both"/>
        <w:rPr>
          <w:rFonts w:cs="Times New Roman"/>
          <w:kern w:val="2"/>
        </w:rPr>
      </w:pPr>
      <w:r>
        <w:rPr>
          <w:rFonts w:hint="eastAsia" w:cs="Times New Roman"/>
          <w:kern w:val="2"/>
        </w:rPr>
        <w:fldChar w:fldCharType="begin"/>
      </w:r>
      <w:r>
        <w:rPr>
          <w:rFonts w:hint="eastAsia" w:cs="Times New Roman"/>
          <w:kern w:val="2"/>
        </w:rPr>
        <w:instrText xml:space="preserve"> = 9 \* GB3 \* MERGEFORMAT </w:instrText>
      </w:r>
      <w:r>
        <w:rPr>
          <w:rFonts w:hint="eastAsia" w:cs="Times New Roman"/>
          <w:kern w:val="2"/>
        </w:rPr>
        <w:fldChar w:fldCharType="separate"/>
      </w:r>
      <w:r>
        <w:t>⑨</w:t>
      </w:r>
      <w:r>
        <w:rPr>
          <w:rFonts w:hint="eastAsia" w:cs="Times New Roman"/>
          <w:kern w:val="2"/>
        </w:rPr>
        <w:fldChar w:fldCharType="end"/>
      </w:r>
      <w:r>
        <w:rPr>
          <w:rFonts w:hint="eastAsia" w:cs="Times New Roman"/>
          <w:kern w:val="2"/>
        </w:rPr>
        <w:t>承包人应做的其他工作：除了做好本项目范围内的成品保护外，因工作需要将工作面延伸至上下游范围导致该范围内的设备设施或装饰面出现破损或损坏的，由本项目总承包单位进行维修和更换</w:t>
      </w:r>
      <w:r>
        <w:rPr>
          <w:rFonts w:hint="eastAsia" w:cs="Times New Roman"/>
          <w:kern w:val="2"/>
          <w:lang w:eastAsia="zh-CN"/>
        </w:rPr>
        <w:t>；</w:t>
      </w:r>
      <w:r>
        <w:rPr>
          <w:rFonts w:hint="eastAsia" w:cs="Times New Roman"/>
          <w:kern w:val="2"/>
        </w:rPr>
        <w:t>相关费用已综合考虑，不再另行计取。承包人应做好施工阶段及竣工验收前的保洁工作，具体以甲方的验收要求为准。</w:t>
      </w:r>
      <w:r>
        <w:rPr>
          <w:rFonts w:hint="eastAsia" w:cs="Times New Roman"/>
          <w:kern w:val="2"/>
          <w:lang w:val="en-US" w:eastAsia="zh-CN"/>
        </w:rPr>
        <w:t>其余</w:t>
      </w:r>
      <w:r>
        <w:rPr>
          <w:rFonts w:hint="eastAsia" w:cs="Times New Roman"/>
          <w:kern w:val="2"/>
          <w:u w:val="single"/>
        </w:rPr>
        <w:t>详见补充条款及附件1</w:t>
      </w:r>
      <w:r>
        <w:rPr>
          <w:rFonts w:hint="eastAsia"/>
          <w:kern w:val="2"/>
          <w:u w:val="single"/>
        </w:rPr>
        <w:t>。</w:t>
      </w:r>
    </w:p>
    <w:p>
      <w:pPr>
        <w:keepNext w:val="0"/>
        <w:keepLines w:val="0"/>
        <w:pageBreakBefore w:val="0"/>
        <w:widowControl w:val="0"/>
        <w:tabs>
          <w:tab w:val="left" w:pos="540"/>
          <w:tab w:val="left" w:pos="2340"/>
        </w:tabs>
        <w:kinsoku/>
        <w:topLinePunct w:val="0"/>
        <w:autoSpaceDE/>
        <w:autoSpaceDN/>
        <w:bidi w:val="0"/>
        <w:adjustRightInd w:val="0"/>
        <w:snapToGrid w:val="0"/>
        <w:spacing w:line="360" w:lineRule="auto"/>
        <w:jc w:val="left"/>
        <w:outlineLvl w:val="2"/>
        <w:rPr>
          <w:rFonts w:cs="Times New Roman"/>
          <w:b/>
          <w:bCs/>
          <w:kern w:val="2"/>
          <w:szCs w:val="32"/>
        </w:rPr>
      </w:pPr>
      <w:bookmarkStart w:id="90" w:name="_Toc28775"/>
      <w:bookmarkStart w:id="91" w:name="_Toc46325255"/>
      <w:bookmarkStart w:id="92" w:name="_Toc1721"/>
      <w:bookmarkStart w:id="93" w:name="_Toc1999916"/>
      <w:r>
        <w:rPr>
          <w:rFonts w:hint="eastAsia" w:cs="Times New Roman"/>
          <w:b/>
          <w:bCs/>
          <w:kern w:val="2"/>
          <w:szCs w:val="32"/>
        </w:rPr>
        <w:t>4.3项目经理的任命</w:t>
      </w:r>
      <w:bookmarkEnd w:id="90"/>
      <w:bookmarkEnd w:id="91"/>
      <w:bookmarkEnd w:id="92"/>
      <w:bookmarkEnd w:id="93"/>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u w:val="single"/>
        </w:rPr>
      </w:pPr>
      <w:r>
        <w:rPr>
          <w:rFonts w:hint="eastAsia" w:cs="Times New Roman"/>
          <w:kern w:val="2"/>
        </w:rPr>
        <w:t>(2)承包人任命的项目经理姓名：</w:t>
      </w:r>
      <w:r>
        <w:rPr>
          <w:rFonts w:hint="eastAsia" w:cs="Times New Roman"/>
          <w:kern w:val="2"/>
          <w:u w:val="single"/>
          <w:lang w:val="en-US" w:eastAsia="zh-CN"/>
        </w:rPr>
        <w:t>***</w:t>
      </w:r>
      <w:r>
        <w:rPr>
          <w:rFonts w:hint="eastAsia" w:cs="Times New Roman"/>
          <w:kern w:val="2"/>
          <w:u w:val="single"/>
        </w:rPr>
        <w:t xml:space="preserve"> </w:t>
      </w:r>
      <w:r>
        <w:rPr>
          <w:rFonts w:hint="eastAsia" w:cs="Times New Roman"/>
          <w:kern w:val="2"/>
        </w:rPr>
        <w:t>，资格证书号：</w:t>
      </w:r>
      <w:r>
        <w:rPr>
          <w:rFonts w:hint="eastAsia" w:cs="Times New Roman"/>
          <w:kern w:val="2"/>
          <w:u w:val="single"/>
          <w:lang w:val="en-US" w:eastAsia="zh-CN"/>
        </w:rPr>
        <w:t>******</w:t>
      </w:r>
      <w:r>
        <w:rPr>
          <w:rFonts w:hint="eastAsia" w:cs="Times New Roman"/>
          <w:kern w:val="2"/>
          <w:u w:val="single"/>
        </w:rPr>
        <w:t xml:space="preserve"> </w:t>
      </w:r>
      <w:r>
        <w:rPr>
          <w:rFonts w:hint="eastAsia" w:cs="Times New Roman"/>
          <w:kern w:val="2"/>
        </w:rPr>
        <w:t>。</w:t>
      </w:r>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rPr>
      </w:pPr>
      <w:r>
        <w:rPr>
          <w:rFonts w:hint="eastAsia" w:cs="Times New Roman"/>
          <w:kern w:val="2"/>
        </w:rPr>
        <w:t>(3)承包人的项目经理与投标文件的承诺不一致，或项目经理未及时到位，或同时兼任承包人其它工程项目的项目经理的，承包人应向发包人支付违约金：</w:t>
      </w:r>
      <w:r>
        <w:rPr>
          <w:rFonts w:hint="eastAsia" w:cs="Times New Roman"/>
          <w:kern w:val="2"/>
          <w:u w:val="single"/>
        </w:rPr>
        <w:t>详见补充条款及附件1约定</w:t>
      </w:r>
      <w:r>
        <w:rPr>
          <w:rFonts w:hint="eastAsia" w:cs="Times New Roman"/>
          <w:kern w:val="2"/>
        </w:rPr>
        <w:t>。</w:t>
      </w:r>
    </w:p>
    <w:p>
      <w:pPr>
        <w:keepNext w:val="0"/>
        <w:keepLines w:val="0"/>
        <w:pageBreakBefore w:val="0"/>
        <w:widowControl w:val="0"/>
        <w:tabs>
          <w:tab w:val="left" w:pos="540"/>
          <w:tab w:val="left" w:pos="2340"/>
        </w:tabs>
        <w:kinsoku/>
        <w:topLinePunct w:val="0"/>
        <w:autoSpaceDE/>
        <w:autoSpaceDN/>
        <w:bidi w:val="0"/>
        <w:adjustRightInd w:val="0"/>
        <w:snapToGrid w:val="0"/>
        <w:spacing w:line="360" w:lineRule="auto"/>
        <w:ind w:left="180"/>
        <w:jc w:val="left"/>
        <w:outlineLvl w:val="2"/>
        <w:rPr>
          <w:rFonts w:cs="Times New Roman"/>
          <w:b/>
          <w:bCs/>
          <w:kern w:val="2"/>
          <w:szCs w:val="32"/>
        </w:rPr>
      </w:pPr>
      <w:bookmarkStart w:id="94" w:name="_Toc1999917"/>
      <w:bookmarkStart w:id="95" w:name="_Toc1675"/>
      <w:bookmarkStart w:id="96" w:name="_Toc46325256"/>
      <w:bookmarkStart w:id="97" w:name="_Toc21189"/>
      <w:r>
        <w:rPr>
          <w:rFonts w:hint="eastAsia" w:cs="Times New Roman"/>
          <w:b/>
          <w:bCs/>
          <w:kern w:val="2"/>
          <w:szCs w:val="32"/>
        </w:rPr>
        <w:t>4.4 项目经理的更换</w:t>
      </w:r>
      <w:bookmarkEnd w:id="94"/>
      <w:bookmarkEnd w:id="95"/>
      <w:bookmarkEnd w:id="96"/>
      <w:bookmarkEnd w:id="97"/>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rPr>
      </w:pPr>
      <w:r>
        <w:rPr>
          <w:rFonts w:hint="eastAsia" w:cs="Times New Roman"/>
          <w:kern w:val="2"/>
        </w:rPr>
        <w:t>(2)承包人未经监理工程师及发包人同意更换项目经理的，承包人应向发包人支付违约金：</w:t>
      </w:r>
      <w:r>
        <w:rPr>
          <w:rFonts w:hint="eastAsia" w:cs="Times New Roman"/>
          <w:kern w:val="2"/>
          <w:u w:val="single"/>
        </w:rPr>
        <w:t>详见补充条款及附件</w:t>
      </w:r>
      <w:r>
        <w:rPr>
          <w:rFonts w:cs="Times New Roman"/>
          <w:kern w:val="2"/>
          <w:u w:val="single"/>
        </w:rPr>
        <w:t>1</w:t>
      </w:r>
      <w:r>
        <w:rPr>
          <w:rFonts w:hint="eastAsia" w:cs="Times New Roman"/>
          <w:kern w:val="2"/>
          <w:u w:val="single"/>
        </w:rPr>
        <w:t>约定</w:t>
      </w:r>
      <w:r>
        <w:rPr>
          <w:rFonts w:hint="eastAsia" w:cs="Times New Roman"/>
          <w:kern w:val="2"/>
        </w:rPr>
        <w:t>。</w:t>
      </w:r>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rPr>
      </w:pPr>
      <w:r>
        <w:rPr>
          <w:rFonts w:hint="eastAsia" w:cs="Times New Roman"/>
          <w:kern w:val="2"/>
        </w:rPr>
        <w:t>(3)承包人无正当理由拒绝更换项目经理的违约责任：</w:t>
      </w:r>
      <w:r>
        <w:rPr>
          <w:rFonts w:hint="eastAsia" w:cs="Times New Roman"/>
          <w:kern w:val="2"/>
          <w:u w:val="single"/>
        </w:rPr>
        <w:t>详见补充条款及附件</w:t>
      </w:r>
      <w:r>
        <w:rPr>
          <w:rFonts w:cs="Times New Roman"/>
          <w:kern w:val="2"/>
          <w:u w:val="single"/>
        </w:rPr>
        <w:t>1</w:t>
      </w:r>
      <w:r>
        <w:rPr>
          <w:rFonts w:hint="eastAsia" w:cs="Times New Roman"/>
          <w:kern w:val="2"/>
          <w:u w:val="single"/>
        </w:rPr>
        <w:t>约定</w:t>
      </w:r>
      <w:r>
        <w:rPr>
          <w:rFonts w:hint="eastAsia" w:cs="Times New Roman"/>
          <w:kern w:val="2"/>
        </w:rPr>
        <w:t>。</w:t>
      </w:r>
    </w:p>
    <w:p>
      <w:pPr>
        <w:keepNext w:val="0"/>
        <w:keepLines w:val="0"/>
        <w:pageBreakBefore w:val="0"/>
        <w:widowControl w:val="0"/>
        <w:tabs>
          <w:tab w:val="left" w:pos="540"/>
          <w:tab w:val="left" w:pos="2340"/>
        </w:tabs>
        <w:kinsoku/>
        <w:topLinePunct w:val="0"/>
        <w:autoSpaceDE/>
        <w:autoSpaceDN/>
        <w:bidi w:val="0"/>
        <w:adjustRightInd w:val="0"/>
        <w:snapToGrid w:val="0"/>
        <w:spacing w:line="360" w:lineRule="auto"/>
        <w:ind w:left="180"/>
        <w:jc w:val="left"/>
        <w:outlineLvl w:val="2"/>
        <w:rPr>
          <w:rFonts w:cs="Times New Roman"/>
          <w:b/>
          <w:bCs/>
          <w:kern w:val="2"/>
          <w:szCs w:val="32"/>
        </w:rPr>
      </w:pPr>
      <w:bookmarkStart w:id="98" w:name="_Toc19686"/>
      <w:bookmarkStart w:id="99" w:name="_Toc3"/>
      <w:bookmarkStart w:id="100" w:name="_Toc46325257"/>
      <w:bookmarkStart w:id="101" w:name="_Toc1999918"/>
      <w:r>
        <w:rPr>
          <w:rFonts w:hint="eastAsia" w:cs="Times New Roman"/>
          <w:b/>
          <w:bCs/>
          <w:kern w:val="2"/>
          <w:szCs w:val="32"/>
        </w:rPr>
        <w:t>4.6 施工管理人员</w:t>
      </w:r>
      <w:bookmarkEnd w:id="98"/>
      <w:bookmarkEnd w:id="99"/>
      <w:bookmarkEnd w:id="100"/>
      <w:bookmarkEnd w:id="101"/>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rPr>
      </w:pPr>
      <w:r>
        <w:rPr>
          <w:rFonts w:hint="eastAsia" w:cs="Times New Roman"/>
          <w:kern w:val="2"/>
        </w:rPr>
        <w:t>(5)承包人的管理人员在施工期间出现以下情况，应承担的违约责任：</w:t>
      </w:r>
      <w:r>
        <w:rPr>
          <w:rFonts w:hint="eastAsia" w:cs="Times New Roman"/>
          <w:kern w:val="2"/>
          <w:u w:val="single"/>
        </w:rPr>
        <w:t>详见补充条款及附件</w:t>
      </w:r>
      <w:r>
        <w:rPr>
          <w:rFonts w:cs="Times New Roman"/>
          <w:kern w:val="2"/>
          <w:u w:val="single"/>
        </w:rPr>
        <w:t>1</w:t>
      </w:r>
      <w:r>
        <w:rPr>
          <w:rFonts w:hint="eastAsia" w:cs="Times New Roman"/>
          <w:kern w:val="2"/>
          <w:u w:val="single"/>
        </w:rPr>
        <w:t>约定</w:t>
      </w:r>
      <w:r>
        <w:rPr>
          <w:rFonts w:hint="eastAsia" w:cs="Times New Roman"/>
          <w:kern w:val="2"/>
        </w:rPr>
        <w:t>。</w:t>
      </w:r>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rPr>
      </w:pPr>
      <w:r>
        <w:rPr>
          <w:rFonts w:hint="eastAsia" w:cs="Times New Roman"/>
          <w:kern w:val="2"/>
        </w:rPr>
        <w:t>(6)承包人无正当理由拒绝撤换的，应承担的违约责任：</w:t>
      </w:r>
      <w:r>
        <w:rPr>
          <w:rFonts w:hint="eastAsia" w:cs="Times New Roman"/>
          <w:kern w:val="2"/>
          <w:u w:val="single"/>
        </w:rPr>
        <w:t>详见补充条款及附件</w:t>
      </w:r>
      <w:r>
        <w:rPr>
          <w:rFonts w:cs="Times New Roman"/>
          <w:kern w:val="2"/>
          <w:u w:val="single"/>
        </w:rPr>
        <w:t>1</w:t>
      </w:r>
      <w:r>
        <w:rPr>
          <w:rFonts w:hint="eastAsia" w:cs="Times New Roman"/>
          <w:kern w:val="2"/>
          <w:u w:val="single"/>
        </w:rPr>
        <w:t>约定</w:t>
      </w:r>
      <w:r>
        <w:rPr>
          <w:rFonts w:hint="eastAsia" w:cs="Times New Roman"/>
          <w:kern w:val="2"/>
        </w:rPr>
        <w:t>。</w:t>
      </w:r>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rPr>
      </w:pPr>
      <w:r>
        <w:rPr>
          <w:rFonts w:hint="eastAsia" w:cs="Times New Roman"/>
          <w:b/>
          <w:bCs/>
          <w:kern w:val="2"/>
        </w:rPr>
        <w:t>4.8实名制管理</w:t>
      </w:r>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rPr>
      </w:pPr>
      <w:r>
        <w:rPr>
          <w:rFonts w:hint="eastAsia" w:cs="Times New Roman"/>
          <w:kern w:val="2"/>
        </w:rPr>
        <w:t>在本工程履约过程中，发包人将对承包人项目经理、主要施工管理人员实行实名制管理，承包人须同意接受发包人对承包人项目经理、主要施工管理人员进行实名采集管理，具体包括实名信息采集登记、电子签到和人员考勤。实名信息采集登记人员须持本人身份证在指定地点进行拍照采集，采集内容包括人员姓名、身份证信息、电话号码、人脸识别图像等相关信息。纳入电子签到范围人员参加投标文件澄清、每次到达项目现场或发包人指定地址参加会议、现场检查等工作时，须通过人脸识别考勤设备进行电子签到。</w:t>
      </w:r>
    </w:p>
    <w:p>
      <w:pPr>
        <w:keepNext w:val="0"/>
        <w:keepLines w:val="0"/>
        <w:pageBreakBefore w:val="0"/>
        <w:widowControl/>
        <w:tabs>
          <w:tab w:val="left" w:pos="1620"/>
          <w:tab w:val="left" w:pos="2340"/>
        </w:tabs>
        <w:kinsoku/>
        <w:topLinePunct w:val="0"/>
        <w:autoSpaceDE/>
        <w:autoSpaceDN/>
        <w:bidi w:val="0"/>
        <w:adjustRightInd w:val="0"/>
        <w:snapToGrid w:val="0"/>
        <w:spacing w:line="360" w:lineRule="auto"/>
        <w:jc w:val="left"/>
        <w:outlineLvl w:val="1"/>
        <w:rPr>
          <w:rFonts w:ascii="Times New Roman" w:cs="Times New Roman"/>
          <w:b/>
          <w:bCs/>
          <w:kern w:val="44"/>
          <w:sz w:val="28"/>
          <w:szCs w:val="28"/>
        </w:rPr>
      </w:pPr>
      <w:bookmarkStart w:id="102" w:name="_Toc46325258"/>
      <w:bookmarkStart w:id="103" w:name="_Toc30168"/>
      <w:bookmarkStart w:id="104" w:name="_Toc9903"/>
      <w:bookmarkStart w:id="105" w:name="_Toc1999919"/>
      <w:r>
        <w:rPr>
          <w:rFonts w:hint="eastAsia" w:ascii="Times New Roman" w:cs="Times New Roman"/>
          <w:b/>
          <w:bCs/>
          <w:kern w:val="44"/>
          <w:sz w:val="28"/>
          <w:szCs w:val="28"/>
        </w:rPr>
        <w:t>5 监理人</w:t>
      </w:r>
      <w:bookmarkEnd w:id="102"/>
      <w:bookmarkEnd w:id="103"/>
      <w:bookmarkEnd w:id="104"/>
      <w:bookmarkEnd w:id="105"/>
    </w:p>
    <w:p>
      <w:pPr>
        <w:keepNext w:val="0"/>
        <w:keepLines w:val="0"/>
        <w:pageBreakBefore w:val="0"/>
        <w:widowControl w:val="0"/>
        <w:tabs>
          <w:tab w:val="left" w:pos="540"/>
          <w:tab w:val="left" w:pos="2340"/>
        </w:tabs>
        <w:kinsoku/>
        <w:topLinePunct w:val="0"/>
        <w:autoSpaceDE/>
        <w:autoSpaceDN/>
        <w:bidi w:val="0"/>
        <w:adjustRightInd w:val="0"/>
        <w:snapToGrid w:val="0"/>
        <w:spacing w:line="360" w:lineRule="auto"/>
        <w:ind w:left="180"/>
        <w:jc w:val="left"/>
        <w:outlineLvl w:val="2"/>
        <w:rPr>
          <w:rFonts w:cs="Times New Roman"/>
          <w:b/>
          <w:bCs/>
          <w:kern w:val="2"/>
          <w:szCs w:val="32"/>
        </w:rPr>
      </w:pPr>
      <w:bookmarkStart w:id="106" w:name="_Toc18079"/>
      <w:bookmarkStart w:id="107" w:name="_Toc46325259"/>
      <w:bookmarkStart w:id="108" w:name="_Toc20108"/>
      <w:bookmarkStart w:id="109" w:name="_Toc1999920"/>
      <w:r>
        <w:rPr>
          <w:rFonts w:hint="eastAsia" w:cs="Times New Roman"/>
          <w:b/>
          <w:bCs/>
          <w:kern w:val="2"/>
          <w:szCs w:val="32"/>
        </w:rPr>
        <w:t>5.1 监理人的通知</w:t>
      </w:r>
      <w:bookmarkEnd w:id="106"/>
      <w:bookmarkEnd w:id="107"/>
      <w:bookmarkEnd w:id="108"/>
      <w:bookmarkEnd w:id="109"/>
    </w:p>
    <w:p>
      <w:pPr>
        <w:widowControl w:val="0"/>
        <w:spacing w:line="360" w:lineRule="auto"/>
        <w:ind w:firstLine="480"/>
        <w:rPr>
          <w:rFonts w:cs="Times New Roman"/>
          <w:kern w:val="2"/>
        </w:rPr>
      </w:pPr>
      <w:bookmarkStart w:id="110" w:name="_Toc6568"/>
      <w:bookmarkStart w:id="111" w:name="_Toc46325260"/>
      <w:bookmarkStart w:id="112" w:name="_Toc1999921"/>
      <w:bookmarkStart w:id="113" w:name="_Toc31911"/>
      <w:r>
        <w:rPr>
          <w:rFonts w:hint="eastAsia" w:cs="Times New Roman"/>
          <w:kern w:val="2"/>
        </w:rPr>
        <w:t>监理人名称：</w:t>
      </w:r>
      <w:r>
        <w:rPr>
          <w:rFonts w:hint="eastAsia" w:cs="Times New Roman"/>
          <w:u w:val="single"/>
        </w:rPr>
        <w:t xml:space="preserve"> </w:t>
      </w:r>
      <w:r>
        <w:rPr>
          <w:rFonts w:cs="Times New Roman"/>
          <w:u w:val="single"/>
        </w:rPr>
        <w:t xml:space="preserve"> </w:t>
      </w:r>
      <w:r>
        <w:rPr>
          <w:rFonts w:hint="eastAsia" w:cs="Times New Roman"/>
          <w:u w:val="single"/>
        </w:rPr>
        <w:t xml:space="preserve">   </w:t>
      </w:r>
      <w:r>
        <w:rPr>
          <w:rFonts w:cs="Times New Roman"/>
          <w:u w:val="single"/>
        </w:rPr>
        <w:t xml:space="preserve">    </w:t>
      </w:r>
      <w:r>
        <w:rPr>
          <w:rFonts w:hint="eastAsia" w:cs="Times New Roman"/>
          <w:kern w:val="2"/>
        </w:rPr>
        <w:t>。</w:t>
      </w:r>
    </w:p>
    <w:p>
      <w:pPr>
        <w:widowControl w:val="0"/>
        <w:spacing w:line="360" w:lineRule="auto"/>
        <w:ind w:firstLine="480"/>
        <w:rPr>
          <w:rFonts w:cs="Times New Roman"/>
          <w:kern w:val="2"/>
          <w:highlight w:val="none"/>
        </w:rPr>
      </w:pPr>
      <w:r>
        <w:rPr>
          <w:rFonts w:hint="eastAsia" w:cs="Times New Roman"/>
          <w:kern w:val="2"/>
          <w:highlight w:val="none"/>
        </w:rPr>
        <w:t>总监理工程师姓名：</w:t>
      </w:r>
      <w:r>
        <w:rPr>
          <w:rFonts w:hint="eastAsia" w:cs="Times New Roman"/>
          <w:highlight w:val="none"/>
          <w:u w:val="single"/>
        </w:rPr>
        <w:t xml:space="preserve">   </w:t>
      </w:r>
      <w:r>
        <w:rPr>
          <w:rFonts w:cs="Times New Roman"/>
          <w:highlight w:val="none"/>
          <w:u w:val="single"/>
        </w:rPr>
        <w:t xml:space="preserve">  </w:t>
      </w:r>
      <w:r>
        <w:rPr>
          <w:rFonts w:hint="eastAsia" w:cs="Times New Roman"/>
          <w:kern w:val="2"/>
          <w:highlight w:val="none"/>
        </w:rPr>
        <w:t>，资格证书号：</w:t>
      </w:r>
      <w:r>
        <w:rPr>
          <w:rFonts w:hint="eastAsia" w:cs="Times New Roman"/>
          <w:highlight w:val="none"/>
          <w:u w:val="single"/>
        </w:rPr>
        <w:t xml:space="preserve"> </w:t>
      </w:r>
      <w:r>
        <w:rPr>
          <w:rFonts w:cs="Times New Roman"/>
          <w:highlight w:val="none"/>
          <w:u w:val="single"/>
        </w:rPr>
        <w:t xml:space="preserve"> </w:t>
      </w:r>
      <w:r>
        <w:rPr>
          <w:rFonts w:hint="eastAsia" w:cs="Times New Roman"/>
          <w:highlight w:val="none"/>
          <w:u w:val="single"/>
        </w:rPr>
        <w:t xml:space="preserve">   </w:t>
      </w:r>
      <w:r>
        <w:rPr>
          <w:rFonts w:cs="Times New Roman"/>
          <w:highlight w:val="none"/>
          <w:u w:val="single"/>
        </w:rPr>
        <w:t xml:space="preserve"> </w:t>
      </w:r>
      <w:r>
        <w:rPr>
          <w:rFonts w:hint="eastAsia" w:cs="Times New Roman"/>
          <w:kern w:val="2"/>
          <w:highlight w:val="none"/>
        </w:rPr>
        <w:t>。</w:t>
      </w:r>
    </w:p>
    <w:p>
      <w:pPr>
        <w:keepNext w:val="0"/>
        <w:keepLines w:val="0"/>
        <w:pageBreakBefore w:val="0"/>
        <w:widowControl w:val="0"/>
        <w:tabs>
          <w:tab w:val="left" w:pos="540"/>
          <w:tab w:val="left" w:pos="2340"/>
        </w:tabs>
        <w:kinsoku/>
        <w:topLinePunct w:val="0"/>
        <w:autoSpaceDE/>
        <w:autoSpaceDN/>
        <w:bidi w:val="0"/>
        <w:adjustRightInd w:val="0"/>
        <w:snapToGrid w:val="0"/>
        <w:spacing w:line="360" w:lineRule="auto"/>
        <w:ind w:left="180"/>
        <w:jc w:val="left"/>
        <w:outlineLvl w:val="2"/>
        <w:rPr>
          <w:rFonts w:cs="Times New Roman"/>
          <w:b/>
          <w:bCs/>
          <w:kern w:val="2"/>
          <w:szCs w:val="32"/>
          <w:highlight w:val="none"/>
        </w:rPr>
      </w:pPr>
      <w:r>
        <w:rPr>
          <w:rFonts w:hint="eastAsia" w:cs="Times New Roman"/>
          <w:b/>
          <w:bCs/>
          <w:kern w:val="2"/>
          <w:szCs w:val="32"/>
          <w:highlight w:val="none"/>
        </w:rPr>
        <w:t>5.3监理人权力的限制</w:t>
      </w:r>
      <w:bookmarkEnd w:id="110"/>
      <w:bookmarkEnd w:id="111"/>
      <w:bookmarkEnd w:id="112"/>
      <w:bookmarkEnd w:id="113"/>
    </w:p>
    <w:p>
      <w:pPr>
        <w:keepNext w:val="0"/>
        <w:keepLines w:val="0"/>
        <w:pageBreakBefore w:val="0"/>
        <w:widowControl w:val="0"/>
        <w:kinsoku/>
        <w:topLinePunct w:val="0"/>
        <w:autoSpaceDE/>
        <w:autoSpaceDN/>
        <w:bidi w:val="0"/>
        <w:adjustRightInd w:val="0"/>
        <w:snapToGrid w:val="0"/>
        <w:spacing w:line="360" w:lineRule="auto"/>
        <w:ind w:left="2" w:firstLine="480"/>
        <w:rPr>
          <w:rFonts w:cs="Times New Roman"/>
          <w:kern w:val="2"/>
          <w:highlight w:val="none"/>
        </w:rPr>
      </w:pPr>
      <w:r>
        <w:rPr>
          <w:rFonts w:hint="eastAsia" w:cs="Times New Roman"/>
          <w:kern w:val="2"/>
          <w:highlight w:val="none"/>
        </w:rPr>
        <w:t>(1)通用条款第5条第5.3款第（1）项修改为：监理人行使下列权力时，应先取得发包人的批准：</w:t>
      </w:r>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highlight w:val="none"/>
          <w:u w:val="single"/>
        </w:rPr>
      </w:pPr>
      <w:r>
        <w:rPr>
          <w:rFonts w:hint="eastAsia" w:cs="Times New Roman"/>
          <w:kern w:val="2"/>
          <w:highlight w:val="none"/>
          <w:u w:val="single"/>
        </w:rPr>
        <w:t>(A）发布开工令、停工令、复工令；</w:t>
      </w:r>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highlight w:val="none"/>
          <w:u w:val="single"/>
        </w:rPr>
      </w:pPr>
      <w:r>
        <w:rPr>
          <w:rFonts w:hint="eastAsia" w:cs="Times New Roman"/>
          <w:kern w:val="2"/>
          <w:highlight w:val="none"/>
          <w:u w:val="single"/>
        </w:rPr>
        <w:t>（B）向设计人或承包人提出建议且提出的建议可能会提高工程造价或延误工期；</w:t>
      </w:r>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highlight w:val="none"/>
          <w:u w:val="single"/>
        </w:rPr>
      </w:pPr>
      <w:r>
        <w:rPr>
          <w:rFonts w:hint="eastAsia" w:cs="Times New Roman"/>
          <w:kern w:val="2"/>
          <w:highlight w:val="none"/>
          <w:u w:val="single"/>
        </w:rPr>
        <w:t>（C）对本工程任何形式、数量、质量、价款和内容上进行变动；</w:t>
      </w:r>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highlight w:val="none"/>
          <w:u w:val="single"/>
        </w:rPr>
      </w:pPr>
      <w:r>
        <w:rPr>
          <w:rFonts w:hint="eastAsia" w:cs="Times New Roman"/>
          <w:kern w:val="2"/>
          <w:highlight w:val="none"/>
          <w:u w:val="single"/>
        </w:rPr>
        <w:t>（D）对合同约定的承包人职责和义务进行变更；</w:t>
      </w:r>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highlight w:val="none"/>
          <w:u w:val="single"/>
        </w:rPr>
      </w:pPr>
      <w:r>
        <w:rPr>
          <w:rFonts w:hint="eastAsia" w:cs="Times New Roman"/>
          <w:kern w:val="2"/>
          <w:highlight w:val="none"/>
          <w:u w:val="single"/>
        </w:rPr>
        <w:t>（E）提出或批准索赔、现场签证；</w:t>
      </w:r>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highlight w:val="none"/>
          <w:u w:val="single"/>
        </w:rPr>
      </w:pPr>
      <w:r>
        <w:rPr>
          <w:rFonts w:hint="eastAsia" w:cs="Times New Roman"/>
          <w:kern w:val="2"/>
          <w:highlight w:val="none"/>
          <w:u w:val="single"/>
        </w:rPr>
        <w:t>（F）支付工程款；</w:t>
      </w:r>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highlight w:val="none"/>
          <w:u w:val="single"/>
        </w:rPr>
      </w:pPr>
      <w:r>
        <w:rPr>
          <w:rFonts w:hint="eastAsia" w:cs="Times New Roman"/>
          <w:kern w:val="2"/>
          <w:highlight w:val="none"/>
          <w:u w:val="single"/>
        </w:rPr>
        <w:t>（G）对主要设备、建材使用的审批；</w:t>
      </w:r>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highlight w:val="none"/>
          <w:u w:val="single"/>
        </w:rPr>
      </w:pPr>
      <w:r>
        <w:rPr>
          <w:rFonts w:hint="eastAsia" w:cs="Times New Roman"/>
          <w:kern w:val="2"/>
          <w:highlight w:val="none"/>
          <w:u w:val="single"/>
        </w:rPr>
        <w:t>（H）更换承包人或其分包人不称职人员；</w:t>
      </w:r>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highlight w:val="none"/>
          <w:u w:val="single"/>
        </w:rPr>
      </w:pPr>
      <w:r>
        <w:rPr>
          <w:rFonts w:hint="eastAsia" w:cs="Times New Roman"/>
          <w:kern w:val="2"/>
          <w:highlight w:val="none"/>
          <w:u w:val="single"/>
        </w:rPr>
        <w:t>（I）批准承包人或其分包人提出更换项目经理等主要管理人员；</w:t>
      </w:r>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highlight w:val="none"/>
          <w:u w:val="single"/>
        </w:rPr>
      </w:pPr>
      <w:r>
        <w:rPr>
          <w:rFonts w:hint="eastAsia" w:cs="Times New Roman"/>
          <w:kern w:val="2"/>
          <w:highlight w:val="none"/>
          <w:u w:val="single"/>
        </w:rPr>
        <w:t>监理人行使需经发包人批准的权力时，应在相应的监理人行使权力的通知、指令或指示之后附上发包人同意监理人行使权力的相关审批文件的复印件，承包人应对审批文件的真实性进行核实，否则由此产生的一切责任由承包人自行承担。</w:t>
      </w:r>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highlight w:val="none"/>
          <w:u w:val="single"/>
        </w:rPr>
      </w:pPr>
      <w:r>
        <w:rPr>
          <w:rFonts w:hint="eastAsia" w:cs="Times New Roman"/>
          <w:kern w:val="2"/>
          <w:highlight w:val="none"/>
          <w:u w:val="single"/>
        </w:rPr>
        <w:t>发包人有权单方修改监理人的权限，并书面通知承包人，修改的权限自通知到达承包人之日起生效。</w:t>
      </w:r>
    </w:p>
    <w:p>
      <w:pPr>
        <w:keepNext w:val="0"/>
        <w:keepLines w:val="0"/>
        <w:pageBreakBefore w:val="0"/>
        <w:widowControl/>
        <w:tabs>
          <w:tab w:val="left" w:pos="1620"/>
          <w:tab w:val="left" w:pos="2340"/>
        </w:tabs>
        <w:kinsoku/>
        <w:topLinePunct w:val="0"/>
        <w:autoSpaceDE/>
        <w:autoSpaceDN/>
        <w:bidi w:val="0"/>
        <w:adjustRightInd w:val="0"/>
        <w:snapToGrid w:val="0"/>
        <w:spacing w:line="360" w:lineRule="auto"/>
        <w:jc w:val="left"/>
        <w:outlineLvl w:val="1"/>
        <w:rPr>
          <w:rFonts w:ascii="Times New Roman" w:cs="Times New Roman"/>
          <w:b/>
          <w:bCs/>
          <w:kern w:val="44"/>
          <w:sz w:val="28"/>
          <w:szCs w:val="28"/>
          <w:highlight w:val="none"/>
        </w:rPr>
      </w:pPr>
      <w:bookmarkStart w:id="114" w:name="_Toc25574"/>
      <w:bookmarkStart w:id="115" w:name="_Toc46325261"/>
      <w:bookmarkStart w:id="116" w:name="_Toc1999922"/>
      <w:bookmarkStart w:id="117" w:name="_Toc352"/>
      <w:r>
        <w:rPr>
          <w:rFonts w:hint="eastAsia" w:ascii="Times New Roman" w:cs="Times New Roman"/>
          <w:b/>
          <w:bCs/>
          <w:kern w:val="44"/>
          <w:sz w:val="28"/>
          <w:szCs w:val="28"/>
          <w:highlight w:val="none"/>
        </w:rPr>
        <w:t>6 转让、分包</w:t>
      </w:r>
      <w:bookmarkEnd w:id="114"/>
      <w:bookmarkEnd w:id="115"/>
      <w:bookmarkEnd w:id="116"/>
      <w:bookmarkEnd w:id="117"/>
    </w:p>
    <w:p>
      <w:pPr>
        <w:keepNext w:val="0"/>
        <w:keepLines w:val="0"/>
        <w:pageBreakBefore w:val="0"/>
        <w:widowControl w:val="0"/>
        <w:tabs>
          <w:tab w:val="left" w:pos="540"/>
          <w:tab w:val="left" w:pos="2340"/>
        </w:tabs>
        <w:kinsoku/>
        <w:topLinePunct w:val="0"/>
        <w:autoSpaceDE/>
        <w:autoSpaceDN/>
        <w:bidi w:val="0"/>
        <w:adjustRightInd w:val="0"/>
        <w:snapToGrid w:val="0"/>
        <w:spacing w:line="360" w:lineRule="auto"/>
        <w:ind w:left="180"/>
        <w:jc w:val="left"/>
        <w:outlineLvl w:val="2"/>
        <w:rPr>
          <w:rFonts w:cs="Times New Roman"/>
          <w:b/>
          <w:bCs/>
          <w:kern w:val="2"/>
          <w:szCs w:val="32"/>
        </w:rPr>
      </w:pPr>
      <w:bookmarkStart w:id="118" w:name="_Toc1999923"/>
      <w:bookmarkStart w:id="119" w:name="_Toc7298"/>
      <w:bookmarkStart w:id="120" w:name="_Toc19157"/>
      <w:bookmarkStart w:id="121" w:name="_Toc46325262"/>
      <w:r>
        <w:rPr>
          <w:rFonts w:hint="eastAsia" w:cs="Times New Roman"/>
          <w:b/>
          <w:bCs/>
          <w:kern w:val="2"/>
          <w:szCs w:val="32"/>
        </w:rPr>
        <w:t>6.1 转让</w:t>
      </w:r>
      <w:bookmarkEnd w:id="118"/>
      <w:bookmarkEnd w:id="119"/>
      <w:bookmarkEnd w:id="120"/>
      <w:bookmarkEnd w:id="121"/>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rPr>
      </w:pPr>
      <w:r>
        <w:rPr>
          <w:rFonts w:hint="eastAsia" w:cs="Times New Roman"/>
          <w:kern w:val="2"/>
        </w:rPr>
        <w:t>如承包人有转让行为，应承担的违约责任：</w:t>
      </w:r>
      <w:r>
        <w:rPr>
          <w:rFonts w:hint="eastAsia" w:cs="Times New Roman"/>
          <w:kern w:val="2"/>
          <w:u w:val="single"/>
        </w:rPr>
        <w:t>详见补充条款及附件1约定</w:t>
      </w:r>
      <w:r>
        <w:rPr>
          <w:rFonts w:hint="eastAsia" w:cs="Times New Roman"/>
          <w:kern w:val="2"/>
        </w:rPr>
        <w:t>。</w:t>
      </w:r>
    </w:p>
    <w:p>
      <w:pPr>
        <w:keepNext w:val="0"/>
        <w:keepLines w:val="0"/>
        <w:pageBreakBefore w:val="0"/>
        <w:widowControl w:val="0"/>
        <w:tabs>
          <w:tab w:val="left" w:pos="540"/>
          <w:tab w:val="left" w:pos="2340"/>
        </w:tabs>
        <w:kinsoku/>
        <w:topLinePunct w:val="0"/>
        <w:autoSpaceDE/>
        <w:autoSpaceDN/>
        <w:bidi w:val="0"/>
        <w:adjustRightInd w:val="0"/>
        <w:snapToGrid w:val="0"/>
        <w:spacing w:line="360" w:lineRule="auto"/>
        <w:ind w:left="180"/>
        <w:jc w:val="left"/>
        <w:outlineLvl w:val="2"/>
        <w:rPr>
          <w:rFonts w:cs="Times New Roman"/>
          <w:b/>
          <w:bCs/>
          <w:kern w:val="2"/>
          <w:szCs w:val="32"/>
        </w:rPr>
      </w:pPr>
      <w:bookmarkStart w:id="122" w:name="_Toc3052"/>
      <w:bookmarkStart w:id="123" w:name="_Toc46325263"/>
      <w:bookmarkStart w:id="124" w:name="_Toc1999924"/>
      <w:bookmarkStart w:id="125" w:name="_Toc22003"/>
      <w:r>
        <w:rPr>
          <w:rFonts w:hint="eastAsia" w:cs="Times New Roman"/>
          <w:b/>
          <w:bCs/>
          <w:kern w:val="2"/>
          <w:szCs w:val="32"/>
        </w:rPr>
        <w:t>6.2 分包</w:t>
      </w:r>
      <w:bookmarkEnd w:id="122"/>
      <w:bookmarkEnd w:id="123"/>
      <w:bookmarkEnd w:id="124"/>
      <w:bookmarkEnd w:id="125"/>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rPr>
      </w:pPr>
      <w:r>
        <w:rPr>
          <w:rFonts w:hint="eastAsia" w:cs="Times New Roman"/>
          <w:kern w:val="2"/>
        </w:rPr>
        <w:t>如承包人有分包行为，应承担的违约责任：</w:t>
      </w:r>
      <w:r>
        <w:rPr>
          <w:rFonts w:hint="eastAsia" w:cs="Times New Roman"/>
          <w:kern w:val="2"/>
          <w:u w:val="single"/>
        </w:rPr>
        <w:t>详见补充条款及附件1约定</w:t>
      </w:r>
      <w:r>
        <w:rPr>
          <w:rFonts w:hint="eastAsia" w:cs="Times New Roman"/>
          <w:kern w:val="2"/>
        </w:rPr>
        <w:t>。</w:t>
      </w:r>
    </w:p>
    <w:p>
      <w:pPr>
        <w:keepNext w:val="0"/>
        <w:keepLines w:val="0"/>
        <w:pageBreakBefore w:val="0"/>
        <w:widowControl w:val="0"/>
        <w:tabs>
          <w:tab w:val="left" w:pos="540"/>
          <w:tab w:val="left" w:pos="2340"/>
        </w:tabs>
        <w:kinsoku/>
        <w:topLinePunct w:val="0"/>
        <w:autoSpaceDE/>
        <w:autoSpaceDN/>
        <w:bidi w:val="0"/>
        <w:adjustRightInd w:val="0"/>
        <w:snapToGrid w:val="0"/>
        <w:spacing w:line="360" w:lineRule="auto"/>
        <w:ind w:left="180"/>
        <w:jc w:val="left"/>
        <w:outlineLvl w:val="2"/>
        <w:rPr>
          <w:rFonts w:cs="Times New Roman"/>
          <w:b/>
          <w:bCs/>
          <w:kern w:val="2"/>
          <w:szCs w:val="32"/>
          <w:highlight w:val="none"/>
        </w:rPr>
      </w:pPr>
      <w:bookmarkStart w:id="126" w:name="_Toc1999925"/>
      <w:bookmarkStart w:id="127" w:name="_Toc46325264"/>
      <w:bookmarkStart w:id="128" w:name="_Toc5163"/>
      <w:bookmarkStart w:id="129" w:name="_Toc29451"/>
      <w:r>
        <w:rPr>
          <w:rFonts w:hint="eastAsia" w:cs="Times New Roman"/>
          <w:b/>
          <w:bCs/>
          <w:kern w:val="2"/>
          <w:szCs w:val="32"/>
          <w:highlight w:val="none"/>
        </w:rPr>
        <w:t>6.3 分包人的确定</w:t>
      </w:r>
      <w:bookmarkEnd w:id="126"/>
      <w:bookmarkEnd w:id="127"/>
      <w:bookmarkEnd w:id="128"/>
      <w:bookmarkEnd w:id="129"/>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highlight w:val="none"/>
          <w:u w:val="single"/>
        </w:rPr>
      </w:pPr>
      <w:r>
        <w:rPr>
          <w:rFonts w:hint="eastAsia" w:cs="Times New Roman"/>
          <w:kern w:val="2"/>
          <w:highlight w:val="none"/>
        </w:rPr>
        <w:t>(1)分包人应符合的条件：</w:t>
      </w:r>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highlight w:val="none"/>
          <w:u w:val="single"/>
        </w:rPr>
      </w:pPr>
      <w:r>
        <w:rPr>
          <w:rFonts w:hint="eastAsia" w:cs="Times New Roman"/>
          <w:kern w:val="2"/>
          <w:highlight w:val="none"/>
          <w:u w:val="single"/>
        </w:rPr>
        <w:t>承包人按照6.2（1）款对某专业工程实施分包时，分包人除必须具备承建该专业工程的施工资质条件外，还须同时满足以下条件：</w:t>
      </w:r>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highlight w:val="none"/>
          <w:u w:val="single"/>
        </w:rPr>
      </w:pPr>
      <w:r>
        <w:rPr>
          <w:rFonts w:hint="eastAsia" w:cs="Times New Roman"/>
          <w:kern w:val="2"/>
          <w:highlight w:val="none"/>
          <w:u w:val="single"/>
        </w:rPr>
        <w:t>分包人除具备相应资质等级、满足主管部门的规定外，还应有类似工程的施工经验，实力强、信誉好。</w:t>
      </w:r>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highlight w:val="none"/>
          <w:u w:val="single"/>
        </w:rPr>
      </w:pPr>
      <w:r>
        <w:rPr>
          <w:rFonts w:hint="eastAsia" w:cs="Times New Roman"/>
          <w:kern w:val="2"/>
          <w:highlight w:val="none"/>
          <w:u w:val="single"/>
        </w:rPr>
        <w:t>发包人对承包人实施分包行为的监督措施包括但不限于：</w:t>
      </w:r>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highlight w:val="none"/>
          <w:u w:val="single"/>
        </w:rPr>
      </w:pPr>
      <w:r>
        <w:rPr>
          <w:rFonts w:hint="eastAsia" w:cs="Times New Roman"/>
          <w:kern w:val="2"/>
          <w:highlight w:val="none"/>
          <w:u w:val="single"/>
        </w:rPr>
        <w:t>1.承包人在实施分包前(含劳务分包)，必须向发包人、监理人提交分包方案，该方案须经发包人审查批准。</w:t>
      </w:r>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highlight w:val="none"/>
          <w:u w:val="single"/>
        </w:rPr>
      </w:pPr>
      <w:r>
        <w:rPr>
          <w:rFonts w:hint="eastAsia" w:cs="Times New Roman"/>
          <w:kern w:val="2"/>
          <w:highlight w:val="none"/>
          <w:u w:val="single"/>
        </w:rPr>
        <w:t>2.承包人如采用招标方式实施分包的，发包人有权审核分包人的投标资格、招标文件，参加评标、合同谈判等活动，有权监督开标、评标、定标全过程；承包人如采用直接委托方式实施分包的，分包方案、分包人与分包合同等应报发包人审查批准；无论采用上述何种方式或中标价如何，发包人均按承包人中标的报价与承包人结算。</w:t>
      </w:r>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highlight w:val="none"/>
          <w:u w:val="single"/>
        </w:rPr>
      </w:pPr>
      <w:r>
        <w:rPr>
          <w:rFonts w:hint="eastAsia" w:cs="Times New Roman"/>
          <w:kern w:val="2"/>
          <w:highlight w:val="none"/>
          <w:u w:val="single"/>
        </w:rPr>
        <w:t>必要时，发包人有权变动经发包人同意承包人分包的专业工程工程款的支付方式：工程款由发包人直接支付给分包人，结算时发包人有权从承包人中标的报价中直接扣除。</w:t>
      </w:r>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highlight w:val="none"/>
          <w:u w:val="single"/>
        </w:rPr>
      </w:pPr>
      <w:r>
        <w:rPr>
          <w:rFonts w:hint="eastAsia" w:cs="Times New Roman"/>
          <w:kern w:val="2"/>
          <w:highlight w:val="none"/>
          <w:u w:val="single"/>
        </w:rPr>
        <w:t>3.若发包人发现承包人选择的分包人资质不够或社会信誉较差或存在挂靠现象的，发包人对承包人选择的分包人有否决权。</w:t>
      </w:r>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highlight w:val="none"/>
          <w:u w:val="single"/>
        </w:rPr>
      </w:pPr>
      <w:r>
        <w:rPr>
          <w:rFonts w:hint="eastAsia" w:cs="Times New Roman"/>
          <w:kern w:val="2"/>
          <w:highlight w:val="none"/>
          <w:u w:val="single"/>
        </w:rPr>
        <w:t>4.发包人有权要求承包人按发包人审核确认的分包合同文本与分包人签订分包合同。</w:t>
      </w:r>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highlight w:val="none"/>
          <w:u w:val="single"/>
        </w:rPr>
      </w:pPr>
      <w:r>
        <w:rPr>
          <w:rFonts w:hint="eastAsia" w:cs="Times New Roman"/>
          <w:kern w:val="2"/>
          <w:highlight w:val="none"/>
          <w:u w:val="single"/>
        </w:rPr>
        <w:t>5.在分包工程开工前5个工作日内，承包人应当将其安排参与施工项目的全部管理人员、技术人员、工人的名册和身份证复印件交监理人备案。在任何时段内，发包人、监理人核实参与施工和管理的管理和技术人员有5名以上，工人30人以上不属于名册内的人员，即视为承包人转包或擅自分包。</w:t>
      </w:r>
    </w:p>
    <w:p>
      <w:pPr>
        <w:keepNext w:val="0"/>
        <w:keepLines w:val="0"/>
        <w:pageBreakBefore w:val="0"/>
        <w:widowControl/>
        <w:tabs>
          <w:tab w:val="left" w:pos="1620"/>
          <w:tab w:val="left" w:pos="2340"/>
        </w:tabs>
        <w:kinsoku/>
        <w:topLinePunct w:val="0"/>
        <w:autoSpaceDE/>
        <w:autoSpaceDN/>
        <w:bidi w:val="0"/>
        <w:adjustRightInd w:val="0"/>
        <w:snapToGrid w:val="0"/>
        <w:spacing w:line="360" w:lineRule="auto"/>
        <w:jc w:val="left"/>
        <w:outlineLvl w:val="1"/>
        <w:rPr>
          <w:rFonts w:ascii="Times New Roman" w:cs="Times New Roman"/>
          <w:b/>
          <w:bCs/>
          <w:kern w:val="44"/>
          <w:sz w:val="28"/>
          <w:szCs w:val="28"/>
        </w:rPr>
      </w:pPr>
      <w:bookmarkStart w:id="130" w:name="_Toc46325265"/>
      <w:bookmarkStart w:id="131" w:name="_Toc27947"/>
      <w:bookmarkStart w:id="132" w:name="_Toc1999926"/>
      <w:bookmarkStart w:id="133" w:name="_Toc9692"/>
      <w:r>
        <w:rPr>
          <w:rFonts w:hint="eastAsia" w:ascii="Times New Roman" w:cs="Times New Roman"/>
          <w:b/>
          <w:bCs/>
          <w:kern w:val="44"/>
          <w:sz w:val="28"/>
          <w:szCs w:val="28"/>
        </w:rPr>
        <w:t>7 专业工程发包</w:t>
      </w:r>
      <w:bookmarkEnd w:id="130"/>
      <w:bookmarkEnd w:id="131"/>
      <w:bookmarkEnd w:id="132"/>
      <w:bookmarkEnd w:id="133"/>
    </w:p>
    <w:p>
      <w:pPr>
        <w:keepNext w:val="0"/>
        <w:keepLines w:val="0"/>
        <w:pageBreakBefore w:val="0"/>
        <w:widowControl w:val="0"/>
        <w:tabs>
          <w:tab w:val="left" w:pos="540"/>
          <w:tab w:val="left" w:pos="2340"/>
        </w:tabs>
        <w:kinsoku/>
        <w:topLinePunct w:val="0"/>
        <w:autoSpaceDE/>
        <w:autoSpaceDN/>
        <w:bidi w:val="0"/>
        <w:adjustRightInd w:val="0"/>
        <w:snapToGrid w:val="0"/>
        <w:spacing w:line="360" w:lineRule="auto"/>
        <w:ind w:left="180"/>
        <w:jc w:val="left"/>
        <w:outlineLvl w:val="2"/>
        <w:rPr>
          <w:rFonts w:cs="Times New Roman"/>
          <w:b/>
          <w:bCs/>
          <w:kern w:val="2"/>
          <w:szCs w:val="32"/>
        </w:rPr>
      </w:pPr>
      <w:bookmarkStart w:id="134" w:name="_Toc46325266"/>
      <w:bookmarkStart w:id="135" w:name="_Toc1999927"/>
      <w:bookmarkStart w:id="136" w:name="_Toc24270"/>
      <w:bookmarkStart w:id="137" w:name="_Toc28004"/>
      <w:r>
        <w:rPr>
          <w:rFonts w:hint="eastAsia" w:cs="Times New Roman"/>
          <w:b/>
          <w:bCs/>
          <w:kern w:val="2"/>
          <w:szCs w:val="32"/>
        </w:rPr>
        <w:t>7.1 专业工程承包人</w:t>
      </w:r>
      <w:bookmarkEnd w:id="134"/>
      <w:bookmarkEnd w:id="135"/>
      <w:bookmarkEnd w:id="136"/>
      <w:bookmarkEnd w:id="137"/>
      <w:r>
        <w:rPr>
          <w:rFonts w:hint="eastAsia" w:cs="Times New Roman"/>
          <w:b/>
          <w:bCs/>
          <w:kern w:val="2"/>
          <w:szCs w:val="32"/>
        </w:rPr>
        <w:tab/>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bCs/>
          <w:kern w:val="2"/>
        </w:rPr>
      </w:pPr>
      <w:r>
        <w:rPr>
          <w:rFonts w:hint="eastAsia" w:cs="Times New Roman"/>
          <w:bCs/>
          <w:kern w:val="2"/>
        </w:rPr>
        <w:t>（1）</w:t>
      </w:r>
    </w:p>
    <w:tbl>
      <w:tblPr>
        <w:tblStyle w:val="17"/>
        <w:tblW w:w="7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2"/>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adjustRightInd w:val="0"/>
              <w:snapToGrid w:val="0"/>
              <w:spacing w:line="360" w:lineRule="auto"/>
              <w:ind w:left="-57" w:right="-105" w:firstLine="120" w:firstLineChars="50"/>
              <w:jc w:val="center"/>
              <w:rPr>
                <w:rFonts w:cs="Times New Roman"/>
                <w:kern w:val="2"/>
              </w:rPr>
            </w:pPr>
            <w:r>
              <w:rPr>
                <w:rFonts w:hint="eastAsia" w:cs="Times New Roman"/>
                <w:kern w:val="2"/>
              </w:rPr>
              <w:t>序号</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adjustRightInd w:val="0"/>
              <w:snapToGrid w:val="0"/>
              <w:spacing w:line="360" w:lineRule="auto"/>
              <w:ind w:left="-57" w:right="-105" w:firstLine="480"/>
              <w:jc w:val="center"/>
              <w:rPr>
                <w:rFonts w:cs="Times New Roman"/>
                <w:kern w:val="2"/>
              </w:rPr>
            </w:pPr>
            <w:r>
              <w:rPr>
                <w:rFonts w:hint="eastAsia" w:cs="Times New Roman"/>
                <w:kern w:val="2"/>
              </w:rPr>
              <w:t>专业工程名称</w:t>
            </w:r>
          </w:p>
        </w:tc>
        <w:tc>
          <w:tcPr>
            <w:tcW w:w="42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adjustRightInd w:val="0"/>
              <w:snapToGrid w:val="0"/>
              <w:spacing w:line="360" w:lineRule="auto"/>
              <w:ind w:left="-57" w:right="-105" w:firstLine="480"/>
              <w:jc w:val="center"/>
              <w:rPr>
                <w:rFonts w:cs="Times New Roman"/>
                <w:kern w:val="2"/>
              </w:rPr>
            </w:pPr>
            <w:r>
              <w:rPr>
                <w:rFonts w:hint="eastAsia" w:cs="Times New Roman"/>
                <w:kern w:val="2"/>
              </w:rPr>
              <w:t>专业工程承包人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adjustRightInd w:val="0"/>
              <w:snapToGrid w:val="0"/>
              <w:spacing w:line="360" w:lineRule="auto"/>
              <w:ind w:left="-57" w:right="-105" w:firstLine="480"/>
              <w:jc w:val="center"/>
              <w:rPr>
                <w:rFonts w:hint="eastAsia" w:eastAsia="宋体" w:cs="Times New Roman"/>
                <w:kern w:val="2"/>
                <w:lang w:val="en-US" w:eastAsia="zh-CN"/>
              </w:rPr>
            </w:pPr>
            <w:r>
              <w:rPr>
                <w:rFonts w:hint="eastAsia" w:cs="Times New Roman"/>
                <w:kern w:val="2"/>
                <w:lang w:val="en-US" w:eastAsia="zh-CN"/>
              </w:rPr>
              <w:t>/</w:t>
            </w:r>
          </w:p>
        </w:tc>
        <w:tc>
          <w:tcPr>
            <w:tcW w:w="2552"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topLinePunct w:val="0"/>
              <w:autoSpaceDE/>
              <w:autoSpaceDN/>
              <w:bidi w:val="0"/>
              <w:adjustRightInd w:val="0"/>
              <w:snapToGrid w:val="0"/>
              <w:spacing w:line="360" w:lineRule="auto"/>
              <w:ind w:left="-57" w:right="-105" w:firstLine="480"/>
              <w:jc w:val="center"/>
              <w:rPr>
                <w:rFonts w:hint="eastAsia" w:eastAsia="宋体" w:cs="Times New Roman"/>
                <w:kern w:val="2"/>
                <w:lang w:val="en-US" w:eastAsia="zh-CN"/>
              </w:rPr>
            </w:pPr>
            <w:r>
              <w:rPr>
                <w:rFonts w:hint="eastAsia" w:cs="Times New Roman"/>
                <w:kern w:val="2"/>
                <w:lang w:val="en-US" w:eastAsia="zh-CN"/>
              </w:rPr>
              <w:t>/</w:t>
            </w:r>
          </w:p>
        </w:tc>
        <w:tc>
          <w:tcPr>
            <w:tcW w:w="4252"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topLinePunct w:val="0"/>
              <w:autoSpaceDE/>
              <w:autoSpaceDN/>
              <w:bidi w:val="0"/>
              <w:adjustRightInd w:val="0"/>
              <w:snapToGrid w:val="0"/>
              <w:spacing w:line="360" w:lineRule="auto"/>
              <w:ind w:left="-57" w:right="-105" w:firstLine="480"/>
              <w:jc w:val="center"/>
              <w:rPr>
                <w:rFonts w:hint="eastAsia" w:eastAsia="宋体" w:cs="Times New Roman"/>
                <w:kern w:val="2"/>
                <w:lang w:val="en-US" w:eastAsia="zh-CN"/>
              </w:rPr>
            </w:pPr>
            <w:r>
              <w:rPr>
                <w:rFonts w:hint="eastAsia" w:cs="Times New Roman"/>
                <w:kern w:val="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adjustRightInd w:val="0"/>
              <w:snapToGrid w:val="0"/>
              <w:spacing w:line="360" w:lineRule="auto"/>
              <w:ind w:left="-57" w:right="-105" w:firstLine="480"/>
              <w:jc w:val="center"/>
              <w:rPr>
                <w:rFonts w:hint="eastAsia" w:eastAsia="宋体" w:cs="Times New Roman"/>
                <w:kern w:val="2"/>
                <w:lang w:val="en-US" w:eastAsia="zh-CN"/>
              </w:rPr>
            </w:pPr>
            <w:r>
              <w:rPr>
                <w:rFonts w:hint="eastAsia" w:cs="Times New Roman"/>
                <w:kern w:val="2"/>
                <w:lang w:val="en-US" w:eastAsia="zh-CN"/>
              </w:rPr>
              <w:t>/</w:t>
            </w:r>
          </w:p>
        </w:tc>
        <w:tc>
          <w:tcPr>
            <w:tcW w:w="2552"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topLinePunct w:val="0"/>
              <w:autoSpaceDE/>
              <w:autoSpaceDN/>
              <w:bidi w:val="0"/>
              <w:adjustRightInd w:val="0"/>
              <w:snapToGrid w:val="0"/>
              <w:spacing w:line="360" w:lineRule="auto"/>
              <w:ind w:left="-57" w:right="-105" w:firstLine="480"/>
              <w:jc w:val="center"/>
              <w:rPr>
                <w:rFonts w:hint="eastAsia" w:eastAsia="宋体" w:cs="Times New Roman"/>
                <w:kern w:val="2"/>
                <w:lang w:val="en-US" w:eastAsia="zh-CN"/>
              </w:rPr>
            </w:pPr>
            <w:r>
              <w:rPr>
                <w:rFonts w:hint="eastAsia" w:cs="Times New Roman"/>
                <w:kern w:val="2"/>
                <w:lang w:val="en-US" w:eastAsia="zh-CN"/>
              </w:rPr>
              <w:t>/</w:t>
            </w:r>
          </w:p>
        </w:tc>
        <w:tc>
          <w:tcPr>
            <w:tcW w:w="4252"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topLinePunct w:val="0"/>
              <w:autoSpaceDE/>
              <w:autoSpaceDN/>
              <w:bidi w:val="0"/>
              <w:adjustRightInd w:val="0"/>
              <w:snapToGrid w:val="0"/>
              <w:spacing w:line="360" w:lineRule="auto"/>
              <w:ind w:left="-57" w:right="-105" w:firstLine="480"/>
              <w:jc w:val="center"/>
              <w:rPr>
                <w:rFonts w:hint="eastAsia" w:eastAsia="宋体" w:cs="Times New Roman"/>
                <w:kern w:val="2"/>
                <w:lang w:val="en-US" w:eastAsia="zh-CN"/>
              </w:rPr>
            </w:pPr>
            <w:r>
              <w:rPr>
                <w:rFonts w:hint="eastAsia" w:cs="Times New Roman"/>
                <w:kern w:val="2"/>
                <w:lang w:val="en-US" w:eastAsia="zh-CN"/>
              </w:rPr>
              <w:t>/</w:t>
            </w:r>
          </w:p>
        </w:tc>
      </w:tr>
    </w:tbl>
    <w:p>
      <w:pPr>
        <w:keepNext w:val="0"/>
        <w:keepLines w:val="0"/>
        <w:pageBreakBefore w:val="0"/>
        <w:widowControl w:val="0"/>
        <w:tabs>
          <w:tab w:val="left" w:pos="540"/>
          <w:tab w:val="left" w:pos="2340"/>
        </w:tabs>
        <w:kinsoku/>
        <w:topLinePunct w:val="0"/>
        <w:autoSpaceDE/>
        <w:autoSpaceDN/>
        <w:bidi w:val="0"/>
        <w:adjustRightInd w:val="0"/>
        <w:snapToGrid w:val="0"/>
        <w:spacing w:line="360" w:lineRule="auto"/>
        <w:ind w:left="180"/>
        <w:jc w:val="left"/>
        <w:outlineLvl w:val="2"/>
        <w:rPr>
          <w:rFonts w:hint="eastAsia"/>
          <w:b/>
          <w:kern w:val="2"/>
        </w:rPr>
      </w:pPr>
      <w:bookmarkStart w:id="138" w:name="_Toc4847"/>
      <w:bookmarkStart w:id="139" w:name="_Toc1999928"/>
      <w:bookmarkStart w:id="140" w:name="_Toc46325267"/>
      <w:r>
        <w:rPr>
          <w:b/>
          <w:kern w:val="2"/>
        </w:rPr>
        <w:t xml:space="preserve">7.2 </w:t>
      </w:r>
      <w:r>
        <w:rPr>
          <w:rFonts w:hint="eastAsia"/>
          <w:b/>
          <w:kern w:val="2"/>
        </w:rPr>
        <w:t>总承包服务费</w:t>
      </w:r>
      <w:bookmarkEnd w:id="138"/>
    </w:p>
    <w:p>
      <w:pPr>
        <w:pStyle w:val="2"/>
        <w:ind w:firstLine="900" w:firstLineChars="375"/>
        <w:rPr>
          <w:rFonts w:cs="Times New Roman"/>
          <w:strike/>
          <w:kern w:val="2"/>
          <w:highlight w:val="none"/>
          <w:u w:val="single"/>
        </w:rPr>
      </w:pPr>
      <w:r>
        <w:rPr>
          <w:rFonts w:hint="eastAsia"/>
          <w:u w:val="single"/>
          <w:lang w:val="en-US" w:eastAsia="zh-CN"/>
        </w:rPr>
        <w:t xml:space="preserve">   /   </w:t>
      </w:r>
      <w:bookmarkEnd w:id="139"/>
      <w:bookmarkEnd w:id="140"/>
    </w:p>
    <w:p>
      <w:pPr>
        <w:keepNext w:val="0"/>
        <w:keepLines w:val="0"/>
        <w:pageBreakBefore w:val="0"/>
        <w:widowControl w:val="0"/>
        <w:tabs>
          <w:tab w:val="left" w:pos="540"/>
          <w:tab w:val="left" w:pos="2340"/>
        </w:tabs>
        <w:kinsoku/>
        <w:topLinePunct w:val="0"/>
        <w:autoSpaceDE/>
        <w:autoSpaceDN/>
        <w:bidi w:val="0"/>
        <w:adjustRightInd w:val="0"/>
        <w:snapToGrid w:val="0"/>
        <w:spacing w:line="360" w:lineRule="auto"/>
        <w:ind w:left="180"/>
        <w:jc w:val="left"/>
        <w:outlineLvl w:val="2"/>
        <w:rPr>
          <w:rFonts w:cs="Times New Roman"/>
          <w:b/>
          <w:bCs/>
          <w:kern w:val="2"/>
          <w:szCs w:val="32"/>
        </w:rPr>
      </w:pPr>
      <w:bookmarkStart w:id="141" w:name="_Toc12466"/>
      <w:bookmarkStart w:id="142" w:name="_Toc46325268"/>
      <w:bookmarkStart w:id="143" w:name="_Toc1999929"/>
      <w:bookmarkStart w:id="144" w:name="_Toc27073"/>
      <w:r>
        <w:rPr>
          <w:rFonts w:hint="eastAsia" w:cs="Times New Roman"/>
          <w:b/>
          <w:bCs/>
          <w:kern w:val="2"/>
          <w:szCs w:val="32"/>
        </w:rPr>
        <w:t>7.3 工作界面协调</w:t>
      </w:r>
      <w:bookmarkEnd w:id="141"/>
      <w:bookmarkEnd w:id="142"/>
      <w:bookmarkEnd w:id="143"/>
      <w:bookmarkEnd w:id="144"/>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rPr>
      </w:pPr>
      <w:r>
        <w:rPr>
          <w:rFonts w:hint="eastAsia" w:cs="Times New Roman"/>
          <w:kern w:val="2"/>
        </w:rPr>
        <w:t>(4)</w:t>
      </w:r>
      <w:r>
        <w:rPr>
          <w:rFonts w:hint="eastAsia" w:cs="Times New Roman"/>
        </w:rPr>
        <w:t>由于承包人未能及时对工程接口问题进行协调或未及时实施监理人接口指令而造成损失的，承包人应</w:t>
      </w:r>
      <w:r>
        <w:rPr>
          <w:rFonts w:hint="eastAsia" w:cs="Times New Roman"/>
          <w:kern w:val="2"/>
        </w:rPr>
        <w:t>向发包人支付的违约金：</w:t>
      </w:r>
      <w:r>
        <w:rPr>
          <w:rFonts w:hint="eastAsia" w:cs="Times New Roman"/>
          <w:kern w:val="2"/>
          <w:u w:val="single"/>
        </w:rPr>
        <w:t>详见补充条款及附件1约定</w:t>
      </w:r>
      <w:r>
        <w:rPr>
          <w:rFonts w:hint="eastAsia" w:cs="Times New Roman"/>
          <w:kern w:val="2"/>
        </w:rPr>
        <w:t>。</w:t>
      </w:r>
    </w:p>
    <w:p>
      <w:pPr>
        <w:keepNext w:val="0"/>
        <w:keepLines w:val="0"/>
        <w:pageBreakBefore w:val="0"/>
        <w:widowControl/>
        <w:tabs>
          <w:tab w:val="left" w:pos="1620"/>
          <w:tab w:val="left" w:pos="2340"/>
        </w:tabs>
        <w:kinsoku/>
        <w:topLinePunct w:val="0"/>
        <w:autoSpaceDE/>
        <w:autoSpaceDN/>
        <w:bidi w:val="0"/>
        <w:adjustRightInd w:val="0"/>
        <w:snapToGrid w:val="0"/>
        <w:spacing w:line="360" w:lineRule="auto"/>
        <w:jc w:val="left"/>
        <w:outlineLvl w:val="1"/>
        <w:rPr>
          <w:rFonts w:ascii="Times New Roman" w:cs="Times New Roman"/>
          <w:b/>
          <w:bCs/>
          <w:kern w:val="44"/>
          <w:sz w:val="28"/>
          <w:szCs w:val="28"/>
        </w:rPr>
      </w:pPr>
      <w:bookmarkStart w:id="145" w:name="_Toc24959"/>
      <w:bookmarkStart w:id="146" w:name="_Toc1999930"/>
      <w:bookmarkStart w:id="147" w:name="_Toc12810"/>
      <w:bookmarkStart w:id="148" w:name="_Toc46325269"/>
      <w:r>
        <w:rPr>
          <w:rFonts w:hint="eastAsia" w:ascii="Times New Roman" w:cs="Times New Roman"/>
          <w:b/>
          <w:bCs/>
          <w:kern w:val="44"/>
          <w:sz w:val="28"/>
          <w:szCs w:val="28"/>
        </w:rPr>
        <w:t>8 用工和劳务</w:t>
      </w:r>
      <w:bookmarkEnd w:id="145"/>
      <w:bookmarkEnd w:id="146"/>
      <w:bookmarkEnd w:id="147"/>
      <w:bookmarkEnd w:id="148"/>
    </w:p>
    <w:p>
      <w:pPr>
        <w:keepNext w:val="0"/>
        <w:keepLines w:val="0"/>
        <w:pageBreakBefore w:val="0"/>
        <w:widowControl w:val="0"/>
        <w:tabs>
          <w:tab w:val="left" w:pos="540"/>
          <w:tab w:val="left" w:pos="2340"/>
        </w:tabs>
        <w:kinsoku/>
        <w:topLinePunct w:val="0"/>
        <w:autoSpaceDE/>
        <w:autoSpaceDN/>
        <w:bidi w:val="0"/>
        <w:adjustRightInd w:val="0"/>
        <w:snapToGrid w:val="0"/>
        <w:spacing w:line="360" w:lineRule="auto"/>
        <w:ind w:left="180"/>
        <w:jc w:val="left"/>
        <w:outlineLvl w:val="2"/>
        <w:rPr>
          <w:rFonts w:cs="Times New Roman"/>
          <w:b/>
          <w:bCs/>
          <w:kern w:val="2"/>
          <w:szCs w:val="32"/>
        </w:rPr>
      </w:pPr>
      <w:bookmarkStart w:id="149" w:name="_Toc1999931"/>
      <w:bookmarkStart w:id="150" w:name="_Toc16744"/>
      <w:bookmarkStart w:id="151" w:name="_Toc46325270"/>
      <w:bookmarkStart w:id="152" w:name="_Toc18416"/>
      <w:r>
        <w:rPr>
          <w:rFonts w:hint="eastAsia" w:cs="Times New Roman"/>
          <w:b/>
          <w:bCs/>
          <w:kern w:val="2"/>
          <w:szCs w:val="32"/>
        </w:rPr>
        <w:t>8.1 劳动合同</w:t>
      </w:r>
      <w:bookmarkEnd w:id="149"/>
      <w:bookmarkEnd w:id="150"/>
      <w:bookmarkEnd w:id="151"/>
      <w:bookmarkEnd w:id="152"/>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u w:val="single"/>
        </w:rPr>
      </w:pPr>
      <w:r>
        <w:rPr>
          <w:rFonts w:hint="eastAsia" w:cs="Times New Roman"/>
          <w:kern w:val="2"/>
        </w:rPr>
        <w:t>(3)若发包人或监理人发现有未签订劳动合同的劳动者在现场施工，承包人应向发包人支付违约金：</w:t>
      </w:r>
      <w:r>
        <w:rPr>
          <w:rFonts w:hint="eastAsia" w:cs="Times New Roman"/>
          <w:kern w:val="2"/>
          <w:u w:val="single"/>
        </w:rPr>
        <w:t>详见补充条款及附件1约定</w:t>
      </w:r>
      <w:r>
        <w:rPr>
          <w:rFonts w:hint="eastAsia" w:cs="Times New Roman"/>
          <w:kern w:val="2"/>
        </w:rPr>
        <w:t>。</w:t>
      </w:r>
    </w:p>
    <w:p>
      <w:pPr>
        <w:keepNext w:val="0"/>
        <w:keepLines w:val="0"/>
        <w:pageBreakBefore w:val="0"/>
        <w:widowControl w:val="0"/>
        <w:tabs>
          <w:tab w:val="left" w:pos="540"/>
          <w:tab w:val="left" w:pos="2340"/>
        </w:tabs>
        <w:kinsoku/>
        <w:topLinePunct w:val="0"/>
        <w:autoSpaceDE/>
        <w:autoSpaceDN/>
        <w:bidi w:val="0"/>
        <w:adjustRightInd w:val="0"/>
        <w:snapToGrid w:val="0"/>
        <w:spacing w:line="360" w:lineRule="auto"/>
        <w:ind w:left="180"/>
        <w:jc w:val="left"/>
        <w:outlineLvl w:val="2"/>
        <w:rPr>
          <w:rFonts w:cs="Times New Roman"/>
          <w:b/>
          <w:bCs/>
          <w:kern w:val="2"/>
          <w:szCs w:val="32"/>
        </w:rPr>
      </w:pPr>
      <w:bookmarkStart w:id="153" w:name="_Toc1999932"/>
      <w:bookmarkStart w:id="154" w:name="_Toc46325271"/>
      <w:bookmarkStart w:id="155" w:name="_Toc12236"/>
      <w:bookmarkStart w:id="156" w:name="_Toc12047"/>
      <w:r>
        <w:rPr>
          <w:rFonts w:hint="eastAsia" w:cs="Times New Roman"/>
          <w:b/>
          <w:bCs/>
          <w:kern w:val="2"/>
          <w:szCs w:val="32"/>
        </w:rPr>
        <w:t>8.2 劳务分包</w:t>
      </w:r>
      <w:bookmarkEnd w:id="153"/>
      <w:bookmarkEnd w:id="154"/>
      <w:bookmarkEnd w:id="155"/>
      <w:bookmarkEnd w:id="156"/>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(2)劳务分包企业对所有派遣劳动者购买意外伤害险和工伤保险的保险金额不得低于：</w:t>
      </w:r>
      <w:r>
        <w:rPr>
          <w:rFonts w:hint="eastAsia" w:cs="Times New Roman"/>
          <w:kern w:val="2"/>
          <w:u w:val="single"/>
        </w:rPr>
        <w:t>按《劳动合同法》、深圳市相关规定及本合同通用条款的要求。</w:t>
      </w:r>
    </w:p>
    <w:p>
      <w:pPr>
        <w:keepNext w:val="0"/>
        <w:keepLines w:val="0"/>
        <w:pageBreakBefore w:val="0"/>
        <w:widowControl w:val="0"/>
        <w:tabs>
          <w:tab w:val="left" w:pos="540"/>
          <w:tab w:val="left" w:pos="2340"/>
        </w:tabs>
        <w:kinsoku/>
        <w:topLinePunct w:val="0"/>
        <w:autoSpaceDE/>
        <w:autoSpaceDN/>
        <w:bidi w:val="0"/>
        <w:adjustRightInd w:val="0"/>
        <w:snapToGrid w:val="0"/>
        <w:spacing w:line="360" w:lineRule="auto"/>
        <w:ind w:left="180"/>
        <w:jc w:val="left"/>
        <w:outlineLvl w:val="2"/>
        <w:rPr>
          <w:rFonts w:cs="Times New Roman"/>
          <w:b/>
          <w:bCs/>
          <w:kern w:val="2"/>
          <w:szCs w:val="32"/>
        </w:rPr>
      </w:pPr>
      <w:bookmarkStart w:id="157" w:name="_Toc19222"/>
      <w:bookmarkStart w:id="158" w:name="_Toc24588"/>
      <w:bookmarkStart w:id="159" w:name="_Toc46325272"/>
      <w:bookmarkStart w:id="160" w:name="_Toc1999933"/>
      <w:r>
        <w:rPr>
          <w:rFonts w:hint="eastAsia" w:cs="Times New Roman"/>
          <w:b/>
          <w:bCs/>
          <w:kern w:val="2"/>
          <w:szCs w:val="32"/>
        </w:rPr>
        <w:t>8.3 劳务分包合同</w:t>
      </w:r>
      <w:bookmarkEnd w:id="157"/>
      <w:bookmarkEnd w:id="158"/>
      <w:bookmarkEnd w:id="159"/>
      <w:bookmarkEnd w:id="160"/>
    </w:p>
    <w:p>
      <w:pPr>
        <w:keepNext w:val="0"/>
        <w:keepLines w:val="0"/>
        <w:pageBreakBefore w:val="0"/>
        <w:widowControl w:val="0"/>
        <w:kinsoku/>
        <w:topLinePunct w:val="0"/>
        <w:autoSpaceDE/>
        <w:autoSpaceDN/>
        <w:bidi w:val="0"/>
        <w:adjustRightInd w:val="0"/>
        <w:snapToGrid w:val="0"/>
        <w:spacing w:line="360" w:lineRule="auto"/>
        <w:ind w:left="2" w:firstLine="480"/>
        <w:jc w:val="left"/>
        <w:rPr>
          <w:rFonts w:cs="Times New Roman"/>
          <w:kern w:val="2"/>
          <w:u w:val="single"/>
        </w:rPr>
      </w:pPr>
      <w:r>
        <w:rPr>
          <w:rFonts w:hint="eastAsia" w:cs="Times New Roman"/>
          <w:kern w:val="2"/>
        </w:rPr>
        <w:t>(3)若发包人或监理人发现工地上有未签订劳务分包合同或劳务分包合同未进行备案的劳务企业人员在现场施工，承包人应向发包人支付违约金：</w:t>
      </w:r>
      <w:r>
        <w:rPr>
          <w:rFonts w:hint="eastAsia" w:cs="Times New Roman"/>
          <w:kern w:val="2"/>
          <w:u w:val="single"/>
        </w:rPr>
        <w:t>详见补充条款及附件1约定</w:t>
      </w:r>
      <w:r>
        <w:rPr>
          <w:rFonts w:hint="eastAsia" w:cs="Times New Roman"/>
          <w:kern w:val="2"/>
        </w:rPr>
        <w:t>。</w:t>
      </w:r>
    </w:p>
    <w:p>
      <w:pPr>
        <w:keepNext w:val="0"/>
        <w:keepLines w:val="0"/>
        <w:pageBreakBefore w:val="0"/>
        <w:widowControl/>
        <w:tabs>
          <w:tab w:val="left" w:pos="1620"/>
          <w:tab w:val="left" w:pos="2340"/>
        </w:tabs>
        <w:kinsoku/>
        <w:topLinePunct w:val="0"/>
        <w:autoSpaceDE/>
        <w:autoSpaceDN/>
        <w:bidi w:val="0"/>
        <w:adjustRightInd w:val="0"/>
        <w:snapToGrid w:val="0"/>
        <w:spacing w:line="360" w:lineRule="auto"/>
        <w:jc w:val="left"/>
        <w:outlineLvl w:val="1"/>
        <w:rPr>
          <w:rFonts w:ascii="Times New Roman" w:cs="Times New Roman"/>
          <w:b/>
          <w:bCs/>
          <w:kern w:val="44"/>
          <w:sz w:val="28"/>
          <w:szCs w:val="28"/>
        </w:rPr>
      </w:pPr>
      <w:bookmarkStart w:id="161" w:name="_Toc14582"/>
      <w:bookmarkStart w:id="162" w:name="_Toc46325273"/>
      <w:bookmarkStart w:id="163" w:name="_Toc1999934"/>
      <w:bookmarkStart w:id="164" w:name="_Toc20999"/>
      <w:r>
        <w:rPr>
          <w:rFonts w:hint="eastAsia" w:ascii="Times New Roman" w:cs="Times New Roman"/>
          <w:b/>
          <w:bCs/>
          <w:kern w:val="44"/>
          <w:sz w:val="28"/>
          <w:szCs w:val="28"/>
        </w:rPr>
        <w:t>9 施工组织设计和进度计划</w:t>
      </w:r>
      <w:bookmarkEnd w:id="161"/>
      <w:bookmarkEnd w:id="162"/>
      <w:bookmarkEnd w:id="163"/>
      <w:bookmarkEnd w:id="164"/>
    </w:p>
    <w:p>
      <w:pPr>
        <w:keepNext w:val="0"/>
        <w:keepLines w:val="0"/>
        <w:pageBreakBefore w:val="0"/>
        <w:widowControl w:val="0"/>
        <w:tabs>
          <w:tab w:val="left" w:pos="540"/>
          <w:tab w:val="left" w:pos="900"/>
          <w:tab w:val="left" w:pos="2340"/>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165" w:name="_Toc1999935"/>
      <w:bookmarkStart w:id="166" w:name="_Toc19915"/>
      <w:bookmarkStart w:id="167" w:name="_Toc46325274"/>
      <w:bookmarkStart w:id="168" w:name="_Toc20020"/>
      <w:r>
        <w:rPr>
          <w:rFonts w:hint="eastAsia" w:cs="Times New Roman"/>
          <w:b/>
          <w:bCs/>
          <w:kern w:val="2"/>
          <w:szCs w:val="32"/>
        </w:rPr>
        <w:t>9.1 施工组织设计和进度计划的编制与提交</w:t>
      </w:r>
      <w:bookmarkEnd w:id="165"/>
      <w:bookmarkEnd w:id="166"/>
      <w:bookmarkEnd w:id="167"/>
      <w:bookmarkEnd w:id="168"/>
    </w:p>
    <w:p>
      <w:pPr>
        <w:keepNext w:val="0"/>
        <w:keepLines w:val="0"/>
        <w:pageBreakBefore w:val="0"/>
        <w:widowControl w:val="0"/>
        <w:kinsoku/>
        <w:topLinePunct w:val="0"/>
        <w:autoSpaceDE/>
        <w:autoSpaceDN/>
        <w:bidi w:val="0"/>
        <w:adjustRightInd w:val="0"/>
        <w:snapToGrid w:val="0"/>
        <w:spacing w:line="360" w:lineRule="auto"/>
        <w:ind w:left="-57" w:right="-105" w:firstLine="480"/>
        <w:rPr>
          <w:rFonts w:cs="Times New Roman"/>
          <w:kern w:val="2"/>
          <w:highlight w:val="none"/>
        </w:rPr>
      </w:pPr>
      <w:r>
        <w:rPr>
          <w:rFonts w:hint="eastAsia" w:cs="Times New Roman"/>
          <w:kern w:val="2"/>
          <w:highlight w:val="none"/>
        </w:rPr>
        <w:t>(1)承包人应提供单项施工组织设计和工程进度计划的单项工程名称：</w:t>
      </w:r>
      <w:r>
        <w:rPr>
          <w:rFonts w:hint="eastAsia" w:cs="Times New Roman"/>
          <w:kern w:val="2"/>
          <w:highlight w:val="none"/>
          <w:u w:val="single"/>
          <w:lang w:val="en-US" w:eastAsia="zh-CN"/>
        </w:rPr>
        <w:t>*****</w:t>
      </w:r>
      <w:r>
        <w:rPr>
          <w:rFonts w:hint="eastAsia" w:cs="Times New Roman"/>
          <w:kern w:val="2"/>
          <w:highlight w:val="none"/>
          <w:u w:val="single"/>
        </w:rPr>
        <w:t>。</w:t>
      </w:r>
    </w:p>
    <w:p>
      <w:pPr>
        <w:pStyle w:val="20"/>
        <w:keepNext w:val="0"/>
        <w:keepLines w:val="0"/>
        <w:pageBreakBefore w:val="0"/>
        <w:kinsoku/>
        <w:topLinePunct w:val="0"/>
        <w:autoSpaceDE/>
        <w:autoSpaceDN/>
        <w:bidi w:val="0"/>
        <w:adjustRightInd w:val="0"/>
        <w:snapToGrid w:val="0"/>
        <w:spacing w:line="360" w:lineRule="auto"/>
        <w:ind w:firstLine="480" w:firstLineChars="200"/>
        <w:jc w:val="left"/>
        <w:rPr>
          <w:rFonts w:ascii="宋体" w:hAnsi="宋体"/>
          <w:sz w:val="24"/>
          <w:szCs w:val="24"/>
          <w:highlight w:val="none"/>
          <w:u w:val="single"/>
        </w:rPr>
      </w:pPr>
      <w:r>
        <w:rPr>
          <w:rFonts w:hint="eastAsia" w:ascii="宋体" w:hAnsi="宋体"/>
          <w:sz w:val="24"/>
          <w:szCs w:val="24"/>
          <w:highlight w:val="none"/>
        </w:rPr>
        <w:t>(2)承包人提供施工组织设计和工程进度计划的时间和要求：</w:t>
      </w:r>
      <w:r>
        <w:rPr>
          <w:rFonts w:hint="eastAsia" w:ascii="宋体" w:hAnsi="宋体"/>
          <w:sz w:val="24"/>
          <w:szCs w:val="24"/>
          <w:highlight w:val="none"/>
          <w:u w:val="single"/>
        </w:rPr>
        <w:t>①承包人在收到本工程施工图纸后5天内，应向监理工程师提交 3 份内容符合整个工程实际的施工组织设计（含现场安全文明施工设计）、工程进度计划、工程措施费使用计划、工程应急抢险预案等报工程师审批； ②施工方案必须满足技术规范的要求并提出确保工程质量、进度和投资控制的措施，现场安全文明设计必须满足《深圳市建设工程现场文明施工管理办法》的要求。</w:t>
      </w:r>
    </w:p>
    <w:p>
      <w:pPr>
        <w:keepNext w:val="0"/>
        <w:keepLines w:val="0"/>
        <w:pageBreakBefore w:val="0"/>
        <w:widowControl w:val="0"/>
        <w:kinsoku/>
        <w:topLinePunct w:val="0"/>
        <w:autoSpaceDE/>
        <w:autoSpaceDN/>
        <w:bidi w:val="0"/>
        <w:adjustRightInd w:val="0"/>
        <w:snapToGrid w:val="0"/>
        <w:spacing w:line="360" w:lineRule="auto"/>
        <w:ind w:firstLine="480"/>
        <w:jc w:val="both"/>
        <w:rPr>
          <w:kern w:val="2"/>
          <w:highlight w:val="none"/>
          <w:u w:val="single"/>
        </w:rPr>
      </w:pPr>
      <w:r>
        <w:rPr>
          <w:rFonts w:hint="eastAsia"/>
          <w:kern w:val="2"/>
          <w:highlight w:val="none"/>
        </w:rPr>
        <w:t>监理人确认的时间：</w:t>
      </w:r>
      <w:r>
        <w:rPr>
          <w:rFonts w:hint="eastAsia"/>
          <w:kern w:val="2"/>
          <w:highlight w:val="none"/>
          <w:u w:val="single"/>
        </w:rPr>
        <w:t>应在收到施工组织设计和工程进度计划后5日内予以确认或提出修改意见。</w:t>
      </w:r>
    </w:p>
    <w:p>
      <w:pPr>
        <w:widowControl w:val="0"/>
        <w:adjustRightInd w:val="0"/>
        <w:snapToGrid w:val="0"/>
        <w:spacing w:line="360" w:lineRule="auto"/>
        <w:ind w:left="0" w:right="0" w:firstLine="480"/>
        <w:jc w:val="both"/>
        <w:rPr>
          <w:rFonts w:cs="Times New Roman"/>
          <w:kern w:val="2"/>
          <w:highlight w:val="none"/>
          <w:u w:val="single"/>
        </w:rPr>
      </w:pPr>
      <w:r>
        <w:rPr>
          <w:rFonts w:hint="eastAsia"/>
          <w:kern w:val="2"/>
          <w:highlight w:val="none"/>
        </w:rPr>
        <w:t>承包人根据监理人的合理意见提交修改后的施工组织设计和工程进度计划的时间和要求：</w:t>
      </w:r>
      <w:r>
        <w:rPr>
          <w:rFonts w:hint="eastAsia"/>
          <w:kern w:val="2"/>
          <w:highlight w:val="none"/>
          <w:u w:val="single"/>
        </w:rPr>
        <w:t>承包人收到修改意见后 3天内提交修改后的施工组织设计和工程进度计划，待总监理工程师确认后执行。</w:t>
      </w:r>
    </w:p>
    <w:p>
      <w:pPr>
        <w:keepNext w:val="0"/>
        <w:keepLines w:val="0"/>
        <w:pageBreakBefore w:val="0"/>
        <w:widowControl w:val="0"/>
        <w:tabs>
          <w:tab w:val="left" w:pos="540"/>
          <w:tab w:val="left" w:pos="900"/>
          <w:tab w:val="left" w:pos="2340"/>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169" w:name="_Toc46325275"/>
      <w:bookmarkStart w:id="170" w:name="_Toc18177"/>
      <w:bookmarkStart w:id="171" w:name="_Toc5215"/>
      <w:bookmarkStart w:id="172" w:name="_Toc1999936"/>
      <w:r>
        <w:rPr>
          <w:rFonts w:hint="eastAsia" w:cs="Times New Roman"/>
          <w:b/>
          <w:bCs/>
          <w:kern w:val="2"/>
          <w:szCs w:val="32"/>
        </w:rPr>
        <w:t>9.4 工程用款计划</w:t>
      </w:r>
      <w:bookmarkEnd w:id="169"/>
      <w:bookmarkEnd w:id="170"/>
      <w:bookmarkEnd w:id="171"/>
      <w:bookmarkEnd w:id="172"/>
    </w:p>
    <w:p>
      <w:pPr>
        <w:keepNext w:val="0"/>
        <w:keepLines w:val="0"/>
        <w:pageBreakBefore w:val="0"/>
        <w:widowControl w:val="0"/>
        <w:kinsoku/>
        <w:topLinePunct w:val="0"/>
        <w:autoSpaceDE/>
        <w:autoSpaceDN/>
        <w:bidi w:val="0"/>
        <w:adjustRightInd w:val="0"/>
        <w:snapToGrid w:val="0"/>
        <w:spacing w:line="360" w:lineRule="auto"/>
        <w:ind w:firstLine="440"/>
        <w:jc w:val="left"/>
        <w:rPr>
          <w:rFonts w:cs="Times New Roman"/>
          <w:bCs/>
          <w:kern w:val="2"/>
          <w:highlight w:val="none"/>
          <w:u w:val="single"/>
        </w:rPr>
      </w:pPr>
      <w:r>
        <w:rPr>
          <w:rFonts w:hint="eastAsia" w:cs="Times New Roman"/>
          <w:bCs/>
          <w:spacing w:val="-10"/>
          <w:kern w:val="2"/>
          <w:highlight w:val="none"/>
        </w:rPr>
        <w:t>承包人提交工程用款计划的要求：</w:t>
      </w:r>
      <w:r>
        <w:rPr>
          <w:rFonts w:hint="eastAsia" w:cs="Times New Roman"/>
          <w:highlight w:val="none"/>
          <w:u w:val="single"/>
        </w:rPr>
        <w:t>满足工程进度要求。</w:t>
      </w:r>
    </w:p>
    <w:p>
      <w:pPr>
        <w:keepNext w:val="0"/>
        <w:keepLines w:val="0"/>
        <w:pageBreakBefore w:val="0"/>
        <w:widowControl/>
        <w:tabs>
          <w:tab w:val="left" w:pos="1620"/>
          <w:tab w:val="left" w:pos="2340"/>
        </w:tabs>
        <w:kinsoku/>
        <w:topLinePunct w:val="0"/>
        <w:autoSpaceDE/>
        <w:autoSpaceDN/>
        <w:bidi w:val="0"/>
        <w:adjustRightInd w:val="0"/>
        <w:snapToGrid w:val="0"/>
        <w:spacing w:line="360" w:lineRule="auto"/>
        <w:jc w:val="left"/>
        <w:outlineLvl w:val="1"/>
        <w:rPr>
          <w:rFonts w:ascii="Times New Roman" w:cs="Times New Roman"/>
          <w:b/>
          <w:bCs/>
          <w:kern w:val="44"/>
          <w:sz w:val="28"/>
          <w:szCs w:val="28"/>
          <w:highlight w:val="none"/>
        </w:rPr>
      </w:pPr>
      <w:bookmarkStart w:id="173" w:name="_Toc2235"/>
      <w:bookmarkStart w:id="174" w:name="_Toc12521"/>
      <w:bookmarkStart w:id="175" w:name="_Toc46325276"/>
      <w:bookmarkStart w:id="176" w:name="_Toc1999937"/>
      <w:r>
        <w:rPr>
          <w:rFonts w:hint="eastAsia" w:ascii="Times New Roman" w:cs="Times New Roman"/>
          <w:b/>
          <w:bCs/>
          <w:kern w:val="44"/>
          <w:sz w:val="28"/>
          <w:szCs w:val="28"/>
          <w:highlight w:val="none"/>
        </w:rPr>
        <w:t>10 施工准备</w:t>
      </w:r>
      <w:bookmarkEnd w:id="173"/>
      <w:bookmarkEnd w:id="174"/>
      <w:bookmarkEnd w:id="175"/>
      <w:bookmarkEnd w:id="176"/>
    </w:p>
    <w:p>
      <w:pPr>
        <w:keepNext w:val="0"/>
        <w:keepLines w:val="0"/>
        <w:pageBreakBefore w:val="0"/>
        <w:widowControl w:val="0"/>
        <w:tabs>
          <w:tab w:val="left" w:pos="540"/>
          <w:tab w:val="left" w:pos="900"/>
          <w:tab w:val="left" w:pos="2340"/>
        </w:tabs>
        <w:kinsoku/>
        <w:topLinePunct w:val="0"/>
        <w:autoSpaceDE/>
        <w:autoSpaceDN/>
        <w:bidi w:val="0"/>
        <w:adjustRightInd w:val="0"/>
        <w:snapToGrid w:val="0"/>
        <w:spacing w:line="360" w:lineRule="auto"/>
        <w:ind w:left="359"/>
        <w:jc w:val="left"/>
        <w:outlineLvl w:val="2"/>
        <w:rPr>
          <w:rFonts w:cs="Times New Roman"/>
          <w:b/>
          <w:bCs/>
          <w:kern w:val="2"/>
          <w:szCs w:val="32"/>
          <w:highlight w:val="none"/>
        </w:rPr>
      </w:pPr>
      <w:bookmarkStart w:id="177" w:name="_Toc1999938"/>
      <w:bookmarkStart w:id="178" w:name="_Toc46325277"/>
      <w:bookmarkStart w:id="179" w:name="_Toc31876"/>
      <w:bookmarkStart w:id="180" w:name="_Toc12864"/>
      <w:r>
        <w:rPr>
          <w:rFonts w:hint="eastAsia" w:cs="Times New Roman"/>
          <w:b/>
          <w:bCs/>
          <w:kern w:val="2"/>
          <w:szCs w:val="32"/>
          <w:highlight w:val="none"/>
        </w:rPr>
        <w:t>10.2 施工场地提供</w:t>
      </w:r>
      <w:bookmarkEnd w:id="177"/>
      <w:bookmarkEnd w:id="178"/>
      <w:bookmarkEnd w:id="179"/>
      <w:bookmarkEnd w:id="180"/>
    </w:p>
    <w:p>
      <w:pPr>
        <w:keepNext w:val="0"/>
        <w:keepLines w:val="0"/>
        <w:pageBreakBefore w:val="0"/>
        <w:widowControl w:val="0"/>
        <w:kinsoku/>
        <w:topLinePunct w:val="0"/>
        <w:autoSpaceDE/>
        <w:autoSpaceDN/>
        <w:bidi w:val="0"/>
        <w:adjustRightInd w:val="0"/>
        <w:snapToGrid w:val="0"/>
        <w:spacing w:line="360" w:lineRule="auto"/>
        <w:jc w:val="both"/>
        <w:rPr>
          <w:rFonts w:cs="Times New Roman"/>
          <w:highlight w:val="none"/>
          <w:u w:val="single"/>
        </w:rPr>
      </w:pPr>
      <w:r>
        <w:rPr>
          <w:rFonts w:hint="eastAsia" w:cs="Times New Roman"/>
          <w:kern w:val="2"/>
          <w:highlight w:val="none"/>
        </w:rPr>
        <w:t>(1)发包人提供给承包人的工地范围、时间及次序约定：</w:t>
      </w:r>
      <w:r>
        <w:rPr>
          <w:rFonts w:hint="eastAsia" w:cs="Times New Roman"/>
          <w:highlight w:val="none"/>
          <w:u w:val="single"/>
        </w:rPr>
        <w:t>发包人在向承包人发放中标通知书后15日内向承包人移交施工场地、原始基准点等，承包人应进一步调查和了解，以取得其对施工影响的全部信息，发包人不对其所提供资料的准确性负责；</w:t>
      </w:r>
    </w:p>
    <w:p>
      <w:pPr>
        <w:keepNext w:val="0"/>
        <w:keepLines w:val="0"/>
        <w:pageBreakBefore w:val="0"/>
        <w:widowControl w:val="0"/>
        <w:kinsoku/>
        <w:topLinePunct w:val="0"/>
        <w:autoSpaceDE/>
        <w:autoSpaceDN/>
        <w:bidi w:val="0"/>
        <w:adjustRightInd w:val="0"/>
        <w:snapToGrid w:val="0"/>
        <w:spacing w:line="360" w:lineRule="auto"/>
        <w:jc w:val="both"/>
        <w:rPr>
          <w:rFonts w:hint="eastAsia" w:cs="Times New Roman"/>
          <w:highlight w:val="none"/>
          <w:u w:val="single"/>
        </w:rPr>
      </w:pPr>
      <w:r>
        <w:rPr>
          <w:rFonts w:hint="eastAsia" w:cs="Times New Roman"/>
          <w:kern w:val="2"/>
          <w:highlight w:val="none"/>
        </w:rPr>
        <w:t>(3)红线外临时占地租用费用承担约定：</w:t>
      </w:r>
      <w:r>
        <w:rPr>
          <w:rFonts w:hint="eastAsia" w:cs="Times New Roman"/>
          <w:highlight w:val="none"/>
          <w:u w:val="single"/>
        </w:rPr>
        <w:t>发包人不提供红线外任何场地，所有需要的临时占地的手续和相关租用费由承包人负责办理和支付。临时用地使用完毕后，承包人应自费恢复临时用地的条件。承包人不得以场地不足影响工程进展，不得以此为由提出任何费用或工期索赔。</w:t>
      </w:r>
    </w:p>
    <w:p>
      <w:pPr>
        <w:keepNext w:val="0"/>
        <w:keepLines w:val="0"/>
        <w:pageBreakBefore w:val="0"/>
        <w:widowControl w:val="0"/>
        <w:kinsoku/>
        <w:topLinePunct w:val="0"/>
        <w:autoSpaceDE/>
        <w:autoSpaceDN/>
        <w:bidi w:val="0"/>
        <w:adjustRightInd w:val="0"/>
        <w:snapToGrid w:val="0"/>
        <w:spacing w:line="360" w:lineRule="auto"/>
        <w:jc w:val="both"/>
        <w:rPr>
          <w:rFonts w:cs="Times New Roman"/>
          <w:highlight w:val="none"/>
          <w:u w:val="single"/>
        </w:rPr>
      </w:pPr>
      <w:r>
        <w:rPr>
          <w:rFonts w:hint="eastAsia" w:cs="Times New Roman"/>
          <w:highlight w:val="none"/>
          <w:u w:val="single"/>
        </w:rPr>
        <w:t>（</w:t>
      </w:r>
      <w:r>
        <w:rPr>
          <w:rFonts w:hint="eastAsia" w:cs="Times New Roman"/>
          <w:highlight w:val="none"/>
          <w:u w:val="single"/>
          <w:lang w:val="en-US" w:eastAsia="zh-CN"/>
        </w:rPr>
        <w:t>4</w:t>
      </w:r>
      <w:r>
        <w:rPr>
          <w:rFonts w:hint="eastAsia" w:cs="Times New Roman"/>
          <w:highlight w:val="none"/>
          <w:u w:val="single"/>
        </w:rPr>
        <w:t>）发包人移交的工地范围详见施工图纸、招标文件及宗地图。承包人在工地范围内安排办公、材料堆放、材料加工场地等须征得发包人、监理人的书面同意，并按经发包人、监理人审核的施工组织设计要求完成，</w:t>
      </w:r>
      <w:r>
        <w:rPr>
          <w:rFonts w:hint="eastAsia" w:cs="Times New Roman"/>
          <w:b/>
          <w:bCs/>
          <w:highlight w:val="none"/>
          <w:u w:val="single"/>
        </w:rPr>
        <w:t>所有费用均已在合同价中综合考虑，不再另行计算</w:t>
      </w:r>
      <w:r>
        <w:rPr>
          <w:rFonts w:hint="eastAsia" w:cs="Times New Roman"/>
          <w:highlight w:val="none"/>
          <w:u w:val="single"/>
        </w:rPr>
        <w:t>。</w:t>
      </w:r>
    </w:p>
    <w:p>
      <w:pPr>
        <w:keepNext w:val="0"/>
        <w:keepLines w:val="0"/>
        <w:pageBreakBefore w:val="0"/>
        <w:widowControl w:val="0"/>
        <w:tabs>
          <w:tab w:val="left" w:pos="540"/>
          <w:tab w:val="left" w:pos="900"/>
          <w:tab w:val="left" w:pos="2340"/>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181" w:name="_Toc1999939"/>
      <w:bookmarkStart w:id="182" w:name="_Toc20565"/>
      <w:bookmarkStart w:id="183" w:name="_Toc17929"/>
      <w:bookmarkStart w:id="184" w:name="_Toc46325278"/>
      <w:r>
        <w:rPr>
          <w:rFonts w:hint="eastAsia" w:cs="Times New Roman"/>
          <w:b/>
          <w:bCs/>
          <w:kern w:val="2"/>
          <w:szCs w:val="32"/>
        </w:rPr>
        <w:t>10.6 不利的外界障碍或条件</w:t>
      </w:r>
      <w:bookmarkEnd w:id="181"/>
      <w:bookmarkEnd w:id="182"/>
      <w:bookmarkEnd w:id="183"/>
      <w:bookmarkEnd w:id="184"/>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rPr>
        <w:t>(3)本合同可能产生的不利的外界障碍或条件为：</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ascii="Segoe UI Emoji" w:hAnsi="Segoe UI Emoji" w:eastAsia="宋体" w:cs="Segoe UI Emoji"/>
          <w:kern w:val="2"/>
          <w:sz w:val="32"/>
          <w:szCs w:val="21"/>
          <w:lang w:eastAsia="zh-CN"/>
        </w:rPr>
        <w:t>□</w:t>
      </w:r>
      <w:r>
        <w:rPr>
          <w:rFonts w:hint="eastAsia" w:cs="Times New Roman"/>
          <w:kern w:val="2"/>
        </w:rPr>
        <w:t>施工现场地形、地质的改变；</w:t>
      </w:r>
    </w:p>
    <w:p>
      <w:pPr>
        <w:keepNext w:val="0"/>
        <w:keepLines w:val="0"/>
        <w:pageBreakBefore w:val="0"/>
        <w:widowControl w:val="0"/>
        <w:kinsoku/>
        <w:topLinePunct w:val="0"/>
        <w:autoSpaceDE/>
        <w:autoSpaceDN/>
        <w:bidi w:val="0"/>
        <w:adjustRightInd w:val="0"/>
        <w:snapToGrid w:val="0"/>
        <w:spacing w:line="360" w:lineRule="auto"/>
        <w:ind w:firstLine="480" w:firstLineChars="150"/>
        <w:jc w:val="left"/>
        <w:rPr>
          <w:rFonts w:cs="Times New Roman"/>
          <w:kern w:val="2"/>
          <w:highlight w:val="none"/>
        </w:rPr>
      </w:pPr>
      <w:r>
        <w:rPr>
          <w:rFonts w:ascii="Segoe UI Emoji" w:hAnsi="Segoe UI Emoji" w:eastAsia="MS Mincho" w:cs="Segoe UI Emoji"/>
          <w:kern w:val="2"/>
          <w:sz w:val="32"/>
          <w:szCs w:val="21"/>
        </w:rPr>
        <w:t>☑</w:t>
      </w:r>
      <w:r>
        <w:rPr>
          <w:rFonts w:hint="eastAsia" w:cs="Times New Roman"/>
          <w:kern w:val="2"/>
          <w:highlight w:val="none"/>
        </w:rPr>
        <w:t>政府政策性停工；</w:t>
      </w:r>
    </w:p>
    <w:p>
      <w:pPr>
        <w:keepNext w:val="0"/>
        <w:keepLines w:val="0"/>
        <w:pageBreakBefore w:val="0"/>
        <w:widowControl w:val="0"/>
        <w:kinsoku/>
        <w:topLinePunct w:val="0"/>
        <w:autoSpaceDE/>
        <w:autoSpaceDN/>
        <w:bidi w:val="0"/>
        <w:adjustRightInd w:val="0"/>
        <w:snapToGrid w:val="0"/>
        <w:spacing w:line="360" w:lineRule="auto"/>
        <w:ind w:firstLine="480"/>
        <w:jc w:val="left"/>
        <w:rPr>
          <w:rFonts w:hint="eastAsia" w:cs="Times New Roman"/>
          <w:kern w:val="2"/>
          <w:highlight w:val="none"/>
          <w:u w:val="single"/>
        </w:rPr>
      </w:pPr>
      <w:r>
        <w:rPr>
          <w:rFonts w:hint="eastAsia" w:ascii="Segoe UI Emoji" w:hAnsi="Segoe UI Emoji" w:cs="Segoe UI Emoji"/>
          <w:kern w:val="2"/>
          <w:sz w:val="32"/>
          <w:szCs w:val="21"/>
          <w:highlight w:val="none"/>
          <w:lang w:eastAsia="zh-CN"/>
        </w:rPr>
        <w:t>☑</w:t>
      </w:r>
      <w:r>
        <w:rPr>
          <w:rFonts w:hint="eastAsia" w:cs="Times New Roman"/>
          <w:kern w:val="2"/>
          <w:highlight w:val="none"/>
        </w:rPr>
        <w:t>其他：</w:t>
      </w:r>
      <w:r>
        <w:rPr>
          <w:rFonts w:hint="eastAsia" w:cs="Times New Roman"/>
          <w:kern w:val="2"/>
          <w:highlight w:val="none"/>
          <w:u w:val="single"/>
        </w:rPr>
        <w:t>由于政府（政府部门）政策、决定、通知或航空限高审批、海绵城市、不可抗力等原因，发包人需要延迟项目进度或者停工的，承包人必须无条件执行，发包人不承担由此产生的任何费用、损失；因上述原因，发包人需要终止或者解除合同的，通知到达承包人时本合同终止或解除，发包人除按合同条款根据承包人实际完成的工作量进行结算外，无须向承包人支付任何补偿、赔偿或承担其他法律责任。</w:t>
      </w:r>
    </w:p>
    <w:p>
      <w:pPr>
        <w:tabs>
          <w:tab w:val="left" w:pos="540"/>
          <w:tab w:val="left" w:pos="1620"/>
          <w:tab w:val="left" w:pos="2340"/>
        </w:tabs>
        <w:snapToGrid w:val="0"/>
        <w:spacing w:before="120" w:after="120"/>
        <w:ind w:left="178"/>
        <w:outlineLvl w:val="0"/>
        <w:rPr>
          <w:rFonts w:hint="eastAsia" w:ascii="Times New Roman" w:hAnsi="宋体" w:eastAsia="宋体" w:cs="Times New Roman"/>
          <w:b/>
          <w:bCs/>
          <w:kern w:val="44"/>
          <w:sz w:val="28"/>
          <w:szCs w:val="28"/>
        </w:rPr>
      </w:pPr>
      <w:r>
        <w:rPr>
          <w:rFonts w:hint="eastAsia" w:ascii="Times New Roman" w:hAnsi="宋体" w:eastAsia="宋体" w:cs="Times New Roman"/>
          <w:b/>
          <w:bCs/>
          <w:kern w:val="44"/>
          <w:sz w:val="28"/>
          <w:szCs w:val="28"/>
        </w:rPr>
        <w:t>11</w:t>
      </w:r>
      <w:r>
        <w:rPr>
          <w:rFonts w:hint="eastAsia" w:ascii="Times New Roman" w:hAnsi="宋体" w:eastAsia="宋体" w:cs="Times New Roman"/>
          <w:b/>
          <w:bCs/>
          <w:kern w:val="44"/>
          <w:sz w:val="28"/>
          <w:szCs w:val="28"/>
          <w:lang w:val="en-US" w:eastAsia="zh-CN"/>
        </w:rPr>
        <w:t xml:space="preserve"> </w:t>
      </w:r>
      <w:r>
        <w:rPr>
          <w:rFonts w:hint="eastAsia" w:ascii="Times New Roman" w:hAnsi="宋体" w:eastAsia="宋体" w:cs="Times New Roman"/>
          <w:b/>
          <w:bCs/>
          <w:kern w:val="44"/>
          <w:sz w:val="28"/>
          <w:szCs w:val="28"/>
        </w:rPr>
        <w:t>开工及延期</w:t>
      </w:r>
    </w:p>
    <w:p>
      <w:pPr>
        <w:wordWrap w:val="0"/>
        <w:overflowPunct w:val="0"/>
        <w:adjustRightInd w:val="0"/>
        <w:snapToGrid w:val="0"/>
        <w:spacing w:line="360" w:lineRule="auto"/>
        <w:ind w:firstLine="482" w:firstLineChars="200"/>
        <w:rPr>
          <w:b/>
          <w:bCs/>
        </w:rPr>
      </w:pPr>
      <w:r>
        <w:rPr>
          <w:rFonts w:hint="eastAsia"/>
          <w:b/>
          <w:bCs/>
        </w:rPr>
        <w:t>11.2开工延期</w:t>
      </w:r>
    </w:p>
    <w:p>
      <w:pPr>
        <w:wordWrap w:val="0"/>
        <w:overflowPunct w:val="0"/>
        <w:adjustRightInd w:val="0"/>
        <w:snapToGrid w:val="0"/>
        <w:spacing w:line="360" w:lineRule="auto"/>
        <w:ind w:firstLine="480" w:firstLineChars="200"/>
      </w:pPr>
      <w:r>
        <w:rPr>
          <w:rFonts w:hint="eastAsia"/>
        </w:rPr>
        <w:t>（2）因发包人的原因造成承包人不能在本合同约定的开工日期开工，承包人只能得到顺延工期的补偿。</w:t>
      </w:r>
    </w:p>
    <w:p>
      <w:pPr>
        <w:keepNext w:val="0"/>
        <w:keepLines w:val="0"/>
        <w:pageBreakBefore w:val="0"/>
        <w:widowControl/>
        <w:tabs>
          <w:tab w:val="left" w:pos="540"/>
          <w:tab w:val="left" w:pos="1620"/>
          <w:tab w:val="left" w:pos="2340"/>
        </w:tabs>
        <w:kinsoku/>
        <w:topLinePunct w:val="0"/>
        <w:autoSpaceDE/>
        <w:autoSpaceDN/>
        <w:bidi w:val="0"/>
        <w:adjustRightInd w:val="0"/>
        <w:snapToGrid w:val="0"/>
        <w:spacing w:line="360" w:lineRule="auto"/>
        <w:ind w:left="178"/>
        <w:jc w:val="left"/>
        <w:outlineLvl w:val="1"/>
        <w:rPr>
          <w:rFonts w:ascii="Times New Roman" w:cs="Times New Roman"/>
          <w:b/>
          <w:bCs/>
          <w:kern w:val="44"/>
          <w:sz w:val="28"/>
          <w:szCs w:val="28"/>
        </w:rPr>
      </w:pPr>
      <w:bookmarkStart w:id="185" w:name="_Toc46325279"/>
      <w:bookmarkStart w:id="186" w:name="_Toc23255"/>
      <w:bookmarkStart w:id="187" w:name="_Toc11675"/>
      <w:bookmarkStart w:id="188" w:name="_Toc1999940"/>
      <w:r>
        <w:rPr>
          <w:rFonts w:hint="eastAsia" w:ascii="Times New Roman" w:cs="Times New Roman"/>
          <w:b/>
          <w:bCs/>
          <w:kern w:val="44"/>
          <w:sz w:val="28"/>
          <w:szCs w:val="28"/>
        </w:rPr>
        <w:t>12 暂停施工和恢复施工</w:t>
      </w:r>
      <w:bookmarkEnd w:id="185"/>
      <w:bookmarkEnd w:id="186"/>
      <w:bookmarkEnd w:id="187"/>
      <w:bookmarkEnd w:id="188"/>
    </w:p>
    <w:p>
      <w:pPr>
        <w:keepNext w:val="0"/>
        <w:keepLines w:val="0"/>
        <w:pageBreakBefore w:val="0"/>
        <w:widowControl w:val="0"/>
        <w:tabs>
          <w:tab w:val="left" w:pos="540"/>
          <w:tab w:val="left" w:pos="900"/>
          <w:tab w:val="left" w:pos="2340"/>
        </w:tabs>
        <w:kinsoku/>
        <w:topLinePunct w:val="0"/>
        <w:autoSpaceDE/>
        <w:autoSpaceDN/>
        <w:bidi w:val="0"/>
        <w:adjustRightInd w:val="0"/>
        <w:snapToGrid w:val="0"/>
        <w:spacing w:line="360" w:lineRule="auto"/>
        <w:ind w:left="359"/>
        <w:jc w:val="left"/>
        <w:outlineLvl w:val="2"/>
        <w:rPr>
          <w:rFonts w:cs="Times New Roman"/>
          <w:b/>
          <w:bCs/>
          <w:kern w:val="2"/>
          <w:szCs w:val="32"/>
          <w:highlight w:val="none"/>
        </w:rPr>
      </w:pPr>
      <w:bookmarkStart w:id="189" w:name="_Toc12032"/>
      <w:bookmarkStart w:id="190" w:name="_Toc3445"/>
      <w:bookmarkStart w:id="191" w:name="_Toc46325280"/>
      <w:bookmarkStart w:id="192" w:name="_Toc1999941"/>
      <w:r>
        <w:rPr>
          <w:rFonts w:hint="eastAsia" w:cs="Times New Roman"/>
          <w:b/>
          <w:bCs/>
          <w:kern w:val="2"/>
          <w:szCs w:val="32"/>
          <w:highlight w:val="none"/>
        </w:rPr>
        <w:t>12.2 承包人原因引起的暂停施工</w:t>
      </w:r>
      <w:bookmarkEnd w:id="189"/>
      <w:bookmarkEnd w:id="190"/>
      <w:bookmarkEnd w:id="191"/>
      <w:bookmarkEnd w:id="192"/>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bCs/>
          <w:kern w:val="2"/>
          <w:highlight w:val="none"/>
          <w:u w:val="single"/>
        </w:rPr>
      </w:pPr>
      <w:r>
        <w:rPr>
          <w:rFonts w:hint="eastAsia" w:cs="Times New Roman"/>
          <w:kern w:val="2"/>
          <w:highlight w:val="none"/>
        </w:rPr>
        <w:t>因承包人原因引起的暂停施工，承包人在收到监理人复工指示后复工的期限为：</w:t>
      </w:r>
      <w:r>
        <w:rPr>
          <w:rFonts w:cs="Times New Roman"/>
          <w:highlight w:val="none"/>
          <w:u w:val="single"/>
        </w:rPr>
        <w:t>1</w:t>
      </w:r>
      <w:r>
        <w:rPr>
          <w:rFonts w:hint="eastAsia" w:cs="Times New Roman"/>
          <w:highlight w:val="none"/>
          <w:u w:val="single"/>
        </w:rPr>
        <w:t>日历天。</w:t>
      </w:r>
    </w:p>
    <w:p>
      <w:pPr>
        <w:keepNext w:val="0"/>
        <w:keepLines w:val="0"/>
        <w:pageBreakBefore w:val="0"/>
        <w:widowControl/>
        <w:tabs>
          <w:tab w:val="left" w:pos="540"/>
          <w:tab w:val="left" w:pos="1620"/>
          <w:tab w:val="left" w:pos="2340"/>
        </w:tabs>
        <w:kinsoku/>
        <w:topLinePunct w:val="0"/>
        <w:autoSpaceDE/>
        <w:autoSpaceDN/>
        <w:bidi w:val="0"/>
        <w:adjustRightInd w:val="0"/>
        <w:snapToGrid w:val="0"/>
        <w:spacing w:line="360" w:lineRule="auto"/>
        <w:ind w:left="178"/>
        <w:jc w:val="left"/>
        <w:outlineLvl w:val="1"/>
        <w:rPr>
          <w:rFonts w:ascii="Times New Roman" w:cs="Times New Roman"/>
          <w:b/>
          <w:bCs/>
          <w:kern w:val="44"/>
          <w:sz w:val="28"/>
          <w:szCs w:val="28"/>
        </w:rPr>
      </w:pPr>
      <w:bookmarkStart w:id="193" w:name="_Toc610"/>
      <w:bookmarkStart w:id="194" w:name="_Toc12708"/>
      <w:bookmarkStart w:id="195" w:name="_Toc46325281"/>
      <w:bookmarkStart w:id="196" w:name="_Toc1999942"/>
      <w:r>
        <w:rPr>
          <w:rFonts w:hint="eastAsia" w:ascii="Times New Roman" w:cs="Times New Roman"/>
          <w:b/>
          <w:bCs/>
          <w:kern w:val="44"/>
          <w:sz w:val="28"/>
          <w:szCs w:val="28"/>
        </w:rPr>
        <w:t>13 工期及延误</w:t>
      </w:r>
      <w:bookmarkEnd w:id="193"/>
      <w:bookmarkEnd w:id="194"/>
      <w:bookmarkEnd w:id="195"/>
      <w:bookmarkEnd w:id="196"/>
    </w:p>
    <w:p>
      <w:pPr>
        <w:keepNext w:val="0"/>
        <w:keepLines w:val="0"/>
        <w:pageBreakBefore w:val="0"/>
        <w:widowControl w:val="0"/>
        <w:kinsoku/>
        <w:topLinePunct w:val="0"/>
        <w:autoSpaceDE/>
        <w:autoSpaceDN/>
        <w:bidi w:val="0"/>
        <w:adjustRightInd w:val="0"/>
        <w:snapToGrid w:val="0"/>
        <w:spacing w:line="360" w:lineRule="auto"/>
        <w:ind w:firstLine="420"/>
        <w:jc w:val="both"/>
        <w:rPr>
          <w:kern w:val="2"/>
          <w:szCs w:val="20"/>
          <w:u w:val="single"/>
        </w:rPr>
      </w:pPr>
      <w:bookmarkStart w:id="197" w:name="_Toc46325282"/>
      <w:bookmarkStart w:id="198" w:name="_Toc1999943"/>
      <w:r>
        <w:rPr>
          <w:rFonts w:hint="eastAsia" w:cs="Times New Roman"/>
          <w:b/>
          <w:bCs/>
          <w:kern w:val="2"/>
          <w:szCs w:val="32"/>
        </w:rPr>
        <w:t>13.1 总工期及节点工期</w:t>
      </w:r>
      <w:bookmarkEnd w:id="197"/>
      <w:bookmarkEnd w:id="198"/>
      <w:r>
        <w:rPr>
          <w:rFonts w:hint="eastAsia" w:cs="Times New Roman"/>
          <w:b/>
          <w:bCs/>
          <w:kern w:val="2"/>
          <w:szCs w:val="32"/>
        </w:rPr>
        <w:t>：</w:t>
      </w:r>
      <w:r>
        <w:rPr>
          <w:rFonts w:hint="eastAsia" w:cs="Times New Roman"/>
          <w:kern w:val="2"/>
          <w:szCs w:val="20"/>
          <w:u w:val="single"/>
        </w:rPr>
        <w:t>详见补充条款及附件1</w:t>
      </w:r>
      <w:r>
        <w:rPr>
          <w:rFonts w:hint="eastAsia"/>
          <w:kern w:val="2"/>
          <w:szCs w:val="20"/>
          <w:u w:val="single"/>
        </w:rPr>
        <w:t>。</w:t>
      </w:r>
    </w:p>
    <w:p>
      <w:pPr>
        <w:keepNext w:val="0"/>
        <w:keepLines w:val="0"/>
        <w:pageBreakBefore w:val="0"/>
        <w:widowControl/>
        <w:kinsoku/>
        <w:topLinePunct w:val="0"/>
        <w:autoSpaceDE/>
        <w:autoSpaceDN/>
        <w:bidi w:val="0"/>
        <w:adjustRightInd w:val="0"/>
        <w:snapToGrid w:val="0"/>
        <w:spacing w:line="360" w:lineRule="auto"/>
        <w:ind w:firstLine="482" w:firstLineChars="200"/>
        <w:jc w:val="both"/>
        <w:rPr>
          <w:b/>
          <w:kern w:val="2"/>
        </w:rPr>
      </w:pPr>
      <w:bookmarkStart w:id="199" w:name="_Toc46325283"/>
      <w:bookmarkStart w:id="200" w:name="_Toc1999944"/>
      <w:r>
        <w:rPr>
          <w:rFonts w:hint="eastAsia"/>
          <w:b/>
          <w:kern w:val="2"/>
        </w:rPr>
        <w:t>13.2 因发包人原因导致工期延误</w:t>
      </w:r>
    </w:p>
    <w:bookmarkEnd w:id="199"/>
    <w:bookmarkEnd w:id="200"/>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rPr>
        <w:t>(7)因发包人原因导致工期延误的其他情形：</w:t>
      </w:r>
      <w:r>
        <w:rPr>
          <w:rFonts w:hint="eastAsia" w:cs="Times New Roman"/>
          <w:kern w:val="2"/>
          <w:u w:val="single"/>
        </w:rPr>
        <w:t xml:space="preserve">通用条款第13.2款予以删除，修改为：“在合同履行过程中，因下列情况导致工期延误，由发包人承担由此延误的工期。承包人应当在工期延误的事由发生后14日内向发包人提出工期补偿，经发包人批准后，工期予以相应顺延，承包人逾期提出的，视为无需进行工期补偿： </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u w:val="single"/>
        </w:rPr>
        <w:t>①发包人未能按约定提供图纸及开工条件；</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u w:val="single"/>
        </w:rPr>
        <w:t>②因工程变更引起工作量的显著变化引致施工关键线路进度受到重大影响；</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u w:val="single"/>
        </w:rPr>
        <w:t>③遇不可抗力并造成工程停工；</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u w:val="single"/>
        </w:rPr>
        <w:t>④任何因发包人原因造成的关键线路工期延误，经发包人、监理人书面认可后，可相应顺延工期。</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u w:val="single"/>
        </w:rPr>
        <w:t>除本款及专用条款第13.2款上述约定之外，本工程工期不因任何原因而调整。</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bCs/>
          <w:kern w:val="2"/>
          <w:u w:val="single"/>
        </w:rPr>
      </w:pPr>
      <w:r>
        <w:rPr>
          <w:rFonts w:hint="eastAsia" w:cs="Times New Roman"/>
          <w:kern w:val="2"/>
          <w:u w:val="single"/>
        </w:rPr>
        <w:t>工期顺延的情况下，除工期顺延之外，发包人无需向承包人支付任何费用赔偿或补偿，也无需支付承包人任何合理利润。</w:t>
      </w:r>
    </w:p>
    <w:p>
      <w:pPr>
        <w:keepNext w:val="0"/>
        <w:keepLines w:val="0"/>
        <w:pageBreakBefore w:val="0"/>
        <w:widowControl w:val="0"/>
        <w:tabs>
          <w:tab w:val="left" w:pos="540"/>
          <w:tab w:val="left" w:pos="900"/>
          <w:tab w:val="left" w:pos="2340"/>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201" w:name="_Toc24015"/>
      <w:bookmarkStart w:id="202" w:name="_Toc46325284"/>
      <w:bookmarkStart w:id="203" w:name="_Toc22041"/>
      <w:bookmarkStart w:id="204" w:name="_Toc1999945"/>
      <w:r>
        <w:rPr>
          <w:rFonts w:hint="eastAsia" w:cs="Times New Roman"/>
          <w:b/>
          <w:bCs/>
          <w:kern w:val="2"/>
          <w:szCs w:val="32"/>
        </w:rPr>
        <w:t>13.3 因承包人原因导致工期延误</w:t>
      </w:r>
      <w:bookmarkEnd w:id="201"/>
      <w:bookmarkEnd w:id="202"/>
      <w:bookmarkEnd w:id="203"/>
      <w:bookmarkEnd w:id="204"/>
    </w:p>
    <w:p>
      <w:pPr>
        <w:keepNext w:val="0"/>
        <w:keepLines w:val="0"/>
        <w:pageBreakBefore w:val="0"/>
        <w:widowControl w:val="0"/>
        <w:kinsoku/>
        <w:topLinePunct w:val="0"/>
        <w:autoSpaceDE/>
        <w:autoSpaceDN/>
        <w:bidi w:val="0"/>
        <w:adjustRightInd w:val="0"/>
        <w:snapToGrid w:val="0"/>
        <w:spacing w:line="360" w:lineRule="auto"/>
        <w:ind w:firstLine="480"/>
        <w:jc w:val="left"/>
        <w:rPr>
          <w:kern w:val="2"/>
          <w:u w:val="single"/>
        </w:rPr>
      </w:pPr>
      <w:r>
        <w:rPr>
          <w:rFonts w:hint="eastAsia" w:cs="Times New Roman"/>
          <w:kern w:val="2"/>
        </w:rPr>
        <w:t>逾期竣工违约金计算方法：</w:t>
      </w:r>
      <w:r>
        <w:rPr>
          <w:rFonts w:hint="eastAsia" w:cs="Times New Roman"/>
          <w:kern w:val="2"/>
          <w:u w:val="single"/>
        </w:rPr>
        <w:t>详见补充条款及附件</w:t>
      </w:r>
      <w:r>
        <w:rPr>
          <w:rFonts w:cs="Times New Roman"/>
          <w:kern w:val="2"/>
          <w:u w:val="single"/>
        </w:rPr>
        <w:t>1</w:t>
      </w:r>
      <w:r>
        <w:rPr>
          <w:rFonts w:hint="eastAsia"/>
          <w:kern w:val="2"/>
          <w:u w:val="single"/>
        </w:rPr>
        <w:t>。</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u w:val="single"/>
        </w:rPr>
        <w:t>1.本工程有效工期为硬性工期。承包人必须采取一切有效措施保证按有效工期完成，不得延误，除非发生了以下情形：</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u w:val="single"/>
        </w:rPr>
        <w:t>（1）政府或发包人对本工程建设项目作出停建、缓建的决定；</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u w:val="single"/>
        </w:rPr>
        <w:t>（2）重大设计变更导致本工程在规划、使用、功能方面有重大调整；</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u w:val="single"/>
        </w:rPr>
        <w:t>（3）发生不可抗力事件。</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u w:val="single"/>
        </w:rPr>
        <w:t>2.工期控制与调整</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u w:val="single"/>
        </w:rPr>
        <w:t>根据建设项目工期网络计划安排，承包人必须根据发包人下发的节点工期要求在施工组织设计文件中详细区分，并报经监理人和发包人批准后实施。</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u w:val="single"/>
        </w:rPr>
        <w:t>工期调整的原则是：对于承包人原因造成的工期延误，工期一概不得顺延，如果工期延误，承包人应当按照本合同专用条款的约定承担违约责任。</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u w:val="single"/>
        </w:rPr>
        <w:t>对于非承包人原因造成的工期延误，根据合同的约定，节点工期可以相应顺延。</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u w:val="single"/>
        </w:rPr>
        <w:t>3.工期延误的原因及其处理</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u w:val="single"/>
        </w:rPr>
        <w:t>非承包人原因造成的工期延误，是指有确凿证据证实因下列原因而直接造成承包人的原定工期计划延误：</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u w:val="single"/>
        </w:rPr>
        <w:t>（1）不可抗力；</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u w:val="single"/>
        </w:rPr>
        <w:t>（2）工程设计有重大变更或重大失误；</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u w:val="single"/>
        </w:rPr>
        <w:t>（3）发包人延期交付施工场地；</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u w:val="single"/>
        </w:rPr>
        <w:t>对于非承包人原因发生的工期延误，承包人应当在工期延误发生后14天内就延误的内容向发包人提出书面报告，逾期不报告，发包人不予确认；</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rPr>
        <w:t>逾期竣工违约金的上限：</w:t>
      </w:r>
      <w:r>
        <w:rPr>
          <w:rFonts w:hint="eastAsia" w:cs="Times New Roman"/>
          <w:kern w:val="2"/>
          <w:u w:val="single"/>
        </w:rPr>
        <w:t>详见补充条款及附件</w:t>
      </w:r>
      <w:r>
        <w:rPr>
          <w:rFonts w:cs="Times New Roman"/>
          <w:kern w:val="2"/>
          <w:u w:val="single"/>
        </w:rPr>
        <w:t>1</w:t>
      </w:r>
      <w:r>
        <w:rPr>
          <w:rFonts w:hint="eastAsia"/>
          <w:kern w:val="2"/>
          <w:u w:val="single"/>
        </w:rPr>
        <w:t>。</w:t>
      </w:r>
    </w:p>
    <w:p>
      <w:pPr>
        <w:keepNext w:val="0"/>
        <w:keepLines w:val="0"/>
        <w:pageBreakBefore w:val="0"/>
        <w:widowControl w:val="0"/>
        <w:tabs>
          <w:tab w:val="left" w:pos="540"/>
          <w:tab w:val="left" w:pos="900"/>
          <w:tab w:val="left" w:pos="2340"/>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205" w:name="_Toc26807"/>
      <w:bookmarkStart w:id="206" w:name="_Toc1999946"/>
      <w:bookmarkStart w:id="207" w:name="_Toc46325285"/>
      <w:bookmarkStart w:id="208" w:name="_Toc13225"/>
      <w:r>
        <w:rPr>
          <w:rFonts w:hint="eastAsia" w:cs="Times New Roman"/>
          <w:b/>
          <w:bCs/>
          <w:kern w:val="2"/>
          <w:szCs w:val="32"/>
        </w:rPr>
        <w:t>13.4 提前竣工</w:t>
      </w:r>
      <w:bookmarkEnd w:id="205"/>
      <w:bookmarkEnd w:id="206"/>
      <w:bookmarkEnd w:id="207"/>
      <w:bookmarkEnd w:id="208"/>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(3)提前竣工奖励费及限额约定：承包人每提前一天竣工奖励</w:t>
      </w:r>
      <w:r>
        <w:rPr>
          <w:rFonts w:hint="eastAsia" w:cs="Times New Roman"/>
          <w:kern w:val="2"/>
          <w:u w:val="single"/>
        </w:rPr>
        <w:t>/元</w:t>
      </w:r>
      <w:r>
        <w:rPr>
          <w:rFonts w:hint="eastAsia" w:cs="Times New Roman"/>
          <w:kern w:val="2"/>
        </w:rPr>
        <w:t>；奖励总额不超过签约合同价的</w:t>
      </w:r>
      <w:r>
        <w:rPr>
          <w:rFonts w:cs="Times New Roman"/>
          <w:kern w:val="2"/>
          <w:u w:val="single"/>
        </w:rPr>
        <w:t>/</w:t>
      </w:r>
      <w:r>
        <w:rPr>
          <w:rFonts w:hint="eastAsia" w:cs="Times New Roman"/>
          <w:kern w:val="2"/>
          <w:u w:val="single"/>
        </w:rPr>
        <w:t>%</w:t>
      </w:r>
      <w:r>
        <w:rPr>
          <w:rFonts w:hint="eastAsia" w:cs="Times New Roman"/>
          <w:kern w:val="2"/>
        </w:rPr>
        <w:t>。</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(4)《深圳市建设工程施工工期定额》缺项的专业工程压缩工期补偿费用计算方法：</w:t>
      </w:r>
      <w:r>
        <w:rPr>
          <w:rFonts w:hint="eastAsia" w:cs="Times New Roman"/>
          <w:kern w:val="2"/>
          <w:u w:val="single"/>
        </w:rPr>
        <w:t xml:space="preserve">/ </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bCs/>
          <w:kern w:val="2"/>
          <w:u w:val="single"/>
        </w:rPr>
      </w:pPr>
      <w:r>
        <w:rPr>
          <w:rFonts w:hint="eastAsia" w:cs="Times New Roman"/>
          <w:kern w:val="2"/>
        </w:rPr>
        <w:t>需采取特殊措施以缩短工期的专业工程及压缩工期补偿费用计算方法：</w:t>
      </w:r>
      <w:r>
        <w:rPr>
          <w:rFonts w:hint="eastAsia" w:cs="Times New Roman"/>
          <w:kern w:val="2"/>
          <w:u w:val="single"/>
        </w:rPr>
        <w:t>/</w:t>
      </w:r>
    </w:p>
    <w:p>
      <w:pPr>
        <w:keepNext w:val="0"/>
        <w:keepLines w:val="0"/>
        <w:pageBreakBefore w:val="0"/>
        <w:widowControl/>
        <w:tabs>
          <w:tab w:val="left" w:pos="540"/>
          <w:tab w:val="left" w:pos="1620"/>
          <w:tab w:val="left" w:pos="2340"/>
        </w:tabs>
        <w:kinsoku/>
        <w:topLinePunct w:val="0"/>
        <w:autoSpaceDE/>
        <w:autoSpaceDN/>
        <w:bidi w:val="0"/>
        <w:adjustRightInd w:val="0"/>
        <w:snapToGrid w:val="0"/>
        <w:spacing w:line="360" w:lineRule="auto"/>
        <w:ind w:left="178"/>
        <w:jc w:val="left"/>
        <w:outlineLvl w:val="1"/>
        <w:rPr>
          <w:rFonts w:ascii="Times New Roman" w:cs="Times New Roman"/>
          <w:b/>
          <w:bCs/>
          <w:kern w:val="44"/>
          <w:sz w:val="28"/>
          <w:szCs w:val="28"/>
        </w:rPr>
      </w:pPr>
      <w:bookmarkStart w:id="209" w:name="_Toc1999947"/>
      <w:bookmarkStart w:id="210" w:name="_Toc22192"/>
      <w:bookmarkStart w:id="211" w:name="_Toc74"/>
      <w:bookmarkStart w:id="212" w:name="_Toc46325286"/>
      <w:r>
        <w:rPr>
          <w:rFonts w:hint="eastAsia" w:ascii="Times New Roman" w:cs="Times New Roman"/>
          <w:b/>
          <w:bCs/>
          <w:kern w:val="44"/>
          <w:sz w:val="28"/>
          <w:szCs w:val="28"/>
        </w:rPr>
        <w:t>14 材料设备的供应和检测</w:t>
      </w:r>
      <w:bookmarkEnd w:id="209"/>
      <w:bookmarkEnd w:id="210"/>
      <w:bookmarkEnd w:id="211"/>
      <w:bookmarkEnd w:id="212"/>
    </w:p>
    <w:p>
      <w:pPr>
        <w:keepNext w:val="0"/>
        <w:keepLines w:val="0"/>
        <w:pageBreakBefore w:val="0"/>
        <w:widowControl w:val="0"/>
        <w:tabs>
          <w:tab w:val="left" w:pos="540"/>
          <w:tab w:val="left" w:pos="900"/>
          <w:tab w:val="left" w:pos="2340"/>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213" w:name="_Toc46325287"/>
      <w:bookmarkStart w:id="214" w:name="_Toc1999948"/>
      <w:bookmarkStart w:id="215" w:name="_Toc23589"/>
      <w:bookmarkStart w:id="216" w:name="_Toc27109"/>
      <w:r>
        <w:rPr>
          <w:rFonts w:hint="eastAsia" w:cs="Times New Roman"/>
          <w:b/>
          <w:bCs/>
          <w:kern w:val="2"/>
          <w:szCs w:val="32"/>
        </w:rPr>
        <w:t>14.1 发包人供应材料设备</w:t>
      </w:r>
      <w:bookmarkEnd w:id="213"/>
      <w:bookmarkEnd w:id="214"/>
      <w:bookmarkEnd w:id="215"/>
      <w:bookmarkEnd w:id="216"/>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(1)发包人供应材料设备清单：详见招标文件工程量清单中的发包人供应材料设备明细表</w:t>
      </w:r>
    </w:p>
    <w:p>
      <w:pPr>
        <w:keepNext w:val="0"/>
        <w:keepLines w:val="0"/>
        <w:pageBreakBefore w:val="0"/>
        <w:widowControl w:val="0"/>
        <w:kinsoku/>
        <w:topLinePunct w:val="0"/>
        <w:autoSpaceDE/>
        <w:autoSpaceDN/>
        <w:bidi w:val="0"/>
        <w:adjustRightInd w:val="0"/>
        <w:snapToGrid w:val="0"/>
        <w:spacing w:line="360" w:lineRule="auto"/>
        <w:ind w:firstLine="482"/>
        <w:jc w:val="center"/>
        <w:rPr>
          <w:rFonts w:cs="Times New Roman"/>
          <w:b/>
          <w:bCs/>
          <w:kern w:val="2"/>
        </w:rPr>
      </w:pPr>
      <w:r>
        <w:rPr>
          <w:rFonts w:hint="eastAsia" w:cs="Times New Roman"/>
          <w:b/>
          <w:kern w:val="2"/>
        </w:rPr>
        <w:t>发包人供应材料设备清单</w:t>
      </w:r>
    </w:p>
    <w:tbl>
      <w:tblPr>
        <w:tblStyle w:val="17"/>
        <w:tblW w:w="8473" w:type="dxa"/>
        <w:tblInd w:w="9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26"/>
        <w:gridCol w:w="858"/>
        <w:gridCol w:w="736"/>
        <w:gridCol w:w="1104"/>
        <w:gridCol w:w="735"/>
        <w:gridCol w:w="736"/>
        <w:gridCol w:w="858"/>
        <w:gridCol w:w="1104"/>
        <w:gridCol w:w="735"/>
        <w:gridCol w:w="9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26"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kinsoku/>
              <w:topLinePunct w:val="0"/>
              <w:autoSpaceDE/>
              <w:autoSpaceDN/>
              <w:bidi w:val="0"/>
              <w:adjustRightInd w:val="0"/>
              <w:snapToGrid w:val="0"/>
              <w:spacing w:line="360" w:lineRule="auto"/>
              <w:ind w:right="-105"/>
              <w:jc w:val="left"/>
            </w:pPr>
            <w:r>
              <w:rPr>
                <w:rFonts w:hint="eastAsia"/>
              </w:rPr>
              <w:t>序号</w:t>
            </w:r>
          </w:p>
        </w:tc>
        <w:tc>
          <w:tcPr>
            <w:tcW w:w="858"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kinsoku/>
              <w:topLinePunct w:val="0"/>
              <w:autoSpaceDE/>
              <w:autoSpaceDN/>
              <w:bidi w:val="0"/>
              <w:adjustRightInd w:val="0"/>
              <w:snapToGrid w:val="0"/>
              <w:spacing w:line="360" w:lineRule="auto"/>
              <w:ind w:left="-105" w:right="-105"/>
              <w:jc w:val="left"/>
            </w:pPr>
            <w:r>
              <w:rPr>
                <w:rFonts w:hint="eastAsia"/>
              </w:rPr>
              <w:t>材料设备名称</w:t>
            </w:r>
          </w:p>
        </w:tc>
        <w:tc>
          <w:tcPr>
            <w:tcW w:w="736"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kinsoku/>
              <w:topLinePunct w:val="0"/>
              <w:autoSpaceDE/>
              <w:autoSpaceDN/>
              <w:bidi w:val="0"/>
              <w:adjustRightInd w:val="0"/>
              <w:snapToGrid w:val="0"/>
              <w:spacing w:line="360" w:lineRule="auto"/>
              <w:ind w:left="-105" w:right="-105"/>
              <w:jc w:val="left"/>
            </w:pPr>
            <w:r>
              <w:rPr>
                <w:rFonts w:hint="eastAsia"/>
              </w:rPr>
              <w:t>规格型号</w:t>
            </w:r>
          </w:p>
        </w:tc>
        <w:tc>
          <w:tcPr>
            <w:tcW w:w="1104"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kinsoku/>
              <w:topLinePunct w:val="0"/>
              <w:autoSpaceDE/>
              <w:autoSpaceDN/>
              <w:bidi w:val="0"/>
              <w:adjustRightInd w:val="0"/>
              <w:snapToGrid w:val="0"/>
              <w:spacing w:line="360" w:lineRule="auto"/>
              <w:ind w:left="-105" w:right="-105" w:firstLine="120" w:firstLineChars="50"/>
              <w:jc w:val="left"/>
            </w:pPr>
            <w:r>
              <w:rPr>
                <w:rFonts w:hint="eastAsia"/>
              </w:rPr>
              <w:t>生产厂家</w:t>
            </w:r>
          </w:p>
        </w:tc>
        <w:tc>
          <w:tcPr>
            <w:tcW w:w="735"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kinsoku/>
              <w:topLinePunct w:val="0"/>
              <w:autoSpaceDE/>
              <w:autoSpaceDN/>
              <w:bidi w:val="0"/>
              <w:adjustRightInd w:val="0"/>
              <w:snapToGrid w:val="0"/>
              <w:spacing w:line="360" w:lineRule="auto"/>
              <w:ind w:left="-105" w:right="-105" w:firstLine="240" w:firstLineChars="100"/>
              <w:jc w:val="left"/>
            </w:pPr>
            <w:r>
              <w:rPr>
                <w:rFonts w:hint="eastAsia"/>
              </w:rPr>
              <w:t>单位</w:t>
            </w:r>
          </w:p>
        </w:tc>
        <w:tc>
          <w:tcPr>
            <w:tcW w:w="736"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kinsoku/>
              <w:topLinePunct w:val="0"/>
              <w:autoSpaceDE/>
              <w:autoSpaceDN/>
              <w:bidi w:val="0"/>
              <w:adjustRightInd w:val="0"/>
              <w:snapToGrid w:val="0"/>
              <w:spacing w:line="360" w:lineRule="auto"/>
              <w:ind w:left="-105" w:right="-105" w:firstLine="240" w:firstLineChars="100"/>
              <w:jc w:val="left"/>
            </w:pPr>
            <w:r>
              <w:rPr>
                <w:rFonts w:hint="eastAsia"/>
              </w:rPr>
              <w:t>数量</w:t>
            </w:r>
          </w:p>
        </w:tc>
        <w:tc>
          <w:tcPr>
            <w:tcW w:w="858"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kinsoku/>
              <w:topLinePunct w:val="0"/>
              <w:autoSpaceDE/>
              <w:autoSpaceDN/>
              <w:bidi w:val="0"/>
              <w:adjustRightInd w:val="0"/>
              <w:snapToGrid w:val="0"/>
              <w:spacing w:line="360" w:lineRule="auto"/>
              <w:ind w:left="-105" w:right="-105"/>
              <w:jc w:val="left"/>
            </w:pPr>
            <w:r>
              <w:rPr>
                <w:rFonts w:hint="eastAsia"/>
              </w:rPr>
              <w:t>单价(元)</w:t>
            </w:r>
          </w:p>
        </w:tc>
        <w:tc>
          <w:tcPr>
            <w:tcW w:w="1104"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kinsoku/>
              <w:topLinePunct w:val="0"/>
              <w:autoSpaceDE/>
              <w:autoSpaceDN/>
              <w:bidi w:val="0"/>
              <w:adjustRightInd w:val="0"/>
              <w:snapToGrid w:val="0"/>
              <w:spacing w:line="360" w:lineRule="auto"/>
              <w:ind w:right="-105"/>
              <w:jc w:val="left"/>
            </w:pPr>
            <w:r>
              <w:rPr>
                <w:rFonts w:hint="eastAsia"/>
              </w:rPr>
              <w:t>总价(元)</w:t>
            </w:r>
          </w:p>
        </w:tc>
        <w:tc>
          <w:tcPr>
            <w:tcW w:w="735"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kinsoku/>
              <w:topLinePunct w:val="0"/>
              <w:autoSpaceDE/>
              <w:autoSpaceDN/>
              <w:bidi w:val="0"/>
              <w:adjustRightInd w:val="0"/>
              <w:snapToGrid w:val="0"/>
              <w:spacing w:line="360" w:lineRule="auto"/>
              <w:ind w:left="-105" w:right="-105"/>
              <w:jc w:val="left"/>
            </w:pPr>
            <w:r>
              <w:rPr>
                <w:rFonts w:hint="eastAsia"/>
              </w:rPr>
              <w:t>质量等级</w:t>
            </w:r>
          </w:p>
        </w:tc>
        <w:tc>
          <w:tcPr>
            <w:tcW w:w="981"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topLinePunct w:val="0"/>
              <w:autoSpaceDE/>
              <w:autoSpaceDN/>
              <w:bidi w:val="0"/>
              <w:adjustRightInd w:val="0"/>
              <w:snapToGrid w:val="0"/>
              <w:spacing w:line="360" w:lineRule="auto"/>
              <w:ind w:right="-105"/>
              <w:jc w:val="left"/>
            </w:pPr>
            <w:r>
              <w:rPr>
                <w:rFonts w:hint="eastAsia"/>
              </w:rPr>
              <w:t>时间地点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26" w:type="dxa"/>
            <w:tcBorders>
              <w:top w:val="single" w:color="auto" w:sz="4" w:space="0"/>
              <w:left w:val="single" w:color="auto" w:sz="8" w:space="0"/>
              <w:bottom w:val="single" w:color="auto" w:sz="4" w:space="0"/>
              <w:right w:val="single" w:color="auto" w:sz="4" w:space="0"/>
            </w:tcBorders>
            <w:vAlign w:val="bottom"/>
          </w:tcPr>
          <w:p>
            <w:pPr>
              <w:keepNext w:val="0"/>
              <w:keepLines w:val="0"/>
              <w:pageBreakBefore w:val="0"/>
              <w:widowControl/>
              <w:kinsoku/>
              <w:topLinePunct w:val="0"/>
              <w:autoSpaceDE/>
              <w:autoSpaceDN/>
              <w:bidi w:val="0"/>
              <w:adjustRightInd w:val="0"/>
              <w:snapToGrid w:val="0"/>
              <w:spacing w:line="360" w:lineRule="auto"/>
              <w:ind w:firstLine="480"/>
              <w:jc w:val="center"/>
              <w:rPr>
                <w:rFonts w:hint="eastAsia" w:eastAsia="宋体"/>
                <w:lang w:val="en-US" w:eastAsia="zh-CN"/>
              </w:rPr>
            </w:pPr>
            <w:r>
              <w:rPr>
                <w:rFonts w:hint="eastAsia"/>
                <w:lang w:val="en-US" w:eastAsia="zh-CN"/>
              </w:rPr>
              <w:t>/</w:t>
            </w:r>
          </w:p>
        </w:tc>
        <w:tc>
          <w:tcPr>
            <w:tcW w:w="858"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kinsoku/>
              <w:topLinePunct w:val="0"/>
              <w:autoSpaceDE/>
              <w:autoSpaceDN/>
              <w:bidi w:val="0"/>
              <w:adjustRightInd w:val="0"/>
              <w:snapToGrid w:val="0"/>
              <w:spacing w:line="360" w:lineRule="auto"/>
              <w:ind w:firstLine="480"/>
              <w:jc w:val="center"/>
              <w:rPr>
                <w:rFonts w:hint="eastAsia" w:eastAsia="宋体"/>
                <w:lang w:val="en-US" w:eastAsia="zh-CN"/>
              </w:rPr>
            </w:pPr>
            <w:r>
              <w:rPr>
                <w:rFonts w:hint="eastAsia"/>
                <w:lang w:val="en-US" w:eastAsia="zh-CN"/>
              </w:rPr>
              <w:t>/</w:t>
            </w:r>
          </w:p>
        </w:tc>
        <w:tc>
          <w:tcPr>
            <w:tcW w:w="73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kinsoku/>
              <w:topLinePunct w:val="0"/>
              <w:autoSpaceDE/>
              <w:autoSpaceDN/>
              <w:bidi w:val="0"/>
              <w:adjustRightInd w:val="0"/>
              <w:snapToGrid w:val="0"/>
              <w:spacing w:line="360" w:lineRule="auto"/>
              <w:ind w:firstLine="480"/>
              <w:jc w:val="center"/>
              <w:rPr>
                <w:rFonts w:hint="eastAsia" w:eastAsia="宋体"/>
                <w:lang w:val="en-US" w:eastAsia="zh-CN"/>
              </w:rPr>
            </w:pPr>
            <w:r>
              <w:rPr>
                <w:rFonts w:hint="eastAsia"/>
                <w:lang w:val="en-US" w:eastAsia="zh-CN"/>
              </w:rPr>
              <w:t>/</w:t>
            </w:r>
          </w:p>
        </w:tc>
        <w:tc>
          <w:tcPr>
            <w:tcW w:w="1104"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kinsoku/>
              <w:topLinePunct w:val="0"/>
              <w:autoSpaceDE/>
              <w:autoSpaceDN/>
              <w:bidi w:val="0"/>
              <w:adjustRightInd w:val="0"/>
              <w:snapToGrid w:val="0"/>
              <w:spacing w:line="360" w:lineRule="auto"/>
              <w:ind w:firstLine="480"/>
              <w:jc w:val="center"/>
              <w:rPr>
                <w:rFonts w:hint="eastAsia" w:eastAsia="宋体"/>
                <w:lang w:val="en-US" w:eastAsia="zh-CN"/>
              </w:rPr>
            </w:pPr>
            <w:r>
              <w:rPr>
                <w:rFonts w:hint="eastAsia"/>
                <w:lang w:val="en-US" w:eastAsia="zh-CN"/>
              </w:rPr>
              <w:t>/</w:t>
            </w:r>
          </w:p>
        </w:tc>
        <w:tc>
          <w:tcPr>
            <w:tcW w:w="73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kinsoku/>
              <w:topLinePunct w:val="0"/>
              <w:autoSpaceDE/>
              <w:autoSpaceDN/>
              <w:bidi w:val="0"/>
              <w:adjustRightInd w:val="0"/>
              <w:snapToGrid w:val="0"/>
              <w:spacing w:line="360" w:lineRule="auto"/>
              <w:ind w:firstLine="480"/>
              <w:jc w:val="center"/>
              <w:rPr>
                <w:rFonts w:hint="eastAsia" w:eastAsia="宋体"/>
                <w:lang w:val="en-US" w:eastAsia="zh-CN"/>
              </w:rPr>
            </w:pPr>
            <w:r>
              <w:rPr>
                <w:rFonts w:hint="eastAsia"/>
                <w:lang w:val="en-US" w:eastAsia="zh-CN"/>
              </w:rPr>
              <w:t>/</w:t>
            </w:r>
          </w:p>
        </w:tc>
        <w:tc>
          <w:tcPr>
            <w:tcW w:w="73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kinsoku/>
              <w:topLinePunct w:val="0"/>
              <w:autoSpaceDE/>
              <w:autoSpaceDN/>
              <w:bidi w:val="0"/>
              <w:adjustRightInd w:val="0"/>
              <w:snapToGrid w:val="0"/>
              <w:spacing w:line="360" w:lineRule="auto"/>
              <w:ind w:firstLine="480"/>
              <w:jc w:val="center"/>
              <w:rPr>
                <w:rFonts w:hint="eastAsia" w:eastAsia="宋体"/>
                <w:lang w:val="en-US" w:eastAsia="zh-CN"/>
              </w:rPr>
            </w:pPr>
            <w:r>
              <w:rPr>
                <w:rFonts w:hint="eastAsia"/>
                <w:lang w:val="en-US" w:eastAsia="zh-CN"/>
              </w:rPr>
              <w:t>/</w:t>
            </w:r>
          </w:p>
        </w:tc>
        <w:tc>
          <w:tcPr>
            <w:tcW w:w="858"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kinsoku/>
              <w:topLinePunct w:val="0"/>
              <w:autoSpaceDE/>
              <w:autoSpaceDN/>
              <w:bidi w:val="0"/>
              <w:adjustRightInd w:val="0"/>
              <w:snapToGrid w:val="0"/>
              <w:spacing w:line="360" w:lineRule="auto"/>
              <w:ind w:firstLine="480"/>
              <w:jc w:val="center"/>
              <w:rPr>
                <w:rFonts w:hint="eastAsia" w:eastAsia="宋体"/>
                <w:lang w:val="en-US" w:eastAsia="zh-CN"/>
              </w:rPr>
            </w:pPr>
            <w:r>
              <w:rPr>
                <w:rFonts w:hint="eastAsia"/>
                <w:lang w:val="en-US" w:eastAsia="zh-CN"/>
              </w:rPr>
              <w:t>/</w:t>
            </w:r>
          </w:p>
        </w:tc>
        <w:tc>
          <w:tcPr>
            <w:tcW w:w="1104"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kinsoku/>
              <w:topLinePunct w:val="0"/>
              <w:autoSpaceDE/>
              <w:autoSpaceDN/>
              <w:bidi w:val="0"/>
              <w:adjustRightInd w:val="0"/>
              <w:snapToGrid w:val="0"/>
              <w:spacing w:line="360" w:lineRule="auto"/>
              <w:ind w:firstLine="480"/>
              <w:jc w:val="center"/>
              <w:rPr>
                <w:rFonts w:hint="eastAsia" w:eastAsia="宋体"/>
                <w:lang w:val="en-US" w:eastAsia="zh-CN"/>
              </w:rPr>
            </w:pPr>
            <w:r>
              <w:rPr>
                <w:rFonts w:hint="eastAsia"/>
                <w:lang w:val="en-US" w:eastAsia="zh-CN"/>
              </w:rPr>
              <w:t>/</w:t>
            </w:r>
          </w:p>
        </w:tc>
        <w:tc>
          <w:tcPr>
            <w:tcW w:w="73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kinsoku/>
              <w:topLinePunct w:val="0"/>
              <w:autoSpaceDE/>
              <w:autoSpaceDN/>
              <w:bidi w:val="0"/>
              <w:adjustRightInd w:val="0"/>
              <w:snapToGrid w:val="0"/>
              <w:spacing w:line="360" w:lineRule="auto"/>
              <w:ind w:firstLine="480"/>
              <w:jc w:val="center"/>
              <w:rPr>
                <w:rFonts w:hint="eastAsia" w:eastAsia="宋体"/>
                <w:lang w:val="en-US" w:eastAsia="zh-CN"/>
              </w:rPr>
            </w:pPr>
            <w:r>
              <w:rPr>
                <w:rFonts w:hint="eastAsia"/>
                <w:lang w:val="en-US" w:eastAsia="zh-CN"/>
              </w:rPr>
              <w:t>/</w:t>
            </w:r>
          </w:p>
        </w:tc>
        <w:tc>
          <w:tcPr>
            <w:tcW w:w="981" w:type="dxa"/>
            <w:tcBorders>
              <w:top w:val="single" w:color="auto" w:sz="4" w:space="0"/>
              <w:left w:val="single" w:color="auto" w:sz="4" w:space="0"/>
              <w:bottom w:val="single" w:color="auto" w:sz="4" w:space="0"/>
              <w:right w:val="single" w:color="auto" w:sz="8" w:space="0"/>
            </w:tcBorders>
            <w:vAlign w:val="bottom"/>
          </w:tcPr>
          <w:p>
            <w:pPr>
              <w:keepNext w:val="0"/>
              <w:keepLines w:val="0"/>
              <w:pageBreakBefore w:val="0"/>
              <w:widowControl/>
              <w:kinsoku/>
              <w:topLinePunct w:val="0"/>
              <w:autoSpaceDE/>
              <w:autoSpaceDN/>
              <w:bidi w:val="0"/>
              <w:adjustRightInd w:val="0"/>
              <w:snapToGrid w:val="0"/>
              <w:spacing w:line="360" w:lineRule="auto"/>
              <w:ind w:firstLine="480"/>
              <w:jc w:val="center"/>
              <w:rPr>
                <w:rFonts w:hint="eastAsia" w:eastAsia="宋体"/>
                <w:lang w:val="en-US" w:eastAsia="zh-CN"/>
              </w:rPr>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26" w:type="dxa"/>
            <w:tcBorders>
              <w:top w:val="single" w:color="auto" w:sz="4" w:space="0"/>
              <w:left w:val="single" w:color="auto" w:sz="8" w:space="0"/>
              <w:bottom w:val="single" w:color="auto" w:sz="4" w:space="0"/>
              <w:right w:val="single" w:color="auto" w:sz="4" w:space="0"/>
            </w:tcBorders>
            <w:vAlign w:val="bottom"/>
          </w:tcPr>
          <w:p>
            <w:pPr>
              <w:keepNext w:val="0"/>
              <w:keepLines w:val="0"/>
              <w:pageBreakBefore w:val="0"/>
              <w:widowControl/>
              <w:kinsoku/>
              <w:topLinePunct w:val="0"/>
              <w:autoSpaceDE/>
              <w:autoSpaceDN/>
              <w:bidi w:val="0"/>
              <w:adjustRightInd w:val="0"/>
              <w:snapToGrid w:val="0"/>
              <w:spacing w:line="360" w:lineRule="auto"/>
              <w:ind w:firstLine="480" w:firstLineChars="0"/>
              <w:jc w:val="center"/>
            </w:pPr>
            <w:r>
              <w:rPr>
                <w:rFonts w:hint="eastAsia"/>
                <w:lang w:val="en-US" w:eastAsia="zh-CN"/>
              </w:rPr>
              <w:t>/</w:t>
            </w:r>
          </w:p>
        </w:tc>
        <w:tc>
          <w:tcPr>
            <w:tcW w:w="858"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kinsoku/>
              <w:topLinePunct w:val="0"/>
              <w:autoSpaceDE/>
              <w:autoSpaceDN/>
              <w:bidi w:val="0"/>
              <w:adjustRightInd w:val="0"/>
              <w:snapToGrid w:val="0"/>
              <w:spacing w:line="360" w:lineRule="auto"/>
              <w:ind w:firstLine="480" w:firstLineChars="0"/>
              <w:jc w:val="center"/>
            </w:pPr>
            <w:r>
              <w:rPr>
                <w:rFonts w:hint="eastAsia"/>
                <w:lang w:val="en-US" w:eastAsia="zh-CN"/>
              </w:rPr>
              <w:t>/</w:t>
            </w:r>
          </w:p>
        </w:tc>
        <w:tc>
          <w:tcPr>
            <w:tcW w:w="73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kinsoku/>
              <w:topLinePunct w:val="0"/>
              <w:autoSpaceDE/>
              <w:autoSpaceDN/>
              <w:bidi w:val="0"/>
              <w:adjustRightInd w:val="0"/>
              <w:snapToGrid w:val="0"/>
              <w:spacing w:line="360" w:lineRule="auto"/>
              <w:ind w:firstLine="480" w:firstLineChars="0"/>
              <w:jc w:val="center"/>
            </w:pPr>
            <w:r>
              <w:rPr>
                <w:rFonts w:hint="eastAsia"/>
                <w:lang w:val="en-US" w:eastAsia="zh-CN"/>
              </w:rPr>
              <w:t>/</w:t>
            </w:r>
          </w:p>
        </w:tc>
        <w:tc>
          <w:tcPr>
            <w:tcW w:w="1104"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kinsoku/>
              <w:topLinePunct w:val="0"/>
              <w:autoSpaceDE/>
              <w:autoSpaceDN/>
              <w:bidi w:val="0"/>
              <w:adjustRightInd w:val="0"/>
              <w:snapToGrid w:val="0"/>
              <w:spacing w:line="360" w:lineRule="auto"/>
              <w:ind w:firstLine="480" w:firstLineChars="0"/>
              <w:jc w:val="center"/>
            </w:pPr>
            <w:r>
              <w:rPr>
                <w:rFonts w:hint="eastAsia"/>
                <w:lang w:val="en-US" w:eastAsia="zh-CN"/>
              </w:rPr>
              <w:t>/</w:t>
            </w:r>
          </w:p>
        </w:tc>
        <w:tc>
          <w:tcPr>
            <w:tcW w:w="73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kinsoku/>
              <w:topLinePunct w:val="0"/>
              <w:autoSpaceDE/>
              <w:autoSpaceDN/>
              <w:bidi w:val="0"/>
              <w:adjustRightInd w:val="0"/>
              <w:snapToGrid w:val="0"/>
              <w:spacing w:line="360" w:lineRule="auto"/>
              <w:ind w:firstLine="480" w:firstLineChars="0"/>
              <w:jc w:val="center"/>
            </w:pPr>
            <w:r>
              <w:rPr>
                <w:rFonts w:hint="eastAsia"/>
                <w:lang w:val="en-US" w:eastAsia="zh-CN"/>
              </w:rPr>
              <w:t>/</w:t>
            </w:r>
          </w:p>
        </w:tc>
        <w:tc>
          <w:tcPr>
            <w:tcW w:w="73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kinsoku/>
              <w:topLinePunct w:val="0"/>
              <w:autoSpaceDE/>
              <w:autoSpaceDN/>
              <w:bidi w:val="0"/>
              <w:adjustRightInd w:val="0"/>
              <w:snapToGrid w:val="0"/>
              <w:spacing w:line="360" w:lineRule="auto"/>
              <w:ind w:firstLine="480" w:firstLineChars="0"/>
              <w:jc w:val="center"/>
            </w:pPr>
            <w:r>
              <w:rPr>
                <w:rFonts w:hint="eastAsia"/>
                <w:lang w:val="en-US" w:eastAsia="zh-CN"/>
              </w:rPr>
              <w:t>/</w:t>
            </w:r>
          </w:p>
        </w:tc>
        <w:tc>
          <w:tcPr>
            <w:tcW w:w="858"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kinsoku/>
              <w:topLinePunct w:val="0"/>
              <w:autoSpaceDE/>
              <w:autoSpaceDN/>
              <w:bidi w:val="0"/>
              <w:adjustRightInd w:val="0"/>
              <w:snapToGrid w:val="0"/>
              <w:spacing w:line="360" w:lineRule="auto"/>
              <w:ind w:firstLine="480" w:firstLineChars="0"/>
              <w:jc w:val="center"/>
            </w:pPr>
            <w:r>
              <w:rPr>
                <w:rFonts w:hint="eastAsia"/>
                <w:lang w:val="en-US" w:eastAsia="zh-CN"/>
              </w:rPr>
              <w:t>/</w:t>
            </w:r>
          </w:p>
        </w:tc>
        <w:tc>
          <w:tcPr>
            <w:tcW w:w="1104"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kinsoku/>
              <w:topLinePunct w:val="0"/>
              <w:autoSpaceDE/>
              <w:autoSpaceDN/>
              <w:bidi w:val="0"/>
              <w:adjustRightInd w:val="0"/>
              <w:snapToGrid w:val="0"/>
              <w:spacing w:line="360" w:lineRule="auto"/>
              <w:ind w:firstLine="480" w:firstLineChars="0"/>
              <w:jc w:val="center"/>
            </w:pPr>
            <w:r>
              <w:rPr>
                <w:rFonts w:hint="eastAsia"/>
                <w:lang w:val="en-US" w:eastAsia="zh-CN"/>
              </w:rPr>
              <w:t>/</w:t>
            </w:r>
          </w:p>
        </w:tc>
        <w:tc>
          <w:tcPr>
            <w:tcW w:w="73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kinsoku/>
              <w:topLinePunct w:val="0"/>
              <w:autoSpaceDE/>
              <w:autoSpaceDN/>
              <w:bidi w:val="0"/>
              <w:adjustRightInd w:val="0"/>
              <w:snapToGrid w:val="0"/>
              <w:spacing w:line="360" w:lineRule="auto"/>
              <w:ind w:firstLine="480" w:firstLineChars="0"/>
              <w:jc w:val="center"/>
            </w:pPr>
            <w:r>
              <w:rPr>
                <w:rFonts w:hint="eastAsia"/>
                <w:lang w:val="en-US" w:eastAsia="zh-CN"/>
              </w:rPr>
              <w:t>/</w:t>
            </w:r>
          </w:p>
        </w:tc>
        <w:tc>
          <w:tcPr>
            <w:tcW w:w="981" w:type="dxa"/>
            <w:tcBorders>
              <w:top w:val="single" w:color="auto" w:sz="4" w:space="0"/>
              <w:left w:val="single" w:color="auto" w:sz="4" w:space="0"/>
              <w:bottom w:val="single" w:color="auto" w:sz="4" w:space="0"/>
              <w:right w:val="single" w:color="auto" w:sz="8" w:space="0"/>
            </w:tcBorders>
            <w:vAlign w:val="bottom"/>
          </w:tcPr>
          <w:p>
            <w:pPr>
              <w:keepNext w:val="0"/>
              <w:keepLines w:val="0"/>
              <w:pageBreakBefore w:val="0"/>
              <w:widowControl/>
              <w:kinsoku/>
              <w:topLinePunct w:val="0"/>
              <w:autoSpaceDE/>
              <w:autoSpaceDN/>
              <w:bidi w:val="0"/>
              <w:adjustRightInd w:val="0"/>
              <w:snapToGrid w:val="0"/>
              <w:spacing w:line="360" w:lineRule="auto"/>
              <w:ind w:firstLine="480" w:firstLineChars="0"/>
              <w:jc w:val="center"/>
            </w:pPr>
            <w:r>
              <w:rPr>
                <w:rFonts w:hint="eastAsia"/>
                <w:lang w:val="en-US" w:eastAsia="zh-CN"/>
              </w:rPr>
              <w:t>/</w:t>
            </w:r>
          </w:p>
        </w:tc>
      </w:tr>
    </w:tbl>
    <w:p>
      <w:pPr>
        <w:keepNext w:val="0"/>
        <w:keepLines w:val="0"/>
        <w:pageBreakBefore w:val="0"/>
        <w:widowControl w:val="0"/>
        <w:kinsoku/>
        <w:topLinePunct w:val="0"/>
        <w:autoSpaceDE/>
        <w:autoSpaceDN/>
        <w:bidi w:val="0"/>
        <w:adjustRightInd w:val="0"/>
        <w:snapToGrid w:val="0"/>
        <w:spacing w:line="360" w:lineRule="auto"/>
        <w:ind w:left="0" w:firstLine="480" w:firstLineChars="200"/>
        <w:jc w:val="both"/>
        <w:textAlignment w:val="auto"/>
        <w:rPr>
          <w:rFonts w:cs="Times New Roman"/>
          <w:kern w:val="2"/>
        </w:rPr>
      </w:pPr>
      <w:r>
        <w:rPr>
          <w:rFonts w:hint="eastAsia" w:cs="Times New Roman"/>
          <w:kern w:val="2"/>
        </w:rPr>
        <w:t>(3)发包人供应材料设备保管费(包括装卸费)的费率为：</w:t>
      </w:r>
      <w:r>
        <w:rPr>
          <w:rFonts w:ascii="Calibri" w:hAnsi="Calibri" w:cs="Times New Roman"/>
          <w:u w:val="single"/>
        </w:rPr>
        <w:t>/</w:t>
      </w:r>
    </w:p>
    <w:p>
      <w:pPr>
        <w:keepNext w:val="0"/>
        <w:keepLines w:val="0"/>
        <w:pageBreakBefore w:val="0"/>
        <w:widowControl w:val="0"/>
        <w:tabs>
          <w:tab w:val="left" w:pos="540"/>
          <w:tab w:val="left" w:pos="900"/>
          <w:tab w:val="left" w:pos="2340"/>
        </w:tabs>
        <w:kinsoku/>
        <w:topLinePunct w:val="0"/>
        <w:autoSpaceDE/>
        <w:autoSpaceDN/>
        <w:bidi w:val="0"/>
        <w:adjustRightInd w:val="0"/>
        <w:snapToGrid w:val="0"/>
        <w:spacing w:line="360" w:lineRule="auto"/>
        <w:ind w:left="0" w:firstLine="482" w:firstLineChars="200"/>
        <w:jc w:val="both"/>
        <w:textAlignment w:val="auto"/>
        <w:outlineLvl w:val="2"/>
        <w:rPr>
          <w:rFonts w:cs="Times New Roman"/>
          <w:b/>
          <w:bCs/>
          <w:kern w:val="2"/>
          <w:szCs w:val="32"/>
        </w:rPr>
      </w:pPr>
      <w:bookmarkStart w:id="217" w:name="_Toc28234"/>
      <w:bookmarkStart w:id="218" w:name="_Toc1999949"/>
      <w:bookmarkStart w:id="219" w:name="_Toc15708"/>
      <w:bookmarkStart w:id="220" w:name="_Toc46325288"/>
      <w:r>
        <w:rPr>
          <w:rFonts w:hint="eastAsia" w:cs="Times New Roman"/>
          <w:b/>
          <w:bCs/>
          <w:kern w:val="2"/>
          <w:szCs w:val="32"/>
        </w:rPr>
        <w:t>14.2 发包人供应材料设备的结算</w:t>
      </w:r>
      <w:bookmarkEnd w:id="217"/>
      <w:bookmarkEnd w:id="218"/>
      <w:bookmarkEnd w:id="219"/>
      <w:bookmarkEnd w:id="220"/>
    </w:p>
    <w:p>
      <w:pPr>
        <w:keepNext w:val="0"/>
        <w:keepLines w:val="0"/>
        <w:pageBreakBefore w:val="0"/>
        <w:widowControl w:val="0"/>
        <w:kinsoku/>
        <w:topLinePunct w:val="0"/>
        <w:autoSpaceDE/>
        <w:autoSpaceDN/>
        <w:bidi w:val="0"/>
        <w:adjustRightInd w:val="0"/>
        <w:snapToGrid w:val="0"/>
        <w:spacing w:line="360" w:lineRule="auto"/>
        <w:ind w:left="0" w:firstLine="480" w:firstLineChars="200"/>
        <w:jc w:val="both"/>
        <w:textAlignment w:val="auto"/>
        <w:rPr>
          <w:rFonts w:cs="Times New Roman"/>
          <w:kern w:val="2"/>
          <w:u w:val="single"/>
        </w:rPr>
      </w:pPr>
      <w:r>
        <w:rPr>
          <w:rFonts w:hint="eastAsia" w:cs="Times New Roman"/>
          <w:kern w:val="2"/>
        </w:rPr>
        <w:t>发包人供应材料设备的结算</w:t>
      </w:r>
      <w:r>
        <w:rPr>
          <w:rFonts w:hint="eastAsia" w:cs="Times New Roman"/>
          <w:bCs/>
          <w:kern w:val="2"/>
        </w:rPr>
        <w:t>方式</w:t>
      </w:r>
      <w:r>
        <w:rPr>
          <w:rFonts w:hint="eastAsia" w:cs="Times New Roman"/>
          <w:kern w:val="2"/>
        </w:rPr>
        <w:t>：</w:t>
      </w:r>
      <w:r>
        <w:rPr>
          <w:rFonts w:ascii="Calibri" w:hAnsi="Calibri" w:cs="Times New Roman"/>
          <w:u w:val="single"/>
        </w:rPr>
        <w:t>/</w:t>
      </w:r>
    </w:p>
    <w:p>
      <w:pPr>
        <w:keepNext w:val="0"/>
        <w:keepLines w:val="0"/>
        <w:pageBreakBefore w:val="0"/>
        <w:widowControl w:val="0"/>
        <w:kinsoku/>
        <w:topLinePunct w:val="0"/>
        <w:autoSpaceDE/>
        <w:autoSpaceDN/>
        <w:bidi w:val="0"/>
        <w:adjustRightInd w:val="0"/>
        <w:snapToGrid w:val="0"/>
        <w:spacing w:line="360" w:lineRule="auto"/>
        <w:ind w:left="0" w:firstLine="480" w:firstLineChars="200"/>
        <w:jc w:val="both"/>
        <w:textAlignment w:val="auto"/>
        <w:rPr>
          <w:rFonts w:cs="Times New Roman"/>
          <w:bCs/>
          <w:kern w:val="2"/>
          <w:u w:val="single"/>
        </w:rPr>
      </w:pPr>
      <w:r>
        <w:rPr>
          <w:rFonts w:hint="eastAsia" w:cs="Times New Roman"/>
          <w:kern w:val="2"/>
        </w:rPr>
        <w:t>(3)承包人实际使用量小于合理数量时节约的费用分配方式：</w:t>
      </w:r>
      <w:r>
        <w:rPr>
          <w:rFonts w:hint="eastAsia" w:cs="Times New Roman"/>
          <w:kern w:val="2"/>
          <w:u w:val="single"/>
        </w:rPr>
        <w:t>/</w:t>
      </w:r>
    </w:p>
    <w:p>
      <w:pPr>
        <w:keepNext w:val="0"/>
        <w:keepLines w:val="0"/>
        <w:pageBreakBefore w:val="0"/>
        <w:kinsoku/>
        <w:wordWrap w:val="0"/>
        <w:overflowPunct w:val="0"/>
        <w:topLinePunct w:val="0"/>
        <w:autoSpaceDE/>
        <w:autoSpaceDN/>
        <w:bidi w:val="0"/>
        <w:adjustRightInd w:val="0"/>
        <w:snapToGrid w:val="0"/>
        <w:spacing w:line="360" w:lineRule="auto"/>
        <w:ind w:left="0" w:firstLine="482" w:firstLineChars="200"/>
        <w:jc w:val="both"/>
        <w:textAlignment w:val="auto"/>
        <w:rPr>
          <w:b/>
          <w:bCs/>
        </w:rPr>
      </w:pPr>
      <w:bookmarkStart w:id="221" w:name="_Toc1999950"/>
      <w:bookmarkStart w:id="222" w:name="_Toc17897"/>
      <w:bookmarkStart w:id="223" w:name="_Toc28263"/>
      <w:bookmarkStart w:id="224" w:name="_Toc46325289"/>
      <w:r>
        <w:rPr>
          <w:rFonts w:hint="eastAsia"/>
          <w:b/>
          <w:bCs/>
        </w:rPr>
        <w:t>14.3 发包人供应材料设备承担的责任</w:t>
      </w:r>
    </w:p>
    <w:p>
      <w:pPr>
        <w:keepNext w:val="0"/>
        <w:keepLines w:val="0"/>
        <w:pageBreakBefore w:val="0"/>
        <w:widowControl/>
        <w:kinsoku/>
        <w:wordWrap w:val="0"/>
        <w:overflowPunct w:val="0"/>
        <w:topLinePunct w:val="0"/>
        <w:autoSpaceDE/>
        <w:autoSpaceDN/>
        <w:bidi w:val="0"/>
        <w:adjustRightInd w:val="0"/>
        <w:snapToGrid w:val="0"/>
        <w:spacing w:line="360" w:lineRule="auto"/>
        <w:ind w:left="0" w:firstLine="480" w:firstLineChars="200"/>
        <w:jc w:val="both"/>
        <w:textAlignment w:val="auto"/>
        <w:outlineLvl w:val="9"/>
        <w:rPr>
          <w:rFonts w:hint="eastAsia" w:cs="Times New Roman"/>
          <w:b/>
          <w:bCs/>
          <w:kern w:val="2"/>
          <w:szCs w:val="32"/>
        </w:rPr>
      </w:pPr>
      <w:r>
        <w:rPr>
          <w:rFonts w:hint="eastAsia"/>
          <w:color w:val="000000"/>
        </w:rPr>
        <w:t>通用条款第14.3款第⑸项修改为：“</w:t>
      </w:r>
      <w:r>
        <w:rPr>
          <w:rFonts w:hint="eastAsia"/>
          <w:color w:val="000000"/>
          <w:lang w:val="en-US" w:eastAsia="zh-CN"/>
        </w:rPr>
        <w:t>材</w:t>
      </w:r>
      <w:r>
        <w:rPr>
          <w:rFonts w:hint="eastAsia"/>
          <w:color w:val="000000"/>
        </w:rPr>
        <w:t>料设备到货交接时间不符合约定，早于约定时间的由发包人承担因此产生的保管费用，迟于约定时间的，承包人仅能获得顺延工期的补偿。”</w:t>
      </w:r>
    </w:p>
    <w:p>
      <w:pPr>
        <w:keepNext w:val="0"/>
        <w:keepLines w:val="0"/>
        <w:pageBreakBefore w:val="0"/>
        <w:widowControl w:val="0"/>
        <w:tabs>
          <w:tab w:val="left" w:pos="540"/>
          <w:tab w:val="left" w:pos="900"/>
          <w:tab w:val="left" w:pos="2340"/>
        </w:tabs>
        <w:kinsoku/>
        <w:topLinePunct w:val="0"/>
        <w:autoSpaceDE/>
        <w:autoSpaceDN/>
        <w:bidi w:val="0"/>
        <w:adjustRightInd w:val="0"/>
        <w:snapToGrid w:val="0"/>
        <w:spacing w:line="360" w:lineRule="auto"/>
        <w:ind w:left="0" w:firstLine="482" w:firstLineChars="200"/>
        <w:jc w:val="both"/>
        <w:textAlignment w:val="auto"/>
        <w:outlineLvl w:val="2"/>
        <w:rPr>
          <w:rFonts w:cs="Times New Roman"/>
          <w:b/>
          <w:bCs/>
          <w:kern w:val="2"/>
          <w:szCs w:val="32"/>
        </w:rPr>
      </w:pPr>
      <w:r>
        <w:rPr>
          <w:rFonts w:hint="eastAsia" w:cs="Times New Roman"/>
          <w:b/>
          <w:bCs/>
          <w:kern w:val="2"/>
          <w:szCs w:val="32"/>
        </w:rPr>
        <w:t>14.4 承包人采购材料设备</w:t>
      </w:r>
      <w:bookmarkEnd w:id="221"/>
      <w:bookmarkEnd w:id="222"/>
      <w:bookmarkEnd w:id="223"/>
      <w:bookmarkEnd w:id="224"/>
    </w:p>
    <w:p>
      <w:pPr>
        <w:keepNext w:val="0"/>
        <w:keepLines w:val="0"/>
        <w:pageBreakBefore w:val="0"/>
        <w:widowControl w:val="0"/>
        <w:kinsoku/>
        <w:topLinePunct w:val="0"/>
        <w:autoSpaceDE/>
        <w:autoSpaceDN/>
        <w:bidi w:val="0"/>
        <w:adjustRightInd w:val="0"/>
        <w:snapToGrid w:val="0"/>
        <w:spacing w:line="360" w:lineRule="auto"/>
        <w:ind w:left="0" w:firstLine="480" w:firstLineChars="200"/>
        <w:jc w:val="both"/>
        <w:textAlignment w:val="auto"/>
        <w:rPr>
          <w:rFonts w:cs="Times New Roman"/>
          <w:kern w:val="2"/>
          <w:u w:val="single"/>
        </w:rPr>
      </w:pPr>
      <w:r>
        <w:rPr>
          <w:rFonts w:hint="eastAsia" w:cs="Times New Roman"/>
          <w:kern w:val="2"/>
        </w:rPr>
        <w:t>承包人采购材料设备的约定：</w:t>
      </w:r>
      <w:r>
        <w:rPr>
          <w:rFonts w:hint="eastAsia" w:cs="Times New Roman"/>
          <w:kern w:val="2"/>
          <w:u w:val="single"/>
        </w:rPr>
        <w:t>(1)本工程所需的所有材料设备(含半成品、成品)均由承包人组织采购。承包人供应的材料设备的供货渠道应是品牌制造商或其指定的供应商，都必须是符合建设工程质量管理有关要求和规定，并经发包人和监理人批准的全新合格材料设备，否则不允许进场、不得在工程上使用且不予计量，由此发生的费用和工期延误全部由承包人承担。进口材料、设备需提供相关报关、商检证明文件。</w:t>
      </w:r>
    </w:p>
    <w:p>
      <w:pPr>
        <w:keepNext w:val="0"/>
        <w:keepLines w:val="0"/>
        <w:pageBreakBefore w:val="0"/>
        <w:widowControl w:val="0"/>
        <w:kinsoku/>
        <w:topLinePunct w:val="0"/>
        <w:autoSpaceDE/>
        <w:autoSpaceDN/>
        <w:bidi w:val="0"/>
        <w:adjustRightInd w:val="0"/>
        <w:snapToGrid w:val="0"/>
        <w:spacing w:line="360" w:lineRule="auto"/>
        <w:ind w:left="0" w:firstLine="480" w:firstLineChars="200"/>
        <w:jc w:val="both"/>
        <w:textAlignment w:val="auto"/>
        <w:rPr>
          <w:rFonts w:cs="Times New Roman"/>
          <w:kern w:val="2"/>
          <w:u w:val="single"/>
        </w:rPr>
      </w:pPr>
      <w:r>
        <w:rPr>
          <w:rFonts w:hint="eastAsia" w:cs="Times New Roman"/>
          <w:kern w:val="2"/>
          <w:u w:val="single"/>
        </w:rPr>
        <w:t>(2)对发包人约定了参考厂家、品牌、质量等级的设备、材料，承包人应按招标文件和合同文件推荐的设备材料参考品牌，或不低于参考品牌技术标准和品质的其他品牌进行采购（但须报监理人及发包人批准同意）。监理人及发包人对材料设备的确认或否决皆不会免除承包人按合同文件所应承担的责任，所有采购之前需进行材料品牌报审并经监理人及发包人审核同意。</w:t>
      </w:r>
    </w:p>
    <w:p>
      <w:pPr>
        <w:keepNext w:val="0"/>
        <w:keepLines w:val="0"/>
        <w:pageBreakBefore w:val="0"/>
        <w:widowControl w:val="0"/>
        <w:kinsoku/>
        <w:topLinePunct w:val="0"/>
        <w:autoSpaceDE/>
        <w:autoSpaceDN/>
        <w:bidi w:val="0"/>
        <w:adjustRightInd w:val="0"/>
        <w:snapToGrid w:val="0"/>
        <w:spacing w:line="360" w:lineRule="auto"/>
        <w:ind w:left="0" w:firstLine="480" w:firstLineChars="200"/>
        <w:jc w:val="both"/>
        <w:textAlignment w:val="auto"/>
        <w:rPr>
          <w:rFonts w:cs="Times New Roman"/>
          <w:kern w:val="2"/>
          <w:u w:val="single"/>
        </w:rPr>
      </w:pPr>
      <w:r>
        <w:rPr>
          <w:rFonts w:hint="eastAsia" w:cs="Times New Roman"/>
          <w:kern w:val="2"/>
          <w:u w:val="single"/>
        </w:rPr>
        <w:t>(3)对于发包人没有约定参考厂家、品牌的材料设备：承包人须保证其使用的材料、设备是由优质原料和先进工艺制成，全新，并完全符合合同文件规定的质量、规格和性能的要求。承包人在订货前1个月须将三家以上的材料设备样品和有关生产厂家及技术资料交发包人、监理人进行确认。主材及发包人认为有必要的材料，承包人应按照要求组织考察，考察涉及的相关费用各方各自承担。</w:t>
      </w:r>
    </w:p>
    <w:p>
      <w:pPr>
        <w:keepNext w:val="0"/>
        <w:keepLines w:val="0"/>
        <w:pageBreakBefore w:val="0"/>
        <w:widowControl w:val="0"/>
        <w:kinsoku/>
        <w:topLinePunct w:val="0"/>
        <w:autoSpaceDE/>
        <w:autoSpaceDN/>
        <w:bidi w:val="0"/>
        <w:adjustRightInd w:val="0"/>
        <w:snapToGrid w:val="0"/>
        <w:spacing w:line="360" w:lineRule="auto"/>
        <w:ind w:left="0" w:firstLine="480" w:firstLineChars="200"/>
        <w:jc w:val="both"/>
        <w:textAlignment w:val="auto"/>
        <w:rPr>
          <w:rFonts w:cs="Times New Roman"/>
          <w:kern w:val="2"/>
          <w:u w:val="single"/>
        </w:rPr>
      </w:pPr>
      <w:r>
        <w:rPr>
          <w:rFonts w:hint="eastAsia" w:cs="Times New Roman"/>
          <w:kern w:val="2"/>
          <w:u w:val="single"/>
        </w:rPr>
        <w:t>未经发包人、监理人书面同意的材料和设备不得用于本工程，发包人、监理人有权不予计量并要求承包人撤换未经书面同意的材料设备，由此发生的费用和工期延误全部由承包人承担。</w:t>
      </w:r>
    </w:p>
    <w:p>
      <w:pPr>
        <w:keepNext w:val="0"/>
        <w:keepLines w:val="0"/>
        <w:pageBreakBefore w:val="0"/>
        <w:widowControl w:val="0"/>
        <w:kinsoku/>
        <w:topLinePunct w:val="0"/>
        <w:autoSpaceDE/>
        <w:autoSpaceDN/>
        <w:bidi w:val="0"/>
        <w:adjustRightInd w:val="0"/>
        <w:snapToGrid w:val="0"/>
        <w:spacing w:line="360" w:lineRule="auto"/>
        <w:ind w:left="0" w:firstLine="480" w:firstLineChars="200"/>
        <w:jc w:val="both"/>
        <w:textAlignment w:val="auto"/>
        <w:rPr>
          <w:rFonts w:cs="Times New Roman"/>
          <w:kern w:val="2"/>
          <w:u w:val="single"/>
        </w:rPr>
      </w:pPr>
      <w:r>
        <w:rPr>
          <w:rFonts w:hint="eastAsia" w:cs="Times New Roman"/>
          <w:kern w:val="2"/>
          <w:u w:val="single"/>
        </w:rPr>
        <w:t>(4)如发包人提供的参考品牌确实无法实现（无法实现是指厂家停产或市场禁用的情况，而非采购渠道及价格高低因素），则可以选择其他品质不低于发包人约定的参考品牌，但必须书面报监理人及发包人批准同意。</w:t>
      </w:r>
    </w:p>
    <w:p>
      <w:pPr>
        <w:keepNext w:val="0"/>
        <w:keepLines w:val="0"/>
        <w:pageBreakBefore w:val="0"/>
        <w:widowControl w:val="0"/>
        <w:kinsoku/>
        <w:topLinePunct w:val="0"/>
        <w:autoSpaceDE/>
        <w:autoSpaceDN/>
        <w:bidi w:val="0"/>
        <w:adjustRightInd w:val="0"/>
        <w:snapToGrid w:val="0"/>
        <w:spacing w:line="360" w:lineRule="auto"/>
        <w:ind w:left="0" w:firstLine="480" w:firstLineChars="200"/>
        <w:jc w:val="both"/>
        <w:textAlignment w:val="auto"/>
        <w:rPr>
          <w:rFonts w:cs="Times New Roman"/>
          <w:kern w:val="2"/>
          <w:u w:val="single"/>
        </w:rPr>
      </w:pPr>
      <w:r>
        <w:rPr>
          <w:rFonts w:hint="eastAsia" w:cs="Times New Roman"/>
          <w:kern w:val="2"/>
          <w:u w:val="single"/>
        </w:rPr>
        <w:t>上述“不低于参考品牌的技术标准或品质要求”的品牌或厂家的确认权属于监理人及发包人。监理人及发包人可要求承包人无条件使用不低于参考品牌的材料设备，承包人必须服从，否则由此引起的工期延误及其他责任由承包人承担。发包人有权根据实际情况调整材料设备厂家品牌，承包人拒绝执行的，则发包人有权选择自行供应此部分材料或设备，由此产生的费用及工期延误由承包人承担，发包人可另外向承包人进行处罚，具体以附件</w:t>
      </w:r>
      <w:r>
        <w:rPr>
          <w:rFonts w:cs="Times New Roman"/>
          <w:kern w:val="2"/>
          <w:u w:val="single"/>
        </w:rPr>
        <w:t>1为准。</w:t>
      </w:r>
    </w:p>
    <w:p>
      <w:pPr>
        <w:keepNext w:val="0"/>
        <w:keepLines w:val="0"/>
        <w:pageBreakBefore w:val="0"/>
        <w:widowControl w:val="0"/>
        <w:kinsoku/>
        <w:topLinePunct w:val="0"/>
        <w:autoSpaceDE/>
        <w:autoSpaceDN/>
        <w:bidi w:val="0"/>
        <w:adjustRightInd w:val="0"/>
        <w:snapToGrid w:val="0"/>
        <w:spacing w:line="360" w:lineRule="auto"/>
        <w:ind w:left="0" w:firstLine="480" w:firstLineChars="200"/>
        <w:jc w:val="both"/>
        <w:textAlignment w:val="auto"/>
        <w:rPr>
          <w:rFonts w:cs="Times New Roman"/>
          <w:kern w:val="2"/>
          <w:u w:val="single"/>
        </w:rPr>
      </w:pPr>
      <w:r>
        <w:rPr>
          <w:rFonts w:hint="eastAsia" w:cs="Times New Roman"/>
          <w:kern w:val="2"/>
          <w:u w:val="single"/>
        </w:rPr>
        <w:t>监理人及发包人对材料的确认或否决皆不会免除承包人按合同文件所应承担的责任。</w:t>
      </w:r>
    </w:p>
    <w:p>
      <w:pPr>
        <w:keepNext w:val="0"/>
        <w:keepLines w:val="0"/>
        <w:pageBreakBefore w:val="0"/>
        <w:widowControl w:val="0"/>
        <w:kinsoku/>
        <w:topLinePunct w:val="0"/>
        <w:autoSpaceDE/>
        <w:autoSpaceDN/>
        <w:bidi w:val="0"/>
        <w:adjustRightInd w:val="0"/>
        <w:snapToGrid w:val="0"/>
        <w:spacing w:line="360" w:lineRule="auto"/>
        <w:ind w:left="0" w:firstLine="480" w:firstLineChars="200"/>
        <w:jc w:val="both"/>
        <w:textAlignment w:val="auto"/>
        <w:rPr>
          <w:rFonts w:cs="Times New Roman"/>
          <w:kern w:val="2"/>
          <w:u w:val="single"/>
        </w:rPr>
      </w:pPr>
      <w:r>
        <w:rPr>
          <w:rFonts w:hint="eastAsia"/>
          <w:u w:val="single"/>
        </w:rPr>
        <w:t>(5)所有材料设备，承包人应根据图纸及相关合同条款的要求，提供该品牌的材料的详细资料，包括但不限于权威部门的检测报告、质保书、产地证、合格证、样品、规格型号、技术参数、资质证书、使用工程的介绍等。如发包人认为必要，则有权要求去厂家实地考察，承包人应当予以配合，直至获得发包人、监理人的书面同意，费用由承包人承担。无论发包人、监理人的选择是否与承包人在投标报价中的材料价相符，原合同</w:t>
      </w:r>
      <w:r>
        <w:rPr>
          <w:rFonts w:hint="eastAsia" w:cs="Times New Roman"/>
          <w:kern w:val="2"/>
          <w:u w:val="single"/>
        </w:rPr>
        <w:t>价款均不因此而调整。</w:t>
      </w:r>
    </w:p>
    <w:p>
      <w:pPr>
        <w:keepNext w:val="0"/>
        <w:keepLines w:val="0"/>
        <w:pageBreakBefore w:val="0"/>
        <w:widowControl w:val="0"/>
        <w:kinsoku/>
        <w:topLinePunct w:val="0"/>
        <w:autoSpaceDE/>
        <w:autoSpaceDN/>
        <w:bidi w:val="0"/>
        <w:adjustRightInd w:val="0"/>
        <w:snapToGrid w:val="0"/>
        <w:spacing w:line="360" w:lineRule="auto"/>
        <w:ind w:left="0" w:firstLine="480" w:firstLineChars="200"/>
        <w:jc w:val="both"/>
        <w:textAlignment w:val="auto"/>
        <w:rPr>
          <w:rFonts w:cs="Times New Roman"/>
          <w:kern w:val="2"/>
          <w:u w:val="single"/>
        </w:rPr>
      </w:pPr>
      <w:r>
        <w:rPr>
          <w:rFonts w:hint="eastAsia" w:cs="Times New Roman"/>
          <w:kern w:val="2"/>
          <w:u w:val="single"/>
        </w:rPr>
        <w:t>监理人对材料的来源及送检质量的认可并不意味着此类材料的所有材料都已批准合格，也不应妨碍监理人在任何时候拒绝采用这类材料。</w:t>
      </w:r>
    </w:p>
    <w:p>
      <w:pPr>
        <w:keepNext w:val="0"/>
        <w:keepLines w:val="0"/>
        <w:pageBreakBefore w:val="0"/>
        <w:widowControl w:val="0"/>
        <w:kinsoku/>
        <w:topLinePunct w:val="0"/>
        <w:autoSpaceDE/>
        <w:autoSpaceDN/>
        <w:bidi w:val="0"/>
        <w:adjustRightInd w:val="0"/>
        <w:snapToGrid w:val="0"/>
        <w:spacing w:line="360" w:lineRule="auto"/>
        <w:ind w:left="0" w:firstLine="480" w:firstLineChars="200"/>
        <w:jc w:val="both"/>
        <w:textAlignment w:val="auto"/>
        <w:rPr>
          <w:rFonts w:cs="Times New Roman"/>
          <w:kern w:val="2"/>
          <w:u w:val="single"/>
        </w:rPr>
      </w:pPr>
      <w:r>
        <w:rPr>
          <w:rFonts w:hint="eastAsia" w:cs="Times New Roman"/>
          <w:kern w:val="2"/>
          <w:u w:val="single"/>
        </w:rPr>
        <w:t>(6)在承包人提供的材料经发包人、监理人许可投入本工程使用后，如经有关质量、环保检测部门检验认定不符合合同条款、相关法律法规、验收规范要求的，承包人应承担返工、更换合格材料的责任；给发包人造成损失的，应赔偿实际损失；如造成工期延误的，还应承担延期的违约责任。经检验不合格材料、设备不得进入施工场地，已进入施工现场的必须立即退场，不合格材料退场应有监理人及发包人代表现场签发的退场单方可出场。承包人应做好材料设备进退场的详细记录，对退场后更换进场的材料设备必须注明是“更换的材料设备”。</w:t>
      </w:r>
    </w:p>
    <w:p>
      <w:pPr>
        <w:keepNext w:val="0"/>
        <w:keepLines w:val="0"/>
        <w:pageBreakBefore w:val="0"/>
        <w:widowControl w:val="0"/>
        <w:kinsoku/>
        <w:topLinePunct w:val="0"/>
        <w:autoSpaceDE/>
        <w:autoSpaceDN/>
        <w:bidi w:val="0"/>
        <w:adjustRightInd w:val="0"/>
        <w:snapToGrid w:val="0"/>
        <w:spacing w:line="360" w:lineRule="auto"/>
        <w:ind w:left="0" w:firstLine="480" w:firstLineChars="200"/>
        <w:jc w:val="both"/>
        <w:textAlignment w:val="auto"/>
        <w:rPr>
          <w:rFonts w:cs="Times New Roman"/>
          <w:kern w:val="2"/>
          <w:u w:val="single"/>
        </w:rPr>
      </w:pPr>
      <w:r>
        <w:rPr>
          <w:rFonts w:hint="eastAsia" w:cs="Times New Roman"/>
          <w:kern w:val="2"/>
          <w:u w:val="single"/>
        </w:rPr>
        <w:t>(7)承包人不能只根据标准、规范及技术要求或图纸所述数量、尺寸而不进行实地量度来订购材料、设备或开始施工。承包人因不进行实地量度而导致的错误或虚耗材料、设备，发包人不承担责任。承包人须自行负责采购的材料、设备的准确性。</w:t>
      </w:r>
    </w:p>
    <w:p>
      <w:pPr>
        <w:keepNext w:val="0"/>
        <w:keepLines w:val="0"/>
        <w:pageBreakBefore w:val="0"/>
        <w:widowControl w:val="0"/>
        <w:kinsoku/>
        <w:topLinePunct w:val="0"/>
        <w:autoSpaceDE/>
        <w:autoSpaceDN/>
        <w:bidi w:val="0"/>
        <w:adjustRightInd w:val="0"/>
        <w:snapToGrid w:val="0"/>
        <w:spacing w:line="360" w:lineRule="auto"/>
        <w:ind w:left="0" w:firstLine="480" w:firstLineChars="200"/>
        <w:jc w:val="both"/>
        <w:textAlignment w:val="auto"/>
        <w:rPr>
          <w:rFonts w:cs="Times New Roman"/>
          <w:kern w:val="2"/>
          <w:u w:val="single"/>
        </w:rPr>
      </w:pPr>
      <w:r>
        <w:rPr>
          <w:rFonts w:hint="eastAsia" w:cs="Times New Roman"/>
          <w:kern w:val="2"/>
          <w:u w:val="single"/>
        </w:rPr>
        <w:t>(8)承包人用于本工程的任何材料、设备的品质，在使用前必须得到监理人的批准。承包人须在根据施工进度计划的情况下提前（需提前合理的时间以保证发包人、监理人有充分的时间进行审查）提交样品、样本，在大批订货前送审。获批准的样品、样本须存放在监理人的工地办公室，作为以后验收的标准(样品、样本和其包装由承包人无偿提供)。施工中使用的材料、设备须与获批准的样品、样本一致。</w:t>
      </w:r>
    </w:p>
    <w:p>
      <w:pPr>
        <w:keepNext w:val="0"/>
        <w:keepLines w:val="0"/>
        <w:pageBreakBefore w:val="0"/>
        <w:widowControl w:val="0"/>
        <w:kinsoku/>
        <w:topLinePunct w:val="0"/>
        <w:autoSpaceDE/>
        <w:autoSpaceDN/>
        <w:bidi w:val="0"/>
        <w:adjustRightInd w:val="0"/>
        <w:snapToGrid w:val="0"/>
        <w:spacing w:line="360" w:lineRule="auto"/>
        <w:ind w:left="0" w:firstLine="480" w:firstLineChars="200"/>
        <w:jc w:val="both"/>
        <w:textAlignment w:val="auto"/>
        <w:rPr>
          <w:rFonts w:cs="Times New Roman"/>
          <w:kern w:val="2"/>
          <w:u w:val="single"/>
        </w:rPr>
      </w:pPr>
      <w:r>
        <w:rPr>
          <w:rFonts w:hint="eastAsia" w:cs="Times New Roman"/>
          <w:kern w:val="2"/>
          <w:u w:val="single"/>
        </w:rPr>
        <w:t>监理人对任何样品、样本的认可，并不会解除或减轻承包人按合同须履行的责任。若本工程的任何项目因承包人的原因不能及时提交样品、样本供监理人审批而导致工期延误或产生额外的工程费用(不论此等额外工程是否由承包人负责施工)和损失，承包人均需赔偿发包人此等额外工程费用和损失，工期不会因此而顺延。发包人会从应付或将支付给承包人的款项中扣除或向承包人追索。</w:t>
      </w:r>
    </w:p>
    <w:p>
      <w:pPr>
        <w:keepNext w:val="0"/>
        <w:keepLines w:val="0"/>
        <w:pageBreakBefore w:val="0"/>
        <w:widowControl w:val="0"/>
        <w:kinsoku/>
        <w:topLinePunct w:val="0"/>
        <w:autoSpaceDE/>
        <w:autoSpaceDN/>
        <w:bidi w:val="0"/>
        <w:adjustRightInd w:val="0"/>
        <w:snapToGrid w:val="0"/>
        <w:spacing w:line="360" w:lineRule="auto"/>
        <w:ind w:left="0" w:firstLine="480" w:firstLineChars="200"/>
        <w:jc w:val="both"/>
        <w:textAlignment w:val="auto"/>
        <w:rPr>
          <w:rFonts w:cs="Times New Roman"/>
          <w:kern w:val="2"/>
          <w:u w:val="single"/>
        </w:rPr>
      </w:pPr>
      <w:r>
        <w:rPr>
          <w:rFonts w:hint="eastAsia" w:cs="Times New Roman"/>
          <w:kern w:val="2"/>
          <w:u w:val="single"/>
        </w:rPr>
        <w:t xml:space="preserve">(9)因发包人原因由承包人负责供应的材料设备改由发包人供应，承包人可向发包人收取供应材料设备价款值的1%作为材料、设备保管费，该费用只计取税金。除此之外，发包人不向承包人支付任何补偿或赔偿。因材料设备改由发包人供应导致的价款的减少根据合同约定从应当支付给承包人的价款中予以扣除。 </w:t>
      </w:r>
    </w:p>
    <w:p>
      <w:pPr>
        <w:keepNext w:val="0"/>
        <w:keepLines w:val="0"/>
        <w:pageBreakBefore w:val="0"/>
        <w:widowControl w:val="0"/>
        <w:kinsoku/>
        <w:topLinePunct w:val="0"/>
        <w:autoSpaceDE/>
        <w:autoSpaceDN/>
        <w:bidi w:val="0"/>
        <w:adjustRightInd w:val="0"/>
        <w:snapToGrid w:val="0"/>
        <w:spacing w:line="360" w:lineRule="auto"/>
        <w:ind w:left="0" w:firstLine="480" w:firstLineChars="200"/>
        <w:jc w:val="both"/>
        <w:textAlignment w:val="auto"/>
        <w:rPr>
          <w:rFonts w:cs="Times New Roman"/>
          <w:kern w:val="2"/>
          <w:u w:val="single"/>
        </w:rPr>
      </w:pPr>
      <w:r>
        <w:rPr>
          <w:rFonts w:hint="eastAsia" w:cs="Times New Roman"/>
          <w:kern w:val="2"/>
          <w:u w:val="single"/>
        </w:rPr>
        <w:t>(10)承包人需要使用代用材料时应有充足的理由，且代用的材料设备品质标准必须等同或高于招标文件约定的标准，承包人必须事先将替代材料的资料提供给发包人及监理人确认，发包人及监理人有绝对权利批准或不批准。批准应以书面形式发出，否则无效。发包人及监理人的任何批准或不批准不会减轻承包人应承担的材料质量保证责任。在获得批准之前，替代的建议不得实施。如获批准，其增加费用，由承包人承担，其减少的费用从合同价款中扣除。</w:t>
      </w:r>
    </w:p>
    <w:p>
      <w:pPr>
        <w:keepNext w:val="0"/>
        <w:keepLines w:val="0"/>
        <w:pageBreakBefore w:val="0"/>
        <w:widowControl w:val="0"/>
        <w:kinsoku/>
        <w:topLinePunct w:val="0"/>
        <w:autoSpaceDE/>
        <w:autoSpaceDN/>
        <w:bidi w:val="0"/>
        <w:adjustRightInd w:val="0"/>
        <w:snapToGrid w:val="0"/>
        <w:spacing w:line="360" w:lineRule="auto"/>
        <w:ind w:left="0" w:firstLine="480" w:firstLineChars="200"/>
        <w:jc w:val="both"/>
        <w:textAlignment w:val="auto"/>
        <w:rPr>
          <w:rFonts w:cs="Times New Roman"/>
          <w:kern w:val="2"/>
          <w:u w:val="single"/>
        </w:rPr>
      </w:pPr>
      <w:r>
        <w:rPr>
          <w:rFonts w:hint="eastAsia" w:cs="Times New Roman"/>
          <w:kern w:val="2"/>
          <w:u w:val="single"/>
        </w:rPr>
        <w:t>(11)承包人与其分包人对分包人采购的材料设备应承担连带责任。若分包人采购的材料设备与设计、标准/规范以及合同条款约定的要求不符时,承包人应按监理人要求的时间责令分包人运出施工场地,重新采购符合要求的材料设备,承担因此产生的费用,由此延误的工期不予顺延。不合格材料退场应有监理人现场签发的退场单方可出场。</w:t>
      </w:r>
    </w:p>
    <w:p>
      <w:pPr>
        <w:keepNext w:val="0"/>
        <w:keepLines w:val="0"/>
        <w:pageBreakBefore w:val="0"/>
        <w:widowControl w:val="0"/>
        <w:kinsoku/>
        <w:topLinePunct w:val="0"/>
        <w:autoSpaceDE/>
        <w:autoSpaceDN/>
        <w:bidi w:val="0"/>
        <w:adjustRightInd w:val="0"/>
        <w:snapToGrid w:val="0"/>
        <w:spacing w:line="360" w:lineRule="auto"/>
        <w:ind w:left="0" w:firstLine="480" w:firstLineChars="200"/>
        <w:jc w:val="both"/>
        <w:textAlignment w:val="auto"/>
        <w:rPr>
          <w:rFonts w:hint="eastAsia" w:cs="Times New Roman"/>
          <w:kern w:val="2"/>
          <w:u w:val="single"/>
        </w:rPr>
      </w:pPr>
      <w:r>
        <w:rPr>
          <w:rFonts w:hint="eastAsia" w:cs="Times New Roman"/>
          <w:kern w:val="2"/>
          <w:u w:val="single"/>
        </w:rPr>
        <w:t>（12）如现场发现使用假冒、伪劣产品、货不对板，经监理人、发包人发现每次罚款详见补充条款及附件</w:t>
      </w:r>
      <w:r>
        <w:rPr>
          <w:rFonts w:cs="Times New Roman"/>
          <w:kern w:val="2"/>
          <w:u w:val="single"/>
        </w:rPr>
        <w:t>1</w:t>
      </w:r>
      <w:r>
        <w:rPr>
          <w:rFonts w:hint="eastAsia" w:cs="Times New Roman"/>
          <w:kern w:val="2"/>
          <w:u w:val="single"/>
        </w:rPr>
        <w:t>约定，并将此产品全部退场，罚款直接在工程进度款中全额扣除。</w:t>
      </w:r>
    </w:p>
    <w:p>
      <w:pPr>
        <w:pStyle w:val="13"/>
      </w:pPr>
    </w:p>
    <w:p>
      <w:pPr>
        <w:keepNext w:val="0"/>
        <w:keepLines w:val="0"/>
        <w:pageBreakBefore w:val="0"/>
        <w:widowControl w:val="0"/>
        <w:kinsoku/>
        <w:topLinePunct w:val="0"/>
        <w:autoSpaceDE/>
        <w:autoSpaceDN/>
        <w:bidi w:val="0"/>
        <w:adjustRightInd w:val="0"/>
        <w:snapToGrid w:val="0"/>
        <w:spacing w:line="360" w:lineRule="auto"/>
        <w:ind w:firstLine="482"/>
        <w:jc w:val="center"/>
        <w:rPr>
          <w:rFonts w:cs="Times New Roman"/>
          <w:kern w:val="2"/>
          <w:u w:val="single"/>
        </w:rPr>
      </w:pPr>
      <w:r>
        <w:rPr>
          <w:rFonts w:hint="eastAsia" w:cs="Times New Roman"/>
          <w:b/>
          <w:kern w:val="2"/>
        </w:rPr>
        <w:t>主要材料</w:t>
      </w:r>
      <w:r>
        <w:rPr>
          <w:rFonts w:hint="eastAsia" w:cs="Times New Roman"/>
          <w:b/>
          <w:bCs/>
          <w:kern w:val="2"/>
        </w:rPr>
        <w:t>设备限定品牌范围表</w:t>
      </w:r>
    </w:p>
    <w:tbl>
      <w:tblPr>
        <w:tblStyle w:val="17"/>
        <w:tblpPr w:leftFromText="180" w:rightFromText="180" w:vertAnchor="text" w:tblpXSpec="center" w:tblpY="1"/>
        <w:tblOverlap w:val="never"/>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196"/>
        <w:gridCol w:w="4002"/>
        <w:gridCol w:w="1289"/>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42" w:type="dxa"/>
          </w:tcPr>
          <w:p>
            <w:pPr>
              <w:keepNext w:val="0"/>
              <w:keepLines w:val="0"/>
              <w:pageBreakBefore w:val="0"/>
              <w:widowControl w:val="0"/>
              <w:kinsoku/>
              <w:topLinePunct w:val="0"/>
              <w:autoSpaceDE/>
              <w:autoSpaceDN/>
              <w:bidi w:val="0"/>
              <w:adjustRightInd w:val="0"/>
              <w:snapToGrid w:val="0"/>
              <w:spacing w:line="360" w:lineRule="auto"/>
              <w:jc w:val="center"/>
              <w:rPr>
                <w:rFonts w:ascii="等线" w:hAnsi="等线" w:eastAsia="等线" w:cs="Times New Roman"/>
                <w:b/>
                <w:kern w:val="2"/>
                <w:sz w:val="21"/>
                <w:szCs w:val="22"/>
              </w:rPr>
            </w:pPr>
            <w:bookmarkStart w:id="225" w:name="_Toc46325290"/>
            <w:bookmarkStart w:id="226" w:name="_Toc1999951"/>
            <w:r>
              <w:rPr>
                <w:rFonts w:hint="eastAsia" w:ascii="Calibri" w:hAnsi="Calibri" w:cs="Times New Roman"/>
                <w:b/>
                <w:kern w:val="2"/>
                <w:sz w:val="21"/>
                <w:szCs w:val="22"/>
              </w:rPr>
              <w:t>编</w:t>
            </w:r>
            <w:r>
              <w:rPr>
                <w:rFonts w:ascii="Calibri" w:hAnsi="Calibri" w:cs="Times New Roman"/>
                <w:b/>
                <w:kern w:val="2"/>
                <w:sz w:val="21"/>
                <w:szCs w:val="22"/>
              </w:rPr>
              <w:t>号</w:t>
            </w:r>
          </w:p>
        </w:tc>
        <w:tc>
          <w:tcPr>
            <w:tcW w:w="1196" w:type="dxa"/>
          </w:tcPr>
          <w:p>
            <w:pPr>
              <w:keepNext w:val="0"/>
              <w:keepLines w:val="0"/>
              <w:pageBreakBefore w:val="0"/>
              <w:widowControl w:val="0"/>
              <w:kinsoku/>
              <w:topLinePunct w:val="0"/>
              <w:autoSpaceDE/>
              <w:autoSpaceDN/>
              <w:bidi w:val="0"/>
              <w:adjustRightInd w:val="0"/>
              <w:snapToGrid w:val="0"/>
              <w:spacing w:line="360" w:lineRule="auto"/>
              <w:jc w:val="center"/>
              <w:rPr>
                <w:rFonts w:ascii="等线" w:hAnsi="等线" w:eastAsia="等线" w:cs="Times New Roman"/>
                <w:b/>
                <w:kern w:val="2"/>
                <w:sz w:val="21"/>
                <w:szCs w:val="22"/>
              </w:rPr>
            </w:pPr>
            <w:r>
              <w:rPr>
                <w:rFonts w:hint="eastAsia" w:ascii="Calibri" w:hAnsi="Calibri" w:cs="Times New Roman"/>
                <w:b/>
                <w:kern w:val="2"/>
                <w:sz w:val="21"/>
                <w:szCs w:val="22"/>
              </w:rPr>
              <w:t>材料品种</w:t>
            </w:r>
          </w:p>
        </w:tc>
        <w:tc>
          <w:tcPr>
            <w:tcW w:w="4002" w:type="dxa"/>
          </w:tcPr>
          <w:p>
            <w:pPr>
              <w:keepNext w:val="0"/>
              <w:keepLines w:val="0"/>
              <w:pageBreakBefore w:val="0"/>
              <w:widowControl w:val="0"/>
              <w:kinsoku/>
              <w:topLinePunct w:val="0"/>
              <w:autoSpaceDE/>
              <w:autoSpaceDN/>
              <w:bidi w:val="0"/>
              <w:adjustRightInd w:val="0"/>
              <w:snapToGrid w:val="0"/>
              <w:spacing w:line="360" w:lineRule="auto"/>
              <w:jc w:val="center"/>
              <w:rPr>
                <w:rFonts w:ascii="等线" w:hAnsi="等线" w:eastAsia="等线" w:cs="Times New Roman"/>
                <w:b/>
                <w:kern w:val="2"/>
                <w:sz w:val="21"/>
                <w:szCs w:val="22"/>
              </w:rPr>
            </w:pPr>
            <w:r>
              <w:rPr>
                <w:rFonts w:ascii="Calibri" w:hAnsi="Calibri" w:cs="Times New Roman"/>
                <w:b/>
                <w:kern w:val="2"/>
                <w:sz w:val="21"/>
                <w:szCs w:val="22"/>
              </w:rPr>
              <w:t>企业名称</w:t>
            </w:r>
          </w:p>
        </w:tc>
        <w:tc>
          <w:tcPr>
            <w:tcW w:w="1289" w:type="dxa"/>
          </w:tcPr>
          <w:p>
            <w:pPr>
              <w:keepNext w:val="0"/>
              <w:keepLines w:val="0"/>
              <w:pageBreakBefore w:val="0"/>
              <w:widowControl w:val="0"/>
              <w:kinsoku/>
              <w:topLinePunct w:val="0"/>
              <w:autoSpaceDE/>
              <w:autoSpaceDN/>
              <w:bidi w:val="0"/>
              <w:adjustRightInd w:val="0"/>
              <w:snapToGrid w:val="0"/>
              <w:spacing w:line="360" w:lineRule="auto"/>
              <w:jc w:val="center"/>
              <w:rPr>
                <w:rFonts w:ascii="等线" w:hAnsi="等线" w:eastAsia="等线" w:cs="Times New Roman"/>
                <w:b/>
                <w:kern w:val="2"/>
                <w:sz w:val="21"/>
                <w:szCs w:val="22"/>
              </w:rPr>
            </w:pPr>
            <w:r>
              <w:rPr>
                <w:rFonts w:ascii="Calibri" w:hAnsi="Calibri" w:cs="Times New Roman"/>
                <w:b/>
                <w:kern w:val="2"/>
                <w:sz w:val="21"/>
                <w:szCs w:val="22"/>
              </w:rPr>
              <w:t>品牌名称</w:t>
            </w:r>
          </w:p>
        </w:tc>
        <w:tc>
          <w:tcPr>
            <w:tcW w:w="1289" w:type="dxa"/>
          </w:tcPr>
          <w:p>
            <w:pPr>
              <w:keepNext w:val="0"/>
              <w:keepLines w:val="0"/>
              <w:pageBreakBefore w:val="0"/>
              <w:widowControl w:val="0"/>
              <w:kinsoku/>
              <w:topLinePunct w:val="0"/>
              <w:autoSpaceDE/>
              <w:autoSpaceDN/>
              <w:bidi w:val="0"/>
              <w:adjustRightInd w:val="0"/>
              <w:snapToGrid w:val="0"/>
              <w:spacing w:line="360" w:lineRule="auto"/>
              <w:jc w:val="center"/>
              <w:rPr>
                <w:rFonts w:ascii="等线" w:hAnsi="等线" w:eastAsia="等线" w:cs="Times New Roman"/>
                <w:b/>
                <w:kern w:val="2"/>
                <w:sz w:val="21"/>
                <w:szCs w:val="22"/>
              </w:rPr>
            </w:pPr>
            <w:r>
              <w:rPr>
                <w:rFonts w:hint="eastAsia" w:ascii="Calibri" w:hAnsi="Calibri" w:cs="Times New Roman"/>
                <w:b/>
                <w:kern w:val="2"/>
                <w:sz w:val="21"/>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42" w:type="dxa"/>
          </w:tcPr>
          <w:p>
            <w:pPr>
              <w:keepNext w:val="0"/>
              <w:keepLines w:val="0"/>
              <w:pageBreakBefore w:val="0"/>
              <w:widowControl w:val="0"/>
              <w:kinsoku/>
              <w:topLinePunct w:val="0"/>
              <w:autoSpaceDE/>
              <w:autoSpaceDN/>
              <w:bidi w:val="0"/>
              <w:adjustRightInd w:val="0"/>
              <w:snapToGrid w:val="0"/>
              <w:spacing w:line="360" w:lineRule="auto"/>
              <w:jc w:val="center"/>
              <w:rPr>
                <w:rFonts w:ascii="Calibri" w:hAnsi="Calibri" w:cs="Times New Roman"/>
                <w:b/>
                <w:kern w:val="2"/>
                <w:sz w:val="21"/>
                <w:szCs w:val="22"/>
              </w:rPr>
            </w:pPr>
          </w:p>
        </w:tc>
        <w:tc>
          <w:tcPr>
            <w:tcW w:w="1196" w:type="dxa"/>
          </w:tcPr>
          <w:p>
            <w:pPr>
              <w:keepNext w:val="0"/>
              <w:keepLines w:val="0"/>
              <w:pageBreakBefore w:val="0"/>
              <w:widowControl w:val="0"/>
              <w:kinsoku/>
              <w:topLinePunct w:val="0"/>
              <w:autoSpaceDE/>
              <w:autoSpaceDN/>
              <w:bidi w:val="0"/>
              <w:adjustRightInd w:val="0"/>
              <w:snapToGrid w:val="0"/>
              <w:spacing w:line="360" w:lineRule="auto"/>
              <w:jc w:val="center"/>
              <w:rPr>
                <w:rFonts w:ascii="Calibri" w:hAnsi="Calibri"/>
                <w:b/>
                <w:kern w:val="2"/>
                <w:sz w:val="21"/>
              </w:rPr>
            </w:pPr>
            <w:r>
              <w:rPr>
                <w:rFonts w:hint="eastAsia"/>
                <w:kern w:val="2"/>
                <w:u w:val="single"/>
              </w:rPr>
              <w:t>详附件</w:t>
            </w:r>
            <w:r>
              <w:rPr>
                <w:kern w:val="2"/>
                <w:u w:val="single"/>
              </w:rPr>
              <w:t>2</w:t>
            </w:r>
          </w:p>
        </w:tc>
        <w:tc>
          <w:tcPr>
            <w:tcW w:w="4002" w:type="dxa"/>
          </w:tcPr>
          <w:p>
            <w:pPr>
              <w:keepNext w:val="0"/>
              <w:keepLines w:val="0"/>
              <w:pageBreakBefore w:val="0"/>
              <w:widowControl w:val="0"/>
              <w:kinsoku/>
              <w:topLinePunct w:val="0"/>
              <w:autoSpaceDE/>
              <w:autoSpaceDN/>
              <w:bidi w:val="0"/>
              <w:adjustRightInd w:val="0"/>
              <w:snapToGrid w:val="0"/>
              <w:spacing w:line="360" w:lineRule="auto"/>
              <w:jc w:val="center"/>
              <w:rPr>
                <w:rFonts w:ascii="Calibri" w:hAnsi="Calibri"/>
                <w:b/>
                <w:kern w:val="2"/>
                <w:sz w:val="21"/>
              </w:rPr>
            </w:pPr>
            <w:r>
              <w:rPr>
                <w:rFonts w:hint="eastAsia"/>
                <w:kern w:val="2"/>
                <w:u w:val="single"/>
              </w:rPr>
              <w:t>详附件</w:t>
            </w:r>
            <w:r>
              <w:rPr>
                <w:kern w:val="2"/>
                <w:u w:val="single"/>
              </w:rPr>
              <w:t>2</w:t>
            </w:r>
          </w:p>
        </w:tc>
        <w:tc>
          <w:tcPr>
            <w:tcW w:w="1289" w:type="dxa"/>
          </w:tcPr>
          <w:p>
            <w:pPr>
              <w:keepNext w:val="0"/>
              <w:keepLines w:val="0"/>
              <w:pageBreakBefore w:val="0"/>
              <w:widowControl w:val="0"/>
              <w:kinsoku/>
              <w:topLinePunct w:val="0"/>
              <w:autoSpaceDE/>
              <w:autoSpaceDN/>
              <w:bidi w:val="0"/>
              <w:adjustRightInd w:val="0"/>
              <w:snapToGrid w:val="0"/>
              <w:spacing w:line="360" w:lineRule="auto"/>
              <w:jc w:val="center"/>
              <w:rPr>
                <w:rFonts w:ascii="Calibri" w:hAnsi="Calibri"/>
                <w:b/>
                <w:kern w:val="2"/>
                <w:sz w:val="21"/>
              </w:rPr>
            </w:pPr>
            <w:r>
              <w:rPr>
                <w:rFonts w:hint="eastAsia"/>
                <w:kern w:val="2"/>
                <w:u w:val="single"/>
              </w:rPr>
              <w:t>详附件</w:t>
            </w:r>
            <w:r>
              <w:rPr>
                <w:kern w:val="2"/>
                <w:u w:val="single"/>
              </w:rPr>
              <w:t>2</w:t>
            </w:r>
          </w:p>
        </w:tc>
        <w:tc>
          <w:tcPr>
            <w:tcW w:w="1289" w:type="dxa"/>
          </w:tcPr>
          <w:p>
            <w:pPr>
              <w:keepNext w:val="0"/>
              <w:keepLines w:val="0"/>
              <w:pageBreakBefore w:val="0"/>
              <w:widowControl w:val="0"/>
              <w:kinsoku/>
              <w:topLinePunct w:val="0"/>
              <w:autoSpaceDE/>
              <w:autoSpaceDN/>
              <w:bidi w:val="0"/>
              <w:adjustRightInd w:val="0"/>
              <w:snapToGrid w:val="0"/>
              <w:spacing w:line="360" w:lineRule="auto"/>
              <w:jc w:val="center"/>
              <w:rPr>
                <w:rFonts w:ascii="Calibri" w:hAnsi="Calibri" w:cs="Times New Roman"/>
                <w:b/>
                <w:kern w:val="2"/>
                <w:sz w:val="21"/>
                <w:szCs w:val="22"/>
              </w:rPr>
            </w:pPr>
          </w:p>
        </w:tc>
      </w:tr>
    </w:tbl>
    <w:p>
      <w:pPr>
        <w:keepNext w:val="0"/>
        <w:keepLines w:val="0"/>
        <w:pageBreakBefore w:val="0"/>
        <w:widowControl w:val="0"/>
        <w:tabs>
          <w:tab w:val="left" w:pos="540"/>
          <w:tab w:val="left" w:pos="900"/>
          <w:tab w:val="left" w:pos="2340"/>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227" w:name="_Toc22356"/>
      <w:bookmarkStart w:id="228" w:name="_Toc8418"/>
      <w:r>
        <w:rPr>
          <w:rFonts w:hint="eastAsia" w:cs="Times New Roman"/>
          <w:b/>
          <w:bCs/>
          <w:kern w:val="2"/>
          <w:szCs w:val="32"/>
        </w:rPr>
        <w:t>14.6 材料和工程设备的替代</w:t>
      </w:r>
      <w:bookmarkEnd w:id="225"/>
      <w:bookmarkEnd w:id="226"/>
      <w:bookmarkEnd w:id="227"/>
      <w:bookmarkEnd w:id="228"/>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rPr>
        <w:t>(2)承包人需使用替代材料设备应向监理人提出申请的时限：</w:t>
      </w:r>
      <w:r>
        <w:rPr>
          <w:rFonts w:hint="eastAsia" w:cs="Times New Roman"/>
          <w:u w:val="single"/>
        </w:rPr>
        <w:t>提前30日历天</w:t>
      </w:r>
      <w:r>
        <w:rPr>
          <w:rFonts w:hint="eastAsia" w:cs="Times New Roman"/>
          <w:kern w:val="2"/>
        </w:rPr>
        <w:t>，监理人应发出书面指示的时限：</w:t>
      </w:r>
      <w:r>
        <w:rPr>
          <w:rFonts w:hint="eastAsia" w:cs="Times New Roman"/>
          <w:u w:val="single"/>
        </w:rPr>
        <w:t>15日历天，发包人及监理人有绝对权力批准或不批准。批准应以书面形式发出，否则无效。发包人及监理人的任何批准或不批准不会减轻承包人应承担的材料质量保证责任，在获得批准之前，替代的建议不得实施</w:t>
      </w:r>
      <w:r>
        <w:rPr>
          <w:rFonts w:hint="eastAsia" w:cs="Times New Roman"/>
          <w:kern w:val="2"/>
        </w:rPr>
        <w:t>；</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使用替代材料设备增减合同价格和产生费用的承担方式：</w:t>
      </w:r>
      <w:r>
        <w:rPr>
          <w:rFonts w:hint="eastAsia" w:cs="Times New Roman"/>
          <w:u w:val="single"/>
        </w:rPr>
        <w:t>其增加费用，由承包人承担，其减少的费用从合同价款中扣除。</w:t>
      </w:r>
    </w:p>
    <w:p>
      <w:pPr>
        <w:keepNext w:val="0"/>
        <w:keepLines w:val="0"/>
        <w:pageBreakBefore w:val="0"/>
        <w:widowControl w:val="0"/>
        <w:tabs>
          <w:tab w:val="left" w:pos="540"/>
          <w:tab w:val="left" w:pos="900"/>
          <w:tab w:val="left" w:pos="2340"/>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229" w:name="_Toc21233"/>
      <w:bookmarkStart w:id="230" w:name="_Toc46325291"/>
      <w:bookmarkStart w:id="231" w:name="_Toc8397"/>
      <w:bookmarkStart w:id="232" w:name="_Toc1999952"/>
      <w:r>
        <w:rPr>
          <w:rFonts w:hint="eastAsia" w:cs="Times New Roman"/>
          <w:b/>
          <w:bCs/>
          <w:kern w:val="2"/>
          <w:szCs w:val="32"/>
        </w:rPr>
        <w:t>14.7 材料设备的检验</w:t>
      </w:r>
      <w:bookmarkEnd w:id="229"/>
      <w:bookmarkEnd w:id="230"/>
      <w:bookmarkEnd w:id="231"/>
      <w:bookmarkEnd w:id="232"/>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(1)用于本工程的材料设备的检验要求：</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u w:val="single"/>
        </w:rPr>
      </w:pPr>
      <w:r>
        <w:rPr>
          <w:rFonts w:hint="eastAsia" w:cs="Times New Roman"/>
          <w:u w:val="single"/>
        </w:rPr>
        <w:t>承</w:t>
      </w:r>
      <w:r>
        <w:rPr>
          <w:rFonts w:hint="eastAsia" w:cs="Times New Roman"/>
          <w:u w:val="single"/>
          <w:lang w:val="en-US" w:eastAsia="zh-CN"/>
        </w:rPr>
        <w:t>包人</w:t>
      </w:r>
      <w:r>
        <w:rPr>
          <w:rFonts w:hint="eastAsia" w:cs="Times New Roman"/>
          <w:u w:val="single"/>
        </w:rPr>
        <w:t>按现行法律、法规、规章和有关标准、规范的规定检验。</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本工程的材料设备检验机构为：</w:t>
      </w:r>
      <w:r>
        <w:rPr>
          <w:rFonts w:hint="eastAsia" w:cs="Times New Roman"/>
          <w:u w:val="single"/>
        </w:rPr>
        <w:t>发包人和监理人认可的检验检测机构。</w:t>
      </w:r>
    </w:p>
    <w:p>
      <w:pPr>
        <w:keepNext w:val="0"/>
        <w:keepLines w:val="0"/>
        <w:pageBreakBefore w:val="0"/>
        <w:widowControl/>
        <w:tabs>
          <w:tab w:val="left" w:pos="540"/>
          <w:tab w:val="left" w:pos="1620"/>
          <w:tab w:val="left" w:pos="2340"/>
        </w:tabs>
        <w:kinsoku/>
        <w:topLinePunct w:val="0"/>
        <w:autoSpaceDE/>
        <w:autoSpaceDN/>
        <w:bidi w:val="0"/>
        <w:adjustRightInd w:val="0"/>
        <w:snapToGrid w:val="0"/>
        <w:spacing w:line="360" w:lineRule="auto"/>
        <w:ind w:left="178"/>
        <w:jc w:val="left"/>
        <w:outlineLvl w:val="1"/>
        <w:rPr>
          <w:rFonts w:ascii="Times New Roman" w:cs="Times New Roman"/>
          <w:b/>
          <w:bCs/>
          <w:kern w:val="44"/>
          <w:sz w:val="28"/>
          <w:szCs w:val="28"/>
        </w:rPr>
      </w:pPr>
      <w:bookmarkStart w:id="233" w:name="_Toc25193"/>
      <w:bookmarkStart w:id="234" w:name="_Toc1999953"/>
      <w:bookmarkStart w:id="235" w:name="_Toc46325292"/>
      <w:bookmarkStart w:id="236" w:name="_Toc9843"/>
      <w:r>
        <w:rPr>
          <w:rFonts w:hint="eastAsia" w:ascii="Times New Roman" w:cs="Times New Roman"/>
          <w:b/>
          <w:bCs/>
          <w:kern w:val="44"/>
          <w:sz w:val="28"/>
          <w:szCs w:val="28"/>
        </w:rPr>
        <w:t>15 工程质量和检测</w:t>
      </w:r>
      <w:bookmarkEnd w:id="233"/>
      <w:bookmarkEnd w:id="234"/>
      <w:bookmarkEnd w:id="235"/>
      <w:bookmarkEnd w:id="236"/>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4"/>
        <w:rPr>
          <w:rFonts w:cs="Times New Roman"/>
          <w:b/>
          <w:bCs/>
          <w:kern w:val="2"/>
          <w:szCs w:val="32"/>
        </w:rPr>
      </w:pPr>
      <w:bookmarkStart w:id="237" w:name="_Toc32466"/>
      <w:bookmarkStart w:id="238" w:name="_Toc1999954"/>
      <w:bookmarkStart w:id="239" w:name="_Toc46325293"/>
      <w:r>
        <w:rPr>
          <w:rFonts w:hint="eastAsia" w:cs="Times New Roman"/>
          <w:b/>
          <w:bCs/>
          <w:kern w:val="2"/>
          <w:szCs w:val="32"/>
        </w:rPr>
        <w:t>15.7 工程质量检测费用</w:t>
      </w:r>
      <w:bookmarkEnd w:id="237"/>
    </w:p>
    <w:bookmarkEnd w:id="238"/>
    <w:bookmarkEnd w:id="239"/>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u w:val="single"/>
        </w:rPr>
      </w:pPr>
      <w:r>
        <w:rPr>
          <w:rFonts w:hint="eastAsia" w:cs="Times New Roman"/>
          <w:kern w:val="2"/>
        </w:rPr>
        <w:t>本工程质量检验检测项目包括：</w:t>
      </w:r>
      <w:r>
        <w:rPr>
          <w:rFonts w:hint="eastAsia" w:cs="Times New Roman"/>
          <w:u w:val="single"/>
        </w:rPr>
        <w:t>按现行的法律、法规、规章和有关标准、规范的规定，进场后必须履检的材料、设备，其检验费用均认为已包含在投标报价中由承包人承担；承包人应了解到部分测试可能不在深圳市内，工程师及设计人亦须见证测试，承包人须承担工程师等前往见证测试的交通及住宿等所有费用；该部分费用含在投标报价中，不另行支付。若发包人或工程师对承包人提供的材料、设备的质量提出异议，要求重新检验，承包人应送国家有关权威检测部门检验，若检验不合格，则检验费用由承包人承担。</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u w:val="single"/>
        </w:rPr>
      </w:pPr>
      <w:r>
        <w:rPr>
          <w:rFonts w:hint="eastAsia" w:cs="Times New Roman"/>
          <w:u w:val="single"/>
        </w:rPr>
        <w:t>承包人承担其采购供应的所有材料设备检验、结构实体检测、材料环保检测、现场工艺试验（包括但不限于钢结构试验、基坑监测、植筋拉拔试验）等，按照法律、法规、规章和有关标准、规范的规定进行的检验试验（包括但不限于质量监督管理部门按一定比例抽取现场材料的检验、建筑材料检测、钢结构检测、室内空气污染物浓度检测、节能检测、绿建检测、能耗上传、绿色建筑评价标识及</w:t>
      </w:r>
      <w:r>
        <w:rPr>
          <w:rFonts w:cs="Times New Roman"/>
          <w:u w:val="single"/>
        </w:rPr>
        <w:t>LEED金级认证等相关检测，现场实际检测内容以设计图纸、技术要求和相关的标准、规范为准），并将材料试验报告报送工程师、发包人审查。不论检验试验结果合格</w:t>
      </w:r>
      <w:r>
        <w:rPr>
          <w:rFonts w:hint="eastAsia" w:cs="Times New Roman"/>
          <w:u w:val="single"/>
        </w:rPr>
        <w:t>与否，费用由承包人承担，已包含在承包人的投标报价中。</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u w:val="single"/>
        </w:rPr>
      </w:pPr>
      <w:r>
        <w:rPr>
          <w:rFonts w:hint="eastAsia" w:cs="Times New Roman"/>
          <w:u w:val="single"/>
        </w:rPr>
        <w:t>①检验机构由承包人推荐的,事先必须经发包人和工程师书面同意，其相应的资质必须符合法律、法规的规定。承包人不得拒绝工程师、发包人要求的规范以外但对工程质量和安全有利的材料送检。</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u w:val="single"/>
        </w:rPr>
      </w:pPr>
      <w:r>
        <w:rPr>
          <w:rFonts w:hint="eastAsia" w:cs="Times New Roman"/>
          <w:u w:val="single"/>
        </w:rPr>
        <w:t>②在工程开工前承包人应组织安排好机械设备和材料进场，并上报发包人和工程师进行资料和质量审核；需按照深圳市建筑材料送检规定的材料应由工程师取样见证送检，检验合格后方可投入使用。</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u w:val="single"/>
        </w:rPr>
      </w:pPr>
      <w:r>
        <w:rPr>
          <w:rFonts w:hint="eastAsia" w:cs="Times New Roman"/>
          <w:u w:val="single"/>
        </w:rPr>
        <w:t xml:space="preserve">③承包人通过现场工艺试验选定的工艺流程、施工方法、施工参数、和质量控制标准等，均应编制现场工艺试验报告，报送工程师审批，并经发包人批准后才能用于施工。 </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u w:val="single"/>
        </w:rPr>
      </w:pPr>
      <w:r>
        <w:rPr>
          <w:rFonts w:hint="eastAsia" w:cs="Times New Roman"/>
          <w:u w:val="single"/>
        </w:rPr>
        <w:t xml:space="preserve">④上述承包人按照现行的法律、法规、规章和有关标准、规范的规定或发包人/监理人的要求进行的工程材料取样试验和现场工艺试验所发生的费用由承包人承担。 </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bCs/>
          <w:kern w:val="2"/>
          <w:u w:val="single"/>
        </w:rPr>
      </w:pPr>
      <w:r>
        <w:rPr>
          <w:rFonts w:hint="eastAsia" w:cs="Times New Roman"/>
          <w:u w:val="single"/>
        </w:rPr>
        <w:t>⑤如发包人、工程师对检测结果有疑义，发包人有权委托其他独立的检测机构另行检测，检测结果合格的，发包人承担检测费用；检测结果不合格的，相应检测费用由承包人承担或发包人直接从应付的工程进度中扣除。</w:t>
      </w:r>
    </w:p>
    <w:p>
      <w:pPr>
        <w:keepNext w:val="0"/>
        <w:keepLines w:val="0"/>
        <w:pageBreakBefore w:val="0"/>
        <w:widowControl/>
        <w:tabs>
          <w:tab w:val="left" w:pos="540"/>
          <w:tab w:val="left" w:pos="1620"/>
          <w:tab w:val="left" w:pos="2340"/>
        </w:tabs>
        <w:kinsoku/>
        <w:topLinePunct w:val="0"/>
        <w:autoSpaceDE/>
        <w:autoSpaceDN/>
        <w:bidi w:val="0"/>
        <w:adjustRightInd w:val="0"/>
        <w:snapToGrid w:val="0"/>
        <w:spacing w:line="360" w:lineRule="auto"/>
        <w:ind w:left="178"/>
        <w:jc w:val="left"/>
        <w:outlineLvl w:val="1"/>
        <w:rPr>
          <w:rFonts w:ascii="Times New Roman" w:cs="Times New Roman"/>
          <w:b/>
          <w:bCs/>
          <w:kern w:val="44"/>
          <w:sz w:val="28"/>
          <w:szCs w:val="28"/>
        </w:rPr>
      </w:pPr>
      <w:bookmarkStart w:id="240" w:name="_Toc809"/>
      <w:bookmarkStart w:id="241" w:name="_Toc46325294"/>
      <w:bookmarkStart w:id="242" w:name="_Toc5904"/>
      <w:bookmarkStart w:id="243" w:name="_Toc1999955"/>
      <w:r>
        <w:rPr>
          <w:rFonts w:hint="eastAsia" w:ascii="Times New Roman" w:cs="Times New Roman"/>
          <w:b/>
          <w:bCs/>
          <w:kern w:val="44"/>
          <w:sz w:val="28"/>
          <w:szCs w:val="28"/>
        </w:rPr>
        <w:t>16 工程试运行</w:t>
      </w:r>
      <w:bookmarkEnd w:id="240"/>
      <w:bookmarkEnd w:id="241"/>
      <w:bookmarkEnd w:id="242"/>
      <w:bookmarkEnd w:id="243"/>
    </w:p>
    <w:p>
      <w:pPr>
        <w:keepNext w:val="0"/>
        <w:keepLines w:val="0"/>
        <w:pageBreakBefore w:val="0"/>
        <w:widowControl w:val="0"/>
        <w:tabs>
          <w:tab w:val="left" w:pos="540"/>
          <w:tab w:val="left" w:pos="900"/>
          <w:tab w:val="left" w:pos="2340"/>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244" w:name="_Toc2368"/>
      <w:bookmarkStart w:id="245" w:name="_Toc46325295"/>
      <w:bookmarkStart w:id="246" w:name="_Toc13085"/>
      <w:bookmarkStart w:id="247" w:name="_Toc1999956"/>
      <w:r>
        <w:rPr>
          <w:rFonts w:hint="eastAsia" w:cs="Times New Roman"/>
          <w:b/>
          <w:bCs/>
          <w:kern w:val="2"/>
          <w:szCs w:val="32"/>
        </w:rPr>
        <w:t>16.1 工程试运行内容和程序</w:t>
      </w:r>
      <w:bookmarkEnd w:id="244"/>
      <w:bookmarkEnd w:id="245"/>
      <w:bookmarkEnd w:id="246"/>
      <w:bookmarkEnd w:id="247"/>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u w:val="single"/>
        </w:rPr>
      </w:pPr>
      <w:r>
        <w:rPr>
          <w:rFonts w:hint="eastAsia" w:cs="Times New Roman"/>
          <w:kern w:val="2"/>
        </w:rPr>
        <w:t>工程试运行的内容及其费用承担方式：</w:t>
      </w:r>
      <w:bookmarkStart w:id="248" w:name="_Toc1999957"/>
      <w:r>
        <w:rPr>
          <w:rFonts w:hint="eastAsia" w:cs="Times New Roman"/>
          <w:u w:val="single"/>
        </w:rPr>
        <w:t>/</w:t>
      </w:r>
    </w:p>
    <w:p>
      <w:pPr>
        <w:keepNext w:val="0"/>
        <w:keepLines w:val="0"/>
        <w:pageBreakBefore w:val="0"/>
        <w:widowControl/>
        <w:tabs>
          <w:tab w:val="left" w:pos="540"/>
          <w:tab w:val="left" w:pos="1620"/>
          <w:tab w:val="left" w:pos="2340"/>
        </w:tabs>
        <w:kinsoku/>
        <w:topLinePunct w:val="0"/>
        <w:autoSpaceDE/>
        <w:autoSpaceDN/>
        <w:bidi w:val="0"/>
        <w:adjustRightInd w:val="0"/>
        <w:snapToGrid w:val="0"/>
        <w:spacing w:line="360" w:lineRule="auto"/>
        <w:ind w:left="178"/>
        <w:jc w:val="left"/>
        <w:outlineLvl w:val="1"/>
        <w:rPr>
          <w:rFonts w:ascii="Times New Roman" w:cs="Times New Roman"/>
          <w:b/>
          <w:bCs/>
          <w:kern w:val="44"/>
          <w:sz w:val="28"/>
          <w:szCs w:val="28"/>
        </w:rPr>
      </w:pPr>
      <w:bookmarkStart w:id="249" w:name="_Toc46325296"/>
      <w:bookmarkStart w:id="250" w:name="_Toc5702"/>
      <w:bookmarkStart w:id="251" w:name="_Toc25557"/>
      <w:r>
        <w:rPr>
          <w:rFonts w:hint="eastAsia" w:ascii="Times New Roman" w:cs="Times New Roman"/>
          <w:b/>
          <w:bCs/>
          <w:kern w:val="44"/>
          <w:sz w:val="28"/>
          <w:szCs w:val="28"/>
        </w:rPr>
        <w:t>17 安全文明施工</w:t>
      </w:r>
      <w:bookmarkEnd w:id="248"/>
      <w:bookmarkEnd w:id="249"/>
      <w:bookmarkEnd w:id="250"/>
      <w:bookmarkEnd w:id="251"/>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252" w:name="_Toc30047"/>
      <w:bookmarkStart w:id="253" w:name="_Toc46325297"/>
      <w:bookmarkStart w:id="254" w:name="_Toc1999958"/>
      <w:bookmarkStart w:id="255" w:name="_Toc27234"/>
      <w:r>
        <w:rPr>
          <w:rFonts w:hint="eastAsia" w:cs="Times New Roman"/>
          <w:b/>
          <w:bCs/>
          <w:kern w:val="2"/>
          <w:szCs w:val="32"/>
        </w:rPr>
        <w:t>17.1发包人的安全文明施工责任</w:t>
      </w:r>
      <w:bookmarkEnd w:id="252"/>
      <w:bookmarkEnd w:id="253"/>
      <w:bookmarkEnd w:id="254"/>
      <w:bookmarkEnd w:id="255"/>
    </w:p>
    <w:p>
      <w:pPr>
        <w:keepNext w:val="0"/>
        <w:keepLines w:val="0"/>
        <w:pageBreakBefore w:val="0"/>
        <w:widowControl w:val="0"/>
        <w:kinsoku/>
        <w:topLinePunct w:val="0"/>
        <w:autoSpaceDE/>
        <w:autoSpaceDN/>
        <w:bidi w:val="0"/>
        <w:adjustRightInd w:val="0"/>
        <w:snapToGrid w:val="0"/>
        <w:spacing w:line="360" w:lineRule="auto"/>
        <w:ind w:firstLine="600" w:firstLineChars="250"/>
        <w:jc w:val="left"/>
        <w:rPr>
          <w:rFonts w:cs="Times New Roman"/>
          <w:bCs/>
          <w:kern w:val="2"/>
          <w:u w:val="single"/>
        </w:rPr>
      </w:pPr>
      <w:r>
        <w:rPr>
          <w:rFonts w:hint="eastAsia" w:cs="Times New Roman"/>
          <w:snapToGrid w:val="0"/>
          <w:kern w:val="2"/>
        </w:rPr>
        <w:t>(6)发包人应承担的安全文明施工责任：</w:t>
      </w:r>
      <w:r>
        <w:rPr>
          <w:rFonts w:hint="eastAsia"/>
          <w:color w:val="000000"/>
          <w:u w:val="single"/>
        </w:rPr>
        <w:t>按通用条款执行</w:t>
      </w:r>
      <w:r>
        <w:rPr>
          <w:rFonts w:hint="eastAsia" w:cs="Times New Roman"/>
          <w:kern w:val="2"/>
          <w:u w:val="single"/>
        </w:rPr>
        <w:t>。</w:t>
      </w:r>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256" w:name="_Toc1999959"/>
      <w:bookmarkStart w:id="257" w:name="_Toc46325298"/>
      <w:bookmarkStart w:id="258" w:name="_Toc29383"/>
      <w:bookmarkStart w:id="259" w:name="_Toc15694"/>
      <w:r>
        <w:rPr>
          <w:rFonts w:hint="eastAsia" w:cs="Times New Roman"/>
          <w:b/>
          <w:bCs/>
          <w:kern w:val="2"/>
          <w:szCs w:val="32"/>
        </w:rPr>
        <w:t>17.2 承包人的安全文明施工责任</w:t>
      </w:r>
      <w:bookmarkEnd w:id="256"/>
      <w:bookmarkEnd w:id="257"/>
      <w:bookmarkEnd w:id="258"/>
      <w:bookmarkEnd w:id="259"/>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bCs/>
          <w:snapToGrid w:val="0"/>
          <w:kern w:val="2"/>
          <w:u w:val="single"/>
        </w:rPr>
      </w:pPr>
      <w:r>
        <w:rPr>
          <w:rFonts w:hint="eastAsia" w:cs="Times New Roman"/>
          <w:bCs/>
          <w:snapToGrid w:val="0"/>
          <w:kern w:val="2"/>
        </w:rPr>
        <w:t>(9)承包人应承担的安全文明施工责任：</w:t>
      </w:r>
      <w:r>
        <w:rPr>
          <w:rFonts w:hint="eastAsia" w:cs="Times New Roman"/>
          <w:bCs/>
          <w:snapToGrid w:val="0"/>
          <w:kern w:val="2"/>
          <w:u w:val="single"/>
        </w:rPr>
        <w:t>具体详见补充条款及附件1。</w:t>
      </w:r>
    </w:p>
    <w:p>
      <w:pPr>
        <w:tabs>
          <w:tab w:val="left" w:pos="540"/>
          <w:tab w:val="left" w:pos="1620"/>
          <w:tab w:val="left" w:pos="2340"/>
        </w:tabs>
        <w:adjustRightInd w:val="0"/>
        <w:snapToGrid w:val="0"/>
        <w:ind w:left="178"/>
        <w:outlineLvl w:val="1"/>
        <w:rPr>
          <w:rFonts w:hint="default" w:eastAsia="宋体"/>
          <w:strike w:val="0"/>
          <w:u w:val="single"/>
          <w:lang w:val="en-US" w:eastAsia="zh-CN"/>
        </w:rPr>
      </w:pPr>
      <w:bookmarkStart w:id="260" w:name="_Toc16064"/>
      <w:bookmarkStart w:id="261" w:name="_Toc1999960"/>
      <w:bookmarkStart w:id="262" w:name="_Toc25316"/>
      <w:bookmarkStart w:id="263" w:name="_Toc46325299"/>
      <w:r>
        <w:rPr>
          <w:rFonts w:hint="eastAsia" w:ascii="Times New Roman" w:cs="Times New Roman"/>
          <w:b/>
          <w:bCs/>
          <w:strike w:val="0"/>
          <w:kern w:val="44"/>
          <w:sz w:val="28"/>
          <w:szCs w:val="28"/>
        </w:rPr>
        <w:t>18 余泥渣土运输</w:t>
      </w:r>
      <w:bookmarkEnd w:id="260"/>
      <w:bookmarkEnd w:id="261"/>
      <w:bookmarkEnd w:id="262"/>
      <w:bookmarkEnd w:id="263"/>
    </w:p>
    <w:p>
      <w:pPr>
        <w:keepNext w:val="0"/>
        <w:keepLines w:val="0"/>
        <w:pageBreakBefore w:val="0"/>
        <w:widowControl w:val="0"/>
        <w:tabs>
          <w:tab w:val="left" w:pos="540"/>
          <w:tab w:val="left" w:pos="900"/>
          <w:tab w:val="left" w:pos="2340"/>
        </w:tabs>
        <w:kinsoku/>
        <w:topLinePunct w:val="0"/>
        <w:autoSpaceDE/>
        <w:autoSpaceDN/>
        <w:bidi w:val="0"/>
        <w:adjustRightInd w:val="0"/>
        <w:snapToGrid w:val="0"/>
        <w:spacing w:line="360" w:lineRule="auto"/>
        <w:ind w:left="359"/>
        <w:jc w:val="left"/>
        <w:outlineLvl w:val="2"/>
        <w:rPr>
          <w:rFonts w:hint="eastAsia" w:cs="Times New Roman"/>
          <w:b w:val="0"/>
          <w:bCs w:val="0"/>
          <w:strike w:val="0"/>
          <w:kern w:val="2"/>
          <w:szCs w:val="24"/>
          <w:u w:val="single"/>
        </w:rPr>
      </w:pPr>
      <w:bookmarkStart w:id="264" w:name="_Toc28732"/>
      <w:bookmarkStart w:id="265" w:name="_Toc46325300"/>
      <w:bookmarkStart w:id="266" w:name="_Toc1999961"/>
      <w:bookmarkStart w:id="267" w:name="_Toc500"/>
      <w:r>
        <w:rPr>
          <w:rFonts w:hint="eastAsia" w:cs="Times New Roman"/>
          <w:b/>
          <w:bCs/>
          <w:strike w:val="0"/>
          <w:kern w:val="2"/>
          <w:szCs w:val="32"/>
        </w:rPr>
        <w:t>18.2 承包人自行运输</w:t>
      </w:r>
      <w:bookmarkEnd w:id="264"/>
      <w:bookmarkEnd w:id="265"/>
      <w:bookmarkEnd w:id="266"/>
      <w:bookmarkEnd w:id="267"/>
      <w:r>
        <w:rPr>
          <w:rFonts w:hint="eastAsia" w:cs="Times New Roman"/>
          <w:b/>
          <w:bCs/>
          <w:strike w:val="0"/>
          <w:kern w:val="2"/>
          <w:szCs w:val="32"/>
          <w:lang w:eastAsia="zh-CN"/>
        </w:rPr>
        <w:t>：</w:t>
      </w:r>
      <w:r>
        <w:rPr>
          <w:rFonts w:hint="eastAsia" w:ascii="宋体" w:cs="Times New Roman"/>
          <w:b w:val="0"/>
          <w:bCs w:val="0"/>
          <w:strike w:val="0"/>
          <w:kern w:val="2"/>
          <w:sz w:val="24"/>
          <w:szCs w:val="24"/>
          <w:u w:val="single"/>
          <w:lang w:val="en-US" w:eastAsia="zh-CN"/>
        </w:rPr>
        <w:t xml:space="preserve"> /  </w:t>
      </w:r>
      <w:bookmarkStart w:id="268" w:name="_Toc7682"/>
      <w:bookmarkStart w:id="269" w:name="_Toc32559"/>
      <w:bookmarkStart w:id="270" w:name="_Toc46325301"/>
      <w:bookmarkStart w:id="271" w:name="_Toc1999962"/>
      <w:r>
        <w:rPr>
          <w:rFonts w:hint="eastAsia" w:cs="Times New Roman"/>
          <w:b w:val="0"/>
          <w:bCs w:val="0"/>
          <w:strike w:val="0"/>
          <w:kern w:val="2"/>
          <w:sz w:val="24"/>
          <w:szCs w:val="24"/>
          <w:u w:val="single"/>
          <w:lang w:val="en-US" w:eastAsia="zh-CN"/>
        </w:rPr>
        <w:t>。</w:t>
      </w:r>
    </w:p>
    <w:p>
      <w:pPr>
        <w:keepNext w:val="0"/>
        <w:keepLines w:val="0"/>
        <w:pageBreakBefore w:val="0"/>
        <w:widowControl w:val="0"/>
        <w:tabs>
          <w:tab w:val="left" w:pos="540"/>
          <w:tab w:val="left" w:pos="900"/>
          <w:tab w:val="left" w:pos="2340"/>
        </w:tabs>
        <w:kinsoku/>
        <w:topLinePunct w:val="0"/>
        <w:autoSpaceDE/>
        <w:autoSpaceDN/>
        <w:bidi w:val="0"/>
        <w:adjustRightInd w:val="0"/>
        <w:snapToGrid w:val="0"/>
        <w:spacing w:line="360" w:lineRule="auto"/>
        <w:ind w:left="359"/>
        <w:jc w:val="left"/>
        <w:outlineLvl w:val="2"/>
        <w:rPr>
          <w:rFonts w:hint="eastAsia" w:cs="Times New Roman"/>
          <w:b w:val="0"/>
          <w:bCs w:val="0"/>
          <w:strike w:val="0"/>
          <w:kern w:val="2"/>
          <w:szCs w:val="24"/>
        </w:rPr>
      </w:pPr>
      <w:r>
        <w:rPr>
          <w:rFonts w:hint="eastAsia" w:cs="Times New Roman"/>
          <w:b/>
          <w:bCs/>
          <w:strike w:val="0"/>
          <w:kern w:val="2"/>
          <w:szCs w:val="32"/>
        </w:rPr>
        <w:t>18.3 余泥渣土运输分包</w:t>
      </w:r>
      <w:bookmarkEnd w:id="268"/>
      <w:bookmarkEnd w:id="269"/>
      <w:bookmarkEnd w:id="270"/>
      <w:bookmarkEnd w:id="271"/>
      <w:r>
        <w:rPr>
          <w:rFonts w:hint="eastAsia" w:cs="Times New Roman"/>
          <w:b/>
          <w:bCs/>
          <w:strike w:val="0"/>
          <w:kern w:val="2"/>
          <w:szCs w:val="32"/>
          <w:lang w:eastAsia="zh-CN"/>
        </w:rPr>
        <w:t>：</w:t>
      </w:r>
      <w:r>
        <w:rPr>
          <w:rFonts w:hint="eastAsia" w:ascii="宋体" w:cs="Times New Roman"/>
          <w:b w:val="0"/>
          <w:bCs w:val="0"/>
          <w:strike w:val="0"/>
          <w:kern w:val="2"/>
          <w:sz w:val="24"/>
          <w:szCs w:val="24"/>
          <w:u w:val="single"/>
          <w:lang w:val="en-US" w:eastAsia="zh-CN"/>
        </w:rPr>
        <w:t xml:space="preserve"> /  </w:t>
      </w:r>
      <w:r>
        <w:rPr>
          <w:rFonts w:hint="eastAsia" w:cs="Times New Roman"/>
          <w:b w:val="0"/>
          <w:bCs w:val="0"/>
          <w:strike w:val="0"/>
          <w:kern w:val="2"/>
          <w:sz w:val="24"/>
          <w:szCs w:val="24"/>
          <w:u w:val="single"/>
          <w:lang w:val="en-US" w:eastAsia="zh-CN"/>
        </w:rPr>
        <w:t>。</w:t>
      </w:r>
      <w:r>
        <w:rPr>
          <w:rFonts w:hint="eastAsia" w:ascii="宋体" w:cs="Times New Roman"/>
          <w:b w:val="0"/>
          <w:bCs w:val="0"/>
          <w:strike w:val="0"/>
          <w:kern w:val="2"/>
          <w:sz w:val="24"/>
          <w:szCs w:val="24"/>
          <w:u w:val="none"/>
          <w:lang w:val="en-US" w:eastAsia="zh-CN"/>
        </w:rPr>
        <w:t xml:space="preserve"> </w:t>
      </w:r>
      <w:bookmarkStart w:id="272" w:name="_Toc1999963"/>
      <w:bookmarkStart w:id="273" w:name="_Toc6826"/>
      <w:bookmarkStart w:id="274" w:name="_Toc46325302"/>
      <w:bookmarkStart w:id="275" w:name="_Toc13881"/>
    </w:p>
    <w:p>
      <w:pPr>
        <w:keepNext w:val="0"/>
        <w:keepLines w:val="0"/>
        <w:pageBreakBefore w:val="0"/>
        <w:widowControl w:val="0"/>
        <w:tabs>
          <w:tab w:val="left" w:pos="540"/>
          <w:tab w:val="left" w:pos="900"/>
          <w:tab w:val="left" w:pos="2340"/>
        </w:tabs>
        <w:kinsoku/>
        <w:topLinePunct w:val="0"/>
        <w:autoSpaceDE/>
        <w:autoSpaceDN/>
        <w:bidi w:val="0"/>
        <w:adjustRightInd w:val="0"/>
        <w:snapToGrid w:val="0"/>
        <w:spacing w:line="360" w:lineRule="auto"/>
        <w:ind w:left="359"/>
        <w:jc w:val="left"/>
        <w:outlineLvl w:val="2"/>
        <w:rPr>
          <w:rFonts w:hint="eastAsia" w:cs="Times New Roman"/>
          <w:b w:val="0"/>
          <w:bCs w:val="0"/>
          <w:strike w:val="0"/>
          <w:kern w:val="2"/>
          <w:szCs w:val="24"/>
          <w:u w:val="single"/>
        </w:rPr>
      </w:pPr>
      <w:r>
        <w:rPr>
          <w:rFonts w:hint="eastAsia" w:cs="Times New Roman"/>
          <w:b/>
          <w:bCs/>
          <w:strike w:val="0"/>
          <w:kern w:val="2"/>
          <w:szCs w:val="32"/>
        </w:rPr>
        <w:t>18.5 余泥渣土运输车辆和驾驶员</w:t>
      </w:r>
      <w:bookmarkEnd w:id="272"/>
      <w:bookmarkEnd w:id="273"/>
      <w:bookmarkEnd w:id="274"/>
      <w:bookmarkEnd w:id="275"/>
      <w:r>
        <w:rPr>
          <w:rFonts w:hint="eastAsia" w:cs="Times New Roman"/>
          <w:b/>
          <w:bCs/>
          <w:strike w:val="0"/>
          <w:kern w:val="2"/>
          <w:szCs w:val="32"/>
          <w:lang w:eastAsia="zh-CN"/>
        </w:rPr>
        <w:t>：</w:t>
      </w:r>
      <w:r>
        <w:rPr>
          <w:rFonts w:hint="eastAsia" w:ascii="宋体" w:cs="Times New Roman"/>
          <w:b w:val="0"/>
          <w:bCs w:val="0"/>
          <w:strike w:val="0"/>
          <w:kern w:val="2"/>
          <w:sz w:val="24"/>
          <w:szCs w:val="24"/>
          <w:u w:val="single"/>
          <w:lang w:val="en-US" w:eastAsia="zh-CN"/>
        </w:rPr>
        <w:t xml:space="preserve"> /  </w:t>
      </w:r>
      <w:r>
        <w:rPr>
          <w:rFonts w:hint="eastAsia" w:cs="Times New Roman"/>
          <w:b w:val="0"/>
          <w:bCs w:val="0"/>
          <w:strike w:val="0"/>
          <w:kern w:val="2"/>
          <w:sz w:val="24"/>
          <w:szCs w:val="24"/>
          <w:u w:val="single"/>
          <w:lang w:val="en-US" w:eastAsia="zh-CN"/>
        </w:rPr>
        <w:t>。</w:t>
      </w:r>
    </w:p>
    <w:p>
      <w:pPr>
        <w:keepNext w:val="0"/>
        <w:keepLines w:val="0"/>
        <w:pageBreakBefore w:val="0"/>
        <w:widowControl w:val="0"/>
        <w:tabs>
          <w:tab w:val="left" w:pos="540"/>
          <w:tab w:val="left" w:pos="900"/>
          <w:tab w:val="left" w:pos="2340"/>
        </w:tabs>
        <w:kinsoku/>
        <w:topLinePunct w:val="0"/>
        <w:autoSpaceDE/>
        <w:autoSpaceDN/>
        <w:bidi w:val="0"/>
        <w:adjustRightInd w:val="0"/>
        <w:snapToGrid w:val="0"/>
        <w:spacing w:line="360" w:lineRule="auto"/>
        <w:ind w:left="359"/>
        <w:jc w:val="left"/>
        <w:outlineLvl w:val="2"/>
        <w:rPr>
          <w:rFonts w:hint="eastAsia" w:cs="Times New Roman"/>
          <w:b w:val="0"/>
          <w:bCs w:val="0"/>
          <w:strike w:val="0"/>
          <w:kern w:val="2"/>
          <w:szCs w:val="24"/>
          <w:u w:val="single"/>
        </w:rPr>
      </w:pPr>
      <w:bookmarkStart w:id="276" w:name="_Toc46325303"/>
      <w:bookmarkStart w:id="277" w:name="_Toc6049"/>
      <w:bookmarkStart w:id="278" w:name="_Toc1999964"/>
      <w:bookmarkStart w:id="279" w:name="_Toc18549"/>
      <w:r>
        <w:rPr>
          <w:rFonts w:hint="eastAsia" w:cs="Times New Roman"/>
          <w:b/>
          <w:bCs/>
          <w:strike w:val="0"/>
          <w:kern w:val="2"/>
          <w:szCs w:val="32"/>
        </w:rPr>
        <w:t>18.6 专职检查人员</w:t>
      </w:r>
      <w:bookmarkEnd w:id="276"/>
      <w:bookmarkEnd w:id="277"/>
      <w:bookmarkEnd w:id="278"/>
      <w:bookmarkEnd w:id="279"/>
      <w:r>
        <w:rPr>
          <w:rFonts w:hint="eastAsia" w:cs="Times New Roman"/>
          <w:b/>
          <w:bCs/>
          <w:strike w:val="0"/>
          <w:kern w:val="2"/>
          <w:szCs w:val="32"/>
          <w:lang w:eastAsia="zh-CN"/>
        </w:rPr>
        <w:t>：</w:t>
      </w:r>
      <w:r>
        <w:rPr>
          <w:rFonts w:hint="eastAsia" w:ascii="宋体" w:cs="Times New Roman"/>
          <w:b w:val="0"/>
          <w:bCs w:val="0"/>
          <w:strike w:val="0"/>
          <w:kern w:val="2"/>
          <w:sz w:val="24"/>
          <w:szCs w:val="24"/>
          <w:u w:val="single"/>
          <w:lang w:val="en-US" w:eastAsia="zh-CN"/>
        </w:rPr>
        <w:t xml:space="preserve"> /  </w:t>
      </w:r>
      <w:r>
        <w:rPr>
          <w:rFonts w:hint="eastAsia" w:cs="Times New Roman"/>
          <w:b w:val="0"/>
          <w:bCs w:val="0"/>
          <w:strike w:val="0"/>
          <w:kern w:val="2"/>
          <w:sz w:val="24"/>
          <w:szCs w:val="24"/>
          <w:u w:val="single"/>
          <w:lang w:val="en-US" w:eastAsia="zh-CN"/>
        </w:rPr>
        <w:t>。</w:t>
      </w:r>
    </w:p>
    <w:p>
      <w:pPr>
        <w:keepNext w:val="0"/>
        <w:keepLines w:val="0"/>
        <w:pageBreakBefore w:val="0"/>
        <w:widowControl w:val="0"/>
        <w:tabs>
          <w:tab w:val="left" w:pos="540"/>
          <w:tab w:val="left" w:pos="900"/>
          <w:tab w:val="left" w:pos="2340"/>
        </w:tabs>
        <w:kinsoku/>
        <w:topLinePunct w:val="0"/>
        <w:autoSpaceDE/>
        <w:autoSpaceDN/>
        <w:bidi w:val="0"/>
        <w:adjustRightInd w:val="0"/>
        <w:snapToGrid w:val="0"/>
        <w:spacing w:line="360" w:lineRule="auto"/>
        <w:ind w:left="359"/>
        <w:jc w:val="left"/>
        <w:outlineLvl w:val="2"/>
        <w:rPr>
          <w:rFonts w:hint="eastAsia" w:cs="Times New Roman"/>
          <w:b w:val="0"/>
          <w:bCs w:val="0"/>
          <w:strike w:val="0"/>
          <w:kern w:val="2"/>
          <w:szCs w:val="24"/>
          <w:u w:val="single"/>
        </w:rPr>
      </w:pPr>
      <w:bookmarkStart w:id="280" w:name="_Toc22453"/>
      <w:bookmarkStart w:id="281" w:name="_Toc14349"/>
      <w:bookmarkStart w:id="282" w:name="_Toc46325304"/>
      <w:bookmarkStart w:id="283" w:name="_Toc1999965"/>
      <w:r>
        <w:rPr>
          <w:rFonts w:hint="eastAsia" w:cs="Times New Roman"/>
          <w:b/>
          <w:bCs/>
          <w:strike w:val="0"/>
          <w:kern w:val="2"/>
          <w:szCs w:val="32"/>
        </w:rPr>
        <w:t>18.7 余泥渣土安全文明运输</w:t>
      </w:r>
      <w:bookmarkEnd w:id="280"/>
      <w:bookmarkEnd w:id="281"/>
      <w:bookmarkEnd w:id="282"/>
      <w:bookmarkEnd w:id="283"/>
      <w:r>
        <w:rPr>
          <w:rFonts w:hint="eastAsia" w:cs="Times New Roman"/>
          <w:b/>
          <w:bCs/>
          <w:strike w:val="0"/>
          <w:kern w:val="2"/>
          <w:szCs w:val="32"/>
          <w:lang w:eastAsia="zh-CN"/>
        </w:rPr>
        <w:t>：</w:t>
      </w:r>
      <w:r>
        <w:rPr>
          <w:rFonts w:hint="eastAsia" w:ascii="宋体" w:cs="Times New Roman"/>
          <w:b w:val="0"/>
          <w:bCs w:val="0"/>
          <w:strike w:val="0"/>
          <w:kern w:val="2"/>
          <w:sz w:val="24"/>
          <w:szCs w:val="24"/>
          <w:u w:val="single"/>
          <w:lang w:val="en-US" w:eastAsia="zh-CN"/>
        </w:rPr>
        <w:t xml:space="preserve"> /  </w:t>
      </w:r>
      <w:r>
        <w:rPr>
          <w:rFonts w:hint="eastAsia" w:cs="Times New Roman"/>
          <w:b w:val="0"/>
          <w:bCs w:val="0"/>
          <w:strike w:val="0"/>
          <w:kern w:val="2"/>
          <w:sz w:val="24"/>
          <w:szCs w:val="24"/>
          <w:u w:val="single"/>
          <w:lang w:val="en-US" w:eastAsia="zh-CN"/>
        </w:rPr>
        <w:t>。</w:t>
      </w:r>
    </w:p>
    <w:p>
      <w:pPr>
        <w:keepNext w:val="0"/>
        <w:keepLines w:val="0"/>
        <w:pageBreakBefore w:val="0"/>
        <w:widowControl w:val="0"/>
        <w:tabs>
          <w:tab w:val="left" w:pos="540"/>
          <w:tab w:val="left" w:pos="900"/>
          <w:tab w:val="left" w:pos="2340"/>
        </w:tabs>
        <w:kinsoku/>
        <w:topLinePunct w:val="0"/>
        <w:autoSpaceDE/>
        <w:autoSpaceDN/>
        <w:bidi w:val="0"/>
        <w:adjustRightInd w:val="0"/>
        <w:snapToGrid w:val="0"/>
        <w:spacing w:line="360" w:lineRule="auto"/>
        <w:ind w:left="359"/>
        <w:jc w:val="left"/>
        <w:outlineLvl w:val="2"/>
        <w:rPr>
          <w:rFonts w:hint="eastAsia" w:cs="Times New Roman"/>
          <w:b w:val="0"/>
          <w:bCs w:val="0"/>
          <w:strike w:val="0"/>
          <w:kern w:val="2"/>
          <w:szCs w:val="24"/>
          <w:u w:val="single"/>
        </w:rPr>
      </w:pPr>
      <w:bookmarkStart w:id="284" w:name="_Toc46325305"/>
      <w:bookmarkStart w:id="285" w:name="_Toc4493"/>
      <w:bookmarkStart w:id="286" w:name="_Toc1999966"/>
      <w:bookmarkStart w:id="287" w:name="_Toc17151"/>
      <w:r>
        <w:rPr>
          <w:rFonts w:hint="eastAsia" w:cs="Times New Roman"/>
          <w:b/>
          <w:bCs/>
          <w:strike w:val="0"/>
          <w:kern w:val="2"/>
          <w:szCs w:val="32"/>
        </w:rPr>
        <w:t>18.8 检查纠正责任</w:t>
      </w:r>
      <w:bookmarkEnd w:id="284"/>
      <w:bookmarkEnd w:id="285"/>
      <w:bookmarkEnd w:id="286"/>
      <w:bookmarkEnd w:id="287"/>
      <w:r>
        <w:rPr>
          <w:rFonts w:hint="eastAsia" w:cs="Times New Roman"/>
          <w:b/>
          <w:bCs/>
          <w:strike w:val="0"/>
          <w:kern w:val="2"/>
          <w:szCs w:val="32"/>
          <w:lang w:eastAsia="zh-CN"/>
        </w:rPr>
        <w:t>：</w:t>
      </w:r>
      <w:r>
        <w:rPr>
          <w:rFonts w:hint="eastAsia" w:ascii="宋体" w:cs="Times New Roman"/>
          <w:b w:val="0"/>
          <w:bCs w:val="0"/>
          <w:strike w:val="0"/>
          <w:kern w:val="2"/>
          <w:sz w:val="24"/>
          <w:szCs w:val="24"/>
          <w:u w:val="single"/>
          <w:lang w:val="en-US" w:eastAsia="zh-CN"/>
        </w:rPr>
        <w:t xml:space="preserve"> /  </w:t>
      </w:r>
      <w:r>
        <w:rPr>
          <w:rFonts w:hint="eastAsia" w:cs="Times New Roman"/>
          <w:b w:val="0"/>
          <w:bCs w:val="0"/>
          <w:strike w:val="0"/>
          <w:kern w:val="2"/>
          <w:sz w:val="24"/>
          <w:szCs w:val="24"/>
          <w:u w:val="single"/>
          <w:lang w:val="en-US" w:eastAsia="zh-CN"/>
        </w:rPr>
        <w:t>。</w:t>
      </w:r>
    </w:p>
    <w:p>
      <w:pPr>
        <w:keepNext w:val="0"/>
        <w:keepLines w:val="0"/>
        <w:pageBreakBefore w:val="0"/>
        <w:widowControl/>
        <w:tabs>
          <w:tab w:val="left" w:pos="540"/>
          <w:tab w:val="left" w:pos="720"/>
          <w:tab w:val="left" w:pos="1620"/>
          <w:tab w:val="left" w:pos="2340"/>
        </w:tabs>
        <w:kinsoku/>
        <w:topLinePunct w:val="0"/>
        <w:autoSpaceDE/>
        <w:autoSpaceDN/>
        <w:bidi w:val="0"/>
        <w:adjustRightInd w:val="0"/>
        <w:snapToGrid w:val="0"/>
        <w:spacing w:line="360" w:lineRule="auto"/>
        <w:ind w:left="178"/>
        <w:jc w:val="left"/>
        <w:outlineLvl w:val="1"/>
        <w:rPr>
          <w:rFonts w:ascii="Times New Roman"/>
          <w:b/>
          <w:kern w:val="44"/>
          <w:sz w:val="28"/>
        </w:rPr>
      </w:pPr>
      <w:bookmarkStart w:id="288" w:name="_Toc142387730"/>
      <w:bookmarkStart w:id="289" w:name="_Toc31395"/>
      <w:bookmarkStart w:id="290" w:name="_Toc19217"/>
      <w:bookmarkStart w:id="291" w:name="_Toc19781"/>
      <w:bookmarkStart w:id="292" w:name="_Toc5525"/>
      <w:bookmarkStart w:id="293" w:name="_Toc8675"/>
      <w:bookmarkStart w:id="294" w:name="_Toc932"/>
      <w:bookmarkStart w:id="295" w:name="_Toc1999967"/>
      <w:bookmarkStart w:id="296" w:name="_Toc46325306"/>
      <w:r>
        <w:rPr>
          <w:rFonts w:hint="eastAsia" w:ascii="Times New Roman"/>
          <w:b/>
          <w:kern w:val="44"/>
          <w:sz w:val="28"/>
        </w:rPr>
        <w:t>20 合同价格的确定和调整</w:t>
      </w:r>
      <w:bookmarkEnd w:id="288"/>
      <w:bookmarkEnd w:id="289"/>
      <w:bookmarkEnd w:id="290"/>
      <w:bookmarkEnd w:id="291"/>
      <w:bookmarkEnd w:id="292"/>
      <w:bookmarkEnd w:id="293"/>
      <w:bookmarkEnd w:id="294"/>
    </w:p>
    <w:bookmarkEnd w:id="295"/>
    <w:bookmarkEnd w:id="296"/>
    <w:p>
      <w:pPr>
        <w:keepNext w:val="0"/>
        <w:keepLines w:val="0"/>
        <w:pageBreakBefore w:val="0"/>
        <w:widowControl w:val="0"/>
        <w:tabs>
          <w:tab w:val="left" w:pos="540"/>
          <w:tab w:val="left" w:pos="900"/>
          <w:tab w:val="left" w:pos="2340"/>
        </w:tabs>
        <w:kinsoku/>
        <w:topLinePunct w:val="0"/>
        <w:autoSpaceDE/>
        <w:autoSpaceDN/>
        <w:bidi w:val="0"/>
        <w:adjustRightInd w:val="0"/>
        <w:snapToGrid w:val="0"/>
        <w:spacing w:line="360" w:lineRule="auto"/>
        <w:ind w:left="359"/>
        <w:jc w:val="left"/>
        <w:outlineLvl w:val="2"/>
        <w:rPr>
          <w:rFonts w:hint="eastAsia" w:cs="Times New Roman"/>
          <w:b/>
          <w:bCs/>
          <w:kern w:val="2"/>
          <w:szCs w:val="32"/>
        </w:rPr>
      </w:pPr>
      <w:bookmarkStart w:id="297" w:name="_Toc7669"/>
      <w:bookmarkStart w:id="298" w:name="_Toc1999968"/>
      <w:bookmarkStart w:id="299" w:name="_Toc21328"/>
      <w:bookmarkStart w:id="300" w:name="_Toc46325307"/>
      <w:r>
        <w:rPr>
          <w:rFonts w:hint="eastAsia" w:cs="Times New Roman"/>
          <w:b/>
          <w:bCs/>
          <w:kern w:val="2"/>
          <w:szCs w:val="32"/>
        </w:rPr>
        <w:t>20.1 签约合同价的确定</w:t>
      </w:r>
      <w:bookmarkEnd w:id="297"/>
      <w:bookmarkEnd w:id="298"/>
      <w:bookmarkEnd w:id="299"/>
      <w:bookmarkEnd w:id="300"/>
    </w:p>
    <w:p>
      <w:pPr>
        <w:keepNext w:val="0"/>
        <w:keepLines w:val="0"/>
        <w:pageBreakBefore w:val="0"/>
        <w:widowControl w:val="0"/>
        <w:tabs>
          <w:tab w:val="left" w:pos="540"/>
          <w:tab w:val="left" w:pos="900"/>
          <w:tab w:val="left" w:pos="2340"/>
        </w:tabs>
        <w:kinsoku/>
        <w:topLinePunct w:val="0"/>
        <w:autoSpaceDE/>
        <w:autoSpaceDN/>
        <w:bidi w:val="0"/>
        <w:adjustRightInd w:val="0"/>
        <w:snapToGrid w:val="0"/>
        <w:spacing w:line="360" w:lineRule="auto"/>
        <w:ind w:left="359"/>
        <w:jc w:val="left"/>
        <w:outlineLvl w:val="2"/>
      </w:pPr>
      <w:bookmarkStart w:id="301" w:name="_Toc1999969"/>
      <w:r>
        <w:rPr>
          <w:rFonts w:hint="eastAsia" w:cs="Times New Roman"/>
          <w:kern w:val="2"/>
          <w:u w:val="single"/>
        </w:rPr>
        <w:t>详见补充条款约定。</w:t>
      </w:r>
    </w:p>
    <w:p>
      <w:pPr>
        <w:keepNext w:val="0"/>
        <w:keepLines w:val="0"/>
        <w:pageBreakBefore w:val="0"/>
        <w:widowControl w:val="0"/>
        <w:tabs>
          <w:tab w:val="left" w:pos="540"/>
          <w:tab w:val="left" w:pos="900"/>
          <w:tab w:val="left" w:pos="2340"/>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302" w:name="_Toc28523"/>
      <w:bookmarkStart w:id="303" w:name="_Toc8588"/>
      <w:bookmarkStart w:id="304" w:name="_Toc46325308"/>
      <w:r>
        <w:rPr>
          <w:rFonts w:hint="eastAsia" w:cs="Times New Roman"/>
          <w:b/>
          <w:bCs/>
          <w:kern w:val="2"/>
          <w:szCs w:val="32"/>
        </w:rPr>
        <w:t>20.2 合同价格的调整</w:t>
      </w:r>
      <w:bookmarkEnd w:id="301"/>
      <w:bookmarkEnd w:id="302"/>
      <w:bookmarkEnd w:id="303"/>
      <w:bookmarkEnd w:id="304"/>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(11)本工程合同价格调整的其他约定：</w:t>
      </w:r>
      <w:r>
        <w:rPr>
          <w:rFonts w:hint="eastAsia" w:cs="Times New Roman"/>
          <w:kern w:val="2"/>
          <w:u w:val="single"/>
        </w:rPr>
        <w:t>详见补充条款约定。</w:t>
      </w:r>
    </w:p>
    <w:p>
      <w:pPr>
        <w:keepNext w:val="0"/>
        <w:keepLines w:val="0"/>
        <w:pageBreakBefore w:val="0"/>
        <w:widowControl w:val="0"/>
        <w:tabs>
          <w:tab w:val="left" w:pos="540"/>
          <w:tab w:val="left" w:pos="900"/>
          <w:tab w:val="left" w:pos="2340"/>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305" w:name="_Toc1999970"/>
      <w:bookmarkStart w:id="306" w:name="_Toc10564"/>
      <w:bookmarkStart w:id="307" w:name="_Toc46325309"/>
      <w:bookmarkStart w:id="308" w:name="_Toc17127"/>
      <w:r>
        <w:rPr>
          <w:rFonts w:hint="eastAsia" w:cs="Times New Roman"/>
          <w:b/>
          <w:bCs/>
          <w:kern w:val="2"/>
          <w:szCs w:val="32"/>
        </w:rPr>
        <w:t>20.4 工料机调差</w:t>
      </w:r>
      <w:bookmarkEnd w:id="305"/>
      <w:bookmarkEnd w:id="306"/>
      <w:bookmarkEnd w:id="307"/>
      <w:bookmarkEnd w:id="308"/>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(2)用于本工程的人工、主要材料及机械使用发生价格波动时的约定如下：</w:t>
      </w:r>
      <w:r>
        <w:rPr>
          <w:rFonts w:hint="eastAsia" w:cs="Times New Roman"/>
          <w:kern w:val="2"/>
          <w:u w:val="single"/>
        </w:rPr>
        <w:t>详见补充条款约定</w:t>
      </w:r>
      <w:r>
        <w:rPr>
          <w:rFonts w:hint="eastAsia" w:cs="Times New Roman"/>
          <w:bCs/>
          <w:kern w:val="2"/>
          <w:u w:val="single"/>
        </w:rPr>
        <w:t>。</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(3)主要材料是指用于本工程的某种材料价款总额达到签约合同价的</w:t>
      </w:r>
      <w:r>
        <w:rPr>
          <w:rFonts w:hint="eastAsia" w:cs="Times New Roman"/>
          <w:kern w:val="2"/>
          <w:u w:val="single"/>
        </w:rPr>
        <w:t>/</w:t>
      </w:r>
      <w:r>
        <w:rPr>
          <w:rFonts w:hint="eastAsia" w:cs="Times New Roman"/>
          <w:sz w:val="21"/>
          <w:u w:val="single"/>
        </w:rPr>
        <w:t>%</w:t>
      </w:r>
      <w:r>
        <w:rPr>
          <w:rFonts w:hint="eastAsia" w:cs="Times New Roman"/>
          <w:kern w:val="2"/>
        </w:rPr>
        <w:t>。</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bCs/>
          <w:kern w:val="2"/>
          <w:u w:val="single"/>
        </w:rPr>
      </w:pPr>
      <w:r>
        <w:rPr>
          <w:rFonts w:hint="eastAsia" w:cs="Times New Roman"/>
          <w:kern w:val="2"/>
        </w:rPr>
        <w:t>(4)发包人和承包人根据本工程的具体实际，约定用于本工程的未达到第20.4(3)项约定比例的其它材料中可调差的材料种类为：</w:t>
      </w:r>
      <w:r>
        <w:rPr>
          <w:rFonts w:ascii="Segoe UI Emoji" w:hAnsi="Segoe UI Emoji" w:eastAsia="MS Mincho" w:cs="Segoe UI Emoji"/>
          <w:kern w:val="0"/>
          <w:sz w:val="32"/>
          <w:szCs w:val="21"/>
        </w:rPr>
        <w:drawing>
          <wp:inline distT="0" distB="0" distL="0" distR="0">
            <wp:extent cx="152400" cy="141605"/>
            <wp:effectExtent l="0" t="0" r="0" b="10795"/>
            <wp:docPr id="2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kern w:val="2"/>
        </w:rPr>
        <w:t>结构用钢材、</w:t>
      </w:r>
      <w:r>
        <w:rPr>
          <w:rFonts w:ascii="Segoe UI Emoji" w:hAnsi="Segoe UI Emoji" w:eastAsia="MS Mincho" w:cs="Segoe UI Emoji"/>
          <w:kern w:val="0"/>
          <w:sz w:val="32"/>
          <w:szCs w:val="21"/>
        </w:rPr>
        <w:drawing>
          <wp:inline distT="0" distB="0" distL="0" distR="0">
            <wp:extent cx="152400" cy="141605"/>
            <wp:effectExtent l="0" t="0" r="0" b="10795"/>
            <wp:docPr id="3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kern w:val="2"/>
        </w:rPr>
        <w:t>混凝土、</w:t>
      </w:r>
      <w:r>
        <w:rPr>
          <w:rFonts w:ascii="宋体" w:hAnsi="宋体" w:eastAsia="宋体" w:cs="Times New Roman"/>
          <w:kern w:val="0"/>
          <w:sz w:val="24"/>
          <w:szCs w:val="24"/>
        </w:rPr>
        <w:drawing>
          <wp:inline distT="0" distB="0" distL="0" distR="0">
            <wp:extent cx="152400" cy="141605"/>
            <wp:effectExtent l="0" t="0" r="0" b="10795"/>
            <wp:docPr id="3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8"/>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kern w:val="2"/>
        </w:rPr>
        <w:t>沥青混凝土、</w:t>
      </w:r>
      <w:r>
        <w:rPr>
          <w:rFonts w:ascii="宋体" w:hAnsi="宋体" w:eastAsia="宋体" w:cs="Times New Roman"/>
          <w:kern w:val="0"/>
          <w:sz w:val="24"/>
          <w:szCs w:val="24"/>
        </w:rPr>
        <w:drawing>
          <wp:inline distT="0" distB="0" distL="0" distR="0">
            <wp:extent cx="152400" cy="141605"/>
            <wp:effectExtent l="0" t="0" r="0" b="10795"/>
            <wp:docPr id="142132147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21472" name="图片 17"/>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kern w:val="2"/>
        </w:rPr>
        <w:t>电缆、</w:t>
      </w:r>
      <w:r>
        <w:rPr>
          <w:rFonts w:ascii="宋体" w:hAnsi="宋体" w:eastAsia="宋体" w:cs="Times New Roman"/>
          <w:kern w:val="0"/>
          <w:sz w:val="24"/>
          <w:szCs w:val="24"/>
        </w:rPr>
        <w:drawing>
          <wp:inline distT="0" distB="0" distL="0" distR="0">
            <wp:extent cx="152400" cy="141605"/>
            <wp:effectExtent l="0" t="0" r="0" b="10795"/>
            <wp:docPr id="142132147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21473" name="图片 1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kern w:val="2"/>
        </w:rPr>
        <w:t>预拌砂浆、</w:t>
      </w:r>
      <w:r>
        <w:rPr>
          <w:rFonts w:ascii="宋体" w:hAnsi="宋体" w:eastAsia="宋体" w:cs="Times New Roman"/>
          <w:kern w:val="0"/>
          <w:sz w:val="24"/>
          <w:szCs w:val="24"/>
        </w:rPr>
        <w:drawing>
          <wp:inline distT="0" distB="0" distL="0" distR="0">
            <wp:extent cx="152400" cy="141605"/>
            <wp:effectExtent l="0" t="0" r="0" b="10795"/>
            <wp:docPr id="142132147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21474" name="图片 1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kern w:val="2"/>
        </w:rPr>
        <w:t>柴油、</w:t>
      </w:r>
      <w:r>
        <w:rPr>
          <w:rFonts w:ascii="宋体" w:hAnsi="宋体" w:eastAsia="宋体" w:cs="Times New Roman"/>
          <w:kern w:val="0"/>
          <w:sz w:val="24"/>
          <w:szCs w:val="24"/>
        </w:rPr>
        <w:drawing>
          <wp:inline distT="0" distB="0" distL="0" distR="0">
            <wp:extent cx="152400" cy="141605"/>
            <wp:effectExtent l="0" t="0" r="0" b="10795"/>
            <wp:docPr id="142132147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21475"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kern w:val="2"/>
        </w:rPr>
        <w:t>汽油、</w:t>
      </w:r>
      <w:r>
        <w:rPr>
          <w:rFonts w:ascii="Segoe UI Emoji" w:hAnsi="Segoe UI Emoji" w:eastAsia="MS Mincho" w:cs="Segoe UI Emoji"/>
          <w:kern w:val="0"/>
          <w:sz w:val="32"/>
          <w:szCs w:val="21"/>
        </w:rPr>
        <w:drawing>
          <wp:inline distT="0" distB="0" distL="0" distR="0">
            <wp:extent cx="152400" cy="141605"/>
            <wp:effectExtent l="0" t="0" r="0" b="10795"/>
            <wp:docPr id="142132147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21476"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kern w:val="2"/>
        </w:rPr>
        <w:t xml:space="preserve">其他： </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(5)本工程工料机调差费用的计算和支付约定如下：</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ascii="宋体" w:hAnsi="宋体" w:eastAsia="宋体" w:cs="Times New Roman"/>
          <w:kern w:val="0"/>
          <w:sz w:val="24"/>
          <w:szCs w:val="24"/>
        </w:rPr>
        <w:drawing>
          <wp:inline distT="0" distB="0" distL="0" distR="0">
            <wp:extent cx="152400" cy="141605"/>
            <wp:effectExtent l="0" t="0" r="0" b="10795"/>
            <wp:docPr id="142132147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21477" name="图片 1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kern w:val="2"/>
        </w:rPr>
        <w:t>与其相关的工程完工后进行计算并同期支付。</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ascii="Wingdings 2" w:hAnsi="Wingdings 2" w:cs="Segoe UI Emoji"/>
          <w:kern w:val="2"/>
          <w:sz w:val="32"/>
          <w:szCs w:val="21"/>
        </w:rPr>
        <w:sym w:font="Wingdings 2" w:char="F0A3"/>
      </w:r>
      <w:r>
        <w:rPr>
          <w:rFonts w:hint="eastAsia" w:cs="Times New Roman"/>
          <w:kern w:val="2"/>
        </w:rPr>
        <w:t>竣工结算时一次性计算和支付。</w:t>
      </w:r>
    </w:p>
    <w:p>
      <w:pPr>
        <w:keepNext w:val="0"/>
        <w:keepLines w:val="0"/>
        <w:pageBreakBefore w:val="0"/>
        <w:widowControl w:val="0"/>
        <w:numPr>
          <w:ilvl w:val="12"/>
          <w:numId w:val="0"/>
        </w:numPr>
        <w:kinsoku/>
        <w:topLinePunct w:val="0"/>
        <w:autoSpaceDE/>
        <w:autoSpaceDN/>
        <w:bidi w:val="0"/>
        <w:adjustRightInd w:val="0"/>
        <w:snapToGrid w:val="0"/>
        <w:spacing w:line="360" w:lineRule="auto"/>
        <w:ind w:left="0" w:firstLine="480"/>
        <w:jc w:val="left"/>
        <w:rPr>
          <w:rFonts w:cs="Times New Roman"/>
          <w:kern w:val="2"/>
        </w:rPr>
      </w:pPr>
      <w:r>
        <w:rPr>
          <w:rFonts w:ascii="Wingdings 2" w:hAnsi="Wingdings 2" w:cs="Segoe UI Emoji"/>
          <w:kern w:val="2"/>
          <w:sz w:val="32"/>
          <w:szCs w:val="21"/>
        </w:rPr>
        <w:sym w:font="Wingdings 2" w:char="F052"/>
      </w:r>
      <w:r>
        <w:rPr>
          <w:rFonts w:hint="eastAsia" w:cs="Times New Roman"/>
          <w:kern w:val="2"/>
        </w:rPr>
        <w:t>其他方式。具体约定为：</w:t>
      </w:r>
      <w:r>
        <w:rPr>
          <w:rFonts w:hint="eastAsia" w:cs="Times New Roman"/>
          <w:kern w:val="2"/>
          <w:u w:val="single"/>
        </w:rPr>
        <w:t>详见补充条款约定</w:t>
      </w:r>
      <w:r>
        <w:rPr>
          <w:rFonts w:hint="eastAsia" w:cs="Times New Roman"/>
          <w:bCs/>
          <w:kern w:val="2"/>
          <w:u w:val="single"/>
        </w:rPr>
        <w:t>。</w:t>
      </w:r>
    </w:p>
    <w:p>
      <w:pPr>
        <w:keepNext w:val="0"/>
        <w:keepLines w:val="0"/>
        <w:pageBreakBefore w:val="0"/>
        <w:widowControl w:val="0"/>
        <w:tabs>
          <w:tab w:val="left" w:pos="540"/>
          <w:tab w:val="left" w:pos="900"/>
          <w:tab w:val="left" w:pos="2340"/>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309" w:name="_Toc1999971"/>
      <w:bookmarkStart w:id="310" w:name="_Toc46325310"/>
      <w:bookmarkStart w:id="311" w:name="_Toc17017"/>
      <w:bookmarkStart w:id="312" w:name="_Toc16467"/>
      <w:r>
        <w:rPr>
          <w:rFonts w:hint="eastAsia" w:cs="Times New Roman"/>
          <w:b/>
          <w:bCs/>
          <w:kern w:val="2"/>
          <w:szCs w:val="32"/>
        </w:rPr>
        <w:t>20.5 材料调差</w:t>
      </w:r>
      <w:bookmarkEnd w:id="309"/>
      <w:bookmarkEnd w:id="310"/>
      <w:r>
        <w:rPr>
          <w:rFonts w:hint="eastAsia" w:cs="Times New Roman"/>
          <w:b/>
          <w:bCs/>
          <w:kern w:val="2"/>
          <w:szCs w:val="32"/>
        </w:rPr>
        <w:t>方法</w:t>
      </w:r>
      <w:bookmarkEnd w:id="311"/>
      <w:bookmarkEnd w:id="312"/>
    </w:p>
    <w:p>
      <w:pPr>
        <w:keepNext w:val="0"/>
        <w:keepLines w:val="0"/>
        <w:pageBreakBefore w:val="0"/>
        <w:widowControl w:val="0"/>
        <w:kinsoku/>
        <w:topLinePunct w:val="0"/>
        <w:autoSpaceDE/>
        <w:autoSpaceDN/>
        <w:bidi w:val="0"/>
        <w:adjustRightInd w:val="0"/>
        <w:snapToGrid w:val="0"/>
        <w:spacing w:line="360" w:lineRule="auto"/>
        <w:ind w:firstLine="480"/>
        <w:jc w:val="both"/>
        <w:rPr>
          <w:rFonts w:cs="Times New Roman"/>
          <w:kern w:val="2"/>
        </w:rPr>
      </w:pPr>
      <w:r>
        <w:rPr>
          <w:rFonts w:hint="eastAsia" w:cs="Times New Roman"/>
          <w:kern w:val="2"/>
        </w:rPr>
        <w:t>用于本工程的按照20.4(3)、(4)款确定的可调差材料发生价格波动时合同价格的调整方法为：</w:t>
      </w:r>
    </w:p>
    <w:p>
      <w:pPr>
        <w:keepNext w:val="0"/>
        <w:keepLines w:val="0"/>
        <w:pageBreakBefore w:val="0"/>
        <w:widowControl w:val="0"/>
        <w:kinsoku/>
        <w:topLinePunct w:val="0"/>
        <w:autoSpaceDE/>
        <w:autoSpaceDN/>
        <w:bidi w:val="0"/>
        <w:adjustRightInd w:val="0"/>
        <w:snapToGrid w:val="0"/>
        <w:spacing w:line="360" w:lineRule="auto"/>
        <w:ind w:firstLine="480"/>
        <w:jc w:val="both"/>
        <w:rPr>
          <w:rFonts w:cs="Times New Roman"/>
          <w:kern w:val="2"/>
        </w:rPr>
      </w:pPr>
      <w:r>
        <w:rPr>
          <w:rFonts w:ascii="Wingdings 2" w:hAnsi="Wingdings 2" w:cs="Times New Roman"/>
          <w:kern w:val="2"/>
        </w:rPr>
        <w:sym w:font="Wingdings 2" w:char="F0A3"/>
      </w:r>
      <w:r>
        <w:rPr>
          <w:rFonts w:hint="eastAsia" w:cs="Times New Roman"/>
          <w:kern w:val="2"/>
        </w:rPr>
        <w:t>（1）加权平均法。</w:t>
      </w:r>
    </w:p>
    <w:p>
      <w:pPr>
        <w:keepNext w:val="0"/>
        <w:keepLines w:val="0"/>
        <w:pageBreakBefore w:val="0"/>
        <w:widowControl w:val="0"/>
        <w:kinsoku/>
        <w:topLinePunct w:val="0"/>
        <w:autoSpaceDE/>
        <w:autoSpaceDN/>
        <w:bidi w:val="0"/>
        <w:adjustRightInd w:val="0"/>
        <w:snapToGrid w:val="0"/>
        <w:spacing w:line="360" w:lineRule="auto"/>
        <w:ind w:firstLine="480"/>
        <w:jc w:val="both"/>
        <w:rPr>
          <w:rFonts w:cs="Times New Roman"/>
          <w:kern w:val="2"/>
        </w:rPr>
      </w:pPr>
      <w:r>
        <w:rPr>
          <w:rFonts w:ascii="Wingdings 2" w:hAnsi="Wingdings 2" w:cs="Segoe UI Emoji"/>
          <w:kern w:val="2"/>
          <w:sz w:val="32"/>
          <w:szCs w:val="21"/>
        </w:rPr>
        <w:sym w:font="Wingdings 2" w:char="F0A3"/>
      </w:r>
      <w:r>
        <w:rPr>
          <w:rFonts w:hint="eastAsia" w:cs="Times New Roman"/>
          <w:kern w:val="2"/>
        </w:rPr>
        <w:t>（2）算术平均法。</w:t>
      </w:r>
    </w:p>
    <w:p>
      <w:pPr>
        <w:keepNext w:val="0"/>
        <w:keepLines w:val="0"/>
        <w:pageBreakBefore w:val="0"/>
        <w:widowControl w:val="0"/>
        <w:kinsoku/>
        <w:topLinePunct w:val="0"/>
        <w:autoSpaceDE/>
        <w:autoSpaceDN/>
        <w:bidi w:val="0"/>
        <w:adjustRightInd w:val="0"/>
        <w:snapToGrid w:val="0"/>
        <w:spacing w:line="360" w:lineRule="auto"/>
        <w:ind w:firstLine="480"/>
        <w:jc w:val="both"/>
        <w:rPr>
          <w:rFonts w:cs="Times New Roman"/>
          <w:bCs/>
          <w:kern w:val="2"/>
          <w:u w:val="single"/>
        </w:rPr>
      </w:pPr>
      <w:r>
        <w:rPr>
          <w:rFonts w:ascii="Wingdings 2" w:hAnsi="Wingdings 2" w:cs="Times New Roman"/>
          <w:kern w:val="2"/>
        </w:rPr>
        <w:sym w:font="Wingdings 2" w:char="F052"/>
      </w:r>
      <w:r>
        <w:rPr>
          <w:rFonts w:hint="eastAsia" w:cs="Times New Roman"/>
          <w:kern w:val="2"/>
        </w:rPr>
        <w:t>（3）其他方法。具体约定为：</w:t>
      </w:r>
      <w:r>
        <w:rPr>
          <w:rFonts w:hint="eastAsia" w:cs="Times New Roman"/>
          <w:kern w:val="2"/>
          <w:u w:val="single"/>
        </w:rPr>
        <w:t>详见补充条款约定。</w:t>
      </w:r>
    </w:p>
    <w:p>
      <w:pPr>
        <w:keepNext w:val="0"/>
        <w:keepLines w:val="0"/>
        <w:pageBreakBefore w:val="0"/>
        <w:widowControl w:val="0"/>
        <w:kinsoku/>
        <w:topLinePunct w:val="0"/>
        <w:autoSpaceDE/>
        <w:autoSpaceDN/>
        <w:bidi w:val="0"/>
        <w:adjustRightInd w:val="0"/>
        <w:snapToGrid w:val="0"/>
        <w:spacing w:line="360" w:lineRule="auto"/>
        <w:ind w:firstLine="480"/>
        <w:jc w:val="both"/>
        <w:rPr>
          <w:rFonts w:cs="Times New Roman"/>
          <w:kern w:val="2"/>
        </w:rPr>
      </w:pPr>
      <w:r>
        <w:rPr>
          <w:rFonts w:hint="eastAsia" w:cs="Times New Roman"/>
          <w:kern w:val="2"/>
        </w:rPr>
        <w:t>调差公式中，P</w:t>
      </w:r>
      <w:r>
        <w:rPr>
          <w:rFonts w:hint="eastAsia" w:cs="Times New Roman"/>
          <w:kern w:val="2"/>
          <w:vertAlign w:val="subscript"/>
        </w:rPr>
        <w:t>0</w:t>
      </w:r>
      <w:r>
        <w:rPr>
          <w:rFonts w:hint="eastAsia" w:cs="Times New Roman"/>
          <w:kern w:val="2"/>
        </w:rPr>
        <w:t>为    年    月《深圳建设工程价格信息》某材料价格。</w:t>
      </w:r>
    </w:p>
    <w:p>
      <w:pPr>
        <w:keepNext w:val="0"/>
        <w:keepLines w:val="0"/>
        <w:pageBreakBefore w:val="0"/>
        <w:widowControl w:val="0"/>
        <w:tabs>
          <w:tab w:val="left" w:pos="540"/>
          <w:tab w:val="left" w:pos="900"/>
          <w:tab w:val="left" w:pos="2340"/>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313" w:name="_Toc32624"/>
      <w:bookmarkStart w:id="314" w:name="_Toc1999972"/>
      <w:bookmarkStart w:id="315" w:name="_Toc16735"/>
      <w:bookmarkStart w:id="316" w:name="_Toc46325311"/>
      <w:r>
        <w:rPr>
          <w:rFonts w:hint="eastAsia" w:cs="Times New Roman"/>
          <w:b/>
          <w:bCs/>
          <w:kern w:val="2"/>
          <w:szCs w:val="32"/>
        </w:rPr>
        <w:t>20.6 人工、机械使用调差方法</w:t>
      </w:r>
      <w:bookmarkEnd w:id="313"/>
      <w:bookmarkEnd w:id="314"/>
      <w:bookmarkEnd w:id="315"/>
      <w:bookmarkEnd w:id="316"/>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bCs/>
          <w:kern w:val="2"/>
        </w:rPr>
        <w:t>⑵用于本工程的人工发生价格波动时，</w:t>
      </w:r>
      <w:r>
        <w:rPr>
          <w:rFonts w:hint="eastAsia" w:cs="Times New Roman"/>
          <w:kern w:val="2"/>
        </w:rPr>
        <w:t>合同价格的调整方法为：</w:t>
      </w:r>
      <w:r>
        <w:rPr>
          <w:rFonts w:hint="eastAsia" w:cs="Times New Roman"/>
          <w:kern w:val="2"/>
          <w:u w:val="single"/>
        </w:rPr>
        <w:t>详见补充条款约定。</w:t>
      </w:r>
    </w:p>
    <w:p>
      <w:pPr>
        <w:keepNext w:val="0"/>
        <w:keepLines w:val="0"/>
        <w:pageBreakBefore w:val="0"/>
        <w:widowControl/>
        <w:tabs>
          <w:tab w:val="left" w:pos="420"/>
        </w:tabs>
        <w:kinsoku/>
        <w:topLinePunct w:val="0"/>
        <w:autoSpaceDE/>
        <w:autoSpaceDN/>
        <w:bidi w:val="0"/>
        <w:adjustRightInd w:val="0"/>
        <w:snapToGrid w:val="0"/>
        <w:spacing w:line="360" w:lineRule="auto"/>
        <w:ind w:firstLine="640" w:firstLineChars="200"/>
        <w:jc w:val="left"/>
        <w:rPr>
          <w:rFonts w:cs="Times New Roman"/>
          <w:kern w:val="2"/>
        </w:rPr>
      </w:pPr>
      <w:r>
        <w:rPr>
          <w:rFonts w:hint="eastAsia" w:ascii="Segoe UI Emoji" w:hAnsi="Segoe UI Emoji" w:cs="Segoe UI Emoji"/>
          <w:kern w:val="2"/>
          <w:sz w:val="32"/>
          <w:szCs w:val="21"/>
        </w:rPr>
        <w:t>□</w:t>
      </w:r>
      <w:r>
        <w:rPr>
          <w:rFonts w:hint="eastAsia" w:cs="Times New Roman"/>
          <w:kern w:val="2"/>
        </w:rPr>
        <w:t>①按照20.5款调差公式，将公式中的材料价格替换为人工价格：</w:t>
      </w:r>
    </w:p>
    <w:p>
      <w:pPr>
        <w:keepNext w:val="0"/>
        <w:keepLines w:val="0"/>
        <w:pageBreakBefore w:val="0"/>
        <w:widowControl w:val="0"/>
        <w:kinsoku/>
        <w:topLinePunct w:val="0"/>
        <w:autoSpaceDE/>
        <w:autoSpaceDN/>
        <w:bidi w:val="0"/>
        <w:adjustRightInd w:val="0"/>
        <w:snapToGrid w:val="0"/>
        <w:spacing w:line="360" w:lineRule="auto"/>
        <w:ind w:firstLine="640" w:firstLineChars="200"/>
        <w:jc w:val="left"/>
        <w:rPr>
          <w:rFonts w:cs="Times New Roman"/>
          <w:kern w:val="2"/>
        </w:rPr>
      </w:pPr>
      <w:r>
        <w:rPr>
          <w:rFonts w:hint="eastAsia" w:ascii="Segoe UI Emoji" w:hAnsi="Segoe UI Emoji" w:cs="Segoe UI Emoji"/>
          <w:kern w:val="2"/>
          <w:sz w:val="32"/>
          <w:szCs w:val="21"/>
        </w:rPr>
        <w:t>□</w:t>
      </w:r>
      <w:r>
        <w:rPr>
          <w:rFonts w:hint="eastAsia" w:cs="Times New Roman"/>
          <w:kern w:val="2"/>
        </w:rPr>
        <w:t>1.加权平均法。</w:t>
      </w:r>
    </w:p>
    <w:p>
      <w:pPr>
        <w:keepNext w:val="0"/>
        <w:keepLines w:val="0"/>
        <w:pageBreakBefore w:val="0"/>
        <w:widowControl w:val="0"/>
        <w:kinsoku/>
        <w:topLinePunct w:val="0"/>
        <w:autoSpaceDE/>
        <w:autoSpaceDN/>
        <w:bidi w:val="0"/>
        <w:adjustRightInd w:val="0"/>
        <w:snapToGrid w:val="0"/>
        <w:spacing w:line="360" w:lineRule="auto"/>
        <w:ind w:firstLine="640" w:firstLineChars="200"/>
        <w:jc w:val="left"/>
        <w:rPr>
          <w:rFonts w:cs="Times New Roman"/>
          <w:kern w:val="2"/>
        </w:rPr>
      </w:pPr>
      <w:r>
        <w:rPr>
          <w:rFonts w:hint="eastAsia" w:ascii="Segoe UI Emoji" w:hAnsi="Segoe UI Emoji" w:cs="Segoe UI Emoji"/>
          <w:kern w:val="2"/>
          <w:sz w:val="32"/>
          <w:szCs w:val="21"/>
        </w:rPr>
        <w:t>□</w:t>
      </w:r>
      <w:r>
        <w:rPr>
          <w:rFonts w:hint="eastAsia" w:cs="Times New Roman"/>
          <w:kern w:val="2"/>
        </w:rPr>
        <w:t>2.算术平均法。</w:t>
      </w:r>
    </w:p>
    <w:p>
      <w:pPr>
        <w:keepNext w:val="0"/>
        <w:keepLines w:val="0"/>
        <w:pageBreakBefore w:val="0"/>
        <w:widowControl w:val="0"/>
        <w:kinsoku/>
        <w:topLinePunct w:val="0"/>
        <w:autoSpaceDE/>
        <w:autoSpaceDN/>
        <w:bidi w:val="0"/>
        <w:adjustRightInd w:val="0"/>
        <w:snapToGrid w:val="0"/>
        <w:spacing w:line="360" w:lineRule="auto"/>
        <w:ind w:left="420"/>
        <w:jc w:val="left"/>
        <w:rPr>
          <w:rFonts w:cs="Times New Roman"/>
          <w:kern w:val="2"/>
        </w:rPr>
      </w:pPr>
      <w:r>
        <w:rPr>
          <w:rFonts w:hint="eastAsia" w:cs="Times New Roman"/>
          <w:kern w:val="2"/>
        </w:rPr>
        <w:t>□②人工费指数调差。</w:t>
      </w:r>
    </w:p>
    <w:p>
      <w:pPr>
        <w:keepNext w:val="0"/>
        <w:keepLines w:val="0"/>
        <w:pageBreakBefore w:val="0"/>
        <w:widowControl w:val="0"/>
        <w:kinsoku/>
        <w:topLinePunct w:val="0"/>
        <w:autoSpaceDE/>
        <w:autoSpaceDN/>
        <w:bidi w:val="0"/>
        <w:adjustRightInd w:val="0"/>
        <w:snapToGrid w:val="0"/>
        <w:spacing w:line="360" w:lineRule="auto"/>
        <w:ind w:left="420" w:firstLine="480" w:firstLineChars="200"/>
        <w:jc w:val="left"/>
        <w:rPr>
          <w:rFonts w:cs="Times New Roman"/>
          <w:kern w:val="2"/>
        </w:rPr>
      </w:pPr>
      <w:r>
        <w:rPr>
          <w:rFonts w:hint="eastAsia" w:cs="Times New Roman"/>
          <w:kern w:val="2"/>
        </w:rPr>
        <w:t>调差公式中，I</w:t>
      </w:r>
      <w:r>
        <w:rPr>
          <w:rFonts w:hint="eastAsia" w:cs="Times New Roman"/>
          <w:kern w:val="2"/>
          <w:vertAlign w:val="subscript"/>
        </w:rPr>
        <w:t>o</w:t>
      </w:r>
      <w:r>
        <w:rPr>
          <w:rFonts w:hint="eastAsia" w:cs="Times New Roman"/>
          <w:kern w:val="2"/>
        </w:rPr>
        <w:t>为年月《深圳建设工程价格信息》某工种定额人工费指数。</w:t>
      </w:r>
    </w:p>
    <w:p>
      <w:pPr>
        <w:keepNext w:val="0"/>
        <w:keepLines w:val="0"/>
        <w:pageBreakBefore w:val="0"/>
        <w:widowControl w:val="0"/>
        <w:kinsoku/>
        <w:topLinePunct w:val="0"/>
        <w:autoSpaceDE/>
        <w:autoSpaceDN/>
        <w:bidi w:val="0"/>
        <w:adjustRightInd w:val="0"/>
        <w:snapToGrid w:val="0"/>
        <w:spacing w:line="360" w:lineRule="auto"/>
        <w:ind w:left="420" w:firstLine="480" w:firstLineChars="200"/>
        <w:jc w:val="left"/>
        <w:rPr>
          <w:rFonts w:cs="Times New Roman"/>
          <w:kern w:val="2"/>
        </w:rPr>
      </w:pPr>
      <w:r>
        <w:rPr>
          <w:rFonts w:hint="eastAsia" w:cs="Times New Roman"/>
          <w:kern w:val="2"/>
        </w:rPr>
        <w:t>L</w:t>
      </w:r>
      <w:r>
        <w:rPr>
          <w:rFonts w:hint="eastAsia" w:cs="Times New Roman"/>
          <w:kern w:val="2"/>
          <w:vertAlign w:val="subscript"/>
        </w:rPr>
        <w:t>总</w:t>
      </w:r>
      <w:r>
        <w:rPr>
          <w:rFonts w:hint="eastAsia" w:cs="Times New Roman"/>
          <w:kern w:val="2"/>
        </w:rPr>
        <w:t>确定原则：（注：只能选择一种方式，在选定的方式前的“□”内打“√”）</w:t>
      </w:r>
    </w:p>
    <w:p>
      <w:pPr>
        <w:keepNext w:val="0"/>
        <w:keepLines w:val="0"/>
        <w:pageBreakBefore w:val="0"/>
        <w:widowControl w:val="0"/>
        <w:kinsoku/>
        <w:topLinePunct w:val="0"/>
        <w:autoSpaceDE/>
        <w:autoSpaceDN/>
        <w:bidi w:val="0"/>
        <w:adjustRightInd w:val="0"/>
        <w:snapToGrid w:val="0"/>
        <w:spacing w:line="360" w:lineRule="auto"/>
        <w:ind w:left="420" w:firstLine="480" w:firstLineChars="200"/>
        <w:jc w:val="left"/>
        <w:rPr>
          <w:rFonts w:cs="Times New Roman"/>
          <w:kern w:val="2"/>
        </w:rPr>
      </w:pPr>
      <w:r>
        <w:rPr>
          <w:rFonts w:hint="eastAsia" w:cs="Times New Roman"/>
          <w:kern w:val="2"/>
        </w:rPr>
        <w:t>□</w:t>
      </w:r>
      <w:r>
        <w:rPr>
          <w:rFonts w:hint="eastAsia"/>
          <w:kern w:val="2"/>
        </w:rPr>
        <w:t>按投标文件商务标书中某工种总人工费所占比例确定。</w:t>
      </w:r>
    </w:p>
    <w:p>
      <w:pPr>
        <w:keepNext w:val="0"/>
        <w:keepLines w:val="0"/>
        <w:pageBreakBefore w:val="0"/>
        <w:widowControl w:val="0"/>
        <w:kinsoku/>
        <w:topLinePunct w:val="0"/>
        <w:autoSpaceDE/>
        <w:autoSpaceDN/>
        <w:bidi w:val="0"/>
        <w:adjustRightInd w:val="0"/>
        <w:snapToGrid w:val="0"/>
        <w:spacing w:line="360" w:lineRule="auto"/>
        <w:ind w:left="1320" w:leftChars="450" w:hanging="240" w:hangingChars="100"/>
        <w:jc w:val="left"/>
        <w:rPr>
          <w:rFonts w:cs="Times New Roman"/>
          <w:kern w:val="2"/>
        </w:rPr>
      </w:pPr>
      <w:r>
        <w:rPr>
          <w:rFonts w:hint="eastAsia" w:cs="Times New Roman"/>
          <w:kern w:val="2"/>
        </w:rPr>
        <w:t>□按合同价格（工料机调差前）的一定比例确定：普工总人工费为合同价格（工料机调差前）的%；技工总人工费为合同价格（工料机调差前）的%；高级技工总人工费为合同价格（工料机调差前）的%。</w:t>
      </w:r>
    </w:p>
    <w:p>
      <w:pPr>
        <w:keepNext w:val="0"/>
        <w:keepLines w:val="0"/>
        <w:pageBreakBefore w:val="0"/>
        <w:widowControl w:val="0"/>
        <w:kinsoku/>
        <w:topLinePunct w:val="0"/>
        <w:autoSpaceDE/>
        <w:autoSpaceDN/>
        <w:bidi w:val="0"/>
        <w:adjustRightInd w:val="0"/>
        <w:snapToGrid w:val="0"/>
        <w:spacing w:line="360" w:lineRule="auto"/>
        <w:ind w:left="420" w:firstLine="480" w:firstLineChars="200"/>
        <w:jc w:val="left"/>
        <w:rPr>
          <w:rFonts w:cs="Times New Roman"/>
          <w:kern w:val="2"/>
        </w:rPr>
      </w:pPr>
      <w:r>
        <w:rPr>
          <w:rFonts w:hint="eastAsia" w:cs="Times New Roman"/>
          <w:kern w:val="2"/>
        </w:rPr>
        <w:t>□其他：。</w:t>
      </w:r>
    </w:p>
    <w:p>
      <w:pPr>
        <w:keepNext w:val="0"/>
        <w:keepLines w:val="0"/>
        <w:pageBreakBefore w:val="0"/>
        <w:widowControl w:val="0"/>
        <w:kinsoku/>
        <w:topLinePunct w:val="0"/>
        <w:autoSpaceDE/>
        <w:autoSpaceDN/>
        <w:bidi w:val="0"/>
        <w:adjustRightInd w:val="0"/>
        <w:snapToGrid w:val="0"/>
        <w:spacing w:line="360" w:lineRule="auto"/>
        <w:ind w:left="420"/>
        <w:jc w:val="left"/>
        <w:rPr>
          <w:rFonts w:cs="Times New Roman"/>
          <w:bCs/>
          <w:kern w:val="2"/>
          <w:u w:val="single"/>
        </w:rPr>
      </w:pPr>
      <w:r>
        <w:rPr>
          <w:rFonts w:hint="eastAsia" w:cs="Times New Roman"/>
          <w:kern w:val="2"/>
        </w:rPr>
        <w:t>□</w:t>
      </w:r>
      <w:r>
        <w:rPr>
          <w:rFonts w:hint="eastAsia" w:cs="Times New Roman"/>
          <w:bCs/>
          <w:kern w:val="2"/>
        </w:rPr>
        <w:t>③其他：</w:t>
      </w:r>
      <w:r>
        <w:rPr>
          <w:rFonts w:hint="eastAsia" w:cs="Times New Roman"/>
          <w:bCs/>
          <w:kern w:val="2"/>
          <w:u w:val="single"/>
        </w:rPr>
        <w:t>协商确认</w:t>
      </w:r>
    </w:p>
    <w:p>
      <w:pPr>
        <w:keepNext w:val="0"/>
        <w:keepLines w:val="0"/>
        <w:pageBreakBefore w:val="0"/>
        <w:widowControl w:val="0"/>
        <w:tabs>
          <w:tab w:val="left" w:pos="540"/>
          <w:tab w:val="left" w:pos="900"/>
          <w:tab w:val="left" w:pos="2340"/>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317" w:name="_Toc18636"/>
      <w:bookmarkStart w:id="318" w:name="_Toc18538"/>
      <w:bookmarkStart w:id="319" w:name="_Toc1999973"/>
      <w:bookmarkStart w:id="320" w:name="_Toc46325312"/>
      <w:r>
        <w:rPr>
          <w:rFonts w:hint="eastAsia" w:cs="Times New Roman"/>
          <w:b/>
          <w:bCs/>
          <w:kern w:val="2"/>
          <w:szCs w:val="32"/>
        </w:rPr>
        <w:t>20.8中标净下浮率</w:t>
      </w:r>
      <w:bookmarkEnd w:id="317"/>
      <w:bookmarkEnd w:id="318"/>
      <w:bookmarkEnd w:id="319"/>
      <w:bookmarkEnd w:id="320"/>
    </w:p>
    <w:p>
      <w:pPr>
        <w:keepNext w:val="0"/>
        <w:keepLines w:val="0"/>
        <w:pageBreakBefore w:val="0"/>
        <w:widowControl w:val="0"/>
        <w:kinsoku/>
        <w:topLinePunct w:val="0"/>
        <w:autoSpaceDE/>
        <w:autoSpaceDN/>
        <w:bidi w:val="0"/>
        <w:adjustRightInd w:val="0"/>
        <w:snapToGrid w:val="0"/>
        <w:spacing w:line="360" w:lineRule="auto"/>
        <w:ind w:firstLine="480"/>
        <w:jc w:val="both"/>
        <w:rPr>
          <w:rFonts w:cs="Times New Roman"/>
          <w:kern w:val="2"/>
        </w:rPr>
      </w:pPr>
      <w:r>
        <w:rPr>
          <w:rFonts w:hint="eastAsia" w:cs="Times New Roman"/>
          <w:kern w:val="2"/>
        </w:rPr>
        <w:t>本工程中标净下浮率为：</w:t>
      </w:r>
      <w:r>
        <w:rPr>
          <w:rFonts w:hint="eastAsia" w:cs="Times New Roman"/>
          <w:kern w:val="2"/>
          <w:u w:val="single"/>
          <w:lang w:val="en-US" w:eastAsia="zh-CN"/>
        </w:rPr>
        <w:t>***%</w:t>
      </w:r>
      <w:r>
        <w:rPr>
          <w:rFonts w:hint="eastAsia" w:cs="Times New Roman"/>
        </w:rPr>
        <w:t>。</w:t>
      </w:r>
    </w:p>
    <w:p>
      <w:pPr>
        <w:keepNext w:val="0"/>
        <w:keepLines w:val="0"/>
        <w:pageBreakBefore w:val="0"/>
        <w:widowControl w:val="0"/>
        <w:tabs>
          <w:tab w:val="left" w:pos="540"/>
          <w:tab w:val="left" w:pos="900"/>
          <w:tab w:val="left" w:pos="2340"/>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321" w:name="_Toc24830"/>
      <w:bookmarkStart w:id="322" w:name="_Toc28500"/>
      <w:bookmarkStart w:id="323" w:name="_Toc1999974"/>
      <w:bookmarkStart w:id="324" w:name="_Toc46325313"/>
      <w:r>
        <w:rPr>
          <w:rFonts w:hint="eastAsia" w:cs="Times New Roman"/>
          <w:b/>
          <w:bCs/>
          <w:kern w:val="2"/>
          <w:szCs w:val="32"/>
        </w:rPr>
        <w:t>20.9 询价采购</w:t>
      </w:r>
      <w:bookmarkEnd w:id="321"/>
      <w:bookmarkEnd w:id="322"/>
      <w:bookmarkEnd w:id="323"/>
      <w:bookmarkEnd w:id="324"/>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(1)本工程需询价采购的材料设备见下表：</w:t>
      </w:r>
    </w:p>
    <w:tbl>
      <w:tblPr>
        <w:tblStyle w:val="17"/>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2"/>
        <w:gridCol w:w="2630"/>
        <w:gridCol w:w="2288"/>
        <w:gridCol w:w="29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adjustRightInd w:val="0"/>
              <w:snapToGrid w:val="0"/>
              <w:spacing w:line="360" w:lineRule="auto"/>
              <w:ind w:left="-107" w:right="-107"/>
              <w:jc w:val="left"/>
              <w:rPr>
                <w:rFonts w:cs="Times New Roman"/>
                <w:kern w:val="2"/>
              </w:rPr>
            </w:pPr>
            <w:r>
              <w:rPr>
                <w:rFonts w:hint="eastAsia" w:cs="Times New Roman"/>
                <w:kern w:val="2"/>
              </w:rPr>
              <w:t>序号</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adjustRightInd w:val="0"/>
              <w:snapToGrid w:val="0"/>
              <w:spacing w:line="360" w:lineRule="auto"/>
              <w:ind w:left="-107" w:right="-107" w:firstLine="480"/>
              <w:jc w:val="center"/>
              <w:rPr>
                <w:rFonts w:cs="Times New Roman"/>
                <w:kern w:val="2"/>
              </w:rPr>
            </w:pPr>
            <w:r>
              <w:rPr>
                <w:rFonts w:hint="eastAsia" w:cs="Times New Roman"/>
                <w:kern w:val="2"/>
              </w:rPr>
              <w:t>材料设备名称</w:t>
            </w:r>
          </w:p>
        </w:tc>
        <w:tc>
          <w:tcPr>
            <w:tcW w:w="2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adjustRightInd w:val="0"/>
              <w:snapToGrid w:val="0"/>
              <w:spacing w:line="360" w:lineRule="auto"/>
              <w:ind w:left="-107" w:right="-107" w:firstLine="480"/>
              <w:jc w:val="center"/>
              <w:rPr>
                <w:rFonts w:cs="Times New Roman"/>
                <w:kern w:val="2"/>
              </w:rPr>
            </w:pPr>
            <w:r>
              <w:rPr>
                <w:rFonts w:hint="eastAsia" w:cs="Times New Roman"/>
                <w:kern w:val="2"/>
              </w:rPr>
              <w:t>采购估算价（元）</w:t>
            </w:r>
          </w:p>
        </w:tc>
        <w:tc>
          <w:tcPr>
            <w:tcW w:w="2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adjustRightInd w:val="0"/>
              <w:snapToGrid w:val="0"/>
              <w:spacing w:line="360" w:lineRule="auto"/>
              <w:ind w:left="-107" w:right="-107" w:firstLine="480"/>
              <w:jc w:val="center"/>
              <w:rPr>
                <w:rFonts w:cs="Times New Roman"/>
                <w:kern w:val="2"/>
              </w:rPr>
            </w:pPr>
            <w:r>
              <w:rPr>
                <w:rFonts w:hint="eastAsia" w:cs="Times New Roman"/>
                <w:kern w:val="2"/>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 w:hRule="atLeast"/>
        </w:trPr>
        <w:tc>
          <w:tcPr>
            <w:tcW w:w="6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adjustRightInd w:val="0"/>
              <w:snapToGrid w:val="0"/>
              <w:spacing w:line="360" w:lineRule="auto"/>
              <w:ind w:firstLine="120" w:firstLineChars="50"/>
              <w:jc w:val="left"/>
              <w:rPr>
                <w:rFonts w:cs="Times New Roman"/>
                <w:kern w:val="2"/>
              </w:rPr>
            </w:pPr>
            <w:r>
              <w:rPr>
                <w:rFonts w:hint="eastAsia" w:cs="Times New Roman"/>
                <w:kern w:val="2"/>
              </w:rPr>
              <w:t>1</w:t>
            </w:r>
          </w:p>
        </w:tc>
        <w:tc>
          <w:tcPr>
            <w:tcW w:w="2630"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topLinePunct w:val="0"/>
              <w:autoSpaceDE/>
              <w:autoSpaceDN/>
              <w:bidi w:val="0"/>
              <w:adjustRightInd w:val="0"/>
              <w:snapToGrid w:val="0"/>
              <w:spacing w:line="360" w:lineRule="auto"/>
              <w:ind w:firstLine="480" w:firstLineChars="0"/>
              <w:jc w:val="left"/>
              <w:rPr>
                <w:rFonts w:hint="default" w:eastAsia="宋体" w:cs="Times New Roman"/>
                <w:kern w:val="2"/>
                <w:lang w:val="en-US" w:eastAsia="zh-CN"/>
              </w:rPr>
            </w:pPr>
            <w:r>
              <w:rPr>
                <w:rFonts w:hint="eastAsia" w:cs="Times New Roman"/>
                <w:kern w:val="2"/>
                <w:lang w:val="en-US" w:eastAsia="zh-CN"/>
              </w:rPr>
              <w:t>/</w:t>
            </w:r>
          </w:p>
        </w:tc>
        <w:tc>
          <w:tcPr>
            <w:tcW w:w="2288"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topLinePunct w:val="0"/>
              <w:autoSpaceDE/>
              <w:autoSpaceDN/>
              <w:bidi w:val="0"/>
              <w:adjustRightInd w:val="0"/>
              <w:snapToGrid w:val="0"/>
              <w:spacing w:line="360" w:lineRule="auto"/>
              <w:ind w:firstLine="480" w:firstLineChars="0"/>
              <w:jc w:val="left"/>
              <w:rPr>
                <w:rFonts w:hint="eastAsia" w:eastAsia="宋体" w:cs="Times New Roman"/>
                <w:kern w:val="2"/>
                <w:lang w:val="en-US" w:eastAsia="zh-CN"/>
              </w:rPr>
            </w:pPr>
            <w:r>
              <w:rPr>
                <w:rFonts w:hint="eastAsia" w:cs="Times New Roman"/>
                <w:kern w:val="2"/>
                <w:lang w:val="en-US" w:eastAsia="zh-CN"/>
              </w:rPr>
              <w:t>/</w:t>
            </w:r>
          </w:p>
        </w:tc>
        <w:tc>
          <w:tcPr>
            <w:tcW w:w="292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topLinePunct w:val="0"/>
              <w:autoSpaceDE/>
              <w:autoSpaceDN/>
              <w:bidi w:val="0"/>
              <w:adjustRightInd w:val="0"/>
              <w:snapToGrid w:val="0"/>
              <w:spacing w:line="360" w:lineRule="auto"/>
              <w:ind w:firstLine="480" w:firstLineChars="0"/>
              <w:jc w:val="left"/>
              <w:rPr>
                <w:rFonts w:hint="default" w:eastAsia="宋体" w:cs="Times New Roman"/>
                <w:kern w:val="2"/>
                <w:lang w:val="en-US" w:eastAsia="zh-CN"/>
              </w:rPr>
            </w:pPr>
            <w:r>
              <w:rPr>
                <w:rFonts w:hint="eastAsia" w:cs="Times New Roman"/>
                <w:kern w:val="2"/>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adjustRightInd w:val="0"/>
              <w:snapToGrid w:val="0"/>
              <w:spacing w:line="360" w:lineRule="auto"/>
              <w:ind w:firstLine="120" w:firstLineChars="50"/>
              <w:jc w:val="left"/>
              <w:rPr>
                <w:rFonts w:cs="Times New Roman"/>
                <w:kern w:val="2"/>
              </w:rPr>
            </w:pPr>
            <w:r>
              <w:rPr>
                <w:rFonts w:hint="eastAsia" w:cs="Times New Roman"/>
                <w:kern w:val="2"/>
              </w:rPr>
              <w:t>2</w:t>
            </w:r>
          </w:p>
        </w:tc>
        <w:tc>
          <w:tcPr>
            <w:tcW w:w="2630"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topLinePunct w:val="0"/>
              <w:autoSpaceDE/>
              <w:autoSpaceDN/>
              <w:bidi w:val="0"/>
              <w:adjustRightInd w:val="0"/>
              <w:snapToGrid w:val="0"/>
              <w:spacing w:line="360" w:lineRule="auto"/>
              <w:ind w:firstLine="480" w:firstLineChars="0"/>
              <w:jc w:val="left"/>
              <w:rPr>
                <w:rFonts w:cs="Times New Roman"/>
                <w:kern w:val="2"/>
              </w:rPr>
            </w:pPr>
            <w:r>
              <w:rPr>
                <w:rFonts w:hint="eastAsia" w:cs="Times New Roman"/>
                <w:kern w:val="2"/>
                <w:lang w:val="en-US" w:eastAsia="zh-CN"/>
              </w:rPr>
              <w:t>/</w:t>
            </w:r>
          </w:p>
        </w:tc>
        <w:tc>
          <w:tcPr>
            <w:tcW w:w="2288"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topLinePunct w:val="0"/>
              <w:autoSpaceDE/>
              <w:autoSpaceDN/>
              <w:bidi w:val="0"/>
              <w:adjustRightInd w:val="0"/>
              <w:snapToGrid w:val="0"/>
              <w:spacing w:line="360" w:lineRule="auto"/>
              <w:ind w:firstLine="480" w:firstLineChars="0"/>
              <w:jc w:val="left"/>
              <w:rPr>
                <w:rFonts w:cs="Times New Roman"/>
                <w:kern w:val="2"/>
              </w:rPr>
            </w:pPr>
            <w:r>
              <w:rPr>
                <w:rFonts w:hint="eastAsia" w:cs="Times New Roman"/>
                <w:kern w:val="2"/>
                <w:lang w:val="en-US" w:eastAsia="zh-CN"/>
              </w:rPr>
              <w:t>/</w:t>
            </w:r>
          </w:p>
        </w:tc>
        <w:tc>
          <w:tcPr>
            <w:tcW w:w="292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topLinePunct w:val="0"/>
              <w:autoSpaceDE/>
              <w:autoSpaceDN/>
              <w:bidi w:val="0"/>
              <w:adjustRightInd w:val="0"/>
              <w:snapToGrid w:val="0"/>
              <w:spacing w:line="360" w:lineRule="auto"/>
              <w:ind w:firstLine="480" w:firstLineChars="0"/>
              <w:jc w:val="left"/>
              <w:rPr>
                <w:rFonts w:cs="Times New Roman"/>
                <w:kern w:val="2"/>
              </w:rPr>
            </w:pPr>
            <w:r>
              <w:rPr>
                <w:rFonts w:hint="eastAsia" w:cs="Times New Roman"/>
                <w:kern w:val="2"/>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adjustRightInd w:val="0"/>
              <w:snapToGrid w:val="0"/>
              <w:spacing w:line="360" w:lineRule="auto"/>
              <w:ind w:firstLine="120" w:firstLineChars="50"/>
              <w:jc w:val="left"/>
              <w:rPr>
                <w:rFonts w:cs="Times New Roman"/>
                <w:kern w:val="2"/>
              </w:rPr>
            </w:pPr>
            <w:r>
              <w:rPr>
                <w:rFonts w:hint="eastAsia" w:cs="Times New Roman"/>
                <w:kern w:val="2"/>
              </w:rPr>
              <w:t>…</w:t>
            </w:r>
          </w:p>
        </w:tc>
        <w:tc>
          <w:tcPr>
            <w:tcW w:w="2630"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topLinePunct w:val="0"/>
              <w:autoSpaceDE/>
              <w:autoSpaceDN/>
              <w:bidi w:val="0"/>
              <w:adjustRightInd w:val="0"/>
              <w:snapToGrid w:val="0"/>
              <w:spacing w:line="360" w:lineRule="auto"/>
              <w:ind w:firstLine="480" w:firstLineChars="0"/>
              <w:jc w:val="left"/>
              <w:rPr>
                <w:rFonts w:cs="Times New Roman"/>
                <w:kern w:val="2"/>
              </w:rPr>
            </w:pPr>
            <w:r>
              <w:rPr>
                <w:rFonts w:hint="eastAsia" w:cs="Times New Roman"/>
                <w:kern w:val="2"/>
                <w:lang w:val="en-US" w:eastAsia="zh-CN"/>
              </w:rPr>
              <w:t>/</w:t>
            </w:r>
          </w:p>
        </w:tc>
        <w:tc>
          <w:tcPr>
            <w:tcW w:w="2288"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topLinePunct w:val="0"/>
              <w:autoSpaceDE/>
              <w:autoSpaceDN/>
              <w:bidi w:val="0"/>
              <w:adjustRightInd w:val="0"/>
              <w:snapToGrid w:val="0"/>
              <w:spacing w:line="360" w:lineRule="auto"/>
              <w:ind w:firstLine="480" w:firstLineChars="0"/>
              <w:jc w:val="left"/>
              <w:rPr>
                <w:rFonts w:cs="Times New Roman"/>
                <w:kern w:val="2"/>
              </w:rPr>
            </w:pPr>
            <w:r>
              <w:rPr>
                <w:rFonts w:hint="eastAsia" w:cs="Times New Roman"/>
                <w:kern w:val="2"/>
                <w:lang w:val="en-US" w:eastAsia="zh-CN"/>
              </w:rPr>
              <w:t>/</w:t>
            </w:r>
          </w:p>
        </w:tc>
        <w:tc>
          <w:tcPr>
            <w:tcW w:w="292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topLinePunct w:val="0"/>
              <w:autoSpaceDE/>
              <w:autoSpaceDN/>
              <w:bidi w:val="0"/>
              <w:adjustRightInd w:val="0"/>
              <w:snapToGrid w:val="0"/>
              <w:spacing w:line="360" w:lineRule="auto"/>
              <w:ind w:firstLine="480" w:firstLineChars="0"/>
              <w:jc w:val="left"/>
              <w:rPr>
                <w:rFonts w:cs="Times New Roman"/>
                <w:kern w:val="2"/>
              </w:rPr>
            </w:pPr>
            <w:r>
              <w:rPr>
                <w:rFonts w:hint="eastAsia" w:cs="Times New Roman"/>
                <w:kern w:val="2"/>
                <w:lang w:val="en-US" w:eastAsia="zh-CN"/>
              </w:rPr>
              <w:t>/</w:t>
            </w:r>
          </w:p>
        </w:tc>
      </w:tr>
    </w:tbl>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rPr>
        <w:t>(2)询价采购的网络服务平台为：</w:t>
      </w:r>
    </w:p>
    <w:p>
      <w:pPr>
        <w:keepNext w:val="0"/>
        <w:keepLines w:val="0"/>
        <w:pageBreakBefore w:val="0"/>
        <w:widowControl w:val="0"/>
        <w:kinsoku/>
        <w:topLinePunct w:val="0"/>
        <w:autoSpaceDE/>
        <w:autoSpaceDN/>
        <w:bidi w:val="0"/>
        <w:adjustRightInd w:val="0"/>
        <w:snapToGrid w:val="0"/>
        <w:spacing w:line="360" w:lineRule="auto"/>
        <w:ind w:firstLine="640"/>
        <w:jc w:val="left"/>
        <w:rPr>
          <w:rFonts w:cs="Times New Roman"/>
          <w:kern w:val="2"/>
        </w:rPr>
      </w:pPr>
      <w:r>
        <w:rPr>
          <w:rFonts w:hint="eastAsia" w:ascii="Segoe UI Emoji" w:hAnsi="Segoe UI Emoji" w:cs="Segoe UI Emoji"/>
          <w:kern w:val="2"/>
          <w:sz w:val="32"/>
          <w:szCs w:val="21"/>
        </w:rPr>
        <w:t>□</w:t>
      </w:r>
      <w:r>
        <w:rPr>
          <w:rFonts w:hint="eastAsia" w:cs="Times New Roman"/>
          <w:kern w:val="2"/>
        </w:rPr>
        <w:tab/>
      </w:r>
      <w:r>
        <w:rPr>
          <w:rFonts w:hint="eastAsia" w:cs="Times New Roman"/>
          <w:kern w:val="2"/>
        </w:rPr>
        <w:t>http://xj.jiaoyi365.com（筑龙）；</w:t>
      </w:r>
    </w:p>
    <w:p>
      <w:pPr>
        <w:keepNext w:val="0"/>
        <w:keepLines w:val="0"/>
        <w:pageBreakBefore w:val="0"/>
        <w:widowControl w:val="0"/>
        <w:kinsoku/>
        <w:topLinePunct w:val="0"/>
        <w:autoSpaceDE/>
        <w:autoSpaceDN/>
        <w:bidi w:val="0"/>
        <w:adjustRightInd w:val="0"/>
        <w:snapToGrid w:val="0"/>
        <w:spacing w:line="360" w:lineRule="auto"/>
        <w:ind w:firstLine="640"/>
        <w:jc w:val="left"/>
        <w:rPr>
          <w:rFonts w:cs="Times New Roman"/>
          <w:kern w:val="2"/>
        </w:rPr>
      </w:pPr>
      <w:r>
        <w:rPr>
          <w:rFonts w:hint="eastAsia" w:ascii="Segoe UI Emoji" w:hAnsi="Segoe UI Emoji" w:cs="Segoe UI Emoji"/>
          <w:kern w:val="2"/>
          <w:sz w:val="32"/>
          <w:szCs w:val="21"/>
        </w:rPr>
        <w:t>□</w:t>
      </w:r>
      <w:r>
        <w:rPr>
          <w:rFonts w:hint="eastAsia" w:cs="Times New Roman"/>
          <w:kern w:val="2"/>
        </w:rPr>
        <w:tab/>
      </w:r>
      <w:r>
        <w:rPr>
          <w:rFonts w:hint="eastAsia" w:cs="Times New Roman"/>
          <w:kern w:val="2"/>
        </w:rPr>
        <w:t>http://www.51xjcg.com（斯维尔）；</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注：深圳市住房和建设局通过公开招标确定并授予北京筑龙信息技术有限责任公司、深圳市斯维尔科技有限公司两家单位深圳市建设工程材料设备询价采购网络服务平台的特许经营权。</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bookmarkStart w:id="325" w:name="_Toc1999975"/>
      <w:bookmarkStart w:id="326" w:name="_Toc46325314"/>
      <w:r>
        <w:rPr>
          <w:rFonts w:hint="eastAsia" w:cs="Times New Roman"/>
          <w:b/>
          <w:bCs/>
          <w:kern w:val="2"/>
          <w:u w:val="single"/>
          <w:lang w:val="en-US" w:eastAsia="zh-CN"/>
        </w:rPr>
        <w:t>本条</w:t>
      </w:r>
      <w:r>
        <w:rPr>
          <w:rFonts w:hint="eastAsia" w:cs="Times New Roman"/>
          <w:b/>
          <w:bCs/>
          <w:kern w:val="2"/>
          <w:u w:val="single"/>
        </w:rPr>
        <w:t>详见补充条款约定</w:t>
      </w:r>
      <w:r>
        <w:rPr>
          <w:rFonts w:hint="eastAsia" w:cs="Times New Roman"/>
          <w:kern w:val="2"/>
          <w:u w:val="single"/>
        </w:rPr>
        <w:t>。</w:t>
      </w:r>
    </w:p>
    <w:p>
      <w:pPr>
        <w:keepNext w:val="0"/>
        <w:keepLines w:val="0"/>
        <w:pageBreakBefore w:val="0"/>
        <w:widowControl/>
        <w:tabs>
          <w:tab w:val="left" w:pos="540"/>
          <w:tab w:val="left" w:pos="720"/>
          <w:tab w:val="left" w:pos="1620"/>
          <w:tab w:val="left" w:pos="2340"/>
        </w:tabs>
        <w:kinsoku/>
        <w:topLinePunct w:val="0"/>
        <w:autoSpaceDE/>
        <w:autoSpaceDN/>
        <w:bidi w:val="0"/>
        <w:adjustRightInd w:val="0"/>
        <w:snapToGrid w:val="0"/>
        <w:spacing w:line="360" w:lineRule="auto"/>
        <w:ind w:left="178"/>
        <w:jc w:val="left"/>
        <w:outlineLvl w:val="1"/>
        <w:rPr>
          <w:rFonts w:ascii="Times New Roman" w:cs="Times New Roman"/>
          <w:b/>
          <w:bCs/>
          <w:kern w:val="44"/>
          <w:sz w:val="28"/>
          <w:szCs w:val="28"/>
        </w:rPr>
      </w:pPr>
      <w:bookmarkStart w:id="327" w:name="_Toc26983"/>
      <w:bookmarkStart w:id="328" w:name="_Toc10689"/>
      <w:r>
        <w:rPr>
          <w:rFonts w:hint="eastAsia" w:ascii="Times New Roman" w:cs="Times New Roman"/>
          <w:b/>
          <w:bCs/>
          <w:kern w:val="44"/>
          <w:sz w:val="28"/>
          <w:szCs w:val="28"/>
        </w:rPr>
        <w:t>21暂估价和暂列金额</w:t>
      </w:r>
      <w:bookmarkEnd w:id="325"/>
      <w:bookmarkEnd w:id="326"/>
      <w:bookmarkEnd w:id="327"/>
      <w:bookmarkEnd w:id="328"/>
    </w:p>
    <w:p>
      <w:pPr>
        <w:keepNext w:val="0"/>
        <w:keepLines w:val="0"/>
        <w:pageBreakBefore w:val="0"/>
        <w:widowControl w:val="0"/>
        <w:tabs>
          <w:tab w:val="left" w:pos="540"/>
          <w:tab w:val="left" w:pos="900"/>
          <w:tab w:val="left" w:pos="2340"/>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329" w:name="_Toc796"/>
      <w:bookmarkStart w:id="330" w:name="_Toc1999976"/>
      <w:bookmarkStart w:id="331" w:name="_Toc46325315"/>
      <w:bookmarkStart w:id="332" w:name="_Toc5037"/>
      <w:r>
        <w:rPr>
          <w:rFonts w:hint="eastAsia" w:cs="Times New Roman"/>
          <w:b/>
          <w:bCs/>
          <w:kern w:val="2"/>
          <w:szCs w:val="32"/>
        </w:rPr>
        <w:t>21.1材料设备暂估价</w:t>
      </w:r>
      <w:bookmarkEnd w:id="329"/>
      <w:bookmarkEnd w:id="330"/>
      <w:bookmarkEnd w:id="331"/>
      <w:bookmarkEnd w:id="332"/>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 xml:space="preserve">(1)本工程暂估的材料设备的名称、规格、单位和暂估单价见下表：(本表可另附页) </w:t>
      </w:r>
    </w:p>
    <w:tbl>
      <w:tblPr>
        <w:tblStyle w:val="17"/>
        <w:tblW w:w="855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2"/>
        <w:gridCol w:w="2630"/>
        <w:gridCol w:w="2288"/>
        <w:gridCol w:w="900"/>
        <w:gridCol w:w="20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adjustRightInd w:val="0"/>
              <w:snapToGrid w:val="0"/>
              <w:spacing w:line="240" w:lineRule="auto"/>
              <w:ind w:left="-107" w:right="-107"/>
              <w:jc w:val="center"/>
              <w:rPr>
                <w:rFonts w:cs="Times New Roman"/>
                <w:kern w:val="2"/>
              </w:rPr>
            </w:pPr>
            <w:r>
              <w:rPr>
                <w:rFonts w:hint="eastAsia" w:cs="Times New Roman"/>
                <w:kern w:val="2"/>
              </w:rPr>
              <w:t>序号</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adjustRightInd w:val="0"/>
              <w:snapToGrid w:val="0"/>
              <w:spacing w:line="240" w:lineRule="auto"/>
              <w:ind w:left="-107" w:right="-107"/>
              <w:jc w:val="center"/>
              <w:rPr>
                <w:rFonts w:cs="Times New Roman"/>
                <w:kern w:val="2"/>
              </w:rPr>
            </w:pPr>
            <w:r>
              <w:rPr>
                <w:rFonts w:hint="eastAsia" w:cs="Times New Roman"/>
                <w:kern w:val="2"/>
              </w:rPr>
              <w:t>暂估的材料设备名称</w:t>
            </w:r>
          </w:p>
        </w:tc>
        <w:tc>
          <w:tcPr>
            <w:tcW w:w="2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adjustRightInd w:val="0"/>
              <w:snapToGrid w:val="0"/>
              <w:spacing w:line="240" w:lineRule="auto"/>
              <w:ind w:left="-107" w:right="-107" w:firstLine="840" w:firstLineChars="350"/>
              <w:jc w:val="center"/>
              <w:rPr>
                <w:rFonts w:cs="Times New Roman"/>
                <w:kern w:val="2"/>
              </w:rPr>
            </w:pPr>
            <w:r>
              <w:rPr>
                <w:rFonts w:hint="eastAsia" w:cs="Times New Roman"/>
                <w:kern w:val="2"/>
              </w:rPr>
              <w:t>规格</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adjustRightInd w:val="0"/>
              <w:snapToGrid w:val="0"/>
              <w:spacing w:line="240" w:lineRule="auto"/>
              <w:ind w:right="-107"/>
              <w:jc w:val="center"/>
              <w:rPr>
                <w:rFonts w:cs="Times New Roman"/>
                <w:kern w:val="2"/>
              </w:rPr>
            </w:pPr>
            <w:r>
              <w:rPr>
                <w:rFonts w:hint="eastAsia" w:cs="Times New Roman"/>
                <w:kern w:val="2"/>
              </w:rPr>
              <w:t>单位</w:t>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adjustRightInd w:val="0"/>
              <w:snapToGrid w:val="0"/>
              <w:spacing w:line="240" w:lineRule="auto"/>
              <w:ind w:left="-107" w:right="-107" w:firstLine="480"/>
              <w:jc w:val="center"/>
              <w:rPr>
                <w:rFonts w:cs="Times New Roman"/>
                <w:kern w:val="2"/>
              </w:rPr>
            </w:pPr>
            <w:r>
              <w:rPr>
                <w:rFonts w:hint="eastAsia" w:cs="Times New Roman"/>
                <w:kern w:val="2"/>
              </w:rPr>
              <w:t>暂估单价（元）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6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adjustRightInd w:val="0"/>
              <w:snapToGrid w:val="0"/>
              <w:spacing w:line="240" w:lineRule="auto"/>
              <w:ind w:firstLine="120" w:firstLineChars="50"/>
              <w:jc w:val="center"/>
              <w:rPr>
                <w:rFonts w:cs="Times New Roman"/>
                <w:kern w:val="2"/>
              </w:rPr>
            </w:pPr>
            <w:r>
              <w:rPr>
                <w:rFonts w:hint="eastAsia" w:cs="Times New Roman"/>
                <w:kern w:val="2"/>
              </w:rPr>
              <w:t>1</w:t>
            </w:r>
          </w:p>
        </w:tc>
        <w:tc>
          <w:tcPr>
            <w:tcW w:w="2630"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topLinePunct w:val="0"/>
              <w:autoSpaceDE/>
              <w:autoSpaceDN/>
              <w:bidi w:val="0"/>
              <w:adjustRightInd w:val="0"/>
              <w:snapToGrid w:val="0"/>
              <w:spacing w:line="240" w:lineRule="auto"/>
              <w:ind w:firstLine="480"/>
              <w:jc w:val="center"/>
              <w:rPr>
                <w:rFonts w:cs="Times New Roman"/>
                <w:kern w:val="2"/>
              </w:rPr>
            </w:pPr>
            <w:r>
              <w:rPr>
                <w:rFonts w:hint="eastAsia" w:cs="Times New Roman"/>
                <w:kern w:val="2"/>
              </w:rPr>
              <w:t>详见工程量清单</w:t>
            </w:r>
          </w:p>
        </w:tc>
        <w:tc>
          <w:tcPr>
            <w:tcW w:w="2288"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topLinePunct w:val="0"/>
              <w:autoSpaceDE/>
              <w:autoSpaceDN/>
              <w:bidi w:val="0"/>
              <w:adjustRightInd w:val="0"/>
              <w:snapToGrid w:val="0"/>
              <w:spacing w:line="240" w:lineRule="auto"/>
              <w:ind w:firstLine="480"/>
              <w:jc w:val="center"/>
              <w:rPr>
                <w:rFonts w:cs="Times New Roman"/>
                <w:kern w:val="2"/>
              </w:rPr>
            </w:pP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topLinePunct w:val="0"/>
              <w:autoSpaceDE/>
              <w:autoSpaceDN/>
              <w:bidi w:val="0"/>
              <w:adjustRightInd w:val="0"/>
              <w:snapToGrid w:val="0"/>
              <w:spacing w:line="240" w:lineRule="auto"/>
              <w:ind w:firstLine="120" w:firstLineChars="50"/>
              <w:jc w:val="center"/>
              <w:rPr>
                <w:rFonts w:cs="Times New Roman"/>
                <w:kern w:val="2"/>
              </w:rPr>
            </w:pPr>
          </w:p>
        </w:tc>
        <w:tc>
          <w:tcPr>
            <w:tcW w:w="2074"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topLinePunct w:val="0"/>
              <w:autoSpaceDE/>
              <w:autoSpaceDN/>
              <w:bidi w:val="0"/>
              <w:adjustRightInd w:val="0"/>
              <w:snapToGrid w:val="0"/>
              <w:spacing w:line="240" w:lineRule="auto"/>
              <w:ind w:firstLine="48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0" w:hRule="atLeast"/>
        </w:trPr>
        <w:tc>
          <w:tcPr>
            <w:tcW w:w="6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adjustRightInd w:val="0"/>
              <w:snapToGrid w:val="0"/>
              <w:spacing w:line="240" w:lineRule="auto"/>
              <w:ind w:firstLine="120" w:firstLineChars="50"/>
              <w:jc w:val="center"/>
              <w:rPr>
                <w:rFonts w:cs="Times New Roman"/>
                <w:kern w:val="2"/>
              </w:rPr>
            </w:pPr>
            <w:r>
              <w:rPr>
                <w:rFonts w:hint="eastAsia" w:cs="Times New Roman"/>
                <w:kern w:val="2"/>
              </w:rPr>
              <w:t>2</w:t>
            </w:r>
          </w:p>
        </w:tc>
        <w:tc>
          <w:tcPr>
            <w:tcW w:w="2630"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topLinePunct w:val="0"/>
              <w:autoSpaceDE/>
              <w:autoSpaceDN/>
              <w:bidi w:val="0"/>
              <w:adjustRightInd w:val="0"/>
              <w:snapToGrid w:val="0"/>
              <w:spacing w:line="240" w:lineRule="auto"/>
              <w:ind w:firstLine="480"/>
              <w:jc w:val="center"/>
              <w:rPr>
                <w:rFonts w:cs="Times New Roman"/>
                <w:kern w:val="2"/>
              </w:rPr>
            </w:pPr>
          </w:p>
        </w:tc>
        <w:tc>
          <w:tcPr>
            <w:tcW w:w="2288"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topLinePunct w:val="0"/>
              <w:autoSpaceDE/>
              <w:autoSpaceDN/>
              <w:bidi w:val="0"/>
              <w:adjustRightInd w:val="0"/>
              <w:snapToGrid w:val="0"/>
              <w:spacing w:line="240" w:lineRule="auto"/>
              <w:ind w:firstLine="480"/>
              <w:jc w:val="center"/>
              <w:rPr>
                <w:rFonts w:cs="Times New Roman"/>
                <w:kern w:val="2"/>
              </w:rPr>
            </w:pP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topLinePunct w:val="0"/>
              <w:autoSpaceDE/>
              <w:autoSpaceDN/>
              <w:bidi w:val="0"/>
              <w:adjustRightInd w:val="0"/>
              <w:snapToGrid w:val="0"/>
              <w:spacing w:line="240" w:lineRule="auto"/>
              <w:ind w:firstLine="480"/>
              <w:jc w:val="center"/>
              <w:rPr>
                <w:rFonts w:cs="Times New Roman"/>
                <w:kern w:val="2"/>
              </w:rPr>
            </w:pPr>
          </w:p>
        </w:tc>
        <w:tc>
          <w:tcPr>
            <w:tcW w:w="2074"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topLinePunct w:val="0"/>
              <w:autoSpaceDE/>
              <w:autoSpaceDN/>
              <w:bidi w:val="0"/>
              <w:adjustRightInd w:val="0"/>
              <w:snapToGrid w:val="0"/>
              <w:spacing w:line="240" w:lineRule="auto"/>
              <w:ind w:firstLine="48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adjustRightInd w:val="0"/>
              <w:snapToGrid w:val="0"/>
              <w:spacing w:line="240" w:lineRule="auto"/>
              <w:ind w:firstLine="120" w:firstLineChars="50"/>
              <w:jc w:val="center"/>
              <w:rPr>
                <w:rFonts w:cs="Times New Roman"/>
                <w:kern w:val="2"/>
              </w:rPr>
            </w:pPr>
            <w:r>
              <w:rPr>
                <w:rFonts w:hint="eastAsia" w:cs="Times New Roman"/>
                <w:kern w:val="2"/>
              </w:rPr>
              <w:t>…</w:t>
            </w:r>
          </w:p>
        </w:tc>
        <w:tc>
          <w:tcPr>
            <w:tcW w:w="2630"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topLinePunct w:val="0"/>
              <w:autoSpaceDE/>
              <w:autoSpaceDN/>
              <w:bidi w:val="0"/>
              <w:adjustRightInd w:val="0"/>
              <w:snapToGrid w:val="0"/>
              <w:spacing w:line="240" w:lineRule="auto"/>
              <w:ind w:firstLine="480"/>
              <w:jc w:val="center"/>
              <w:rPr>
                <w:rFonts w:cs="Times New Roman"/>
                <w:kern w:val="2"/>
              </w:rPr>
            </w:pPr>
          </w:p>
        </w:tc>
        <w:tc>
          <w:tcPr>
            <w:tcW w:w="2288"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topLinePunct w:val="0"/>
              <w:autoSpaceDE/>
              <w:autoSpaceDN/>
              <w:bidi w:val="0"/>
              <w:adjustRightInd w:val="0"/>
              <w:snapToGrid w:val="0"/>
              <w:spacing w:line="240" w:lineRule="auto"/>
              <w:ind w:firstLine="480"/>
              <w:jc w:val="center"/>
              <w:rPr>
                <w:rFonts w:cs="Times New Roman"/>
                <w:kern w:val="2"/>
              </w:rPr>
            </w:pP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topLinePunct w:val="0"/>
              <w:autoSpaceDE/>
              <w:autoSpaceDN/>
              <w:bidi w:val="0"/>
              <w:adjustRightInd w:val="0"/>
              <w:snapToGrid w:val="0"/>
              <w:spacing w:line="240" w:lineRule="auto"/>
              <w:ind w:firstLine="480"/>
              <w:jc w:val="center"/>
              <w:rPr>
                <w:rFonts w:cs="Times New Roman"/>
                <w:kern w:val="2"/>
              </w:rPr>
            </w:pPr>
          </w:p>
        </w:tc>
        <w:tc>
          <w:tcPr>
            <w:tcW w:w="2074"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topLinePunct w:val="0"/>
              <w:autoSpaceDE/>
              <w:autoSpaceDN/>
              <w:bidi w:val="0"/>
              <w:adjustRightInd w:val="0"/>
              <w:snapToGrid w:val="0"/>
              <w:spacing w:line="240" w:lineRule="auto"/>
              <w:ind w:firstLine="480"/>
              <w:jc w:val="center"/>
              <w:rPr>
                <w:rFonts w:cs="Times New Roman"/>
                <w:kern w:val="2"/>
              </w:rPr>
            </w:pPr>
          </w:p>
        </w:tc>
      </w:tr>
    </w:tbl>
    <w:p>
      <w:pPr>
        <w:keepNext w:val="0"/>
        <w:keepLines w:val="0"/>
        <w:pageBreakBefore w:val="0"/>
        <w:widowControl w:val="0"/>
        <w:tabs>
          <w:tab w:val="left" w:pos="540"/>
          <w:tab w:val="left" w:pos="900"/>
          <w:tab w:val="left" w:pos="2340"/>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333" w:name="_Toc23695"/>
      <w:bookmarkStart w:id="334" w:name="_Toc25880"/>
      <w:bookmarkStart w:id="335" w:name="_Toc46325316"/>
      <w:bookmarkStart w:id="336" w:name="_Toc1999977"/>
      <w:r>
        <w:rPr>
          <w:rFonts w:hint="eastAsia" w:cs="Times New Roman"/>
          <w:b/>
          <w:bCs/>
          <w:kern w:val="2"/>
          <w:szCs w:val="32"/>
        </w:rPr>
        <w:t>21.2专业工程暂估价</w:t>
      </w:r>
      <w:bookmarkEnd w:id="333"/>
      <w:bookmarkEnd w:id="334"/>
      <w:bookmarkEnd w:id="335"/>
      <w:bookmarkEnd w:id="336"/>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(1)本工程暂估的专业工程的名称和暂估价款：(本表可另附页)</w:t>
      </w:r>
    </w:p>
    <w:tbl>
      <w:tblPr>
        <w:tblStyle w:val="17"/>
        <w:tblW w:w="63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7"/>
        <w:gridCol w:w="3544"/>
        <w:gridCol w:w="18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adjustRightInd w:val="0"/>
              <w:snapToGrid w:val="0"/>
              <w:spacing w:line="240" w:lineRule="auto"/>
              <w:ind w:left="-107" w:right="-107"/>
              <w:jc w:val="center"/>
              <w:rPr>
                <w:rFonts w:cs="Times New Roman"/>
                <w:kern w:val="2"/>
              </w:rPr>
            </w:pPr>
            <w:r>
              <w:rPr>
                <w:rFonts w:hint="eastAsia" w:cs="Times New Roman"/>
                <w:kern w:val="2"/>
              </w:rPr>
              <w:t>序号</w:t>
            </w:r>
          </w:p>
        </w:tc>
        <w:tc>
          <w:tcPr>
            <w:tcW w:w="35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adjustRightInd w:val="0"/>
              <w:snapToGrid w:val="0"/>
              <w:spacing w:line="240" w:lineRule="auto"/>
              <w:ind w:left="-107" w:right="-107" w:firstLine="480"/>
              <w:jc w:val="center"/>
              <w:rPr>
                <w:rFonts w:cs="Times New Roman"/>
                <w:kern w:val="2"/>
              </w:rPr>
            </w:pPr>
            <w:r>
              <w:rPr>
                <w:rFonts w:hint="eastAsia" w:cs="Times New Roman"/>
                <w:kern w:val="2"/>
              </w:rPr>
              <w:t>暂估的专业工程名称</w:t>
            </w:r>
          </w:p>
        </w:tc>
        <w:tc>
          <w:tcPr>
            <w:tcW w:w="18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adjustRightInd w:val="0"/>
              <w:snapToGrid w:val="0"/>
              <w:spacing w:line="240" w:lineRule="auto"/>
              <w:ind w:left="-107" w:right="-107" w:firstLine="480"/>
              <w:jc w:val="center"/>
              <w:rPr>
                <w:rFonts w:cs="Times New Roman"/>
                <w:kern w:val="2"/>
              </w:rPr>
            </w:pPr>
            <w:r>
              <w:rPr>
                <w:rFonts w:hint="eastAsia" w:cs="Times New Roman"/>
                <w:kern w:val="2"/>
              </w:rPr>
              <w:t>暂估价款(万元)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adjustRightInd w:val="0"/>
              <w:snapToGrid w:val="0"/>
              <w:spacing w:line="240" w:lineRule="auto"/>
              <w:ind w:firstLine="240" w:firstLineChars="100"/>
              <w:jc w:val="center"/>
              <w:rPr>
                <w:rFonts w:cs="Times New Roman"/>
                <w:kern w:val="2"/>
              </w:rPr>
            </w:pPr>
            <w:r>
              <w:rPr>
                <w:rFonts w:hint="eastAsia" w:cs="Times New Roman"/>
                <w:kern w:val="2"/>
              </w:rPr>
              <w:t>1</w:t>
            </w:r>
          </w:p>
        </w:tc>
        <w:tc>
          <w:tcPr>
            <w:tcW w:w="35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adjustRightInd w:val="0"/>
              <w:snapToGrid w:val="0"/>
              <w:spacing w:line="240" w:lineRule="auto"/>
              <w:ind w:firstLine="480"/>
              <w:jc w:val="center"/>
              <w:rPr>
                <w:rFonts w:cs="Times New Roman"/>
                <w:kern w:val="2"/>
              </w:rPr>
            </w:pPr>
            <w:r>
              <w:rPr>
                <w:rFonts w:hint="eastAsia" w:cs="Times New Roman"/>
                <w:kern w:val="2"/>
              </w:rPr>
              <w:t>详见工程量清单</w:t>
            </w:r>
          </w:p>
        </w:tc>
        <w:tc>
          <w:tcPr>
            <w:tcW w:w="18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adjustRightInd w:val="0"/>
              <w:snapToGrid w:val="0"/>
              <w:spacing w:line="240" w:lineRule="auto"/>
              <w:ind w:firstLine="48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adjustRightInd w:val="0"/>
              <w:snapToGrid w:val="0"/>
              <w:spacing w:line="240" w:lineRule="auto"/>
              <w:ind w:firstLine="240" w:firstLineChars="100"/>
              <w:jc w:val="center"/>
              <w:rPr>
                <w:rFonts w:cs="Times New Roman"/>
                <w:kern w:val="2"/>
              </w:rPr>
            </w:pPr>
            <w:r>
              <w:rPr>
                <w:rFonts w:hint="eastAsia" w:cs="Times New Roman"/>
                <w:kern w:val="2"/>
              </w:rPr>
              <w:t>2</w:t>
            </w:r>
          </w:p>
        </w:tc>
        <w:tc>
          <w:tcPr>
            <w:tcW w:w="35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adjustRightInd w:val="0"/>
              <w:snapToGrid w:val="0"/>
              <w:spacing w:line="240" w:lineRule="auto"/>
              <w:ind w:firstLine="480"/>
              <w:jc w:val="center"/>
              <w:rPr>
                <w:rFonts w:cs="Times New Roman"/>
                <w:kern w:val="2"/>
              </w:rPr>
            </w:pPr>
          </w:p>
        </w:tc>
        <w:tc>
          <w:tcPr>
            <w:tcW w:w="18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adjustRightInd w:val="0"/>
              <w:snapToGrid w:val="0"/>
              <w:spacing w:line="240" w:lineRule="auto"/>
              <w:ind w:firstLine="48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adjustRightInd w:val="0"/>
              <w:snapToGrid w:val="0"/>
              <w:spacing w:line="240" w:lineRule="auto"/>
              <w:ind w:firstLine="120" w:firstLineChars="50"/>
              <w:jc w:val="center"/>
              <w:rPr>
                <w:rFonts w:cs="Times New Roman"/>
                <w:kern w:val="2"/>
              </w:rPr>
            </w:pPr>
            <w:r>
              <w:rPr>
                <w:rFonts w:hint="eastAsia" w:cs="Times New Roman"/>
                <w:kern w:val="2"/>
              </w:rPr>
              <w:t>合计</w:t>
            </w:r>
          </w:p>
        </w:tc>
        <w:tc>
          <w:tcPr>
            <w:tcW w:w="35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adjustRightInd w:val="0"/>
              <w:snapToGrid w:val="0"/>
              <w:spacing w:line="240" w:lineRule="auto"/>
              <w:ind w:firstLine="480"/>
              <w:jc w:val="center"/>
              <w:rPr>
                <w:rFonts w:cs="Times New Roman"/>
                <w:kern w:val="2"/>
              </w:rPr>
            </w:pPr>
          </w:p>
        </w:tc>
        <w:tc>
          <w:tcPr>
            <w:tcW w:w="18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adjustRightInd w:val="0"/>
              <w:snapToGrid w:val="0"/>
              <w:spacing w:line="240" w:lineRule="auto"/>
              <w:ind w:firstLine="480"/>
              <w:jc w:val="center"/>
              <w:rPr>
                <w:rFonts w:cs="Times New Roman"/>
                <w:kern w:val="2"/>
              </w:rPr>
            </w:pPr>
          </w:p>
        </w:tc>
      </w:tr>
    </w:tbl>
    <w:p>
      <w:pPr>
        <w:keepNext w:val="0"/>
        <w:keepLines w:val="0"/>
        <w:pageBreakBefore w:val="0"/>
        <w:widowControl w:val="0"/>
        <w:kinsoku/>
        <w:topLinePunct w:val="0"/>
        <w:autoSpaceDE/>
        <w:autoSpaceDN/>
        <w:bidi w:val="0"/>
        <w:adjustRightInd w:val="0"/>
        <w:snapToGrid w:val="0"/>
        <w:spacing w:line="360" w:lineRule="auto"/>
        <w:jc w:val="both"/>
        <w:rPr>
          <w:rFonts w:cs="Times New Roman"/>
          <w:b/>
          <w:u w:val="single"/>
        </w:rPr>
      </w:pPr>
      <w:r>
        <w:rPr>
          <w:rFonts w:hint="eastAsia" w:cs="Times New Roman"/>
          <w:kern w:val="2"/>
        </w:rPr>
        <w:t xml:space="preserve"> (3)不属于按规定必须招标的暂估的专业工程结算价款的确定方法：</w:t>
      </w:r>
      <w:r>
        <w:rPr>
          <w:rFonts w:hint="eastAsia" w:cs="Times New Roman"/>
          <w:u w:val="single"/>
        </w:rPr>
        <w:t>/。</w:t>
      </w:r>
    </w:p>
    <w:p>
      <w:pPr>
        <w:keepNext w:val="0"/>
        <w:keepLines w:val="0"/>
        <w:pageBreakBefore w:val="0"/>
        <w:widowControl w:val="0"/>
        <w:tabs>
          <w:tab w:val="left" w:pos="720"/>
          <w:tab w:val="left" w:pos="1620"/>
          <w:tab w:val="left" w:pos="2340"/>
        </w:tabs>
        <w:kinsoku/>
        <w:topLinePunct w:val="0"/>
        <w:autoSpaceDE/>
        <w:autoSpaceDN/>
        <w:bidi w:val="0"/>
        <w:adjustRightInd w:val="0"/>
        <w:snapToGrid w:val="0"/>
        <w:spacing w:line="360" w:lineRule="auto"/>
        <w:ind w:left="178"/>
        <w:jc w:val="left"/>
        <w:outlineLvl w:val="1"/>
        <w:rPr>
          <w:rFonts w:ascii="华文细黑" w:cs="Times New Roman"/>
          <w:b/>
          <w:bCs/>
          <w:snapToGrid w:val="0"/>
          <w:sz w:val="28"/>
          <w:szCs w:val="44"/>
        </w:rPr>
      </w:pPr>
      <w:bookmarkStart w:id="337" w:name="_Toc7470"/>
      <w:bookmarkStart w:id="338" w:name="_Toc13373"/>
      <w:bookmarkStart w:id="339" w:name="_Toc46325317"/>
      <w:bookmarkStart w:id="340" w:name="_Toc1999978"/>
      <w:r>
        <w:rPr>
          <w:rFonts w:ascii="华文细黑" w:cs="Times New Roman"/>
          <w:b/>
          <w:bCs/>
          <w:snapToGrid w:val="0"/>
          <w:sz w:val="28"/>
          <w:szCs w:val="44"/>
        </w:rPr>
        <w:t xml:space="preserve">22 </w:t>
      </w:r>
      <w:r>
        <w:rPr>
          <w:rFonts w:hint="eastAsia" w:ascii="华文细黑" w:cs="Times New Roman"/>
          <w:b/>
          <w:bCs/>
          <w:snapToGrid w:val="0"/>
          <w:sz w:val="28"/>
          <w:szCs w:val="44"/>
        </w:rPr>
        <w:t>工程量计量</w:t>
      </w:r>
      <w:bookmarkEnd w:id="337"/>
      <w:bookmarkEnd w:id="338"/>
      <w:bookmarkEnd w:id="339"/>
      <w:bookmarkEnd w:id="340"/>
    </w:p>
    <w:p>
      <w:pPr>
        <w:keepNext w:val="0"/>
        <w:keepLines w:val="0"/>
        <w:pageBreakBefore w:val="0"/>
        <w:widowControl w:val="0"/>
        <w:tabs>
          <w:tab w:val="left" w:pos="540"/>
          <w:tab w:val="left" w:pos="900"/>
          <w:tab w:val="left" w:pos="2340"/>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341" w:name="_Toc14819"/>
      <w:bookmarkStart w:id="342" w:name="_Toc8763"/>
      <w:bookmarkStart w:id="343" w:name="_Toc46325318"/>
      <w:bookmarkStart w:id="344" w:name="_Toc1999979"/>
      <w:r>
        <w:rPr>
          <w:rFonts w:hint="eastAsia" w:cs="Times New Roman"/>
          <w:b/>
          <w:bCs/>
          <w:kern w:val="2"/>
          <w:szCs w:val="32"/>
        </w:rPr>
        <w:t>22.3工程量计算规则</w:t>
      </w:r>
      <w:bookmarkEnd w:id="341"/>
      <w:bookmarkEnd w:id="342"/>
      <w:bookmarkEnd w:id="343"/>
      <w:bookmarkEnd w:id="344"/>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rPr>
        <w:t>本工程的工程量计算规则采用：</w:t>
      </w:r>
    </w:p>
    <w:p>
      <w:pPr>
        <w:keepNext w:val="0"/>
        <w:keepLines w:val="0"/>
        <w:pageBreakBefore w:val="0"/>
        <w:widowControl w:val="0"/>
        <w:kinsoku/>
        <w:topLinePunct w:val="0"/>
        <w:autoSpaceDE/>
        <w:autoSpaceDN/>
        <w:bidi w:val="0"/>
        <w:adjustRightInd w:val="0"/>
        <w:snapToGrid w:val="0"/>
        <w:spacing w:line="360" w:lineRule="auto"/>
        <w:ind w:left="178" w:firstLine="640"/>
        <w:jc w:val="left"/>
        <w:rPr>
          <w:rFonts w:cs="Times New Roman"/>
          <w:kern w:val="2"/>
        </w:rPr>
      </w:pPr>
      <w:r>
        <w:rPr>
          <w:rFonts w:ascii="Segoe UI Emoji" w:hAnsi="Segoe UI Emoji" w:eastAsia="MS Mincho" w:cs="Segoe UI Emoji"/>
          <w:kern w:val="2"/>
          <w:sz w:val="32"/>
          <w:szCs w:val="21"/>
        </w:rPr>
        <w:t>☑</w:t>
      </w:r>
      <w:r>
        <w:rPr>
          <w:rFonts w:hint="eastAsia" w:cs="Times New Roman"/>
          <w:kern w:val="2"/>
        </w:rPr>
        <w:t>《建设工程工程量清单计价规范》(GB50500—2013)；</w:t>
      </w:r>
    </w:p>
    <w:p>
      <w:pPr>
        <w:keepNext w:val="0"/>
        <w:keepLines w:val="0"/>
        <w:pageBreakBefore w:val="0"/>
        <w:widowControl w:val="0"/>
        <w:kinsoku/>
        <w:topLinePunct w:val="0"/>
        <w:autoSpaceDE/>
        <w:autoSpaceDN/>
        <w:bidi w:val="0"/>
        <w:adjustRightInd w:val="0"/>
        <w:snapToGrid w:val="0"/>
        <w:spacing w:line="360" w:lineRule="auto"/>
        <w:ind w:left="178" w:firstLine="640"/>
        <w:jc w:val="left"/>
        <w:rPr>
          <w:rFonts w:cs="Times New Roman"/>
          <w:kern w:val="2"/>
        </w:rPr>
      </w:pPr>
      <w:r>
        <w:rPr>
          <w:rFonts w:ascii="Segoe UI Emoji" w:hAnsi="Segoe UI Emoji" w:eastAsia="MS Mincho" w:cs="Segoe UI Emoji"/>
          <w:kern w:val="2"/>
          <w:sz w:val="32"/>
          <w:szCs w:val="21"/>
        </w:rPr>
        <w:t>☑</w:t>
      </w:r>
      <w:r>
        <w:rPr>
          <w:rFonts w:hint="eastAsia" w:cs="Times New Roman"/>
          <w:kern w:val="2"/>
        </w:rPr>
        <w:t>《深圳市建设工程计价规程》（2017）；</w:t>
      </w:r>
    </w:p>
    <w:p>
      <w:pPr>
        <w:keepNext w:val="0"/>
        <w:keepLines w:val="0"/>
        <w:pageBreakBefore w:val="0"/>
        <w:widowControl w:val="0"/>
        <w:kinsoku/>
        <w:topLinePunct w:val="0"/>
        <w:autoSpaceDE/>
        <w:autoSpaceDN/>
        <w:bidi w:val="0"/>
        <w:adjustRightInd w:val="0"/>
        <w:snapToGrid w:val="0"/>
        <w:spacing w:line="360" w:lineRule="auto"/>
        <w:ind w:left="178" w:firstLine="640"/>
        <w:jc w:val="left"/>
        <w:rPr>
          <w:rFonts w:ascii="Times New Roman" w:hAnsi="Times New Roman" w:cs="Times New Roman"/>
          <w:kern w:val="2"/>
          <w:sz w:val="21"/>
        </w:rPr>
      </w:pPr>
      <w:r>
        <w:rPr>
          <w:rFonts w:ascii="Times New Roman" w:hAnsi="Times New Roman" w:eastAsia="宋体" w:cs="Times New Roman"/>
          <w:kern w:val="0"/>
          <w:sz w:val="24"/>
          <w:szCs w:val="24"/>
        </w:rPr>
        <w:drawing>
          <wp:inline distT="0" distB="0" distL="0" distR="0">
            <wp:extent cx="152400" cy="141605"/>
            <wp:effectExtent l="0" t="0" r="0" b="10795"/>
            <wp:docPr id="142132147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21478" name="图片 9"/>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kern w:val="2"/>
        </w:rPr>
        <w:t xml:space="preserve">其它工程量计算规则： </w:t>
      </w:r>
    </w:p>
    <w:p>
      <w:pPr>
        <w:keepNext w:val="0"/>
        <w:keepLines w:val="0"/>
        <w:pageBreakBefore w:val="0"/>
        <w:widowControl/>
        <w:tabs>
          <w:tab w:val="left" w:pos="540"/>
          <w:tab w:val="left" w:pos="720"/>
          <w:tab w:val="left" w:pos="1620"/>
          <w:tab w:val="left" w:pos="2340"/>
        </w:tabs>
        <w:kinsoku/>
        <w:topLinePunct w:val="0"/>
        <w:autoSpaceDE/>
        <w:autoSpaceDN/>
        <w:bidi w:val="0"/>
        <w:adjustRightInd w:val="0"/>
        <w:snapToGrid w:val="0"/>
        <w:spacing w:line="360" w:lineRule="auto"/>
        <w:ind w:left="178"/>
        <w:jc w:val="left"/>
        <w:outlineLvl w:val="1"/>
        <w:rPr>
          <w:rFonts w:ascii="Times New Roman" w:cs="Times New Roman"/>
          <w:b/>
          <w:bCs/>
          <w:kern w:val="44"/>
          <w:sz w:val="28"/>
          <w:szCs w:val="28"/>
        </w:rPr>
      </w:pPr>
      <w:bookmarkStart w:id="345" w:name="_Toc46325319"/>
      <w:bookmarkStart w:id="346" w:name="_Toc1999980"/>
      <w:bookmarkStart w:id="347" w:name="_Toc23207"/>
      <w:bookmarkStart w:id="348" w:name="_Toc22479"/>
      <w:r>
        <w:rPr>
          <w:rFonts w:hint="eastAsia" w:ascii="Times New Roman" w:cs="Times New Roman"/>
          <w:b/>
          <w:bCs/>
          <w:kern w:val="44"/>
          <w:sz w:val="28"/>
          <w:szCs w:val="28"/>
        </w:rPr>
        <w:t>23 工程款支付</w:t>
      </w:r>
      <w:bookmarkEnd w:id="345"/>
      <w:bookmarkEnd w:id="346"/>
      <w:bookmarkEnd w:id="347"/>
      <w:bookmarkEnd w:id="348"/>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349" w:name="_Toc1999981"/>
      <w:bookmarkStart w:id="350" w:name="_Toc18300"/>
      <w:bookmarkStart w:id="351" w:name="_Toc12960"/>
      <w:bookmarkStart w:id="352" w:name="_Toc46325320"/>
      <w:r>
        <w:rPr>
          <w:rFonts w:hint="eastAsia" w:cs="Times New Roman"/>
          <w:b/>
          <w:bCs/>
          <w:kern w:val="2"/>
          <w:szCs w:val="32"/>
        </w:rPr>
        <w:t>23.1 工程预付款</w:t>
      </w:r>
      <w:bookmarkEnd w:id="349"/>
      <w:bookmarkEnd w:id="350"/>
      <w:bookmarkEnd w:id="351"/>
      <w:bookmarkEnd w:id="352"/>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u w:val="single"/>
        </w:rPr>
        <w:t>详见补充条款约定。</w:t>
      </w:r>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firstLine="482" w:firstLineChars="200"/>
        <w:jc w:val="left"/>
        <w:rPr>
          <w:rFonts w:hint="eastAsia" w:cs="Times New Roman"/>
          <w:b/>
          <w:bCs/>
          <w:kern w:val="2"/>
          <w:szCs w:val="32"/>
        </w:rPr>
      </w:pPr>
      <w:bookmarkStart w:id="353" w:name="_Toc1999982"/>
      <w:bookmarkStart w:id="354" w:name="_Toc46325321"/>
      <w:r>
        <w:rPr>
          <w:rFonts w:hint="eastAsia" w:cs="Times New Roman"/>
          <w:b/>
          <w:bCs/>
          <w:kern w:val="2"/>
          <w:szCs w:val="32"/>
        </w:rPr>
        <w:t>23.</w:t>
      </w:r>
      <w:r>
        <w:rPr>
          <w:rFonts w:cs="Times New Roman"/>
          <w:b/>
          <w:bCs/>
          <w:kern w:val="2"/>
          <w:szCs w:val="32"/>
        </w:rPr>
        <w:t>4</w:t>
      </w:r>
      <w:r>
        <w:rPr>
          <w:rFonts w:hint="eastAsia" w:cs="Times New Roman"/>
          <w:b/>
          <w:bCs/>
          <w:kern w:val="2"/>
          <w:szCs w:val="32"/>
        </w:rPr>
        <w:t xml:space="preserve"> 期中支付</w:t>
      </w:r>
      <w:bookmarkEnd w:id="353"/>
      <w:bookmarkEnd w:id="354"/>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firstLine="480" w:firstLineChars="200"/>
        <w:jc w:val="left"/>
        <w:rPr>
          <w:rFonts w:cs="Times New Roman"/>
          <w:kern w:val="2"/>
        </w:rPr>
      </w:pPr>
      <w:r>
        <w:rPr>
          <w:rFonts w:hint="eastAsia" w:cs="Times New Roman"/>
          <w:kern w:val="2"/>
          <w:u w:val="single"/>
        </w:rPr>
        <w:t>详见补充条款约定。</w:t>
      </w:r>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355" w:name="_Toc225"/>
      <w:bookmarkStart w:id="356" w:name="_Toc1999984"/>
      <w:bookmarkStart w:id="357" w:name="_Toc16546"/>
      <w:bookmarkStart w:id="358" w:name="_Toc46325322"/>
      <w:r>
        <w:rPr>
          <w:rFonts w:hint="eastAsia" w:cs="Times New Roman"/>
          <w:b/>
          <w:bCs/>
          <w:kern w:val="2"/>
          <w:szCs w:val="32"/>
        </w:rPr>
        <w:t>23.5 工人工资支付</w:t>
      </w:r>
      <w:bookmarkEnd w:id="355"/>
      <w:bookmarkEnd w:id="356"/>
      <w:bookmarkEnd w:id="357"/>
      <w:bookmarkEnd w:id="358"/>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u w:val="single"/>
        </w:rPr>
      </w:pPr>
      <w:r>
        <w:rPr>
          <w:rFonts w:hint="eastAsia" w:cs="Times New Roman"/>
          <w:kern w:val="2"/>
        </w:rPr>
        <w:t>本工程工人工资支付约定如下：</w:t>
      </w:r>
      <w:r>
        <w:rPr>
          <w:rFonts w:hint="eastAsia" w:cs="Times New Roman"/>
          <w:u w:val="single"/>
        </w:rPr>
        <w:t>（1）承包人必须严格按照国家、省、市等有关规定支付劳务工工资，不得拖欠或克扣。</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u w:val="single"/>
        </w:rPr>
      </w:pPr>
      <w:r>
        <w:rPr>
          <w:rFonts w:hint="eastAsia" w:cs="Times New Roman"/>
          <w:u w:val="single"/>
        </w:rPr>
        <w:t>（2）承包人应按照《国务院办公厅关于全面治理拖欠农民工工资问题的意见》（国办发〔2016〕1号）、《广东省人民政府办公厅关于全面治理拖欠异地务工人员工资问题的实施意见》（粤府办〔2016〕111号）、《省人力资源和社会保障厅、省公安厅、 省住房和城乡建设厅、省交通运输厅、省水利厅、省总工会关于开展解决拖欠农民工工资问题专项行动的通知》（粤人社明电〔2016〕54号）、《深圳市住建局关于印发全面治理工程建设领域拖欠劳务工工资问题专项治理行动实施方案的通知》（深建市场〔2016〕34号）等文件的要求实行劳务用工实名制、工资分账管理制度及上述文件规定的其他制度。</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u w:val="single"/>
        </w:rPr>
      </w:pPr>
      <w:r>
        <w:rPr>
          <w:rFonts w:hint="eastAsia" w:cs="Times New Roman"/>
          <w:u w:val="single"/>
        </w:rPr>
        <w:t>（3）承包人应按照《深圳市住房和建设局关于开设我市工程建设领域劳务工工资专用账户的指南》的要求为本项目设立劳务工工资专用账户，由承包人、发包人、开户银行订立三方协议，委托银行向劳务工个人账户按月划拨工资。承包人应按照发包人的要求提交该协议及与之相关的各类文件。</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u w:val="single"/>
        </w:rPr>
      </w:pPr>
      <w:r>
        <w:rPr>
          <w:rFonts w:hint="eastAsia" w:cs="Times New Roman"/>
          <w:u w:val="single"/>
        </w:rPr>
        <w:t>（4）因承包人未能履行上述义务导致的损失由承包人负责，包括但不限于无法办理施工许可证等。</w:t>
      </w:r>
    </w:p>
    <w:p>
      <w:pPr>
        <w:keepNext w:val="0"/>
        <w:keepLines w:val="0"/>
        <w:pageBreakBefore w:val="0"/>
        <w:widowControl w:val="0"/>
        <w:kinsoku/>
        <w:topLinePunct w:val="0"/>
        <w:autoSpaceDE/>
        <w:autoSpaceDN/>
        <w:bidi w:val="0"/>
        <w:adjustRightInd w:val="0"/>
        <w:snapToGrid w:val="0"/>
        <w:spacing w:line="360" w:lineRule="auto"/>
        <w:ind w:firstLine="480" w:firstLineChars="200"/>
        <w:jc w:val="left"/>
        <w:textAlignment w:val="baseline"/>
        <w:rPr>
          <w:rFonts w:cs="Times New Roman"/>
          <w:u w:val="single"/>
        </w:rPr>
      </w:pPr>
      <w:r>
        <w:rPr>
          <w:rFonts w:hint="eastAsia" w:cs="Times New Roman"/>
          <w:u w:val="single"/>
        </w:rPr>
        <w:t>（5）承包人为履行本条项下义务而发生的费用由承包人承担。承包人并应保证劳务分包人按照前述文件要求实行劳务用工实名制和工资分账管理制度。如因劳务分包人未履行相关义务引发的责任由承包人承担。</w:t>
      </w:r>
    </w:p>
    <w:p>
      <w:pPr>
        <w:keepNext w:val="0"/>
        <w:keepLines w:val="0"/>
        <w:pageBreakBefore w:val="0"/>
        <w:widowControl w:val="0"/>
        <w:kinsoku/>
        <w:topLinePunct w:val="0"/>
        <w:autoSpaceDE/>
        <w:autoSpaceDN/>
        <w:bidi w:val="0"/>
        <w:adjustRightInd w:val="0"/>
        <w:snapToGrid w:val="0"/>
        <w:spacing w:line="360" w:lineRule="auto"/>
        <w:ind w:firstLine="480" w:firstLineChars="200"/>
        <w:jc w:val="left"/>
        <w:textAlignment w:val="baseline"/>
        <w:rPr>
          <w:rFonts w:cs="Times New Roman"/>
          <w:u w:val="single"/>
        </w:rPr>
      </w:pPr>
      <w:r>
        <w:rPr>
          <w:rFonts w:hint="eastAsia" w:cs="Times New Roman"/>
          <w:u w:val="single"/>
        </w:rPr>
        <w:t>（6）按照《保障农民工工资支付条例》（国务院第724号令）第二十四条　建设单位应当向施工单位提供工程款支付担保。建设单位与施工总承包单位依法订立书面工程施工合同，应当约定工程款计量周期、工程款进度结算办法以及人工费用拨付周期，并按照保障农民工工资按时足额支付的要求约定人工费用。人工费用拨付周期不得超过1个月。建设单位与施工总承包单位应当将工程施工合同保存备查。第三十一条 工程建设领域推行分包单位农民工工资委托施工总承包单位代发制度。分包单位应当按月考核农民工工作量并编制工资支付表，经农民工本人签字确认后，与当月工程进度等情况一并交施工总承包单位。施工总承包单位根据分包单位编制的工资支付表，通过农民工工资专用账户直接将工资支付到农民工本人的银行账户，并向分包单位提供代发工资凭证。用于支付农民工工资的银行账户所绑定的农民工本人社会保障卡或者银行卡，用人单位或者其他人员不得以任何理由扣押或者变相扣押。第三十二条　施工总承包单位应当按照有关规定存储工资保证金，专项用于支付为所承包工程提供劳动的农民工被拖欠的工资。工资保证金实行差异化存储办法，对一定时期内未发生工资拖欠的单位实行减免措施，对发生工资拖欠的单位适当提高存储比例。工资保证金可以用金融机构保函替代。工资保证金的存储比例、存储形式、减免措施等具体办法，由国务院人力资源社会保障行政部门会同有关部门制定。保证在工程实施中落实到位。</w:t>
      </w:r>
    </w:p>
    <w:p>
      <w:pPr>
        <w:keepNext w:val="0"/>
        <w:keepLines w:val="0"/>
        <w:pageBreakBefore w:val="0"/>
        <w:widowControl w:val="0"/>
        <w:kinsoku/>
        <w:topLinePunct w:val="0"/>
        <w:autoSpaceDE/>
        <w:autoSpaceDN/>
        <w:bidi w:val="0"/>
        <w:adjustRightInd w:val="0"/>
        <w:snapToGrid w:val="0"/>
        <w:spacing w:line="360" w:lineRule="auto"/>
        <w:ind w:firstLine="480" w:firstLineChars="200"/>
        <w:jc w:val="left"/>
        <w:textAlignment w:val="baseline"/>
        <w:rPr>
          <w:rFonts w:ascii="Times New Roman" w:hAnsi="Times New Roman" w:cs="Times New Roman"/>
          <w:kern w:val="2"/>
          <w:u w:val="single" w:color="000000"/>
        </w:rPr>
      </w:pPr>
      <w:r>
        <w:rPr>
          <w:rFonts w:hint="eastAsia" w:ascii="Times New Roman" w:hAnsi="Times New Roman" w:cs="Times New Roman"/>
          <w:kern w:val="2"/>
          <w:u w:val="single" w:color="000000"/>
        </w:rPr>
        <w:t>（7</w:t>
      </w:r>
      <w:r>
        <w:rPr>
          <w:rFonts w:ascii="Times New Roman" w:hAnsi="Times New Roman" w:cs="Times New Roman"/>
          <w:kern w:val="2"/>
          <w:u w:val="single" w:color="000000"/>
        </w:rPr>
        <w:t>）承包人应按照当地的规定，根据劳动合同约定的工资标准、支付周期和日期，支付劳动者工资，不得以工程款被拖欠、结算纠纷、垫资施工等理由克扣劳动者工资。承包人应按照发包人的要求，开立农民工支付款专户，按照发包人要求及双方签订的合同，履行农民工工资的账户管理及支付。应符合政府主管部门颁布相关文件《深圳市住房和建设局关于切实推进劳务工实名制和分账制管理工作落地的通知》深建市场〔2017〕20号、《中国人民银行深圳市中心支行关于进一步明确深圳市开立农民工工资专用存款账户有关事项的通知》深人银发〔2018〕26号、《</w:t>
      </w:r>
      <w:r>
        <w:rPr>
          <w:rFonts w:hint="eastAsia" w:ascii="Times New Roman" w:hAnsi="Times New Roman" w:cs="Times New Roman"/>
          <w:kern w:val="2"/>
          <w:u w:val="single" w:color="000000"/>
        </w:rPr>
        <w:t>广东省建设工程领域工人工资支付专用账户管理办法》（人社规〔</w:t>
      </w:r>
      <w:r>
        <w:rPr>
          <w:rFonts w:ascii="Times New Roman" w:hAnsi="Times New Roman" w:cs="Times New Roman"/>
          <w:kern w:val="2"/>
          <w:u w:val="single" w:color="000000"/>
        </w:rPr>
        <w:t>2018〕14号）。</w:t>
      </w:r>
    </w:p>
    <w:p>
      <w:pPr>
        <w:keepNext w:val="0"/>
        <w:keepLines w:val="0"/>
        <w:pageBreakBefore w:val="0"/>
        <w:widowControl w:val="0"/>
        <w:kinsoku/>
        <w:topLinePunct w:val="0"/>
        <w:autoSpaceDE/>
        <w:autoSpaceDN/>
        <w:bidi w:val="0"/>
        <w:adjustRightInd w:val="0"/>
        <w:snapToGrid w:val="0"/>
        <w:spacing w:line="360" w:lineRule="auto"/>
        <w:ind w:firstLine="480" w:firstLineChars="200"/>
        <w:jc w:val="left"/>
        <w:textAlignment w:val="baseline"/>
        <w:rPr>
          <w:rFonts w:ascii="Times New Roman" w:hAnsi="Times New Roman" w:cs="Times New Roman"/>
          <w:kern w:val="2"/>
          <w:u w:val="single"/>
        </w:rPr>
      </w:pPr>
      <w:r>
        <w:rPr>
          <w:rFonts w:hint="eastAsia" w:ascii="Times New Roman" w:hAnsi="Times New Roman" w:cs="Times New Roman"/>
          <w:kern w:val="2"/>
          <w:u w:val="single" w:color="000000"/>
        </w:rPr>
        <w:t>（8</w:t>
      </w:r>
      <w:r>
        <w:rPr>
          <w:rFonts w:ascii="Times New Roman" w:hAnsi="Times New Roman" w:cs="Times New Roman"/>
          <w:kern w:val="2"/>
          <w:u w:val="single" w:color="000000"/>
        </w:rPr>
        <w:t>）承包人应当每月对劳动者应得的工资进行核算，并由劳动者本人签字。</w:t>
      </w:r>
    </w:p>
    <w:p>
      <w:pPr>
        <w:keepNext w:val="0"/>
        <w:keepLines w:val="0"/>
        <w:pageBreakBefore w:val="0"/>
        <w:widowControl w:val="0"/>
        <w:kinsoku/>
        <w:topLinePunct w:val="0"/>
        <w:autoSpaceDE/>
        <w:autoSpaceDN/>
        <w:bidi w:val="0"/>
        <w:adjustRightInd w:val="0"/>
        <w:snapToGrid w:val="0"/>
        <w:spacing w:line="360" w:lineRule="auto"/>
        <w:ind w:firstLine="480" w:firstLineChars="200"/>
        <w:jc w:val="left"/>
        <w:textAlignment w:val="baseline"/>
        <w:rPr>
          <w:rFonts w:ascii="Times New Roman" w:hAnsi="Times New Roman" w:cs="Times New Roman"/>
          <w:kern w:val="2"/>
          <w:u w:val="single"/>
        </w:rPr>
      </w:pPr>
      <w:r>
        <w:rPr>
          <w:rFonts w:hint="eastAsia" w:ascii="Times New Roman" w:hAnsi="Times New Roman" w:cs="Times New Roman"/>
          <w:kern w:val="2"/>
          <w:u w:val="single" w:color="000000"/>
        </w:rPr>
        <w:t>（9</w:t>
      </w:r>
      <w:r>
        <w:rPr>
          <w:rFonts w:ascii="Times New Roman" w:hAnsi="Times New Roman" w:cs="Times New Roman"/>
          <w:kern w:val="2"/>
          <w:u w:val="single" w:color="000000"/>
        </w:rPr>
        <w:t>）建筑施工企业应当至少每月向劳动者支付</w:t>
      </w:r>
      <w:r>
        <w:rPr>
          <w:rFonts w:hint="eastAsia" w:ascii="Times New Roman" w:hAnsi="Times New Roman" w:cs="Times New Roman"/>
          <w:kern w:val="2"/>
          <w:u w:val="single" w:color="000000"/>
        </w:rPr>
        <w:t>满额</w:t>
      </w:r>
      <w:r>
        <w:rPr>
          <w:rFonts w:ascii="Times New Roman" w:hAnsi="Times New Roman" w:cs="Times New Roman"/>
          <w:kern w:val="2"/>
          <w:u w:val="single" w:color="000000"/>
        </w:rPr>
        <w:t>工资。</w:t>
      </w:r>
    </w:p>
    <w:p>
      <w:pPr>
        <w:keepNext w:val="0"/>
        <w:keepLines w:val="0"/>
        <w:pageBreakBefore w:val="0"/>
        <w:widowControl w:val="0"/>
        <w:kinsoku/>
        <w:topLinePunct w:val="0"/>
        <w:autoSpaceDE/>
        <w:autoSpaceDN/>
        <w:bidi w:val="0"/>
        <w:adjustRightInd w:val="0"/>
        <w:snapToGrid w:val="0"/>
        <w:spacing w:line="360" w:lineRule="auto"/>
        <w:ind w:firstLine="480" w:firstLineChars="200"/>
        <w:jc w:val="left"/>
        <w:textAlignment w:val="baseline"/>
        <w:rPr>
          <w:rFonts w:ascii="Times New Roman" w:hAnsi="Times New Roman" w:cs="Times New Roman"/>
          <w:kern w:val="2"/>
          <w:u w:val="single"/>
        </w:rPr>
      </w:pPr>
      <w:r>
        <w:rPr>
          <w:rFonts w:hint="eastAsia" w:ascii="Times New Roman" w:hAnsi="Times New Roman" w:cs="Times New Roman"/>
          <w:kern w:val="2"/>
          <w:u w:val="single" w:color="000000"/>
        </w:rPr>
        <w:t>（10</w:t>
      </w:r>
      <w:r>
        <w:rPr>
          <w:rFonts w:ascii="Times New Roman" w:hAnsi="Times New Roman" w:cs="Times New Roman"/>
          <w:kern w:val="2"/>
          <w:u w:val="single" w:color="000000"/>
        </w:rPr>
        <w:t>）承包人应当将工资直接发放给劳动者本人，不得将工资发放给包工头或者不具备用工资格的其他组织或个人。</w:t>
      </w:r>
    </w:p>
    <w:p>
      <w:pPr>
        <w:keepNext w:val="0"/>
        <w:keepLines w:val="0"/>
        <w:pageBreakBefore w:val="0"/>
        <w:widowControl w:val="0"/>
        <w:kinsoku/>
        <w:topLinePunct w:val="0"/>
        <w:autoSpaceDE/>
        <w:autoSpaceDN/>
        <w:bidi w:val="0"/>
        <w:adjustRightInd w:val="0"/>
        <w:snapToGrid w:val="0"/>
        <w:spacing w:line="360" w:lineRule="auto"/>
        <w:ind w:firstLine="480" w:firstLineChars="200"/>
        <w:jc w:val="left"/>
        <w:textAlignment w:val="baseline"/>
        <w:rPr>
          <w:rFonts w:ascii="Times New Roman" w:hAnsi="Times New Roman" w:cs="Times New Roman"/>
          <w:kern w:val="2"/>
          <w:u w:val="single"/>
        </w:rPr>
      </w:pPr>
      <w:r>
        <w:rPr>
          <w:rFonts w:hint="eastAsia" w:ascii="Times New Roman" w:hAnsi="Times New Roman" w:cs="Times New Roman"/>
          <w:kern w:val="2"/>
          <w:u w:val="single" w:color="000000"/>
        </w:rPr>
        <w:t>（11</w:t>
      </w:r>
      <w:r>
        <w:rPr>
          <w:rFonts w:ascii="Times New Roman" w:hAnsi="Times New Roman" w:cs="Times New Roman"/>
          <w:kern w:val="2"/>
          <w:u w:val="single" w:color="000000"/>
        </w:rPr>
        <w:t>）承包人应当对劳动者出勤情况进行记录，作为发放工资的依据，并按照工资支付周期编制工资支付表，不得伪造、变造、隐匿、销毁出勤记录和工资支付表。</w:t>
      </w:r>
    </w:p>
    <w:p>
      <w:pPr>
        <w:keepNext w:val="0"/>
        <w:keepLines w:val="0"/>
        <w:pageBreakBefore w:val="0"/>
        <w:widowControl w:val="0"/>
        <w:kinsoku/>
        <w:topLinePunct w:val="0"/>
        <w:autoSpaceDE/>
        <w:autoSpaceDN/>
        <w:bidi w:val="0"/>
        <w:adjustRightInd w:val="0"/>
        <w:snapToGrid w:val="0"/>
        <w:spacing w:line="360" w:lineRule="auto"/>
        <w:ind w:firstLine="480" w:firstLineChars="200"/>
        <w:jc w:val="left"/>
        <w:textAlignment w:val="baseline"/>
        <w:rPr>
          <w:rFonts w:ascii="Times New Roman" w:hAnsi="Times New Roman" w:cs="Times New Roman"/>
          <w:kern w:val="2"/>
          <w:u w:val="single"/>
        </w:rPr>
      </w:pPr>
      <w:r>
        <w:rPr>
          <w:rFonts w:hint="eastAsia" w:ascii="Times New Roman" w:hAnsi="Times New Roman" w:cs="Times New Roman"/>
          <w:kern w:val="2"/>
          <w:u w:val="single" w:color="000000"/>
        </w:rPr>
        <w:t>（12</w:t>
      </w:r>
      <w:r>
        <w:rPr>
          <w:rFonts w:ascii="Times New Roman" w:hAnsi="Times New Roman" w:cs="Times New Roman"/>
          <w:kern w:val="2"/>
          <w:u w:val="single" w:color="000000"/>
        </w:rPr>
        <w:t>）承包人因暂时生产经营困难无法按劳动合同约定的日期支付工资的，应当向劳动者说明情况，并经与工会或职工代表协商一致后，可以延期支付工资，但最长不得超过30日，超过30日不支付劳动者工资的，属于无故拖欠工资行为。</w:t>
      </w:r>
    </w:p>
    <w:p>
      <w:pPr>
        <w:keepNext w:val="0"/>
        <w:keepLines w:val="0"/>
        <w:pageBreakBefore w:val="0"/>
        <w:widowControl w:val="0"/>
        <w:kinsoku/>
        <w:topLinePunct w:val="0"/>
        <w:autoSpaceDE/>
        <w:autoSpaceDN/>
        <w:bidi w:val="0"/>
        <w:adjustRightInd w:val="0"/>
        <w:snapToGrid w:val="0"/>
        <w:spacing w:line="360" w:lineRule="auto"/>
        <w:ind w:firstLine="480" w:firstLineChars="200"/>
        <w:jc w:val="left"/>
        <w:textAlignment w:val="baseline"/>
        <w:rPr>
          <w:rFonts w:ascii="Times New Roman" w:hAnsi="Times New Roman" w:cs="Times New Roman"/>
          <w:kern w:val="2"/>
          <w:u w:val="single"/>
        </w:rPr>
      </w:pPr>
      <w:r>
        <w:rPr>
          <w:rFonts w:hint="eastAsia" w:ascii="Times New Roman" w:hAnsi="Times New Roman" w:cs="Times New Roman"/>
          <w:kern w:val="2"/>
          <w:u w:val="single" w:color="000000"/>
        </w:rPr>
        <w:t>（13</w:t>
      </w:r>
      <w:r>
        <w:rPr>
          <w:rFonts w:ascii="Times New Roman" w:hAnsi="Times New Roman" w:cs="Times New Roman"/>
          <w:kern w:val="2"/>
          <w:u w:val="single" w:color="000000"/>
        </w:rPr>
        <w:t>）承包人与劳动者终止或者依法解除劳动合同，应当在办理终止或解除合同手续的同时一次性付清劳动者工资。</w:t>
      </w:r>
    </w:p>
    <w:p>
      <w:pPr>
        <w:keepNext w:val="0"/>
        <w:keepLines w:val="0"/>
        <w:pageBreakBefore w:val="0"/>
        <w:widowControl w:val="0"/>
        <w:kinsoku/>
        <w:topLinePunct w:val="0"/>
        <w:autoSpaceDE/>
        <w:autoSpaceDN/>
        <w:bidi w:val="0"/>
        <w:adjustRightInd w:val="0"/>
        <w:snapToGrid w:val="0"/>
        <w:spacing w:line="360" w:lineRule="auto"/>
        <w:ind w:firstLine="480" w:firstLineChars="200"/>
        <w:jc w:val="left"/>
        <w:textAlignment w:val="baseline"/>
        <w:rPr>
          <w:rFonts w:ascii="Times New Roman" w:hAnsi="Times New Roman" w:cs="Times New Roman"/>
          <w:kern w:val="2"/>
          <w:u w:val="single"/>
        </w:rPr>
      </w:pPr>
      <w:r>
        <w:rPr>
          <w:rFonts w:hint="eastAsia" w:ascii="Times New Roman" w:hAnsi="Times New Roman" w:cs="Times New Roman"/>
          <w:kern w:val="2"/>
          <w:u w:val="single" w:color="000000"/>
        </w:rPr>
        <w:t>（14</w:t>
      </w:r>
      <w:r>
        <w:rPr>
          <w:rFonts w:ascii="Times New Roman" w:hAnsi="Times New Roman" w:cs="Times New Roman"/>
          <w:kern w:val="2"/>
          <w:u w:val="single" w:color="000000"/>
        </w:rPr>
        <w:t>）承包人与劳动者之间的劳资纠纷，由承包人负责妥善解决，因承包人劳资纠纷影响本工程进度或对发包人造成其他损失</w:t>
      </w:r>
      <w:r>
        <w:rPr>
          <w:rFonts w:hint="eastAsia" w:ascii="Times New Roman" w:hAnsi="Times New Roman" w:cs="Times New Roman"/>
          <w:kern w:val="2"/>
          <w:u w:val="single" w:color="000000"/>
        </w:rPr>
        <w:t>的，由承包人按照本合同约定承担违约责任并赔偿发包人的全部损失。</w:t>
      </w:r>
    </w:p>
    <w:p>
      <w:pPr>
        <w:keepNext w:val="0"/>
        <w:keepLines w:val="0"/>
        <w:pageBreakBefore w:val="0"/>
        <w:widowControl w:val="0"/>
        <w:kinsoku/>
        <w:topLinePunct w:val="0"/>
        <w:autoSpaceDE/>
        <w:autoSpaceDN/>
        <w:bidi w:val="0"/>
        <w:adjustRightInd w:val="0"/>
        <w:snapToGrid w:val="0"/>
        <w:spacing w:line="360" w:lineRule="auto"/>
        <w:ind w:firstLine="480" w:firstLineChars="200"/>
        <w:jc w:val="left"/>
        <w:textAlignment w:val="baseline"/>
        <w:rPr>
          <w:rFonts w:ascii="Times New Roman" w:hAnsi="Times New Roman" w:cs="Times New Roman"/>
          <w:kern w:val="2"/>
          <w:u w:val="single"/>
        </w:rPr>
      </w:pPr>
      <w:r>
        <w:rPr>
          <w:rFonts w:hint="eastAsia" w:ascii="Times New Roman" w:hAnsi="Times New Roman" w:cs="Times New Roman"/>
          <w:kern w:val="2"/>
          <w:u w:val="single" w:color="000000"/>
        </w:rPr>
        <w:t>（15</w:t>
      </w:r>
      <w:r>
        <w:rPr>
          <w:rFonts w:ascii="Times New Roman" w:hAnsi="Times New Roman" w:cs="Times New Roman"/>
          <w:kern w:val="2"/>
          <w:u w:val="single" w:color="000000"/>
        </w:rPr>
        <w:t>）</w:t>
      </w:r>
      <w:r>
        <w:rPr>
          <w:rFonts w:hint="eastAsia" w:ascii="Times New Roman" w:hAnsi="Times New Roman" w:cs="Times New Roman"/>
          <w:kern w:val="2"/>
          <w:u w:val="single" w:color="000000"/>
        </w:rPr>
        <w:t>承包人</w:t>
      </w:r>
      <w:r>
        <w:rPr>
          <w:rFonts w:ascii="Times New Roman" w:hAnsi="Times New Roman" w:cs="Times New Roman"/>
          <w:kern w:val="2"/>
          <w:u w:val="single" w:color="000000"/>
        </w:rPr>
        <w:t>有拖欠、克</w:t>
      </w:r>
      <w:r>
        <w:rPr>
          <w:rFonts w:hint="eastAsia" w:ascii="Times New Roman" w:hAnsi="Times New Roman" w:cs="Times New Roman"/>
          <w:kern w:val="2"/>
          <w:u w:val="single" w:color="000000"/>
        </w:rPr>
        <w:t>扣工人劳动报酬行为的，发包人有权采取下列任一或全部措施，承包人并应赔偿因此而给发包人造成的一切损失：①在承包人工程款中扣除相应款项，直接支付给承包人所属工人，②解除合同。</w:t>
      </w:r>
    </w:p>
    <w:p>
      <w:pPr>
        <w:keepNext w:val="0"/>
        <w:keepLines w:val="0"/>
        <w:pageBreakBefore w:val="0"/>
        <w:widowControl w:val="0"/>
        <w:kinsoku/>
        <w:topLinePunct w:val="0"/>
        <w:autoSpaceDE/>
        <w:autoSpaceDN/>
        <w:bidi w:val="0"/>
        <w:adjustRightInd w:val="0"/>
        <w:snapToGrid w:val="0"/>
        <w:spacing w:line="360" w:lineRule="auto"/>
        <w:ind w:firstLine="480" w:firstLineChars="200"/>
        <w:jc w:val="both"/>
        <w:textAlignment w:val="baseline"/>
        <w:rPr>
          <w:rFonts w:ascii="Times New Roman" w:hAnsi="Times New Roman" w:cs="Times New Roman"/>
          <w:kern w:val="2"/>
          <w:u w:val="single" w:color="000000"/>
        </w:rPr>
      </w:pPr>
      <w:r>
        <w:rPr>
          <w:rFonts w:hint="eastAsia" w:ascii="Times New Roman" w:hAnsi="Times New Roman" w:cs="Times New Roman"/>
          <w:kern w:val="2"/>
          <w:u w:val="single" w:color="000000"/>
        </w:rPr>
        <w:t>（16</w:t>
      </w:r>
      <w:r>
        <w:rPr>
          <w:rFonts w:ascii="Times New Roman" w:hAnsi="Times New Roman" w:cs="Times New Roman"/>
          <w:kern w:val="2"/>
          <w:u w:val="single" w:color="000000"/>
        </w:rPr>
        <w:t>）</w:t>
      </w:r>
      <w:r>
        <w:rPr>
          <w:rFonts w:hint="eastAsia" w:ascii="Times New Roman" w:hAnsi="Times New Roman" w:cs="Times New Roman"/>
          <w:kern w:val="2"/>
          <w:u w:val="single" w:color="000000"/>
        </w:rPr>
        <w:t>承包人依法根据本合同将工程分包的，对分包单位向其包括农民工在内的所有工人支付工资等劳动报酬承担连带责任，凡分包单位拖欠、克扣工人劳动报酬的，由承包人负责对分包单位所属工人直接支付，所需款项在分包工程款中扣除。承包人未及时履行该连带责任的，发包人有权在承包人工程款中直接扣除相应款项，支付给分包单位所属工人。</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bCs/>
          <w:kern w:val="2"/>
          <w:u w:val="single"/>
        </w:rPr>
      </w:pPr>
      <w:r>
        <w:rPr>
          <w:rFonts w:hint="eastAsia" w:ascii="Times New Roman" w:hAnsi="Times New Roman" w:cs="Times New Roman"/>
          <w:kern w:val="2"/>
          <w:u w:val="single" w:color="000000"/>
        </w:rPr>
        <w:t>（17）竣工验收之前需付清劳动者工资。</w:t>
      </w:r>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359" w:name="_Toc1999985"/>
      <w:bookmarkStart w:id="360" w:name="_Toc46325323"/>
      <w:bookmarkStart w:id="361" w:name="_Toc1779"/>
      <w:bookmarkStart w:id="362" w:name="_Toc17587"/>
      <w:r>
        <w:rPr>
          <w:rFonts w:hint="eastAsia" w:cs="Times New Roman"/>
          <w:b/>
          <w:bCs/>
          <w:kern w:val="2"/>
          <w:szCs w:val="32"/>
        </w:rPr>
        <w:t>23.6 工程款专款专用</w:t>
      </w:r>
      <w:bookmarkEnd w:id="359"/>
      <w:bookmarkEnd w:id="360"/>
      <w:bookmarkEnd w:id="361"/>
      <w:bookmarkEnd w:id="362"/>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highlight w:val="none"/>
        </w:rPr>
      </w:pPr>
      <w:r>
        <w:rPr>
          <w:rFonts w:hint="eastAsia" w:cs="Times New Roman"/>
          <w:kern w:val="2"/>
          <w:highlight w:val="none"/>
        </w:rPr>
        <w:t>发包人有权采取以下方式对对承包人的工程款使用情况进行监管：</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highlight w:val="none"/>
        </w:rPr>
      </w:pPr>
      <w:r>
        <w:rPr>
          <w:rFonts w:ascii="Wingdings 2" w:hAnsi="Wingdings 2" w:cs="Segoe UI Emoji"/>
          <w:kern w:val="2"/>
          <w:sz w:val="32"/>
          <w:szCs w:val="21"/>
          <w:highlight w:val="none"/>
        </w:rPr>
        <w:sym w:font="Wingdings 2" w:char="F052"/>
      </w:r>
      <w:r>
        <w:rPr>
          <w:rFonts w:hint="eastAsia" w:cs="Times New Roman"/>
          <w:b/>
          <w:kern w:val="2"/>
          <w:highlight w:val="none"/>
        </w:rPr>
        <w:t>资金共管</w:t>
      </w:r>
      <w:r>
        <w:rPr>
          <w:rFonts w:hint="eastAsia" w:cs="Times New Roman"/>
          <w:kern w:val="2"/>
          <w:highlight w:val="none"/>
        </w:rPr>
        <w:t>：发包人可要求承包人建立共管账户，工程进度款支付到以发包人名义设立的共管账户中，承包人对外向外支付时需得到发包人的批准，并加盖发包人指定人员的印签。资金共管的范围包括但不限于工程预付款、工程进度款、安全文明措施费等。</w:t>
      </w:r>
    </w:p>
    <w:p>
      <w:pPr>
        <w:keepNext w:val="0"/>
        <w:keepLines w:val="0"/>
        <w:pageBreakBefore w:val="0"/>
        <w:widowControl w:val="0"/>
        <w:kinsoku/>
        <w:topLinePunct w:val="0"/>
        <w:autoSpaceDE/>
        <w:autoSpaceDN/>
        <w:bidi w:val="0"/>
        <w:adjustRightInd w:val="0"/>
        <w:snapToGrid w:val="0"/>
        <w:spacing w:line="360" w:lineRule="auto"/>
        <w:ind w:firstLine="480" w:firstLineChars="150"/>
        <w:jc w:val="left"/>
        <w:rPr>
          <w:rFonts w:cs="Times New Roman"/>
          <w:kern w:val="2"/>
          <w:highlight w:val="none"/>
        </w:rPr>
      </w:pPr>
      <w:r>
        <w:rPr>
          <w:rFonts w:ascii="Wingdings 2" w:hAnsi="Wingdings 2" w:cs="Segoe UI Emoji"/>
          <w:kern w:val="2"/>
          <w:sz w:val="32"/>
          <w:szCs w:val="21"/>
          <w:highlight w:val="none"/>
        </w:rPr>
        <w:sym w:font="Wingdings 2" w:char="F052"/>
      </w:r>
      <w:r>
        <w:rPr>
          <w:rFonts w:hint="eastAsia" w:cs="Times New Roman"/>
          <w:b/>
          <w:kern w:val="2"/>
          <w:highlight w:val="none"/>
        </w:rPr>
        <w:t>暂停支付</w:t>
      </w:r>
      <w:r>
        <w:rPr>
          <w:rFonts w:hint="eastAsia" w:cs="Times New Roman"/>
          <w:kern w:val="2"/>
          <w:highlight w:val="none"/>
        </w:rPr>
        <w:t>：发包人有权在下一期中支付时暂停支付与承包人挪用款额相等的工程款；</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highlight w:val="none"/>
        </w:rPr>
      </w:pPr>
      <w:r>
        <w:rPr>
          <w:rFonts w:ascii="Wingdings 2" w:hAnsi="Wingdings 2" w:cs="Segoe UI Emoji"/>
          <w:kern w:val="2"/>
          <w:sz w:val="32"/>
          <w:szCs w:val="21"/>
          <w:highlight w:val="none"/>
        </w:rPr>
        <w:sym w:font="Wingdings 2" w:char="F052"/>
      </w:r>
      <w:r>
        <w:rPr>
          <w:rFonts w:hint="eastAsia" w:cs="Times New Roman"/>
          <w:b/>
          <w:kern w:val="2"/>
          <w:highlight w:val="none"/>
        </w:rPr>
        <w:t>代付分包工程款和材料款</w:t>
      </w:r>
      <w:r>
        <w:rPr>
          <w:rFonts w:hint="eastAsia" w:cs="Times New Roman"/>
          <w:kern w:val="2"/>
          <w:highlight w:val="none"/>
        </w:rPr>
        <w:t>：发包人有权根据承包人与分包人(含劳务分包人)、材料供应商的期中结算，在应付承包人的进度款中扣除并代为支付该期分包工程款与材料款；</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highlight w:val="none"/>
        </w:rPr>
      </w:pPr>
      <w:r>
        <w:rPr>
          <w:rFonts w:ascii="Wingdings 2" w:hAnsi="Wingdings 2" w:cs="Segoe UI Emoji"/>
          <w:kern w:val="2"/>
          <w:sz w:val="32"/>
          <w:szCs w:val="21"/>
          <w:highlight w:val="none"/>
        </w:rPr>
        <w:sym w:font="Wingdings 2" w:char="F052"/>
      </w:r>
      <w:r>
        <w:rPr>
          <w:rFonts w:hint="eastAsia" w:cs="Times New Roman"/>
          <w:b/>
          <w:kern w:val="2"/>
          <w:highlight w:val="none"/>
        </w:rPr>
        <w:t>代付分包工程款和材料款</w:t>
      </w:r>
      <w:r>
        <w:rPr>
          <w:rFonts w:hint="eastAsia" w:cs="Times New Roman"/>
          <w:kern w:val="2"/>
          <w:highlight w:val="none"/>
        </w:rPr>
        <w:t>：发包人有权根据承包人与分包人(含劳务分包人)、材料供应商的期中结算，在应付承包人的进度款中扣除并代为支付该期分包工程款与材料款；</w:t>
      </w:r>
    </w:p>
    <w:p>
      <w:pPr>
        <w:keepNext w:val="0"/>
        <w:keepLines w:val="0"/>
        <w:pageBreakBefore w:val="0"/>
        <w:widowControl w:val="0"/>
        <w:kinsoku/>
        <w:topLinePunct w:val="0"/>
        <w:autoSpaceDE/>
        <w:autoSpaceDN/>
        <w:bidi w:val="0"/>
        <w:adjustRightInd w:val="0"/>
        <w:snapToGrid w:val="0"/>
        <w:spacing w:line="360" w:lineRule="auto"/>
        <w:ind w:firstLine="640" w:firstLineChars="200"/>
        <w:jc w:val="both"/>
        <w:rPr>
          <w:kern w:val="2"/>
          <w:highlight w:val="none"/>
        </w:rPr>
      </w:pPr>
      <w:r>
        <w:rPr>
          <w:rFonts w:ascii="Wingdings 2" w:hAnsi="Wingdings 2" w:cs="Segoe UI Emoji"/>
          <w:kern w:val="2"/>
          <w:sz w:val="32"/>
          <w:szCs w:val="21"/>
          <w:highlight w:val="none"/>
        </w:rPr>
        <w:sym w:font="Wingdings 2" w:char="F052"/>
      </w:r>
      <w:r>
        <w:rPr>
          <w:rFonts w:hint="eastAsia" w:cs="Times New Roman"/>
          <w:kern w:val="2"/>
          <w:highlight w:val="none"/>
        </w:rPr>
        <w:t>其他：</w:t>
      </w:r>
      <w:r>
        <w:rPr>
          <w:rFonts w:hint="eastAsia"/>
          <w:kern w:val="2"/>
          <w:highlight w:val="none"/>
        </w:rPr>
        <w:t>发包人要求承包人建立监管账户，工程进度款支付到以承包人名义设立的监管账户中，承包人向外支付时，需</w:t>
      </w:r>
      <w:r>
        <w:rPr>
          <w:rFonts w:hint="eastAsia" w:cs="仿宋_GB2312"/>
          <w:szCs w:val="21"/>
          <w:highlight w:val="none"/>
        </w:rPr>
        <w:t>提交支付名单和《资金使用计划（预算）》给发包人审核；在发包人批准的名单和计划内，承包人提交支付指令及银行需要的相关资料（相关合同、票据等），由银行进行逐笔审批单笔支付</w:t>
      </w:r>
      <w:r>
        <w:rPr>
          <w:rFonts w:hint="eastAsia"/>
          <w:kern w:val="2"/>
          <w:highlight w:val="none"/>
        </w:rPr>
        <w:t>。资金共管的范围包括但不限于工程预付款、工程进度款、安全文明措施费等。</w:t>
      </w:r>
    </w:p>
    <w:p>
      <w:pPr>
        <w:keepNext w:val="0"/>
        <w:keepLines w:val="0"/>
        <w:pageBreakBefore w:val="0"/>
        <w:widowControl w:val="0"/>
        <w:kinsoku/>
        <w:topLinePunct w:val="0"/>
        <w:autoSpaceDE/>
        <w:autoSpaceDN/>
        <w:bidi w:val="0"/>
        <w:adjustRightInd w:val="0"/>
        <w:snapToGrid w:val="0"/>
        <w:spacing w:line="360" w:lineRule="auto"/>
        <w:ind w:firstLine="480" w:firstLineChars="200"/>
        <w:jc w:val="both"/>
        <w:rPr>
          <w:kern w:val="2"/>
          <w:highlight w:val="none"/>
        </w:rPr>
      </w:pPr>
      <w:r>
        <w:rPr>
          <w:rFonts w:hint="eastAsia"/>
          <w:kern w:val="2"/>
          <w:highlight w:val="none"/>
        </w:rPr>
        <w:t>资金监管协议书参考模板详见附件5。</w:t>
      </w:r>
    </w:p>
    <w:p>
      <w:pPr>
        <w:keepNext w:val="0"/>
        <w:keepLines w:val="0"/>
        <w:pageBreakBefore w:val="0"/>
        <w:widowControl/>
        <w:tabs>
          <w:tab w:val="left" w:pos="540"/>
          <w:tab w:val="left" w:pos="720"/>
          <w:tab w:val="left" w:pos="1620"/>
          <w:tab w:val="left" w:pos="2340"/>
        </w:tabs>
        <w:kinsoku/>
        <w:topLinePunct w:val="0"/>
        <w:autoSpaceDE/>
        <w:autoSpaceDN/>
        <w:bidi w:val="0"/>
        <w:adjustRightInd w:val="0"/>
        <w:snapToGrid w:val="0"/>
        <w:spacing w:line="360" w:lineRule="auto"/>
        <w:ind w:left="178"/>
        <w:jc w:val="left"/>
        <w:outlineLvl w:val="1"/>
        <w:rPr>
          <w:rFonts w:ascii="Times New Roman" w:cs="Times New Roman"/>
          <w:b/>
          <w:bCs/>
          <w:kern w:val="44"/>
          <w:sz w:val="28"/>
          <w:szCs w:val="28"/>
          <w:highlight w:val="none"/>
        </w:rPr>
      </w:pPr>
      <w:bookmarkStart w:id="363" w:name="_Toc1999986"/>
      <w:bookmarkStart w:id="364" w:name="_Toc3238"/>
      <w:bookmarkStart w:id="365" w:name="_Toc46325324"/>
      <w:bookmarkStart w:id="366" w:name="_Toc19817"/>
      <w:r>
        <w:rPr>
          <w:rFonts w:hint="eastAsia" w:ascii="Times New Roman" w:cs="Times New Roman"/>
          <w:b/>
          <w:bCs/>
          <w:kern w:val="44"/>
          <w:sz w:val="28"/>
          <w:szCs w:val="28"/>
          <w:highlight w:val="none"/>
        </w:rPr>
        <w:t>24 工程变更</w:t>
      </w:r>
      <w:bookmarkEnd w:id="363"/>
      <w:bookmarkEnd w:id="364"/>
      <w:bookmarkEnd w:id="365"/>
      <w:bookmarkEnd w:id="366"/>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bCs/>
          <w:kern w:val="2"/>
          <w:highlight w:val="none"/>
          <w:u w:val="single"/>
        </w:rPr>
      </w:pPr>
      <w:r>
        <w:rPr>
          <w:rFonts w:hint="eastAsia" w:cs="Times New Roman"/>
          <w:kern w:val="2"/>
          <w:highlight w:val="none"/>
        </w:rPr>
        <w:t>本工程的工程变更(包括设计变更、现场签证等)的管理规定如下：</w:t>
      </w:r>
      <w:r>
        <w:rPr>
          <w:rFonts w:hint="eastAsia"/>
          <w:highlight w:val="none"/>
          <w:u w:val="single"/>
        </w:rPr>
        <w:t>按发包人提供文件为准。</w:t>
      </w:r>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highlight w:val="none"/>
        </w:rPr>
      </w:pPr>
      <w:bookmarkStart w:id="367" w:name="_Toc22265"/>
      <w:bookmarkStart w:id="368" w:name="_Toc26566"/>
      <w:bookmarkStart w:id="369" w:name="_Toc46325326"/>
      <w:bookmarkStart w:id="370" w:name="_Toc1999988"/>
      <w:r>
        <w:rPr>
          <w:rFonts w:hint="eastAsia" w:cs="Times New Roman"/>
          <w:b/>
          <w:bCs/>
          <w:kern w:val="2"/>
          <w:szCs w:val="32"/>
          <w:highlight w:val="none"/>
        </w:rPr>
        <w:t>24.6 价值工程</w:t>
      </w:r>
      <w:bookmarkEnd w:id="367"/>
      <w:bookmarkEnd w:id="368"/>
      <w:bookmarkEnd w:id="369"/>
      <w:bookmarkEnd w:id="370"/>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highlight w:val="none"/>
          <w:u w:val="single"/>
        </w:rPr>
      </w:pPr>
      <w:r>
        <w:rPr>
          <w:rFonts w:hint="eastAsia" w:cs="Times New Roman"/>
          <w:kern w:val="2"/>
          <w:highlight w:val="none"/>
        </w:rPr>
        <w:t>(3)发包人同意采用承包人合理化建议，所发生的费用和获得的收益按以下约定分担或分享：</w:t>
      </w:r>
      <w:r>
        <w:rPr>
          <w:rFonts w:hint="eastAsia" w:cs="Times New Roman"/>
          <w:kern w:val="2"/>
          <w:highlight w:val="none"/>
          <w:u w:val="single"/>
        </w:rPr>
        <w:t xml:space="preserve"> /。</w:t>
      </w:r>
    </w:p>
    <w:p>
      <w:pPr>
        <w:keepNext w:val="0"/>
        <w:keepLines w:val="0"/>
        <w:pageBreakBefore w:val="0"/>
        <w:widowControl/>
        <w:tabs>
          <w:tab w:val="left" w:pos="540"/>
          <w:tab w:val="left" w:pos="720"/>
          <w:tab w:val="left" w:pos="1620"/>
          <w:tab w:val="left" w:pos="2340"/>
        </w:tabs>
        <w:kinsoku/>
        <w:topLinePunct w:val="0"/>
        <w:autoSpaceDE/>
        <w:autoSpaceDN/>
        <w:bidi w:val="0"/>
        <w:adjustRightInd w:val="0"/>
        <w:snapToGrid w:val="0"/>
        <w:spacing w:line="360" w:lineRule="auto"/>
        <w:ind w:left="178"/>
        <w:jc w:val="left"/>
        <w:outlineLvl w:val="1"/>
        <w:rPr>
          <w:rFonts w:ascii="Times New Roman" w:cs="Times New Roman"/>
          <w:b/>
          <w:bCs/>
          <w:kern w:val="44"/>
          <w:sz w:val="28"/>
          <w:szCs w:val="28"/>
          <w:highlight w:val="none"/>
        </w:rPr>
      </w:pPr>
      <w:bookmarkStart w:id="371" w:name="_Toc28462"/>
      <w:bookmarkStart w:id="372" w:name="_Toc1999989"/>
      <w:bookmarkStart w:id="373" w:name="_Toc11941"/>
      <w:bookmarkStart w:id="374" w:name="_Toc46325327"/>
      <w:r>
        <w:rPr>
          <w:rFonts w:hint="eastAsia" w:ascii="Times New Roman" w:cs="Times New Roman"/>
          <w:b/>
          <w:bCs/>
          <w:kern w:val="44"/>
          <w:sz w:val="28"/>
          <w:szCs w:val="28"/>
          <w:highlight w:val="none"/>
        </w:rPr>
        <w:t>25 工程变更价款</w:t>
      </w:r>
      <w:bookmarkEnd w:id="371"/>
      <w:bookmarkEnd w:id="372"/>
      <w:bookmarkEnd w:id="373"/>
      <w:bookmarkEnd w:id="374"/>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highlight w:val="none"/>
        </w:rPr>
      </w:pPr>
      <w:bookmarkStart w:id="375" w:name="_Toc13906"/>
      <w:bookmarkStart w:id="376" w:name="_Toc27707"/>
      <w:bookmarkStart w:id="377" w:name="_Toc1999990"/>
      <w:bookmarkStart w:id="378" w:name="_Toc46325328"/>
      <w:r>
        <w:rPr>
          <w:rFonts w:hint="eastAsia" w:cs="Times New Roman"/>
          <w:b/>
          <w:bCs/>
          <w:kern w:val="2"/>
          <w:szCs w:val="32"/>
          <w:highlight w:val="none"/>
        </w:rPr>
        <w:t>25.1 工程变更价款的确定方法</w:t>
      </w:r>
      <w:bookmarkEnd w:id="375"/>
      <w:bookmarkEnd w:id="376"/>
      <w:bookmarkEnd w:id="377"/>
      <w:bookmarkEnd w:id="378"/>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bCs/>
          <w:kern w:val="2"/>
          <w:highlight w:val="none"/>
          <w:u w:val="single"/>
        </w:rPr>
      </w:pPr>
      <w:r>
        <w:rPr>
          <w:rFonts w:hint="eastAsia" w:cs="Times New Roman"/>
          <w:kern w:val="2"/>
          <w:highlight w:val="none"/>
        </w:rPr>
        <w:t>(2)合同价格构成中的工程量清单项目单价中只有类似于变更工程的项目单价，可以参照类似项目单价确定变更价款。类似项目的定义为：</w:t>
      </w:r>
      <w:r>
        <w:rPr>
          <w:rFonts w:hint="eastAsia" w:cs="Times New Roman"/>
          <w:highlight w:val="none"/>
          <w:u w:val="single"/>
        </w:rPr>
        <w:t>采用的材料、施工工艺和方法基本相似，不增加关键线路上工程的施工时间的项目。</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bCs/>
          <w:kern w:val="2"/>
          <w:u w:val="single"/>
        </w:rPr>
      </w:pPr>
      <w:r>
        <w:rPr>
          <w:rFonts w:hint="eastAsia" w:cs="Times New Roman"/>
          <w:kern w:val="2"/>
          <w:highlight w:val="none"/>
        </w:rPr>
        <w:t>(3)合同价格构成中的工程量清单项目单价中没有适用或类似于变更工程的项目单</w:t>
      </w:r>
      <w:r>
        <w:rPr>
          <w:rFonts w:hint="eastAsia" w:cs="Times New Roman"/>
          <w:kern w:val="2"/>
        </w:rPr>
        <w:t>价时变更价款的确定方法：</w:t>
      </w:r>
      <w:r>
        <w:rPr>
          <w:rFonts w:hint="eastAsia" w:cs="Times New Roman"/>
          <w:kern w:val="2"/>
          <w:u w:val="single"/>
        </w:rPr>
        <w:t>详见补充条款</w:t>
      </w:r>
      <w:r>
        <w:rPr>
          <w:rFonts w:cs="Times New Roman"/>
          <w:kern w:val="2"/>
          <w:u w:val="single"/>
        </w:rPr>
        <w:t>约定。</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(4)工程量清单中项目工程量增减幅度：</w:t>
      </w:r>
      <w:r>
        <w:rPr>
          <w:rFonts w:hint="eastAsia" w:cs="Times New Roman"/>
          <w:kern w:val="2"/>
          <w:u w:val="single"/>
        </w:rPr>
        <w:t>合同单价为固定综合单价，不因工程量变化而改变（本合同约定的不平衡报价除外）。</w:t>
      </w:r>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b/>
          <w:kern w:val="2"/>
        </w:rPr>
      </w:pPr>
      <w:bookmarkStart w:id="379" w:name="_Toc691"/>
      <w:bookmarkStart w:id="380" w:name="_Toc46325329"/>
      <w:bookmarkStart w:id="381" w:name="_Toc1999991"/>
      <w:r>
        <w:rPr>
          <w:rFonts w:hint="eastAsia"/>
          <w:b/>
          <w:kern w:val="2"/>
        </w:rPr>
        <w:t>25.2 工程变更引起措施项目的调整</w:t>
      </w:r>
      <w:bookmarkEnd w:id="379"/>
    </w:p>
    <w:bookmarkEnd w:id="380"/>
    <w:bookmarkEnd w:id="381"/>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bCs/>
          <w:kern w:val="2"/>
          <w:u w:val="single"/>
        </w:rPr>
      </w:pPr>
      <w:r>
        <w:rPr>
          <w:rFonts w:hint="eastAsia" w:cs="Times New Roman"/>
          <w:kern w:val="2"/>
        </w:rPr>
        <w:t>(3)工程变更引起措施项目费调整的，其调整方法为：</w:t>
      </w:r>
      <w:r>
        <w:rPr>
          <w:rFonts w:hint="eastAsia" w:cs="Times New Roman"/>
          <w:kern w:val="2"/>
          <w:u w:val="single"/>
        </w:rPr>
        <w:t>详见补充条款</w:t>
      </w:r>
      <w:r>
        <w:rPr>
          <w:rFonts w:cs="Times New Roman"/>
          <w:kern w:val="2"/>
          <w:u w:val="single"/>
        </w:rPr>
        <w:t>约定。</w:t>
      </w:r>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382" w:name="_Toc16539"/>
      <w:bookmarkStart w:id="383" w:name="_Toc46325330"/>
      <w:bookmarkStart w:id="384" w:name="_Toc4541"/>
      <w:bookmarkStart w:id="385" w:name="_Toc1999992"/>
      <w:r>
        <w:rPr>
          <w:rFonts w:hint="eastAsia" w:cs="Times New Roman"/>
          <w:b/>
          <w:bCs/>
          <w:kern w:val="2"/>
          <w:szCs w:val="32"/>
        </w:rPr>
        <w:t>25.3 工程变更价款的确定程序</w:t>
      </w:r>
      <w:bookmarkEnd w:id="382"/>
      <w:bookmarkEnd w:id="383"/>
      <w:bookmarkEnd w:id="384"/>
      <w:bookmarkEnd w:id="385"/>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rPr>
        <w:t>本工程的工程变更价款按以下程序进行确定：</w:t>
      </w:r>
      <w:r>
        <w:rPr>
          <w:rFonts w:hint="eastAsia" w:cs="Times New Roman"/>
          <w:kern w:val="2"/>
          <w:u w:val="single"/>
        </w:rPr>
        <w:t>(1)承包人在收到工程变更指令后14日内，提出变更工程价款的报告（并附变更预算明细资料，包括完整的变更工程量计算书及综合单价分析详表，）提交监理人，监理人审核并签署明确意见后转呈发包人。发包人组织造价咨询单位根据合同条款约定审核确定变更工程费用；承包人在收到工程变更指令后14日内不向监理人提出变更工程价款报告时，当工程变更涉及增加工程造价的，视为该项变更不涉及合同价款的变更；当工程变更涉及减少工程造价时，若承包人在收到工程变更指令后14日内不向监理人提出变更工程价款报告，视为其认可监理人随后自行确认的工程价款变化。</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u w:val="single"/>
        </w:rPr>
        <w:t xml:space="preserve">(2)承包人在收到工程变更指令后不按照合同约定的时间向监理人提出报告的，视为该变更不涉及工程价款增加，合同价款不予调整，且不涉及顺延工期，工期不予调整。有可能调减的项目，则视为承包人无条件接受发包人的调减结果。对此，承包人不得拒绝对工程变更指令所涉及变更工程内容的施工。 </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u w:val="single"/>
        </w:rPr>
        <w:t>(3)承包人应提交详细费用预算报告及相关的图纸等资料，以供发包人和发包人委托的造价咨询单位进行审核。若双方就费用审核不能达成一致，则发包人有权在同等价格水平下将该变更给第三方进行施工，并向承包人收取第三方委托价格15%的管理费用。承包人不得以此为由进行费用及/或工期索赔。</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bCs/>
          <w:kern w:val="2"/>
          <w:u w:val="single"/>
        </w:rPr>
      </w:pPr>
      <w:r>
        <w:rPr>
          <w:rFonts w:hint="eastAsia" w:cs="Times New Roman"/>
          <w:kern w:val="2"/>
          <w:u w:val="single"/>
        </w:rPr>
        <w:t>(4)作为有经验的承包人，根据施工进度计划的情况下提前（需提前合理的时间以保证发包人、监理人有充分的时间进行审查）提出相关变更洽商，给发包人、设计人、监理人充分时间审批工程变更及预算等，否则，引起工程停工、工期延误等损失由承包人承担。</w:t>
      </w:r>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386" w:name="_Toc19268"/>
      <w:bookmarkStart w:id="387" w:name="_Toc46325331"/>
      <w:bookmarkStart w:id="388" w:name="_Toc21031"/>
      <w:bookmarkStart w:id="389" w:name="_Toc1999993"/>
      <w:r>
        <w:rPr>
          <w:rFonts w:hint="eastAsia" w:cs="Times New Roman"/>
          <w:b/>
          <w:bCs/>
          <w:kern w:val="2"/>
          <w:szCs w:val="32"/>
        </w:rPr>
        <w:t>25.4 工程量变化调整项目单价</w:t>
      </w:r>
      <w:bookmarkEnd w:id="386"/>
      <w:bookmarkEnd w:id="387"/>
      <w:bookmarkEnd w:id="388"/>
      <w:bookmarkEnd w:id="389"/>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rPr>
        <w:t>工程量清单中项目工程量增减幅度：</w:t>
      </w:r>
      <w:r>
        <w:rPr>
          <w:rFonts w:hint="eastAsia" w:cs="Times New Roman"/>
          <w:kern w:val="2"/>
          <w:u w:val="single"/>
        </w:rPr>
        <w:t>详见补充条款约定。</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rPr>
        <w:t>清单项目增加部分工程量或减少后剩余部分工程量的项目单价确定方法：</w:t>
      </w:r>
      <w:r>
        <w:rPr>
          <w:rFonts w:hint="eastAsia" w:cs="Times New Roman"/>
          <w:kern w:val="2"/>
          <w:u w:val="single"/>
        </w:rPr>
        <w:t>详见补充条款约定。</w:t>
      </w:r>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390" w:name="_Toc46325332"/>
      <w:bookmarkStart w:id="391" w:name="_Toc10589"/>
      <w:bookmarkStart w:id="392" w:name="_Toc1999994"/>
      <w:bookmarkStart w:id="393" w:name="_Toc18012"/>
      <w:r>
        <w:rPr>
          <w:rFonts w:hint="eastAsia" w:cs="Times New Roman"/>
          <w:b/>
          <w:bCs/>
          <w:kern w:val="2"/>
          <w:szCs w:val="32"/>
        </w:rPr>
        <w:t>25.5 工程变更价款支付</w:t>
      </w:r>
      <w:bookmarkEnd w:id="390"/>
      <w:bookmarkEnd w:id="391"/>
      <w:bookmarkEnd w:id="392"/>
      <w:bookmarkEnd w:id="393"/>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 xml:space="preserve">(1) </w:t>
      </w:r>
      <w:r>
        <w:rPr>
          <w:rFonts w:hint="eastAsia" w:cs="Times New Roman"/>
          <w:kern w:val="2"/>
          <w:u w:val="single"/>
        </w:rPr>
        <w:t>详见补充条款约定。</w:t>
      </w:r>
      <w:bookmarkStart w:id="394" w:name="_Toc1999995"/>
      <w:bookmarkStart w:id="395" w:name="_Toc46325333"/>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396" w:name="_Toc26894"/>
      <w:bookmarkStart w:id="397" w:name="_Toc11405"/>
      <w:r>
        <w:rPr>
          <w:rFonts w:hint="eastAsia" w:cs="Times New Roman"/>
          <w:b/>
          <w:bCs/>
          <w:kern w:val="2"/>
          <w:szCs w:val="32"/>
        </w:rPr>
        <w:t>25.6 删减工作或工程的补偿</w:t>
      </w:r>
      <w:bookmarkEnd w:id="394"/>
      <w:bookmarkEnd w:id="395"/>
      <w:bookmarkEnd w:id="396"/>
      <w:bookmarkEnd w:id="397"/>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rPr>
        <w:t>由于非承包人原因删减了本合同中的某项原定工作或工程，致使承包人发生的费用或(和)预期收益不能被包括在其他已支付或应支付的项目中，也未包含在任何替代的工作或工程中，发包人应按以下约定方式给予承包人补偿：</w:t>
      </w:r>
      <w:r>
        <w:rPr>
          <w:rFonts w:hint="eastAsia" w:cs="Times New Roman"/>
          <w:u w:val="single"/>
        </w:rPr>
        <w:t>承包人投标时已考虑此风险，发包人不予任何补偿或赔偿。</w:t>
      </w:r>
    </w:p>
    <w:p>
      <w:pPr>
        <w:keepNext w:val="0"/>
        <w:keepLines w:val="0"/>
        <w:pageBreakBefore w:val="0"/>
        <w:widowControl/>
        <w:tabs>
          <w:tab w:val="left" w:pos="540"/>
          <w:tab w:val="left" w:pos="720"/>
          <w:tab w:val="left" w:pos="1620"/>
          <w:tab w:val="left" w:pos="2340"/>
        </w:tabs>
        <w:kinsoku/>
        <w:topLinePunct w:val="0"/>
        <w:autoSpaceDE/>
        <w:autoSpaceDN/>
        <w:bidi w:val="0"/>
        <w:adjustRightInd w:val="0"/>
        <w:snapToGrid w:val="0"/>
        <w:spacing w:line="360" w:lineRule="auto"/>
        <w:ind w:left="178"/>
        <w:jc w:val="left"/>
        <w:outlineLvl w:val="1"/>
        <w:rPr>
          <w:rFonts w:ascii="Times New Roman" w:cs="Times New Roman"/>
          <w:b/>
          <w:bCs/>
          <w:kern w:val="44"/>
          <w:sz w:val="28"/>
          <w:szCs w:val="28"/>
        </w:rPr>
      </w:pPr>
      <w:bookmarkStart w:id="398" w:name="_Toc28142"/>
      <w:bookmarkStart w:id="399" w:name="_Toc46325334"/>
      <w:bookmarkStart w:id="400" w:name="_Toc1999996"/>
      <w:bookmarkStart w:id="401" w:name="_Toc14718"/>
      <w:r>
        <w:rPr>
          <w:rFonts w:hint="eastAsia" w:ascii="Times New Roman" w:cs="Times New Roman"/>
          <w:b/>
          <w:bCs/>
          <w:kern w:val="44"/>
          <w:sz w:val="28"/>
          <w:szCs w:val="28"/>
        </w:rPr>
        <w:t>26 竣工验收</w:t>
      </w:r>
      <w:bookmarkEnd w:id="398"/>
      <w:bookmarkEnd w:id="399"/>
      <w:bookmarkEnd w:id="400"/>
      <w:bookmarkEnd w:id="401"/>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402" w:name="_Toc46325335"/>
      <w:bookmarkStart w:id="403" w:name="_Toc6051"/>
      <w:bookmarkStart w:id="404" w:name="_Toc16970"/>
      <w:bookmarkStart w:id="405" w:name="_Toc1999997"/>
      <w:r>
        <w:rPr>
          <w:rFonts w:hint="eastAsia" w:cs="Times New Roman"/>
          <w:b/>
          <w:bCs/>
          <w:kern w:val="2"/>
          <w:szCs w:val="32"/>
        </w:rPr>
        <w:t>26.1 竣工验收</w:t>
      </w:r>
      <w:bookmarkEnd w:id="402"/>
      <w:bookmarkEnd w:id="403"/>
      <w:bookmarkEnd w:id="404"/>
      <w:bookmarkEnd w:id="405"/>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rPr>
        <w:t>(2)承包人提供竣工资料的约定：</w:t>
      </w:r>
      <w:r>
        <w:rPr>
          <w:rFonts w:hint="eastAsia" w:cs="Times New Roman"/>
          <w:u w:val="single"/>
        </w:rPr>
        <w:t>工程具备竣工验收条件，承包人应按国家、深圳市工程验收有关规定，应在工程竣工验收前14天内，向发包人提供完整的工程竣工资料（包括竣工图纸）及竣工验收报告；工程验收合格后三个月内，承包人按深圳市城建档案馆有关竣工图及综合资料编制规定要求向发包人提交完整工程竣工资料（包括竣工图纸、声像资料、影像资料）、竣工验收报告（原件）和光盘4套，并移交档案馆，上述所含费用由承包人承担；如承包人提供的竣工资料不完整的，发包人有权不予办理工程竣工手续，工期不予顺延，由此导致的工期延误责任由承包人承担。</w:t>
      </w:r>
    </w:p>
    <w:p>
      <w:pPr>
        <w:keepNext w:val="0"/>
        <w:keepLines w:val="0"/>
        <w:pageBreakBefore w:val="0"/>
        <w:widowControl w:val="0"/>
        <w:kinsoku/>
        <w:topLinePunct w:val="0"/>
        <w:autoSpaceDE/>
        <w:autoSpaceDN/>
        <w:bidi w:val="0"/>
        <w:adjustRightInd w:val="0"/>
        <w:snapToGrid w:val="0"/>
        <w:spacing w:line="360" w:lineRule="auto"/>
        <w:ind w:firstLine="360" w:firstLineChars="150"/>
        <w:jc w:val="left"/>
        <w:rPr>
          <w:rFonts w:cs="Times New Roman"/>
          <w:u w:val="single"/>
        </w:rPr>
      </w:pPr>
      <w:r>
        <w:rPr>
          <w:rFonts w:hint="eastAsia" w:cs="Times New Roman"/>
          <w:kern w:val="2"/>
        </w:rPr>
        <w:t>(7)本工程中须单独进行竣工验收的单项工程为：</w:t>
      </w:r>
      <w:r>
        <w:rPr>
          <w:rFonts w:hint="eastAsia" w:cs="Times New Roman"/>
          <w:kern w:val="2"/>
          <w:u w:val="single"/>
        </w:rPr>
        <w:t>按相关部门规定进行；无相关规定的，由发包人组织验收。</w:t>
      </w:r>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406" w:name="_Toc3706"/>
      <w:bookmarkStart w:id="407" w:name="_Toc9459"/>
      <w:bookmarkStart w:id="408" w:name="_Toc1999998"/>
      <w:bookmarkStart w:id="409" w:name="_Toc46325336"/>
      <w:r>
        <w:rPr>
          <w:rFonts w:hint="eastAsia" w:cs="Times New Roman"/>
          <w:b/>
          <w:bCs/>
          <w:kern w:val="2"/>
          <w:szCs w:val="32"/>
        </w:rPr>
        <w:t>26.2 竣工验收合格后的移交和清理</w:t>
      </w:r>
      <w:bookmarkEnd w:id="406"/>
      <w:bookmarkEnd w:id="407"/>
      <w:bookmarkEnd w:id="408"/>
      <w:bookmarkEnd w:id="409"/>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(1)承包人不按时向发包人移交本工程的，每延迟一天，承包人向发包人支付违约金</w:t>
      </w:r>
      <w:r>
        <w:rPr>
          <w:rFonts w:hint="eastAsia" w:cs="Times New Roman"/>
          <w:kern w:val="2"/>
          <w:u w:val="single"/>
        </w:rPr>
        <w:t>详见补充条款及附件</w:t>
      </w:r>
      <w:r>
        <w:rPr>
          <w:rFonts w:cs="Times New Roman"/>
          <w:kern w:val="2"/>
          <w:u w:val="single"/>
        </w:rPr>
        <w:t>1</w:t>
      </w:r>
      <w:r>
        <w:rPr>
          <w:rFonts w:hint="eastAsia" w:cs="Times New Roman"/>
          <w:kern w:val="2"/>
          <w:u w:val="single"/>
        </w:rPr>
        <w:t>。</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rPr>
        <w:t>(3)发包人无正当理由不接收工程的，发包人应承担以下违约责任：</w:t>
      </w:r>
      <w:r>
        <w:rPr>
          <w:rFonts w:hint="eastAsia" w:cs="Times New Roman"/>
          <w:kern w:val="2"/>
          <w:u w:val="single"/>
        </w:rPr>
        <w:t xml:space="preserve"> / </w:t>
      </w:r>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410" w:name="_Toc46325337"/>
      <w:bookmarkStart w:id="411" w:name="_Toc21984"/>
      <w:bookmarkStart w:id="412" w:name="_Toc874"/>
      <w:bookmarkStart w:id="413" w:name="_Toc1999999"/>
      <w:r>
        <w:rPr>
          <w:rFonts w:hint="eastAsia" w:cs="Times New Roman"/>
          <w:b/>
          <w:bCs/>
          <w:kern w:val="2"/>
          <w:szCs w:val="32"/>
        </w:rPr>
        <w:t>26.3 竣工验收质量不合格和重新验收</w:t>
      </w:r>
      <w:bookmarkEnd w:id="410"/>
      <w:bookmarkEnd w:id="411"/>
      <w:bookmarkEnd w:id="412"/>
      <w:bookmarkEnd w:id="413"/>
    </w:p>
    <w:p>
      <w:pPr>
        <w:keepNext w:val="0"/>
        <w:keepLines w:val="0"/>
        <w:pageBreakBefore w:val="0"/>
        <w:widowControl w:val="0"/>
        <w:kinsoku/>
        <w:topLinePunct w:val="0"/>
        <w:autoSpaceDE/>
        <w:autoSpaceDN/>
        <w:bidi w:val="0"/>
        <w:adjustRightInd w:val="0"/>
        <w:snapToGrid w:val="0"/>
        <w:spacing w:line="360" w:lineRule="auto"/>
        <w:ind w:firstLine="480" w:firstLineChars="200"/>
        <w:jc w:val="left"/>
        <w:rPr>
          <w:rFonts w:cs="Times New Roman"/>
          <w:u w:val="single"/>
        </w:rPr>
      </w:pPr>
      <w:r>
        <w:rPr>
          <w:rFonts w:hint="eastAsia" w:cs="Times New Roman"/>
          <w:kern w:val="2"/>
        </w:rPr>
        <w:t>(1)如本工程竣工验收质量未达到本合同约定的标准，承包人应承担以下违约责任：</w:t>
      </w:r>
      <w:r>
        <w:rPr>
          <w:rFonts w:hint="eastAsia"/>
          <w:kern w:val="2"/>
          <w:u w:val="single"/>
        </w:rPr>
        <w:t>详见补充条款及附件</w:t>
      </w:r>
      <w:r>
        <w:rPr>
          <w:kern w:val="2"/>
          <w:u w:val="single"/>
        </w:rPr>
        <w:t>1</w:t>
      </w:r>
      <w:r>
        <w:rPr>
          <w:rFonts w:hint="eastAsia" w:cs="Times New Roman"/>
          <w:kern w:val="2"/>
          <w:u w:val="single"/>
        </w:rPr>
        <w:t>。</w:t>
      </w:r>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414" w:name="_Toc2000000"/>
      <w:bookmarkStart w:id="415" w:name="_Toc7362"/>
      <w:bookmarkStart w:id="416" w:name="_Toc46325338"/>
      <w:bookmarkStart w:id="417" w:name="_Toc9153"/>
      <w:r>
        <w:rPr>
          <w:rFonts w:hint="eastAsia" w:cs="Times New Roman"/>
          <w:b/>
          <w:bCs/>
          <w:kern w:val="2"/>
          <w:szCs w:val="32"/>
        </w:rPr>
        <w:t>26.6 竣工验收工程质量争议处理</w:t>
      </w:r>
      <w:bookmarkEnd w:id="414"/>
      <w:bookmarkEnd w:id="415"/>
      <w:bookmarkEnd w:id="416"/>
      <w:bookmarkEnd w:id="417"/>
    </w:p>
    <w:p>
      <w:pPr>
        <w:keepNext w:val="0"/>
        <w:keepLines w:val="0"/>
        <w:pageBreakBefore w:val="0"/>
        <w:widowControl w:val="0"/>
        <w:kinsoku/>
        <w:topLinePunct w:val="0"/>
        <w:autoSpaceDE/>
        <w:autoSpaceDN/>
        <w:bidi w:val="0"/>
        <w:adjustRightInd w:val="0"/>
        <w:snapToGrid w:val="0"/>
        <w:spacing w:line="360" w:lineRule="auto"/>
        <w:ind w:firstLine="480"/>
        <w:jc w:val="left"/>
        <w:rPr>
          <w:rFonts w:hint="eastAsia" w:eastAsia="宋体" w:cs="Times New Roman"/>
          <w:u w:val="single"/>
          <w:lang w:eastAsia="zh-CN"/>
        </w:rPr>
      </w:pPr>
      <w:r>
        <w:rPr>
          <w:rFonts w:hint="eastAsia" w:cs="Times New Roman"/>
          <w:kern w:val="2"/>
        </w:rPr>
        <w:t>发包人与承包人对竣工验收工程质量有争议时共同委托的质量检测鉴定机构为：</w:t>
      </w:r>
      <w:bookmarkStart w:id="418" w:name="_Toc46325339"/>
      <w:bookmarkStart w:id="419" w:name="_Toc2000001"/>
      <w:r>
        <w:rPr>
          <w:rFonts w:hint="eastAsia" w:cs="Times New Roman"/>
          <w:u w:val="single"/>
        </w:rPr>
        <w:t>深圳市建设工程质量检测中心</w:t>
      </w:r>
      <w:bookmarkEnd w:id="418"/>
      <w:r>
        <w:rPr>
          <w:rFonts w:hint="eastAsia" w:cs="Times New Roman"/>
          <w:u w:val="single"/>
          <w:lang w:eastAsia="zh-CN"/>
        </w:rPr>
        <w:t>。</w:t>
      </w:r>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420" w:name="_Toc19978"/>
      <w:bookmarkStart w:id="421" w:name="_Toc25275"/>
      <w:bookmarkStart w:id="422" w:name="_Toc46325340"/>
      <w:r>
        <w:rPr>
          <w:rFonts w:hint="eastAsia" w:cs="Times New Roman"/>
          <w:b/>
          <w:bCs/>
          <w:kern w:val="2"/>
          <w:szCs w:val="32"/>
        </w:rPr>
        <w:t>26.7 履约评价与优质优价</w:t>
      </w:r>
      <w:bookmarkEnd w:id="419"/>
      <w:bookmarkEnd w:id="420"/>
      <w:bookmarkEnd w:id="421"/>
      <w:bookmarkEnd w:id="422"/>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rPr>
        <w:t>(1)发包人对承包人的履约评价约定(可另附页)：</w:t>
      </w:r>
      <w:r>
        <w:rPr>
          <w:rFonts w:hint="eastAsia" w:cs="Times New Roman"/>
          <w:bCs/>
          <w:kern w:val="2"/>
          <w:u w:val="single"/>
        </w:rPr>
        <w:t>详见补充条款及附件3。</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(2)履约评价奖励：发包人负责组织相关单位对承包人进行履约评价，对履约评价为良好及以上等级的，发包人应给予承包人本工程签约合同价的</w:t>
      </w:r>
      <w:r>
        <w:rPr>
          <w:rFonts w:hint="eastAsia" w:cs="Times New Roman"/>
          <w:kern w:val="2"/>
          <w:u w:val="single"/>
        </w:rPr>
        <w:t>/</w:t>
      </w:r>
      <w:r>
        <w:rPr>
          <w:rFonts w:hint="eastAsia" w:cs="Times New Roman"/>
          <w:kern w:val="2"/>
        </w:rPr>
        <w:t>%作为奖励。</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工程创优奖励：对履约评价为良好及以上等级，且取得市级工程质量奖项的，发包人应在履约评价奖励基础上给予承包人追加本工程签约合同价的</w:t>
      </w:r>
      <w:r>
        <w:rPr>
          <w:rFonts w:hint="eastAsia" w:cs="Times New Roman"/>
          <w:kern w:val="2"/>
          <w:u w:val="single"/>
        </w:rPr>
        <w:t xml:space="preserve"> / </w:t>
      </w:r>
      <w:r>
        <w:rPr>
          <w:rFonts w:hint="eastAsia" w:cs="Times New Roman"/>
          <w:kern w:val="2"/>
        </w:rPr>
        <w:t xml:space="preserve">%作为奖励。 </w:t>
      </w:r>
    </w:p>
    <w:p>
      <w:pPr>
        <w:keepNext w:val="0"/>
        <w:keepLines w:val="0"/>
        <w:pageBreakBefore w:val="0"/>
        <w:widowControl/>
        <w:tabs>
          <w:tab w:val="left" w:pos="540"/>
          <w:tab w:val="left" w:pos="720"/>
          <w:tab w:val="left" w:pos="1620"/>
          <w:tab w:val="left" w:pos="2340"/>
        </w:tabs>
        <w:kinsoku/>
        <w:topLinePunct w:val="0"/>
        <w:autoSpaceDE/>
        <w:autoSpaceDN/>
        <w:bidi w:val="0"/>
        <w:adjustRightInd w:val="0"/>
        <w:snapToGrid w:val="0"/>
        <w:spacing w:line="360" w:lineRule="auto"/>
        <w:ind w:left="178"/>
        <w:jc w:val="left"/>
        <w:outlineLvl w:val="1"/>
        <w:rPr>
          <w:rFonts w:ascii="Times New Roman" w:cs="Times New Roman"/>
          <w:b/>
          <w:bCs/>
          <w:kern w:val="44"/>
          <w:sz w:val="28"/>
          <w:szCs w:val="28"/>
        </w:rPr>
      </w:pPr>
      <w:bookmarkStart w:id="423" w:name="_Toc2000002"/>
      <w:bookmarkStart w:id="424" w:name="_Toc3135"/>
      <w:bookmarkStart w:id="425" w:name="_Toc20693"/>
      <w:bookmarkStart w:id="426" w:name="_Toc46325341"/>
      <w:r>
        <w:rPr>
          <w:rFonts w:hint="eastAsia" w:ascii="Times New Roman" w:cs="Times New Roman"/>
          <w:b/>
          <w:bCs/>
          <w:kern w:val="44"/>
          <w:sz w:val="28"/>
          <w:szCs w:val="28"/>
        </w:rPr>
        <w:t>27 竣工结算</w:t>
      </w:r>
      <w:bookmarkEnd w:id="423"/>
      <w:bookmarkEnd w:id="424"/>
      <w:bookmarkEnd w:id="425"/>
      <w:bookmarkEnd w:id="426"/>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427" w:name="_Toc46325342"/>
      <w:bookmarkStart w:id="428" w:name="_Toc19262"/>
      <w:bookmarkStart w:id="429" w:name="_Toc18696"/>
      <w:bookmarkStart w:id="430" w:name="_Toc2000003"/>
      <w:r>
        <w:rPr>
          <w:rFonts w:hint="eastAsia" w:cs="Times New Roman"/>
          <w:b/>
          <w:bCs/>
          <w:kern w:val="2"/>
          <w:szCs w:val="32"/>
        </w:rPr>
        <w:t>27.1 竣工结算书的编制和提交</w:t>
      </w:r>
      <w:bookmarkEnd w:id="427"/>
      <w:bookmarkEnd w:id="428"/>
      <w:bookmarkEnd w:id="429"/>
      <w:bookmarkEnd w:id="430"/>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(2)承包人向发包人提交竣工结算书及完整的结算资料的时间要求为本工程竣工验收合格后</w:t>
      </w:r>
      <w:r>
        <w:rPr>
          <w:rFonts w:cs="Times New Roman"/>
          <w:u w:val="single"/>
        </w:rPr>
        <w:t>3</w:t>
      </w:r>
      <w:r>
        <w:rPr>
          <w:rFonts w:hint="eastAsia" w:cs="Times New Roman"/>
          <w:u w:val="single"/>
        </w:rPr>
        <w:t>0</w:t>
      </w:r>
      <w:r>
        <w:rPr>
          <w:rFonts w:hint="eastAsia" w:cs="Times New Roman"/>
          <w:kern w:val="2"/>
        </w:rPr>
        <w:t>天内。</w:t>
      </w:r>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431" w:name="_Toc24734"/>
      <w:bookmarkStart w:id="432" w:name="_Toc2000004"/>
      <w:bookmarkStart w:id="433" w:name="_Toc16278"/>
      <w:bookmarkStart w:id="434" w:name="_Toc46325343"/>
      <w:r>
        <w:rPr>
          <w:rFonts w:hint="eastAsia" w:cs="Times New Roman"/>
          <w:b/>
          <w:bCs/>
          <w:kern w:val="2"/>
          <w:szCs w:val="32"/>
        </w:rPr>
        <w:t>27.2 竣工结算书的核对和修改</w:t>
      </w:r>
      <w:bookmarkEnd w:id="431"/>
      <w:bookmarkEnd w:id="432"/>
      <w:bookmarkEnd w:id="433"/>
      <w:bookmarkEnd w:id="434"/>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w:t>
      </w:r>
      <w:r>
        <w:rPr>
          <w:rFonts w:cs="Times New Roman"/>
          <w:kern w:val="2"/>
        </w:rPr>
        <w:t>1</w:t>
      </w:r>
      <w:r>
        <w:rPr>
          <w:rFonts w:hint="eastAsia" w:cs="Times New Roman"/>
          <w:kern w:val="2"/>
        </w:rPr>
        <w:t>)承包人提交修改竣工结算书或补充结算资料的期限为发包人提出核对意见或补充结算资料要求后</w:t>
      </w:r>
      <w:r>
        <w:rPr>
          <w:rFonts w:hint="eastAsia" w:cs="Times New Roman"/>
          <w:kern w:val="2"/>
          <w:u w:val="single"/>
        </w:rPr>
        <w:t>7</w:t>
      </w:r>
      <w:r>
        <w:rPr>
          <w:rFonts w:hint="eastAsia" w:cs="Times New Roman"/>
          <w:kern w:val="2"/>
        </w:rPr>
        <w:t>天。</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w:t>
      </w:r>
      <w:r>
        <w:rPr>
          <w:rFonts w:cs="Times New Roman"/>
          <w:kern w:val="2"/>
        </w:rPr>
        <w:t>2</w:t>
      </w:r>
      <w:r>
        <w:rPr>
          <w:rFonts w:hint="eastAsia" w:cs="Times New Roman"/>
          <w:kern w:val="2"/>
        </w:rPr>
        <w:t>)对发包人提出的核对意见承包人应提出异议的期限为</w:t>
      </w:r>
      <w:r>
        <w:rPr>
          <w:rFonts w:cs="Times New Roman"/>
          <w:kern w:val="2"/>
          <w:u w:val="single"/>
        </w:rPr>
        <w:t>7</w:t>
      </w:r>
      <w:r>
        <w:rPr>
          <w:rFonts w:hint="eastAsia" w:cs="Times New Roman"/>
          <w:kern w:val="2"/>
        </w:rPr>
        <w:t>天。</w:t>
      </w:r>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435" w:name="_Toc46325344"/>
      <w:bookmarkStart w:id="436" w:name="_Toc2000005"/>
      <w:bookmarkStart w:id="437" w:name="_Toc575"/>
      <w:bookmarkStart w:id="438" w:name="_Toc13320"/>
      <w:r>
        <w:rPr>
          <w:rFonts w:hint="eastAsia" w:cs="Times New Roman"/>
          <w:b/>
          <w:bCs/>
          <w:kern w:val="2"/>
          <w:szCs w:val="32"/>
        </w:rPr>
        <w:t>27.3 竣工结算书核对次数</w:t>
      </w:r>
      <w:bookmarkEnd w:id="435"/>
      <w:bookmarkEnd w:id="436"/>
      <w:bookmarkEnd w:id="437"/>
      <w:bookmarkEnd w:id="438"/>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ascii="宋体" w:hAnsi="宋体" w:eastAsia="宋体" w:cs="Times New Roman"/>
          <w:bCs/>
          <w:kern w:val="2"/>
          <w:sz w:val="24"/>
          <w:szCs w:val="24"/>
          <w:u w:val="single"/>
        </w:rPr>
        <w:t>竣工结算核对人为发包人委托的造价咨询机构，结算复审核对人为发包人委托的造价咨询复审机构。发包人审核结算过程中，要求承包人整改重新报审的，审核时间自重新送审之日起重新计算，因承包人配合发包人审核工作不及时造成延误的，延误时间不计入审核时间。</w:t>
      </w:r>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439" w:name="_Toc11693"/>
      <w:bookmarkStart w:id="440" w:name="_Toc46325345"/>
      <w:bookmarkStart w:id="441" w:name="_Toc11681"/>
      <w:bookmarkStart w:id="442" w:name="_Toc2000006"/>
      <w:r>
        <w:rPr>
          <w:rFonts w:hint="eastAsia" w:cs="Times New Roman"/>
          <w:b/>
          <w:bCs/>
          <w:kern w:val="2"/>
          <w:szCs w:val="32"/>
        </w:rPr>
        <w:t>27.4 承包人不提交竣工结算书</w:t>
      </w:r>
      <w:bookmarkEnd w:id="439"/>
      <w:bookmarkEnd w:id="440"/>
      <w:bookmarkEnd w:id="441"/>
      <w:bookmarkEnd w:id="442"/>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承包人在收到通知14天内仍不提交竣工结算书及结算资料的，发包人选择以下方式处理：</w:t>
      </w:r>
      <w:r>
        <w:rPr>
          <w:rFonts w:cs="Times New Roman"/>
          <w:kern w:val="2"/>
          <w:u w:val="single"/>
        </w:rPr>
        <w:t>详见补充条款</w:t>
      </w:r>
      <w:r>
        <w:rPr>
          <w:rFonts w:hint="eastAsia" w:cs="Times New Roman"/>
          <w:kern w:val="2"/>
          <w:u w:val="single"/>
          <w:lang w:val="en-US" w:eastAsia="zh-CN"/>
        </w:rPr>
        <w:t>及附件1</w:t>
      </w:r>
      <w:r>
        <w:rPr>
          <w:rFonts w:hint="eastAsia" w:cs="Times New Roman"/>
          <w:kern w:val="2"/>
          <w:u w:val="single"/>
        </w:rPr>
        <w:t>约定</w:t>
      </w:r>
      <w:r>
        <w:rPr>
          <w:rFonts w:cs="Times New Roman"/>
          <w:kern w:val="2"/>
          <w:u w:val="single"/>
        </w:rPr>
        <w:t>。</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ascii="宋体" w:hAnsi="宋体" w:eastAsia="宋体" w:cs="Times New Roman"/>
          <w:kern w:val="0"/>
          <w:sz w:val="24"/>
          <w:szCs w:val="24"/>
        </w:rPr>
        <w:drawing>
          <wp:inline distT="0" distB="0" distL="0" distR="0">
            <wp:extent cx="152400" cy="141605"/>
            <wp:effectExtent l="0" t="0" r="0" b="10795"/>
            <wp:docPr id="142132147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21479" name="图片 1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cs="Times New Roman"/>
          <w:kern w:val="2"/>
        </w:rPr>
        <w:t>①</w:t>
      </w:r>
      <w:r>
        <w:rPr>
          <w:rFonts w:hint="eastAsia" w:cs="Times New Roman"/>
          <w:kern w:val="2"/>
        </w:rPr>
        <w:t>发包人根据已有资料审查、核实确定竣工结算价款；</w:t>
      </w:r>
    </w:p>
    <w:p>
      <w:pPr>
        <w:keepNext w:val="0"/>
        <w:keepLines w:val="0"/>
        <w:pageBreakBefore w:val="0"/>
        <w:widowControl w:val="0"/>
        <w:kinsoku/>
        <w:topLinePunct w:val="0"/>
        <w:autoSpaceDE/>
        <w:autoSpaceDN/>
        <w:bidi w:val="0"/>
        <w:adjustRightInd w:val="0"/>
        <w:snapToGrid w:val="0"/>
        <w:spacing w:line="360" w:lineRule="auto"/>
        <w:ind w:firstLine="480" w:firstLineChars="200"/>
        <w:jc w:val="left"/>
        <w:rPr>
          <w:rFonts w:cs="Times New Roman"/>
          <w:kern w:val="2"/>
        </w:rPr>
      </w:pPr>
      <w:r>
        <w:rPr>
          <w:rFonts w:ascii="宋体" w:hAnsi="宋体" w:eastAsia="宋体" w:cs="Times New Roman"/>
          <w:kern w:val="0"/>
          <w:sz w:val="24"/>
          <w:szCs w:val="24"/>
        </w:rPr>
        <w:drawing>
          <wp:inline distT="0" distB="0" distL="0" distR="0">
            <wp:extent cx="152400" cy="141605"/>
            <wp:effectExtent l="0" t="0" r="0" b="10795"/>
            <wp:docPr id="1421321480"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21480" name="图片 6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cs="Times New Roman"/>
          <w:kern w:val="2"/>
        </w:rPr>
        <w:t>②延期一天处以元/天的违约金，违约金不超过签约合同价％。</w:t>
      </w:r>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443" w:name="_Toc2000007"/>
      <w:bookmarkStart w:id="444" w:name="_Toc24156"/>
      <w:bookmarkStart w:id="445" w:name="_Toc6524"/>
      <w:bookmarkStart w:id="446" w:name="_Toc46325346"/>
      <w:r>
        <w:rPr>
          <w:rFonts w:hint="eastAsia" w:cs="Times New Roman"/>
          <w:b/>
          <w:bCs/>
          <w:kern w:val="2"/>
          <w:szCs w:val="32"/>
        </w:rPr>
        <w:t>27.5 发包人逾期不结算</w:t>
      </w:r>
      <w:bookmarkEnd w:id="443"/>
      <w:bookmarkEnd w:id="444"/>
      <w:bookmarkEnd w:id="445"/>
      <w:bookmarkEnd w:id="446"/>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u w:val="single"/>
        </w:rPr>
        <w:t>发包人在收到承包人提交的竣工结算书及结算资料后，承包人需协助发包方在收到结算资料后办理完成竣工结算，发包人逾期回复意见或者提出异议的，不视为认可承包人提供的结算书。</w:t>
      </w:r>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447" w:name="_Toc18554"/>
      <w:bookmarkStart w:id="448" w:name="_Toc29384"/>
      <w:bookmarkStart w:id="449" w:name="_Toc46325347"/>
      <w:bookmarkStart w:id="450" w:name="_Toc2000008"/>
      <w:r>
        <w:rPr>
          <w:rFonts w:hint="eastAsia" w:cs="Times New Roman"/>
          <w:b/>
          <w:bCs/>
          <w:kern w:val="2"/>
          <w:szCs w:val="32"/>
        </w:rPr>
        <w:t>27.6 竣工结算审计或审核</w:t>
      </w:r>
      <w:bookmarkEnd w:id="447"/>
      <w:bookmarkEnd w:id="448"/>
      <w:bookmarkEnd w:id="449"/>
      <w:bookmarkEnd w:id="450"/>
    </w:p>
    <w:p>
      <w:pPr>
        <w:keepNext w:val="0"/>
        <w:keepLines w:val="0"/>
        <w:pageBreakBefore w:val="0"/>
        <w:widowControl w:val="0"/>
        <w:kinsoku/>
        <w:topLinePunct w:val="0"/>
        <w:autoSpaceDE/>
        <w:autoSpaceDN/>
        <w:bidi w:val="0"/>
        <w:adjustRightInd w:val="0"/>
        <w:snapToGrid w:val="0"/>
        <w:spacing w:line="360" w:lineRule="auto"/>
        <w:ind w:firstLine="480"/>
        <w:jc w:val="left"/>
        <w:rPr>
          <w:rFonts w:ascii="Times New Roman" w:hAnsi="Times New Roman" w:eastAsia="仿宋_GB2312" w:cs="Times New Roman"/>
          <w:kern w:val="2"/>
          <w:u w:val="single"/>
        </w:rPr>
      </w:pPr>
      <w:r>
        <w:rPr>
          <w:rFonts w:hint="eastAsia" w:cs="Times New Roman"/>
          <w:kern w:val="2"/>
        </w:rPr>
        <w:t>(1)在以下情况下，发包人可启动强制结算机制，将其单方编制的结算文件送审计或审核：</w:t>
      </w:r>
      <w:r>
        <w:rPr>
          <w:rFonts w:hint="eastAsia" w:cs="Times New Roman"/>
          <w:kern w:val="2"/>
          <w:u w:val="single"/>
        </w:rPr>
        <w:t>承包人不按规定时间办理竣工移交手续或不按规定时间办理工程结（决）算，经发包人通报后30日内仍拒不办理的，发包人有权按该工程已付工程款作为结算价和审计价（工程款超付情况除外）。</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(2)本合同最终的竣工结算和支付依据约定如下：（注：只能选择一种方式，在选定的方式前的“□”内打“</w:t>
      </w:r>
      <w:r>
        <w:rPr>
          <w:rFonts w:ascii="Symbol" w:hAnsi="Symbol" w:cs="Times New Roman"/>
          <w:kern w:val="2"/>
        </w:rPr>
        <w:sym w:font="Symbol" w:char="F0D6"/>
      </w:r>
      <w:r>
        <w:rPr>
          <w:rFonts w:hint="eastAsia" w:cs="Times New Roman"/>
          <w:kern w:val="2"/>
        </w:rPr>
        <w:t>”）</w:t>
      </w:r>
    </w:p>
    <w:p>
      <w:pPr>
        <w:keepNext w:val="0"/>
        <w:keepLines w:val="0"/>
        <w:pageBreakBefore w:val="0"/>
        <w:widowControl w:val="0"/>
        <w:tabs>
          <w:tab w:val="left" w:pos="1620"/>
          <w:tab w:val="left" w:pos="2340"/>
        </w:tabs>
        <w:kinsoku/>
        <w:topLinePunct w:val="0"/>
        <w:autoSpaceDE/>
        <w:autoSpaceDN/>
        <w:bidi w:val="0"/>
        <w:adjustRightInd w:val="0"/>
        <w:snapToGrid w:val="0"/>
        <w:spacing w:line="360" w:lineRule="auto"/>
        <w:ind w:firstLine="480" w:firstLineChars="200"/>
        <w:jc w:val="left"/>
        <w:rPr>
          <w:rFonts w:cs="Times New Roman"/>
          <w:kern w:val="2"/>
        </w:rPr>
      </w:pPr>
      <w:r>
        <w:rPr>
          <w:rFonts w:hint="eastAsia" w:cs="Times New Roman"/>
          <w:kern w:val="2"/>
        </w:rPr>
        <w:t>□以经过政府指定机构审计或审核结果作为最终的竣工结算和支付依据。</w:t>
      </w:r>
    </w:p>
    <w:p>
      <w:pPr>
        <w:keepNext w:val="0"/>
        <w:keepLines w:val="0"/>
        <w:pageBreakBefore w:val="0"/>
        <w:widowControl w:val="0"/>
        <w:tabs>
          <w:tab w:val="left" w:pos="1620"/>
          <w:tab w:val="left" w:pos="2340"/>
        </w:tabs>
        <w:kinsoku/>
        <w:topLinePunct w:val="0"/>
        <w:autoSpaceDE/>
        <w:autoSpaceDN/>
        <w:bidi w:val="0"/>
        <w:adjustRightInd w:val="0"/>
        <w:snapToGrid w:val="0"/>
        <w:spacing w:line="360" w:lineRule="auto"/>
        <w:ind w:firstLine="480" w:firstLineChars="150"/>
        <w:jc w:val="left"/>
        <w:rPr>
          <w:rFonts w:cs="Times New Roman"/>
          <w:kern w:val="2"/>
        </w:rPr>
      </w:pPr>
      <w:r>
        <w:rPr>
          <w:rFonts w:ascii="Segoe UI Emoji" w:hAnsi="Segoe UI Emoji" w:eastAsia="MS Mincho" w:cs="Segoe UI Emoji"/>
          <w:kern w:val="2"/>
          <w:sz w:val="32"/>
          <w:szCs w:val="21"/>
        </w:rPr>
        <w:t>☑</w:t>
      </w:r>
      <w:r>
        <w:rPr>
          <w:rFonts w:hint="eastAsia" w:cs="Times New Roman"/>
          <w:kern w:val="2"/>
        </w:rPr>
        <w:t>以</w:t>
      </w:r>
      <w:r>
        <w:rPr>
          <w:rFonts w:hint="eastAsia" w:cs="Times New Roman"/>
          <w:bCs/>
          <w:kern w:val="2"/>
        </w:rPr>
        <w:t>深圳市建设工程造价管理部门的审计结论或发包人指定的第三方机构的审定（审核）结论(若本项目结算按规定须提交政府指定机构审定或审计的，则以政府指定机构审定或审计结果)</w:t>
      </w:r>
      <w:r>
        <w:rPr>
          <w:rFonts w:hint="eastAsia" w:cs="Times New Roman"/>
          <w:kern w:val="2"/>
        </w:rPr>
        <w:t>作为最终的竣工结算和支付依据。</w:t>
      </w:r>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451" w:name="_Toc5732"/>
      <w:bookmarkStart w:id="452" w:name="_Toc46325348"/>
      <w:bookmarkStart w:id="453" w:name="_Toc2000009"/>
      <w:bookmarkStart w:id="454" w:name="_Toc23528"/>
      <w:r>
        <w:rPr>
          <w:rFonts w:hint="eastAsia" w:cs="Times New Roman"/>
          <w:b/>
          <w:bCs/>
          <w:kern w:val="2"/>
          <w:szCs w:val="32"/>
        </w:rPr>
        <w:t>27.8 最终结清申请</w:t>
      </w:r>
      <w:bookmarkEnd w:id="451"/>
      <w:bookmarkEnd w:id="452"/>
      <w:bookmarkEnd w:id="453"/>
      <w:bookmarkEnd w:id="454"/>
    </w:p>
    <w:p>
      <w:pPr>
        <w:keepNext w:val="0"/>
        <w:keepLines w:val="0"/>
        <w:pageBreakBefore w:val="0"/>
        <w:widowControl w:val="0"/>
        <w:kinsoku/>
        <w:topLinePunct w:val="0"/>
        <w:autoSpaceDE/>
        <w:autoSpaceDN/>
        <w:bidi w:val="0"/>
        <w:adjustRightInd w:val="0"/>
        <w:snapToGrid w:val="0"/>
        <w:spacing w:line="360" w:lineRule="auto"/>
        <w:ind w:firstLine="480" w:firstLineChars="200"/>
        <w:jc w:val="left"/>
        <w:rPr>
          <w:rFonts w:ascii="Times New Roman" w:hAnsi="Times New Roman" w:eastAsia="仿宋_GB2312" w:cs="Times New Roman"/>
          <w:sz w:val="30"/>
          <w:szCs w:val="32"/>
        </w:rPr>
      </w:pPr>
      <w:r>
        <w:rPr>
          <w:rFonts w:hint="eastAsia" w:cs="Times New Roman"/>
          <w:kern w:val="2"/>
        </w:rPr>
        <w:t>(1) 承包人提交最终结清申请单的份数：</w:t>
      </w:r>
      <w:r>
        <w:rPr>
          <w:rFonts w:hint="eastAsia" w:cs="Times New Roman"/>
          <w:u w:val="single"/>
        </w:rPr>
        <w:t>一式伍份</w:t>
      </w:r>
      <w:r>
        <w:rPr>
          <w:rFonts w:hint="eastAsia" w:ascii="Times New Roman" w:hAnsi="Times New Roman" w:eastAsia="仿宋_GB2312" w:cs="Times New Roman"/>
          <w:kern w:val="2"/>
          <w:sz w:val="30"/>
          <w:szCs w:val="32"/>
        </w:rPr>
        <w:t>。</w:t>
      </w:r>
    </w:p>
    <w:p>
      <w:pPr>
        <w:keepNext w:val="0"/>
        <w:keepLines w:val="0"/>
        <w:pageBreakBefore w:val="0"/>
        <w:widowControl w:val="0"/>
        <w:kinsoku/>
        <w:topLinePunct w:val="0"/>
        <w:autoSpaceDE/>
        <w:autoSpaceDN/>
        <w:bidi w:val="0"/>
        <w:adjustRightInd w:val="0"/>
        <w:snapToGrid w:val="0"/>
        <w:spacing w:line="360" w:lineRule="auto"/>
        <w:ind w:firstLine="480" w:firstLineChars="200"/>
        <w:jc w:val="left"/>
        <w:rPr>
          <w:rFonts w:cs="Times New Roman"/>
          <w:kern w:val="2"/>
        </w:rPr>
      </w:pPr>
      <w:r>
        <w:rPr>
          <w:rFonts w:hint="eastAsia" w:cs="Times New Roman"/>
          <w:kern w:val="2"/>
        </w:rPr>
        <w:t>最终结清申请单关于质量保证金、应扣除的质量保证金、缺陷责任期内发生的增减费用的约定：</w:t>
      </w:r>
      <w:r>
        <w:rPr>
          <w:rFonts w:hint="eastAsia" w:cs="Times New Roman"/>
          <w:kern w:val="2"/>
          <w:u w:val="single"/>
        </w:rPr>
        <w:t>对于需要进行保修的，承包人接到通知后，未能及时派人修理，发包人可委托其他人员修理。发包人委托其他人员修理所发生的费用可以从工程质量保证金中双倍抵扣；不足部分由承包人承担</w:t>
      </w:r>
      <w:r>
        <w:rPr>
          <w:rFonts w:hint="eastAsia" w:cs="Times New Roman"/>
          <w:kern w:val="2"/>
        </w:rPr>
        <w:t>；</w:t>
      </w:r>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455" w:name="_Toc46325349"/>
      <w:bookmarkStart w:id="456" w:name="_Toc17481"/>
      <w:bookmarkStart w:id="457" w:name="_Toc2000010"/>
      <w:bookmarkStart w:id="458" w:name="_Toc8170"/>
      <w:r>
        <w:rPr>
          <w:rFonts w:hint="eastAsia" w:cs="Times New Roman"/>
          <w:b/>
          <w:bCs/>
          <w:kern w:val="2"/>
          <w:szCs w:val="32"/>
        </w:rPr>
        <w:t>27.9 最终结清证书和支付</w:t>
      </w:r>
      <w:bookmarkEnd w:id="455"/>
      <w:bookmarkEnd w:id="456"/>
      <w:bookmarkEnd w:id="457"/>
      <w:bookmarkEnd w:id="458"/>
    </w:p>
    <w:p>
      <w:pPr>
        <w:keepNext w:val="0"/>
        <w:keepLines w:val="0"/>
        <w:pageBreakBefore w:val="0"/>
        <w:widowControl w:val="0"/>
        <w:kinsoku/>
        <w:topLinePunct w:val="0"/>
        <w:autoSpaceDE/>
        <w:autoSpaceDN/>
        <w:bidi w:val="0"/>
        <w:adjustRightInd w:val="0"/>
        <w:snapToGrid w:val="0"/>
        <w:spacing w:line="360" w:lineRule="auto"/>
        <w:ind w:firstLine="480" w:firstLineChars="200"/>
        <w:jc w:val="left"/>
        <w:rPr>
          <w:rFonts w:ascii="Times New Roman" w:hAnsi="Times New Roman" w:eastAsia="仿宋_GB2312" w:cs="Times New Roman"/>
          <w:kern w:val="2"/>
          <w:sz w:val="30"/>
          <w:szCs w:val="32"/>
        </w:rPr>
      </w:pPr>
      <w:r>
        <w:rPr>
          <w:rFonts w:hint="eastAsia" w:cs="Times New Roman"/>
          <w:kern w:val="2"/>
        </w:rPr>
        <w:t>（1）发包人应在收到承包人提交的最终结清申请单后完成审批并向承包人颁发最终结清证书期限：</w:t>
      </w:r>
      <w:r>
        <w:rPr>
          <w:rFonts w:cs="Times New Roman"/>
          <w:kern w:val="2"/>
          <w:u w:val="single"/>
        </w:rPr>
        <w:t>30</w:t>
      </w:r>
      <w:r>
        <w:rPr>
          <w:rFonts w:hint="eastAsia" w:cs="Times New Roman"/>
          <w:kern w:val="2"/>
          <w:u w:val="single"/>
        </w:rPr>
        <w:t>日历天</w:t>
      </w:r>
      <w:r>
        <w:rPr>
          <w:rFonts w:hint="eastAsia" w:cs="Times New Roman"/>
          <w:kern w:val="2"/>
        </w:rPr>
        <w:t>。发包人逾期未完成审批又未提出修改意见的，不视为发包人同意承包人提交的最终结清申请单。</w:t>
      </w:r>
    </w:p>
    <w:p>
      <w:pPr>
        <w:keepNext w:val="0"/>
        <w:keepLines w:val="0"/>
        <w:pageBreakBefore w:val="0"/>
        <w:widowControl w:val="0"/>
        <w:kinsoku/>
        <w:topLinePunct w:val="0"/>
        <w:autoSpaceDE/>
        <w:autoSpaceDN/>
        <w:bidi w:val="0"/>
        <w:adjustRightInd w:val="0"/>
        <w:snapToGrid w:val="0"/>
        <w:spacing w:line="360" w:lineRule="auto"/>
        <w:ind w:firstLine="480" w:firstLineChars="200"/>
        <w:jc w:val="left"/>
        <w:rPr>
          <w:rFonts w:cs="Times New Roman"/>
          <w:kern w:val="2"/>
        </w:rPr>
      </w:pPr>
      <w:r>
        <w:rPr>
          <w:rFonts w:hint="eastAsia" w:cs="Times New Roman"/>
          <w:kern w:val="2"/>
        </w:rPr>
        <w:t>（2）发包人应在颁发最终结清证书后完成支付期限：</w:t>
      </w:r>
      <w:r>
        <w:rPr>
          <w:rFonts w:cs="Times New Roman"/>
          <w:kern w:val="2"/>
          <w:u w:val="single"/>
        </w:rPr>
        <w:t>30</w:t>
      </w:r>
      <w:r>
        <w:rPr>
          <w:rFonts w:hint="eastAsia" w:cs="Times New Roman"/>
          <w:kern w:val="2"/>
          <w:u w:val="single"/>
        </w:rPr>
        <w:t>日历天</w:t>
      </w:r>
      <w:r>
        <w:rPr>
          <w:rFonts w:hint="eastAsia" w:ascii="Times New Roman" w:hAnsi="Times New Roman" w:eastAsia="仿宋_GB2312" w:cs="Times New Roman"/>
          <w:kern w:val="2"/>
          <w:sz w:val="30"/>
          <w:szCs w:val="32"/>
        </w:rPr>
        <w:t>。</w:t>
      </w:r>
      <w:r>
        <w:rPr>
          <w:rFonts w:hint="eastAsia" w:cs="Times New Roman"/>
          <w:kern w:val="2"/>
        </w:rPr>
        <w:t>发包人逾期支付的，按照中国人民银行发布的同期同类贷款基准利率支付违约金。</w:t>
      </w:r>
    </w:p>
    <w:p>
      <w:pPr>
        <w:keepNext w:val="0"/>
        <w:keepLines w:val="0"/>
        <w:pageBreakBefore w:val="0"/>
        <w:widowControl/>
        <w:tabs>
          <w:tab w:val="left" w:pos="540"/>
          <w:tab w:val="left" w:pos="720"/>
          <w:tab w:val="left" w:pos="1620"/>
          <w:tab w:val="left" w:pos="2340"/>
        </w:tabs>
        <w:kinsoku/>
        <w:topLinePunct w:val="0"/>
        <w:autoSpaceDE/>
        <w:autoSpaceDN/>
        <w:bidi w:val="0"/>
        <w:adjustRightInd w:val="0"/>
        <w:snapToGrid w:val="0"/>
        <w:spacing w:line="360" w:lineRule="auto"/>
        <w:ind w:left="178"/>
        <w:jc w:val="left"/>
        <w:outlineLvl w:val="1"/>
        <w:rPr>
          <w:rFonts w:ascii="Times New Roman" w:cs="Times New Roman"/>
          <w:b/>
          <w:bCs/>
          <w:kern w:val="44"/>
          <w:sz w:val="28"/>
          <w:szCs w:val="28"/>
        </w:rPr>
      </w:pPr>
      <w:bookmarkStart w:id="459" w:name="_Toc46325350"/>
      <w:bookmarkStart w:id="460" w:name="_Toc2000011"/>
      <w:bookmarkStart w:id="461" w:name="_Toc32352"/>
      <w:bookmarkStart w:id="462" w:name="_Toc31343"/>
      <w:r>
        <w:rPr>
          <w:rFonts w:hint="eastAsia" w:ascii="Times New Roman" w:cs="Times New Roman"/>
          <w:b/>
          <w:bCs/>
          <w:kern w:val="44"/>
          <w:sz w:val="28"/>
          <w:szCs w:val="28"/>
        </w:rPr>
        <w:t>28 违约</w:t>
      </w:r>
      <w:bookmarkEnd w:id="459"/>
      <w:bookmarkEnd w:id="460"/>
      <w:bookmarkEnd w:id="461"/>
      <w:bookmarkEnd w:id="462"/>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463" w:name="_Toc2000012"/>
      <w:bookmarkStart w:id="464" w:name="_Toc46325351"/>
      <w:bookmarkStart w:id="465" w:name="_Toc18734"/>
      <w:bookmarkStart w:id="466" w:name="_Toc9398"/>
      <w:r>
        <w:rPr>
          <w:rFonts w:hint="eastAsia" w:cs="Times New Roman"/>
          <w:b/>
          <w:bCs/>
          <w:kern w:val="2"/>
          <w:szCs w:val="32"/>
        </w:rPr>
        <w:t>28.1 发包人违约</w:t>
      </w:r>
      <w:bookmarkEnd w:id="463"/>
      <w:bookmarkEnd w:id="464"/>
      <w:bookmarkEnd w:id="465"/>
      <w:bookmarkEnd w:id="466"/>
    </w:p>
    <w:p>
      <w:pPr>
        <w:keepNext w:val="0"/>
        <w:keepLines w:val="0"/>
        <w:pageBreakBefore w:val="0"/>
        <w:widowControl w:val="0"/>
        <w:kinsoku/>
        <w:topLinePunct w:val="0"/>
        <w:autoSpaceDE/>
        <w:autoSpaceDN/>
        <w:bidi w:val="0"/>
        <w:adjustRightInd w:val="0"/>
        <w:snapToGrid w:val="0"/>
        <w:spacing w:line="360" w:lineRule="auto"/>
        <w:ind w:firstLine="480" w:firstLineChars="200"/>
        <w:jc w:val="left"/>
        <w:rPr>
          <w:rFonts w:cs="Times New Roman"/>
          <w:kern w:val="2"/>
        </w:rPr>
      </w:pPr>
      <w:r>
        <w:rPr>
          <w:rFonts w:hint="eastAsia" w:cs="Times New Roman"/>
          <w:kern w:val="2"/>
        </w:rPr>
        <w:t>发包人违约责任的承担方式和计算方法：</w:t>
      </w:r>
    </w:p>
    <w:p>
      <w:pPr>
        <w:keepNext w:val="0"/>
        <w:keepLines w:val="0"/>
        <w:pageBreakBefore w:val="0"/>
        <w:widowControl w:val="0"/>
        <w:kinsoku/>
        <w:topLinePunct w:val="0"/>
        <w:autoSpaceDE/>
        <w:autoSpaceDN/>
        <w:bidi w:val="0"/>
        <w:adjustRightInd w:val="0"/>
        <w:snapToGrid w:val="0"/>
        <w:spacing w:line="360" w:lineRule="auto"/>
        <w:ind w:firstLine="480" w:firstLineChars="200"/>
        <w:jc w:val="left"/>
        <w:rPr>
          <w:rFonts w:ascii="Times New Roman" w:hAnsi="Times New Roman" w:eastAsia="仿宋_GB2312" w:cs="Times New Roman"/>
          <w:u w:val="single"/>
        </w:rPr>
      </w:pPr>
      <w:r>
        <w:rPr>
          <w:rFonts w:hint="eastAsia" w:cs="Times New Roman"/>
          <w:kern w:val="2"/>
        </w:rPr>
        <w:t>（1）因发包人原因未能在计划开工日期前7天内下达开工通知的违约责任：</w:t>
      </w:r>
      <w:r>
        <w:rPr>
          <w:rFonts w:hint="eastAsia" w:cs="Times New Roman"/>
          <w:kern w:val="2"/>
          <w:u w:val="single"/>
        </w:rPr>
        <w:t>工期顺延，但发包人不承担任何由此引起的承包人的损失</w:t>
      </w:r>
      <w:r>
        <w:rPr>
          <w:rFonts w:hint="eastAsia" w:ascii="Times New Roman" w:hAnsi="Times New Roman" w:eastAsia="仿宋_GB2312" w:cs="Times New Roman"/>
        </w:rPr>
        <w:t>。</w:t>
      </w:r>
    </w:p>
    <w:p>
      <w:pPr>
        <w:keepNext w:val="0"/>
        <w:keepLines w:val="0"/>
        <w:pageBreakBefore w:val="0"/>
        <w:widowControl w:val="0"/>
        <w:kinsoku/>
        <w:topLinePunct w:val="0"/>
        <w:autoSpaceDE/>
        <w:autoSpaceDN/>
        <w:bidi w:val="0"/>
        <w:adjustRightInd w:val="0"/>
        <w:snapToGrid w:val="0"/>
        <w:spacing w:line="360" w:lineRule="auto"/>
        <w:ind w:firstLine="480" w:firstLineChars="200"/>
        <w:jc w:val="left"/>
        <w:rPr>
          <w:rFonts w:ascii="Times New Roman" w:hAnsi="Times New Roman" w:cs="Times New Roman"/>
        </w:rPr>
      </w:pPr>
      <w:r>
        <w:rPr>
          <w:rFonts w:hint="eastAsia" w:cs="Times New Roman"/>
          <w:kern w:val="2"/>
        </w:rPr>
        <w:t>（2）因发包人原因未能按合同约定支付合同价款的违约责任：</w:t>
      </w:r>
      <w:r>
        <w:rPr>
          <w:rFonts w:hint="eastAsia" w:ascii="Times New Roman" w:hAnsi="Times New Roman" w:cs="Times New Roman"/>
          <w:kern w:val="2"/>
          <w:u w:val="single"/>
        </w:rPr>
        <w:t>工期顺延，但发包人不承担任何由此引起的承包人的损失</w:t>
      </w:r>
      <w:r>
        <w:rPr>
          <w:rFonts w:ascii="Times New Roman" w:hAnsi="Times New Roman" w:cs="Times New Roman"/>
          <w:kern w:val="2"/>
          <w:u w:val="single"/>
        </w:rPr>
        <w:t>。</w:t>
      </w:r>
    </w:p>
    <w:p>
      <w:pPr>
        <w:keepNext w:val="0"/>
        <w:keepLines w:val="0"/>
        <w:pageBreakBefore w:val="0"/>
        <w:widowControl w:val="0"/>
        <w:kinsoku/>
        <w:topLinePunct w:val="0"/>
        <w:autoSpaceDE/>
        <w:autoSpaceDN/>
        <w:bidi w:val="0"/>
        <w:adjustRightInd w:val="0"/>
        <w:snapToGrid w:val="0"/>
        <w:spacing w:line="360" w:lineRule="auto"/>
        <w:ind w:firstLine="480" w:firstLineChars="200"/>
        <w:jc w:val="left"/>
        <w:rPr>
          <w:rFonts w:ascii="Times New Roman" w:hAnsi="Times New Roman" w:eastAsia="仿宋_GB2312" w:cs="Times New Roman"/>
        </w:rPr>
      </w:pPr>
      <w:r>
        <w:rPr>
          <w:rFonts w:hint="eastAsia" w:cs="Times New Roman"/>
          <w:kern w:val="2"/>
        </w:rPr>
        <w:t>（3）发包人提供的材料、工程设备的规格、数量或质量不符合合同约定，或因发包人原因导致交货日期延误或交货地点变更等情况的违约责任：</w:t>
      </w:r>
      <w:r>
        <w:rPr>
          <w:rFonts w:hint="eastAsia" w:cs="Times New Roman"/>
          <w:u w:val="single"/>
        </w:rPr>
        <w:t>合同工期按约定经发包人审批后予以顺延，但发包人不支付任何赔偿和补偿</w:t>
      </w:r>
      <w:r>
        <w:rPr>
          <w:rFonts w:hint="eastAsia" w:ascii="Times New Roman" w:hAnsi="Times New Roman" w:eastAsia="仿宋_GB2312" w:cs="Times New Roman"/>
        </w:rPr>
        <w:t>。</w:t>
      </w:r>
    </w:p>
    <w:p>
      <w:pPr>
        <w:keepNext w:val="0"/>
        <w:keepLines w:val="0"/>
        <w:pageBreakBefore w:val="0"/>
        <w:widowControl w:val="0"/>
        <w:kinsoku/>
        <w:topLinePunct w:val="0"/>
        <w:autoSpaceDE/>
        <w:autoSpaceDN/>
        <w:bidi w:val="0"/>
        <w:adjustRightInd w:val="0"/>
        <w:snapToGrid w:val="0"/>
        <w:spacing w:line="360" w:lineRule="auto"/>
        <w:ind w:firstLine="480" w:firstLineChars="200"/>
        <w:jc w:val="left"/>
        <w:rPr>
          <w:rFonts w:ascii="Times New Roman" w:hAnsi="Times New Roman" w:eastAsia="仿宋_GB2312" w:cs="Times New Roman"/>
        </w:rPr>
      </w:pPr>
      <w:r>
        <w:rPr>
          <w:rFonts w:hint="eastAsia" w:cs="Times New Roman"/>
          <w:kern w:val="2"/>
        </w:rPr>
        <w:t>（4）因发包人违反合同约定造成暂停施工的违约责任：</w:t>
      </w:r>
      <w:r>
        <w:rPr>
          <w:rFonts w:cs="Times New Roman"/>
          <w:u w:val="single"/>
        </w:rPr>
        <w:t>工期顺延，不</w:t>
      </w:r>
      <w:r>
        <w:rPr>
          <w:rFonts w:hint="eastAsia" w:cs="Times New Roman"/>
          <w:u w:val="single"/>
        </w:rPr>
        <w:t>赔偿和补偿任何</w:t>
      </w:r>
      <w:r>
        <w:rPr>
          <w:rFonts w:cs="Times New Roman"/>
          <w:u w:val="single"/>
        </w:rPr>
        <w:t>费用</w:t>
      </w:r>
      <w:r>
        <w:rPr>
          <w:rFonts w:hint="eastAsia" w:cs="Times New Roman"/>
          <w:u w:val="single"/>
        </w:rPr>
        <w:t>。</w:t>
      </w:r>
    </w:p>
    <w:p>
      <w:pPr>
        <w:keepNext w:val="0"/>
        <w:keepLines w:val="0"/>
        <w:pageBreakBefore w:val="0"/>
        <w:widowControl w:val="0"/>
        <w:kinsoku/>
        <w:topLinePunct w:val="0"/>
        <w:autoSpaceDE/>
        <w:autoSpaceDN/>
        <w:bidi w:val="0"/>
        <w:adjustRightInd w:val="0"/>
        <w:snapToGrid w:val="0"/>
        <w:spacing w:line="360" w:lineRule="auto"/>
        <w:ind w:firstLine="480" w:firstLineChars="200"/>
        <w:jc w:val="left"/>
        <w:rPr>
          <w:rFonts w:ascii="Times New Roman" w:hAnsi="Times New Roman" w:eastAsia="仿宋_GB2312" w:cs="Times New Roman"/>
        </w:rPr>
      </w:pPr>
      <w:r>
        <w:rPr>
          <w:rFonts w:hint="eastAsia" w:cs="Times New Roman"/>
          <w:kern w:val="2"/>
        </w:rPr>
        <w:t>（5）发包人无正当理由没有在约定期限内发出复工指示，导致承包人无法复工的违约责任：</w:t>
      </w:r>
      <w:r>
        <w:rPr>
          <w:rFonts w:cs="Times New Roman"/>
          <w:u w:val="single"/>
        </w:rPr>
        <w:t>工期顺延，不</w:t>
      </w:r>
      <w:r>
        <w:rPr>
          <w:rFonts w:hint="eastAsia" w:cs="Times New Roman"/>
          <w:u w:val="single"/>
        </w:rPr>
        <w:t>赔偿和补偿任何</w:t>
      </w:r>
      <w:r>
        <w:rPr>
          <w:rFonts w:cs="Times New Roman"/>
          <w:u w:val="single"/>
        </w:rPr>
        <w:t>费用</w:t>
      </w:r>
      <w:r>
        <w:rPr>
          <w:rFonts w:hint="eastAsia" w:cs="Times New Roman"/>
          <w:u w:val="single"/>
        </w:rPr>
        <w:t>。</w:t>
      </w:r>
    </w:p>
    <w:p>
      <w:pPr>
        <w:keepNext w:val="0"/>
        <w:keepLines w:val="0"/>
        <w:pageBreakBefore w:val="0"/>
        <w:widowControl w:val="0"/>
        <w:kinsoku/>
        <w:topLinePunct w:val="0"/>
        <w:autoSpaceDE/>
        <w:autoSpaceDN/>
        <w:bidi w:val="0"/>
        <w:adjustRightInd w:val="0"/>
        <w:snapToGrid w:val="0"/>
        <w:spacing w:line="360" w:lineRule="auto"/>
        <w:ind w:firstLine="480" w:firstLineChars="200"/>
        <w:jc w:val="left"/>
        <w:rPr>
          <w:rFonts w:ascii="Times New Roman" w:hAnsi="Times New Roman" w:eastAsia="仿宋_GB2312" w:cs="Times New Roman"/>
        </w:rPr>
      </w:pPr>
      <w:r>
        <w:rPr>
          <w:rFonts w:hint="eastAsia" w:cs="Times New Roman"/>
          <w:kern w:val="2"/>
        </w:rPr>
        <w:t>（6）发包人明确表示或其行为表明不履行合同主要义务的违约责任：</w:t>
      </w:r>
      <w:r>
        <w:rPr>
          <w:rFonts w:hint="eastAsia" w:cs="Times New Roman"/>
          <w:u w:val="single"/>
        </w:rPr>
        <w:t>工期可以顺延，费用不予补偿。</w:t>
      </w:r>
    </w:p>
    <w:p>
      <w:pPr>
        <w:keepNext w:val="0"/>
        <w:keepLines w:val="0"/>
        <w:pageBreakBefore w:val="0"/>
        <w:widowControl w:val="0"/>
        <w:kinsoku/>
        <w:topLinePunct w:val="0"/>
        <w:autoSpaceDE/>
        <w:autoSpaceDN/>
        <w:bidi w:val="0"/>
        <w:adjustRightInd w:val="0"/>
        <w:snapToGrid w:val="0"/>
        <w:spacing w:line="360" w:lineRule="auto"/>
        <w:ind w:firstLine="480" w:firstLineChars="200"/>
        <w:jc w:val="left"/>
        <w:rPr>
          <w:rFonts w:ascii="Times New Roman" w:hAnsi="Times New Roman" w:eastAsia="仿宋_GB2312" w:cs="Times New Roman"/>
        </w:rPr>
      </w:pPr>
      <w:r>
        <w:rPr>
          <w:rFonts w:hint="eastAsia" w:cs="Times New Roman"/>
          <w:kern w:val="2"/>
        </w:rPr>
        <w:t>（7）其他：</w:t>
      </w:r>
      <w:r>
        <w:rPr>
          <w:rFonts w:hint="eastAsia" w:ascii="Times New Roman" w:hAnsi="Times New Roman" w:cs="Times New Roman"/>
          <w:kern w:val="2"/>
          <w:u w:val="single"/>
        </w:rPr>
        <w:t>监理工程师不能及时给出必要的指令、确定、批准造成施工延误的，工期应相应顺延。</w:t>
      </w:r>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hint="eastAsia" w:cs="Times New Roman"/>
          <w:b/>
          <w:bCs/>
          <w:kern w:val="2"/>
          <w:szCs w:val="32"/>
        </w:rPr>
      </w:pPr>
      <w:bookmarkStart w:id="467" w:name="_Toc46325352"/>
      <w:bookmarkStart w:id="468" w:name="_Toc3131"/>
      <w:bookmarkStart w:id="469" w:name="_Toc5142"/>
      <w:bookmarkStart w:id="470" w:name="_Toc2000013"/>
      <w:r>
        <w:rPr>
          <w:rFonts w:hint="eastAsia" w:cs="Times New Roman"/>
          <w:b/>
          <w:bCs/>
          <w:kern w:val="2"/>
          <w:szCs w:val="32"/>
        </w:rPr>
        <w:t>28.2 承包人违约</w:t>
      </w:r>
      <w:bookmarkEnd w:id="467"/>
      <w:bookmarkEnd w:id="468"/>
      <w:bookmarkEnd w:id="469"/>
      <w:bookmarkEnd w:id="470"/>
    </w:p>
    <w:p>
      <w:pPr>
        <w:keepNext w:val="0"/>
        <w:keepLines w:val="0"/>
        <w:pageBreakBefore w:val="0"/>
        <w:widowControl w:val="0"/>
        <w:kinsoku/>
        <w:topLinePunct w:val="0"/>
        <w:autoSpaceDE/>
        <w:autoSpaceDN/>
        <w:bidi w:val="0"/>
        <w:adjustRightInd w:val="0"/>
        <w:snapToGrid w:val="0"/>
        <w:spacing w:line="360" w:lineRule="auto"/>
        <w:ind w:firstLine="480" w:firstLineChars="200"/>
        <w:jc w:val="both"/>
        <w:rPr>
          <w:rFonts w:ascii="等线" w:hAnsi="等线" w:cs="Times New Roman"/>
          <w:kern w:val="2"/>
          <w:u w:val="single"/>
        </w:rPr>
      </w:pPr>
      <w:r>
        <w:rPr>
          <w:rFonts w:hint="eastAsia" w:ascii="等线" w:hAnsi="等线" w:cs="Times New Roman"/>
          <w:kern w:val="2"/>
        </w:rPr>
        <w:t>承包人应承担的违约责任：</w:t>
      </w:r>
      <w:r>
        <w:rPr>
          <w:rFonts w:hint="eastAsia" w:ascii="等线" w:hAnsi="等线" w:cs="Times New Roman"/>
          <w:kern w:val="2"/>
          <w:u w:val="single"/>
        </w:rPr>
        <w:t>详见补充条款及附件</w:t>
      </w:r>
      <w:r>
        <w:rPr>
          <w:rFonts w:ascii="等线" w:hAnsi="等线" w:cs="Times New Roman"/>
          <w:kern w:val="2"/>
          <w:u w:val="single"/>
        </w:rPr>
        <w:t>1</w:t>
      </w:r>
      <w:r>
        <w:rPr>
          <w:rFonts w:hint="eastAsia" w:ascii="等线" w:hAnsi="等线" w:cs="Times New Roman"/>
          <w:kern w:val="2"/>
        </w:rPr>
        <w:t>。</w:t>
      </w:r>
    </w:p>
    <w:p>
      <w:pPr>
        <w:keepNext w:val="0"/>
        <w:keepLines w:val="0"/>
        <w:pageBreakBefore w:val="0"/>
        <w:widowControl/>
        <w:tabs>
          <w:tab w:val="left" w:pos="540"/>
          <w:tab w:val="left" w:pos="720"/>
          <w:tab w:val="left" w:pos="1620"/>
          <w:tab w:val="left" w:pos="2340"/>
        </w:tabs>
        <w:kinsoku/>
        <w:topLinePunct w:val="0"/>
        <w:autoSpaceDE/>
        <w:autoSpaceDN/>
        <w:bidi w:val="0"/>
        <w:adjustRightInd w:val="0"/>
        <w:snapToGrid w:val="0"/>
        <w:spacing w:line="360" w:lineRule="auto"/>
        <w:ind w:left="178"/>
        <w:jc w:val="left"/>
        <w:outlineLvl w:val="1"/>
        <w:rPr>
          <w:rFonts w:ascii="Times New Roman" w:cs="Times New Roman"/>
          <w:b/>
          <w:bCs/>
          <w:kern w:val="44"/>
          <w:sz w:val="28"/>
          <w:szCs w:val="28"/>
        </w:rPr>
      </w:pPr>
      <w:bookmarkStart w:id="471" w:name="_Toc46325353"/>
      <w:bookmarkStart w:id="472" w:name="_Toc2000014"/>
      <w:bookmarkStart w:id="473" w:name="_Toc5798"/>
      <w:bookmarkStart w:id="474" w:name="_Toc15937"/>
      <w:r>
        <w:rPr>
          <w:rFonts w:hint="eastAsia" w:ascii="Times New Roman" w:cs="Times New Roman"/>
          <w:b/>
          <w:bCs/>
          <w:kern w:val="44"/>
          <w:sz w:val="28"/>
          <w:szCs w:val="28"/>
        </w:rPr>
        <w:t>29 索赔</w:t>
      </w:r>
      <w:bookmarkEnd w:id="471"/>
      <w:bookmarkEnd w:id="472"/>
      <w:bookmarkEnd w:id="473"/>
      <w:bookmarkEnd w:id="474"/>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475" w:name="_Toc46325354"/>
      <w:bookmarkStart w:id="476" w:name="_Toc6237"/>
      <w:bookmarkStart w:id="477" w:name="_Toc2000015"/>
      <w:bookmarkStart w:id="478" w:name="_Toc14473"/>
      <w:r>
        <w:rPr>
          <w:rFonts w:hint="eastAsia" w:cs="Times New Roman"/>
          <w:b/>
          <w:bCs/>
          <w:kern w:val="2"/>
          <w:szCs w:val="32"/>
        </w:rPr>
        <w:t>29.3 发包人索赔情形</w:t>
      </w:r>
      <w:bookmarkEnd w:id="475"/>
      <w:bookmarkEnd w:id="476"/>
      <w:bookmarkEnd w:id="477"/>
      <w:bookmarkEnd w:id="478"/>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rPr>
        <w:t>(4)发包人可向承包人提出索赔的其他情形：</w:t>
      </w:r>
      <w:r>
        <w:rPr>
          <w:rFonts w:hint="eastAsia" w:cs="Times New Roman"/>
          <w:kern w:val="2"/>
          <w:u w:val="single"/>
        </w:rPr>
        <w:t xml:space="preserve"> / </w:t>
      </w:r>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479" w:name="_Toc2000016"/>
      <w:bookmarkStart w:id="480" w:name="_Toc31299"/>
      <w:bookmarkStart w:id="481" w:name="_Toc7492"/>
      <w:bookmarkStart w:id="482" w:name="_Toc46325355"/>
      <w:r>
        <w:rPr>
          <w:rFonts w:hint="eastAsia" w:cs="Times New Roman"/>
          <w:b/>
          <w:bCs/>
          <w:kern w:val="2"/>
          <w:szCs w:val="32"/>
        </w:rPr>
        <w:t>29.5 承包人索赔情形</w:t>
      </w:r>
      <w:bookmarkEnd w:id="479"/>
      <w:bookmarkEnd w:id="480"/>
      <w:bookmarkEnd w:id="481"/>
      <w:bookmarkEnd w:id="482"/>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(7)承包人可向发包人提出索赔的其他情形：</w:t>
      </w:r>
      <w:r>
        <w:rPr>
          <w:rFonts w:hint="eastAsia" w:cs="Times New Roman"/>
          <w:kern w:val="2"/>
          <w:u w:val="single"/>
        </w:rPr>
        <w:t xml:space="preserve"> / </w:t>
      </w:r>
    </w:p>
    <w:p>
      <w:pPr>
        <w:keepNext w:val="0"/>
        <w:keepLines w:val="0"/>
        <w:pageBreakBefore w:val="0"/>
        <w:widowControl/>
        <w:tabs>
          <w:tab w:val="left" w:pos="540"/>
          <w:tab w:val="left" w:pos="720"/>
          <w:tab w:val="left" w:pos="1620"/>
          <w:tab w:val="left" w:pos="2340"/>
        </w:tabs>
        <w:kinsoku/>
        <w:topLinePunct w:val="0"/>
        <w:autoSpaceDE/>
        <w:autoSpaceDN/>
        <w:bidi w:val="0"/>
        <w:adjustRightInd w:val="0"/>
        <w:snapToGrid w:val="0"/>
        <w:spacing w:line="360" w:lineRule="auto"/>
        <w:ind w:left="178"/>
        <w:jc w:val="left"/>
        <w:outlineLvl w:val="1"/>
        <w:rPr>
          <w:rFonts w:ascii="Times New Roman" w:cs="Times New Roman"/>
          <w:b/>
          <w:bCs/>
          <w:kern w:val="44"/>
          <w:sz w:val="28"/>
          <w:szCs w:val="28"/>
        </w:rPr>
      </w:pPr>
      <w:bookmarkStart w:id="483" w:name="_Toc2000017"/>
      <w:bookmarkStart w:id="484" w:name="_Toc27033"/>
      <w:bookmarkStart w:id="485" w:name="_Toc4751"/>
      <w:bookmarkStart w:id="486" w:name="_Toc46325356"/>
      <w:r>
        <w:rPr>
          <w:rFonts w:hint="eastAsia" w:ascii="Times New Roman" w:cs="Times New Roman"/>
          <w:b/>
          <w:bCs/>
          <w:kern w:val="44"/>
          <w:sz w:val="28"/>
          <w:szCs w:val="28"/>
        </w:rPr>
        <w:t>30 争议解决</w:t>
      </w:r>
      <w:bookmarkEnd w:id="483"/>
      <w:bookmarkEnd w:id="484"/>
      <w:bookmarkEnd w:id="485"/>
      <w:bookmarkEnd w:id="486"/>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487" w:name="_Toc46325357"/>
      <w:bookmarkStart w:id="488" w:name="_Toc2000018"/>
      <w:bookmarkStart w:id="489" w:name="_Toc18411"/>
      <w:bookmarkStart w:id="490" w:name="_Toc9134"/>
      <w:r>
        <w:rPr>
          <w:rFonts w:hint="eastAsia" w:cs="Times New Roman"/>
          <w:b/>
          <w:bCs/>
          <w:kern w:val="2"/>
          <w:szCs w:val="32"/>
        </w:rPr>
        <w:t>30.1 争议的解决方式</w:t>
      </w:r>
      <w:bookmarkEnd w:id="487"/>
      <w:bookmarkEnd w:id="488"/>
      <w:bookmarkEnd w:id="489"/>
      <w:bookmarkEnd w:id="490"/>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(1)发包人与承包人共同指定的调解机构为：</w:t>
      </w:r>
      <w:r>
        <w:rPr>
          <w:rFonts w:hint="eastAsia" w:cs="Times New Roman"/>
          <w:kern w:val="2"/>
          <w:u w:val="single"/>
        </w:rPr>
        <w:t xml:space="preserve"> / </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(2)发包人或承包人一方不愿调解或调解不成的，应采用下列方式之一解决争议(注：只能选择一种方式，在选定的方式前的“□”内打“</w:t>
      </w:r>
      <w:r>
        <w:rPr>
          <w:rFonts w:ascii="Symbol" w:hAnsi="Symbol" w:cs="Times New Roman"/>
          <w:kern w:val="2"/>
        </w:rPr>
        <w:sym w:font="Symbol" w:char="F0D6"/>
      </w:r>
      <w:r>
        <w:rPr>
          <w:rFonts w:hint="eastAsia" w:cs="Times New Roman"/>
          <w:kern w:val="2"/>
        </w:rPr>
        <w:t>”)：</w:t>
      </w:r>
    </w:p>
    <w:p>
      <w:pPr>
        <w:keepNext w:val="0"/>
        <w:keepLines w:val="0"/>
        <w:pageBreakBefore w:val="0"/>
        <w:widowControl w:val="0"/>
        <w:kinsoku/>
        <w:topLinePunct w:val="0"/>
        <w:autoSpaceDE/>
        <w:autoSpaceDN/>
        <w:bidi w:val="0"/>
        <w:adjustRightInd w:val="0"/>
        <w:snapToGrid w:val="0"/>
        <w:spacing w:line="360" w:lineRule="auto"/>
        <w:ind w:left="178" w:firstLine="480"/>
        <w:jc w:val="left"/>
        <w:rPr>
          <w:rFonts w:cs="Times New Roman"/>
          <w:kern w:val="2"/>
        </w:rPr>
      </w:pPr>
      <w:r>
        <w:rPr>
          <w:rFonts w:ascii="宋体" w:hAnsi="宋体" w:eastAsia="宋体" w:cs="Times New Roman"/>
          <w:kern w:val="0"/>
          <w:sz w:val="24"/>
          <w:szCs w:val="24"/>
        </w:rPr>
        <w:drawing>
          <wp:inline distT="0" distB="0" distL="0" distR="0">
            <wp:extent cx="152400" cy="141605"/>
            <wp:effectExtent l="0" t="0" r="0" b="10795"/>
            <wp:docPr id="142132148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21481" name="图片 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kern w:val="2"/>
        </w:rPr>
        <w:t>提交深圳国际仲裁院(深圳仲裁委员会)仲裁；</w:t>
      </w:r>
    </w:p>
    <w:p>
      <w:pPr>
        <w:keepNext w:val="0"/>
        <w:keepLines w:val="0"/>
        <w:pageBreakBefore w:val="0"/>
        <w:widowControl w:val="0"/>
        <w:kinsoku/>
        <w:topLinePunct w:val="0"/>
        <w:autoSpaceDE/>
        <w:autoSpaceDN/>
        <w:bidi w:val="0"/>
        <w:adjustRightInd w:val="0"/>
        <w:snapToGrid w:val="0"/>
        <w:spacing w:line="360" w:lineRule="auto"/>
        <w:ind w:left="178" w:firstLine="640"/>
        <w:jc w:val="left"/>
        <w:rPr>
          <w:rFonts w:cs="Times New Roman"/>
          <w:kern w:val="2"/>
        </w:rPr>
      </w:pPr>
      <w:r>
        <w:rPr>
          <w:rFonts w:ascii="Segoe UI Emoji" w:hAnsi="Segoe UI Emoji" w:eastAsia="MS Mincho" w:cs="Segoe UI Emoji"/>
          <w:kern w:val="2"/>
          <w:sz w:val="32"/>
          <w:szCs w:val="21"/>
        </w:rPr>
        <w:t>☑</w:t>
      </w:r>
      <w:r>
        <w:rPr>
          <w:rFonts w:hint="eastAsia" w:cs="Times New Roman"/>
          <w:kern w:val="2"/>
        </w:rPr>
        <w:t>向工程所在地人民法院提起诉讼。</w:t>
      </w:r>
    </w:p>
    <w:p>
      <w:pPr>
        <w:keepNext w:val="0"/>
        <w:keepLines w:val="0"/>
        <w:pageBreakBefore w:val="0"/>
        <w:widowControl/>
        <w:tabs>
          <w:tab w:val="left" w:pos="540"/>
          <w:tab w:val="left" w:pos="720"/>
          <w:tab w:val="left" w:pos="1620"/>
          <w:tab w:val="left" w:pos="2340"/>
        </w:tabs>
        <w:kinsoku/>
        <w:topLinePunct w:val="0"/>
        <w:autoSpaceDE/>
        <w:autoSpaceDN/>
        <w:bidi w:val="0"/>
        <w:adjustRightInd w:val="0"/>
        <w:snapToGrid w:val="0"/>
        <w:spacing w:line="360" w:lineRule="auto"/>
        <w:ind w:left="178"/>
        <w:jc w:val="left"/>
        <w:outlineLvl w:val="1"/>
        <w:rPr>
          <w:rFonts w:ascii="Times New Roman" w:cs="Times New Roman"/>
          <w:b/>
          <w:bCs/>
          <w:kern w:val="44"/>
          <w:sz w:val="28"/>
          <w:szCs w:val="28"/>
        </w:rPr>
      </w:pPr>
      <w:bookmarkStart w:id="491" w:name="_Toc2000019"/>
      <w:bookmarkStart w:id="492" w:name="_Toc46325358"/>
      <w:bookmarkStart w:id="493" w:name="_Toc9650"/>
      <w:bookmarkStart w:id="494" w:name="_Toc19194"/>
      <w:r>
        <w:rPr>
          <w:rFonts w:hint="eastAsia" w:ascii="Times New Roman" w:cs="Times New Roman"/>
          <w:b/>
          <w:bCs/>
          <w:kern w:val="44"/>
          <w:sz w:val="28"/>
          <w:szCs w:val="28"/>
        </w:rPr>
        <w:t>31 工程质量缺陷保修</w:t>
      </w:r>
      <w:bookmarkEnd w:id="491"/>
      <w:bookmarkEnd w:id="492"/>
      <w:bookmarkEnd w:id="493"/>
      <w:bookmarkEnd w:id="494"/>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495" w:name="_Toc2000020"/>
      <w:bookmarkStart w:id="496" w:name="_Toc6678"/>
      <w:bookmarkStart w:id="497" w:name="_Toc46325359"/>
      <w:bookmarkStart w:id="498" w:name="_Toc19211"/>
      <w:r>
        <w:rPr>
          <w:rFonts w:hint="eastAsia" w:cs="Times New Roman"/>
          <w:b/>
          <w:bCs/>
          <w:kern w:val="2"/>
          <w:szCs w:val="32"/>
        </w:rPr>
        <w:t>31.2 缺陷责任期</w:t>
      </w:r>
      <w:bookmarkEnd w:id="495"/>
      <w:bookmarkEnd w:id="496"/>
      <w:bookmarkEnd w:id="497"/>
      <w:bookmarkEnd w:id="498"/>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(1)本工程缺陷责任期期限为：</w:t>
      </w:r>
      <w:r>
        <w:rPr>
          <w:rFonts w:hint="eastAsia" w:cs="Times New Roman"/>
          <w:u w:val="single"/>
        </w:rPr>
        <w:t>详见合同附件工程质量保修书</w:t>
      </w:r>
      <w:r>
        <w:rPr>
          <w:rFonts w:hint="eastAsia" w:cs="Times New Roman"/>
          <w:kern w:val="2"/>
        </w:rPr>
        <w:t>；</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(4)承包人向发包人发出缺陷责任期届满通知的时间：</w:t>
      </w:r>
      <w:r>
        <w:rPr>
          <w:rFonts w:hint="eastAsia" w:cs="Times New Roman"/>
          <w:u w:val="single"/>
        </w:rPr>
        <w:t>详见合同附件工程质量保修书</w:t>
      </w:r>
      <w:r>
        <w:rPr>
          <w:rFonts w:hint="eastAsia" w:cs="Times New Roman"/>
          <w:kern w:val="2"/>
        </w:rPr>
        <w:t>；</w:t>
      </w:r>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499" w:name="_Toc27632"/>
      <w:bookmarkStart w:id="500" w:name="_Toc5929"/>
      <w:bookmarkStart w:id="501" w:name="_Toc46325360"/>
      <w:bookmarkStart w:id="502" w:name="_Toc2000021"/>
      <w:r>
        <w:rPr>
          <w:rFonts w:hint="eastAsia" w:cs="Times New Roman"/>
          <w:b/>
          <w:bCs/>
          <w:kern w:val="2"/>
          <w:szCs w:val="32"/>
        </w:rPr>
        <w:t>31.3 质量保证金</w:t>
      </w:r>
      <w:bookmarkEnd w:id="499"/>
      <w:bookmarkEnd w:id="500"/>
      <w:bookmarkEnd w:id="501"/>
      <w:bookmarkEnd w:id="502"/>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(1)本工程扣留质量保证金的约定：</w:t>
      </w:r>
      <w:r>
        <w:rPr>
          <w:rFonts w:hint="eastAsia" w:ascii="Calibri" w:hAnsi="Calibri" w:cs="Times New Roman"/>
          <w:spacing w:val="1"/>
          <w:kern w:val="2"/>
          <w:u w:val="single"/>
          <w:lang w:val="zh-TW" w:eastAsia="zh-TW"/>
        </w:rPr>
        <w:t>结算价款的</w:t>
      </w:r>
      <w:r>
        <w:rPr>
          <w:rFonts w:ascii="Calibri" w:hAnsi="Calibri" w:cs="Times New Roman"/>
          <w:spacing w:val="1"/>
          <w:kern w:val="2"/>
          <w:u w:val="single"/>
          <w:lang w:val="zh-CN"/>
        </w:rPr>
        <w:t>3</w:t>
      </w:r>
      <w:r>
        <w:rPr>
          <w:rFonts w:ascii="Calibri" w:hAnsi="Calibri" w:cs="Times New Roman"/>
          <w:spacing w:val="1"/>
          <w:kern w:val="2"/>
          <w:u w:val="single"/>
          <w:lang w:val="zh-TW" w:eastAsia="zh-TW"/>
        </w:rPr>
        <w:t>%</w:t>
      </w:r>
      <w:r>
        <w:rPr>
          <w:rFonts w:hint="eastAsia" w:cs="Times New Roman"/>
          <w:kern w:val="2"/>
        </w:rPr>
        <w:t>；</w:t>
      </w:r>
    </w:p>
    <w:p>
      <w:pPr>
        <w:keepNext w:val="0"/>
        <w:keepLines w:val="0"/>
        <w:pageBreakBefore w:val="0"/>
        <w:widowControl w:val="0"/>
        <w:kinsoku/>
        <w:topLinePunct w:val="0"/>
        <w:autoSpaceDE/>
        <w:autoSpaceDN/>
        <w:bidi w:val="0"/>
        <w:adjustRightInd w:val="0"/>
        <w:snapToGrid w:val="0"/>
        <w:spacing w:line="360" w:lineRule="auto"/>
        <w:ind w:firstLine="360" w:firstLineChars="150"/>
        <w:jc w:val="left"/>
        <w:rPr>
          <w:rFonts w:cs="Times New Roman"/>
          <w:kern w:val="2"/>
        </w:rPr>
      </w:pPr>
      <w:r>
        <w:rPr>
          <w:rFonts w:hint="eastAsia" w:cs="Times New Roman"/>
          <w:kern w:val="2"/>
        </w:rPr>
        <w:t xml:space="preserve"> (2)质量保证金的提供方式为：</w:t>
      </w:r>
      <w:r>
        <w:rPr>
          <w:rFonts w:hint="eastAsia" w:cs="Times New Roman"/>
          <w:u w:val="single"/>
        </w:rPr>
        <w:t>详见合同附件工程质量保修书</w:t>
      </w:r>
      <w:r>
        <w:rPr>
          <w:rFonts w:hint="eastAsia" w:cs="Times New Roman"/>
          <w:kern w:val="2"/>
        </w:rPr>
        <w:t>；</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(3)质量保证金的扣留方式为：</w:t>
      </w:r>
      <w:r>
        <w:rPr>
          <w:rFonts w:hint="eastAsia" w:cs="Times New Roman"/>
          <w:u w:val="single"/>
        </w:rPr>
        <w:t>详见合同附件工程质量保修书</w:t>
      </w:r>
      <w:r>
        <w:rPr>
          <w:rFonts w:hint="eastAsia" w:cs="Times New Roman"/>
          <w:kern w:val="2"/>
        </w:rPr>
        <w:t>；</w:t>
      </w:r>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503" w:name="_Toc8382"/>
      <w:bookmarkStart w:id="504" w:name="_Toc851"/>
      <w:bookmarkStart w:id="505" w:name="_Toc2000022"/>
      <w:bookmarkStart w:id="506" w:name="_Toc46325361"/>
      <w:r>
        <w:rPr>
          <w:rFonts w:hint="eastAsia" w:cs="Times New Roman"/>
          <w:b/>
          <w:bCs/>
          <w:kern w:val="2"/>
          <w:szCs w:val="32"/>
        </w:rPr>
        <w:t>31.4 保修责任</w:t>
      </w:r>
      <w:bookmarkEnd w:id="503"/>
      <w:bookmarkEnd w:id="504"/>
      <w:bookmarkEnd w:id="505"/>
      <w:bookmarkEnd w:id="506"/>
    </w:p>
    <w:p>
      <w:pPr>
        <w:keepNext w:val="0"/>
        <w:keepLines w:val="0"/>
        <w:pageBreakBefore w:val="0"/>
        <w:widowControl w:val="0"/>
        <w:kinsoku/>
        <w:topLinePunct w:val="0"/>
        <w:autoSpaceDE/>
        <w:autoSpaceDN/>
        <w:bidi w:val="0"/>
        <w:adjustRightInd w:val="0"/>
        <w:snapToGrid w:val="0"/>
        <w:spacing w:line="360" w:lineRule="auto"/>
        <w:ind w:firstLine="480"/>
        <w:jc w:val="left"/>
        <w:rPr>
          <w:rFonts w:hint="eastAsia" w:eastAsia="宋体" w:cs="Times New Roman"/>
          <w:kern w:val="2"/>
          <w:u w:val="single"/>
          <w:lang w:eastAsia="zh-CN"/>
        </w:rPr>
      </w:pPr>
      <w:r>
        <w:rPr>
          <w:rFonts w:hint="eastAsia" w:cs="Times New Roman"/>
          <w:kern w:val="2"/>
        </w:rPr>
        <w:t>本工程分部分项工程保修期为：</w:t>
      </w:r>
      <w:r>
        <w:rPr>
          <w:rFonts w:hint="eastAsia" w:cs="Times New Roman"/>
          <w:u w:val="single"/>
        </w:rPr>
        <w:t>详见合同附件工程质量保修书</w:t>
      </w:r>
      <w:r>
        <w:rPr>
          <w:rFonts w:hint="eastAsia" w:cs="Times New Roman"/>
          <w:u w:val="single"/>
          <w:lang w:eastAsia="zh-CN"/>
        </w:rPr>
        <w:t>。</w:t>
      </w:r>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507" w:name="_Toc46325362"/>
      <w:bookmarkStart w:id="508" w:name="_Toc2000023"/>
      <w:bookmarkStart w:id="509" w:name="_Toc27897"/>
      <w:bookmarkStart w:id="510" w:name="_Toc7412"/>
      <w:r>
        <w:rPr>
          <w:rFonts w:hint="eastAsia" w:cs="Times New Roman"/>
          <w:b/>
          <w:bCs/>
          <w:kern w:val="2"/>
          <w:szCs w:val="32"/>
        </w:rPr>
        <w:t>31.6 修复通知</w:t>
      </w:r>
      <w:bookmarkEnd w:id="507"/>
      <w:bookmarkEnd w:id="508"/>
      <w:bookmarkEnd w:id="509"/>
      <w:bookmarkEnd w:id="510"/>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承包人收到保修通知并到达工程现场的合理时间为：</w:t>
      </w:r>
      <w:r>
        <w:rPr>
          <w:rFonts w:hint="eastAsia" w:cs="Times New Roman"/>
          <w:u w:val="single"/>
        </w:rPr>
        <w:t>详见合同附件工程质量保修书</w:t>
      </w:r>
      <w:r>
        <w:rPr>
          <w:rFonts w:hint="eastAsia" w:cs="Times New Roman"/>
          <w:kern w:val="2"/>
        </w:rPr>
        <w:t>；</w:t>
      </w:r>
    </w:p>
    <w:p>
      <w:pPr>
        <w:keepNext w:val="0"/>
        <w:keepLines w:val="0"/>
        <w:pageBreakBefore w:val="0"/>
        <w:widowControl/>
        <w:tabs>
          <w:tab w:val="left" w:pos="540"/>
          <w:tab w:val="left" w:pos="720"/>
          <w:tab w:val="left" w:pos="1620"/>
          <w:tab w:val="left" w:pos="2340"/>
        </w:tabs>
        <w:kinsoku/>
        <w:topLinePunct w:val="0"/>
        <w:autoSpaceDE/>
        <w:autoSpaceDN/>
        <w:bidi w:val="0"/>
        <w:adjustRightInd w:val="0"/>
        <w:snapToGrid w:val="0"/>
        <w:spacing w:line="360" w:lineRule="auto"/>
        <w:ind w:left="178"/>
        <w:jc w:val="left"/>
        <w:outlineLvl w:val="1"/>
        <w:rPr>
          <w:rFonts w:ascii="Times New Roman" w:cs="Times New Roman"/>
          <w:b/>
          <w:bCs/>
          <w:kern w:val="44"/>
          <w:sz w:val="28"/>
          <w:szCs w:val="28"/>
        </w:rPr>
      </w:pPr>
      <w:bookmarkStart w:id="511" w:name="_Toc1676"/>
      <w:bookmarkStart w:id="512" w:name="_Toc19297"/>
      <w:bookmarkStart w:id="513" w:name="_Toc46325363"/>
      <w:bookmarkStart w:id="514" w:name="_Toc2000024"/>
      <w:r>
        <w:rPr>
          <w:rFonts w:hint="eastAsia" w:ascii="Times New Roman" w:cs="Times New Roman"/>
          <w:b/>
          <w:bCs/>
          <w:kern w:val="44"/>
          <w:sz w:val="28"/>
          <w:szCs w:val="28"/>
        </w:rPr>
        <w:t>32 不可抗力</w:t>
      </w:r>
      <w:bookmarkEnd w:id="511"/>
      <w:bookmarkEnd w:id="512"/>
      <w:bookmarkEnd w:id="513"/>
      <w:bookmarkEnd w:id="514"/>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515" w:name="_Toc15899"/>
      <w:bookmarkStart w:id="516" w:name="_Toc21360"/>
      <w:bookmarkStart w:id="517" w:name="_Toc2000025"/>
      <w:bookmarkStart w:id="518" w:name="_Toc46325364"/>
      <w:r>
        <w:rPr>
          <w:rFonts w:hint="eastAsia" w:cs="Times New Roman"/>
          <w:b/>
          <w:bCs/>
          <w:kern w:val="2"/>
          <w:szCs w:val="32"/>
        </w:rPr>
        <w:t>32.1 不可抗力包括范围</w:t>
      </w:r>
      <w:bookmarkEnd w:id="515"/>
      <w:bookmarkEnd w:id="516"/>
      <w:bookmarkEnd w:id="517"/>
      <w:bookmarkEnd w:id="518"/>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发包人与承包人约定的其他不可抗力：</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hint="eastAsia" w:cs="Times New Roman"/>
          <w:kern w:val="2"/>
        </w:rPr>
        <w:t>(1)平均风力</w:t>
      </w:r>
      <w:r>
        <w:rPr>
          <w:rFonts w:hint="eastAsia" w:cs="Times New Roman"/>
          <w:kern w:val="2"/>
          <w:u w:val="single"/>
        </w:rPr>
        <w:t xml:space="preserve"> 8 </w:t>
      </w:r>
      <w:r>
        <w:rPr>
          <w:rFonts w:hint="eastAsia" w:cs="Times New Roman"/>
          <w:kern w:val="2"/>
        </w:rPr>
        <w:t>级以上的大风(一般为8级)；</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cs="Times New Roman"/>
          <w:kern w:val="2"/>
        </w:rPr>
        <w:t>(2)3个小时内降雨量为 50mm 以上的暴雨(一般为50mm)；</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cs="Times New Roman"/>
          <w:kern w:val="2"/>
        </w:rPr>
        <w:t>(3) 38摄氏度以上的高温天气(一般为37摄氏度)；</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rPr>
      </w:pPr>
      <w:r>
        <w:rPr>
          <w:rFonts w:cs="Times New Roman"/>
          <w:kern w:val="2"/>
        </w:rPr>
        <w:t>(4)</w:t>
      </w:r>
      <w:r>
        <w:rPr>
          <w:rFonts w:hint="eastAsia" w:cs="Times New Roman"/>
          <w:kern w:val="2"/>
        </w:rPr>
        <w:t>其它：</w:t>
      </w:r>
      <w:r>
        <w:rPr>
          <w:rFonts w:hint="eastAsia"/>
          <w:kern w:val="2"/>
          <w:u w:val="single"/>
        </w:rPr>
        <w:t>按照法律约束的不可抗力的规定。同时以上数据以深圳市气象局发布或提供的数据为准。</w:t>
      </w:r>
    </w:p>
    <w:p>
      <w:pPr>
        <w:keepNext w:val="0"/>
        <w:keepLines w:val="0"/>
        <w:pageBreakBefore w:val="0"/>
        <w:widowControl/>
        <w:tabs>
          <w:tab w:val="left" w:pos="540"/>
          <w:tab w:val="left" w:pos="720"/>
          <w:tab w:val="left" w:pos="1620"/>
          <w:tab w:val="left" w:pos="2340"/>
        </w:tabs>
        <w:kinsoku/>
        <w:topLinePunct w:val="0"/>
        <w:autoSpaceDE/>
        <w:autoSpaceDN/>
        <w:bidi w:val="0"/>
        <w:adjustRightInd w:val="0"/>
        <w:snapToGrid w:val="0"/>
        <w:spacing w:line="360" w:lineRule="auto"/>
        <w:ind w:left="178"/>
        <w:jc w:val="left"/>
        <w:outlineLvl w:val="1"/>
        <w:rPr>
          <w:rFonts w:ascii="Times New Roman" w:cs="Times New Roman"/>
          <w:b/>
          <w:bCs/>
          <w:kern w:val="44"/>
          <w:sz w:val="28"/>
          <w:szCs w:val="28"/>
        </w:rPr>
      </w:pPr>
      <w:bookmarkStart w:id="519" w:name="_Toc30300"/>
      <w:bookmarkStart w:id="520" w:name="_Toc2134"/>
      <w:bookmarkStart w:id="521" w:name="_Toc2000026"/>
      <w:bookmarkStart w:id="522" w:name="_Toc46325365"/>
      <w:r>
        <w:rPr>
          <w:rFonts w:hint="eastAsia" w:ascii="Times New Roman" w:cs="Times New Roman"/>
          <w:b/>
          <w:bCs/>
          <w:kern w:val="44"/>
          <w:sz w:val="28"/>
          <w:szCs w:val="28"/>
        </w:rPr>
        <w:t>33 工程保险</w:t>
      </w:r>
      <w:bookmarkEnd w:id="519"/>
      <w:bookmarkEnd w:id="520"/>
      <w:bookmarkEnd w:id="521"/>
      <w:bookmarkEnd w:id="522"/>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523" w:name="_Toc46325366"/>
      <w:bookmarkStart w:id="524" w:name="_Toc7382"/>
      <w:bookmarkStart w:id="525" w:name="_Toc2000027"/>
      <w:bookmarkStart w:id="526" w:name="_Toc46325369"/>
      <w:bookmarkStart w:id="527" w:name="_Toc2000028"/>
      <w:r>
        <w:rPr>
          <w:rFonts w:hint="eastAsia" w:cs="Times New Roman"/>
          <w:b/>
          <w:bCs/>
          <w:kern w:val="2"/>
          <w:szCs w:val="32"/>
        </w:rPr>
        <w:t>33.1 发包人办理的保险</w:t>
      </w:r>
      <w:bookmarkEnd w:id="523"/>
      <w:bookmarkEnd w:id="524"/>
      <w:bookmarkEnd w:id="525"/>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u w:val="single"/>
        </w:rPr>
      </w:pPr>
      <w:r>
        <w:rPr>
          <w:rFonts w:hint="eastAsia" w:cs="Times New Roman"/>
          <w:kern w:val="2"/>
        </w:rPr>
        <w:t>发包人委托承包人办理的保险事项的约定：</w:t>
      </w:r>
      <w:r>
        <w:rPr>
          <w:rFonts w:hint="eastAsia" w:cs="Times New Roman"/>
          <w:u w:val="single"/>
        </w:rPr>
        <w:t>建筑安装工程一切险（其保险金额应为本合同工程的全部重置成本费用）、第三者责任险、</w:t>
      </w:r>
      <w:r>
        <w:rPr>
          <w:rFonts w:hint="eastAsia" w:cs="Times New Roman"/>
          <w:kern w:val="2"/>
          <w:u w:val="single"/>
        </w:rPr>
        <w:t>安全生产责任险</w:t>
      </w:r>
      <w:r>
        <w:rPr>
          <w:rFonts w:hint="eastAsia" w:cs="Times New Roman"/>
          <w:u w:val="single"/>
        </w:rPr>
        <w:t>等项目所有需由发包人办理的保险，均由发包人委托承包人办理，所办理保险受益人为发包人。</w:t>
      </w:r>
      <w:r>
        <w:rPr>
          <w:rFonts w:hint="eastAsia" w:cs="Times New Roman"/>
          <w:b/>
          <w:bCs/>
          <w:u w:val="single"/>
        </w:rPr>
        <w:t>所有工程保险费用均已在合同价中综合考虑，不再另行计算。</w:t>
      </w:r>
      <w:r>
        <w:rPr>
          <w:rFonts w:hint="eastAsia" w:cs="Times New Roman"/>
          <w:u w:val="single"/>
        </w:rPr>
        <w:t>无论什么原因，若承保工程一旦出险，承包人必须第一时间向监理工程师、发包人、发包人的保险顾问、承保人报告，对出险现场具有及时抢险、防止风险扩大和临时看管义务，对监理工程师、发包人或发包人的保险顾问负有配合义务，对于涉及发包人的权利的损害，承包人有义务协助发包人做好向保险公司的索赔工作。</w:t>
      </w:r>
      <w:r>
        <w:rPr>
          <w:rFonts w:hint="eastAsia" w:cs="Times New Roman"/>
          <w:kern w:val="2"/>
          <w:u w:val="single"/>
        </w:rPr>
        <w:t>承包人应保证投保标准足够及保险合同持续有效，否则</w:t>
      </w:r>
      <w:r>
        <w:rPr>
          <w:rFonts w:hint="eastAsia" w:cs="Times New Roman"/>
          <w:u w:val="single"/>
        </w:rPr>
        <w:t>造成保险不能索赔或索赔额不足，则由承包人负责赔偿因此造成的一切损失。</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u w:val="single"/>
        </w:rPr>
      </w:pPr>
      <w:r>
        <w:rPr>
          <w:rFonts w:hint="eastAsia" w:cs="Times New Roman"/>
          <w:u w:val="single"/>
        </w:rPr>
        <w:t>保险合同约定的保险责任范围应当包括工地范围内的全部财产的物质损坏或灭失以及所产生的费用；因发生与所承保工程直接相关的意外事故引起工地内及邻近区域（包括工地邻近的建（构）筑物及设施设备）的第三者（包括发包人的人员）人身伤亡、财产损失以及所产生的费用；承包人施工人员因发生与所承保工程直接相关的意外事故引起的人身伤亡、疾病或财产损失以及所产生的费用。无论是否获得保险机构的赔偿，凡施工中发生的一切安全事故，均由承包人负责所发生事故的依法应支付的损失赔偿费、抚恤费和承担法律责任，发包人不承担该项责任。</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u w:val="single"/>
        </w:rPr>
        <w:t>发包人支付的预付款已包含保险费用，承包人应在收到开工令后一个月内购买保险，</w:t>
      </w:r>
      <w:r>
        <w:rPr>
          <w:rFonts w:hint="eastAsia" w:cs="Times New Roman"/>
          <w:kern w:val="2"/>
          <w:u w:val="single"/>
        </w:rPr>
        <w:t>投保的保单应报监理人和发包人备案。</w:t>
      </w:r>
      <w:r>
        <w:rPr>
          <w:rFonts w:hint="eastAsia" w:cs="Times New Roman"/>
          <w:u w:val="single"/>
        </w:rPr>
        <w:t>发包人在核实承包人的保险单原件后才予以支付首期工程进度款。</w:t>
      </w:r>
    </w:p>
    <w:p>
      <w:pPr>
        <w:keepNext w:val="0"/>
        <w:keepLines w:val="0"/>
        <w:pageBreakBefore w:val="0"/>
        <w:widowControl w:val="0"/>
        <w:kinsoku/>
        <w:topLinePunct w:val="0"/>
        <w:autoSpaceDE/>
        <w:autoSpaceDN/>
        <w:bidi w:val="0"/>
        <w:adjustRightInd w:val="0"/>
        <w:snapToGrid w:val="0"/>
        <w:spacing w:line="360" w:lineRule="auto"/>
        <w:ind w:firstLine="480"/>
        <w:jc w:val="left"/>
        <w:rPr>
          <w:kern w:val="2"/>
          <w:u w:val="single"/>
        </w:rPr>
      </w:pPr>
      <w:r>
        <w:rPr>
          <w:rFonts w:hint="eastAsia"/>
          <w:kern w:val="2"/>
        </w:rPr>
        <w:t>本工程发包人委托承包人办理的保险事项：</w:t>
      </w:r>
    </w:p>
    <w:p>
      <w:pPr>
        <w:keepNext w:val="0"/>
        <w:keepLines w:val="0"/>
        <w:pageBreakBefore w:val="0"/>
        <w:widowControl w:val="0"/>
        <w:kinsoku/>
        <w:topLinePunct w:val="0"/>
        <w:autoSpaceDE/>
        <w:autoSpaceDN/>
        <w:bidi w:val="0"/>
        <w:adjustRightInd w:val="0"/>
        <w:snapToGrid w:val="0"/>
        <w:spacing w:line="360" w:lineRule="auto"/>
        <w:ind w:firstLine="480"/>
        <w:jc w:val="left"/>
        <w:rPr>
          <w:kern w:val="2"/>
        </w:rPr>
      </w:pPr>
      <w:r>
        <w:rPr>
          <w:rFonts w:ascii="Segoe UI Emoji" w:hAnsi="Segoe UI Emoji"/>
          <w:kern w:val="2"/>
          <w:sz w:val="32"/>
        </w:rPr>
        <w:t>☑</w:t>
      </w:r>
      <w:r>
        <w:rPr>
          <w:rFonts w:hint="eastAsia"/>
          <w:kern w:val="2"/>
        </w:rPr>
        <w:t>建筑工程一切险；</w:t>
      </w:r>
    </w:p>
    <w:p>
      <w:pPr>
        <w:keepNext w:val="0"/>
        <w:keepLines w:val="0"/>
        <w:pageBreakBefore w:val="0"/>
        <w:widowControl w:val="0"/>
        <w:kinsoku/>
        <w:topLinePunct w:val="0"/>
        <w:autoSpaceDE/>
        <w:autoSpaceDN/>
        <w:bidi w:val="0"/>
        <w:adjustRightInd w:val="0"/>
        <w:snapToGrid w:val="0"/>
        <w:spacing w:line="360" w:lineRule="auto"/>
        <w:ind w:firstLine="480"/>
        <w:jc w:val="left"/>
        <w:rPr>
          <w:kern w:val="2"/>
        </w:rPr>
      </w:pPr>
      <w:r>
        <w:rPr>
          <w:rFonts w:hint="eastAsia"/>
          <w:kern w:val="2"/>
        </w:rPr>
        <w:t>该项保险保险费：</w:t>
      </w:r>
      <w:r>
        <w:rPr>
          <w:rFonts w:ascii="Segoe UI Emoji" w:hAnsi="Segoe UI Emoji"/>
          <w:kern w:val="2"/>
          <w:sz w:val="32"/>
        </w:rPr>
        <w:t>☑</w:t>
      </w:r>
      <w:r>
        <w:rPr>
          <w:rFonts w:hint="eastAsia"/>
          <w:kern w:val="2"/>
        </w:rPr>
        <w:t>已包含在投标报价</w:t>
      </w:r>
      <w:r>
        <w:rPr>
          <w:kern w:val="2"/>
        </w:rPr>
        <w:t>(签约合同价)中，结算时不予调整；</w:t>
      </w:r>
    </w:p>
    <w:p>
      <w:pPr>
        <w:keepNext w:val="0"/>
        <w:keepLines w:val="0"/>
        <w:pageBreakBefore w:val="0"/>
        <w:widowControl w:val="0"/>
        <w:kinsoku/>
        <w:topLinePunct w:val="0"/>
        <w:autoSpaceDE/>
        <w:autoSpaceDN/>
        <w:bidi w:val="0"/>
        <w:adjustRightInd w:val="0"/>
        <w:snapToGrid w:val="0"/>
        <w:spacing w:line="360" w:lineRule="auto"/>
        <w:ind w:firstLine="2400" w:firstLineChars="1000"/>
        <w:jc w:val="left"/>
        <w:rPr>
          <w:kern w:val="2"/>
        </w:rPr>
      </w:pPr>
      <w:r>
        <w:rPr>
          <w:rFonts w:hint="eastAsia"/>
          <w:kern w:val="2"/>
        </w:rPr>
        <w:t>□未包含在投标报价</w:t>
      </w:r>
      <w:r>
        <w:rPr>
          <w:kern w:val="2"/>
        </w:rPr>
        <w:t>(签约合同价)中，由发包人另行支付；</w:t>
      </w:r>
    </w:p>
    <w:p>
      <w:pPr>
        <w:keepNext w:val="0"/>
        <w:keepLines w:val="0"/>
        <w:pageBreakBefore w:val="0"/>
        <w:widowControl w:val="0"/>
        <w:kinsoku/>
        <w:topLinePunct w:val="0"/>
        <w:autoSpaceDE/>
        <w:autoSpaceDN/>
        <w:bidi w:val="0"/>
        <w:adjustRightInd w:val="0"/>
        <w:snapToGrid w:val="0"/>
        <w:spacing w:line="360" w:lineRule="auto"/>
        <w:ind w:firstLine="480"/>
        <w:jc w:val="left"/>
        <w:rPr>
          <w:kern w:val="2"/>
        </w:rPr>
      </w:pPr>
      <w:r>
        <w:rPr>
          <w:rFonts w:ascii="Segoe UI Emoji" w:hAnsi="Segoe UI Emoji"/>
          <w:kern w:val="2"/>
          <w:sz w:val="32"/>
        </w:rPr>
        <w:t>☑</w:t>
      </w:r>
      <w:r>
        <w:rPr>
          <w:rFonts w:hint="eastAsia"/>
          <w:kern w:val="2"/>
        </w:rPr>
        <w:t>安装工程一切险；</w:t>
      </w:r>
    </w:p>
    <w:p>
      <w:pPr>
        <w:keepNext w:val="0"/>
        <w:keepLines w:val="0"/>
        <w:pageBreakBefore w:val="0"/>
        <w:widowControl w:val="0"/>
        <w:kinsoku/>
        <w:topLinePunct w:val="0"/>
        <w:autoSpaceDE/>
        <w:autoSpaceDN/>
        <w:bidi w:val="0"/>
        <w:adjustRightInd w:val="0"/>
        <w:snapToGrid w:val="0"/>
        <w:spacing w:line="360" w:lineRule="auto"/>
        <w:ind w:firstLine="480"/>
        <w:jc w:val="left"/>
        <w:rPr>
          <w:kern w:val="2"/>
        </w:rPr>
      </w:pPr>
      <w:r>
        <w:rPr>
          <w:rFonts w:hint="eastAsia"/>
          <w:kern w:val="2"/>
        </w:rPr>
        <w:t>该项保险保险费：</w:t>
      </w:r>
      <w:r>
        <w:rPr>
          <w:rFonts w:ascii="Segoe UI Emoji" w:hAnsi="Segoe UI Emoji"/>
          <w:kern w:val="2"/>
          <w:sz w:val="32"/>
        </w:rPr>
        <w:t>☑</w:t>
      </w:r>
      <w:r>
        <w:rPr>
          <w:rFonts w:hint="eastAsia"/>
          <w:kern w:val="2"/>
        </w:rPr>
        <w:t>已包含在投标报价中</w:t>
      </w:r>
      <w:r>
        <w:rPr>
          <w:kern w:val="2"/>
        </w:rPr>
        <w:t>(签约合同价)，结算时不予调整；</w:t>
      </w:r>
    </w:p>
    <w:p>
      <w:pPr>
        <w:keepNext w:val="0"/>
        <w:keepLines w:val="0"/>
        <w:pageBreakBefore w:val="0"/>
        <w:widowControl w:val="0"/>
        <w:kinsoku/>
        <w:topLinePunct w:val="0"/>
        <w:autoSpaceDE/>
        <w:autoSpaceDN/>
        <w:bidi w:val="0"/>
        <w:adjustRightInd w:val="0"/>
        <w:snapToGrid w:val="0"/>
        <w:spacing w:line="360" w:lineRule="auto"/>
        <w:ind w:firstLine="2400" w:firstLineChars="1000"/>
        <w:jc w:val="left"/>
        <w:rPr>
          <w:kern w:val="2"/>
        </w:rPr>
      </w:pPr>
      <w:r>
        <w:rPr>
          <w:rFonts w:hint="eastAsia"/>
          <w:kern w:val="2"/>
        </w:rPr>
        <w:t>□未包含在投标报价中</w:t>
      </w:r>
      <w:r>
        <w:rPr>
          <w:kern w:val="2"/>
        </w:rPr>
        <w:t>(签约合同价)，由发包人另行支付；</w:t>
      </w:r>
    </w:p>
    <w:p>
      <w:pPr>
        <w:keepNext w:val="0"/>
        <w:keepLines w:val="0"/>
        <w:pageBreakBefore w:val="0"/>
        <w:widowControl w:val="0"/>
        <w:kinsoku/>
        <w:topLinePunct w:val="0"/>
        <w:autoSpaceDE/>
        <w:autoSpaceDN/>
        <w:bidi w:val="0"/>
        <w:adjustRightInd w:val="0"/>
        <w:snapToGrid w:val="0"/>
        <w:spacing w:line="360" w:lineRule="auto"/>
        <w:ind w:firstLine="480"/>
        <w:jc w:val="left"/>
        <w:rPr>
          <w:kern w:val="2"/>
        </w:rPr>
      </w:pPr>
      <w:r>
        <w:rPr>
          <w:rFonts w:ascii="Segoe UI Emoji" w:hAnsi="Segoe UI Emoji"/>
          <w:kern w:val="2"/>
          <w:sz w:val="32"/>
        </w:rPr>
        <w:t>☑</w:t>
      </w:r>
      <w:r>
        <w:rPr>
          <w:rFonts w:hint="eastAsia"/>
          <w:kern w:val="2"/>
        </w:rPr>
        <w:t>第三者责任险；</w:t>
      </w:r>
    </w:p>
    <w:p>
      <w:pPr>
        <w:keepNext w:val="0"/>
        <w:keepLines w:val="0"/>
        <w:pageBreakBefore w:val="0"/>
        <w:widowControl w:val="0"/>
        <w:kinsoku/>
        <w:topLinePunct w:val="0"/>
        <w:autoSpaceDE/>
        <w:autoSpaceDN/>
        <w:bidi w:val="0"/>
        <w:adjustRightInd w:val="0"/>
        <w:snapToGrid w:val="0"/>
        <w:spacing w:line="360" w:lineRule="auto"/>
        <w:ind w:firstLine="480"/>
        <w:jc w:val="left"/>
        <w:rPr>
          <w:kern w:val="2"/>
        </w:rPr>
      </w:pPr>
      <w:r>
        <w:rPr>
          <w:rFonts w:hint="eastAsia"/>
          <w:kern w:val="2"/>
        </w:rPr>
        <w:t>该项保险保险费：</w:t>
      </w:r>
      <w:r>
        <w:rPr>
          <w:rFonts w:ascii="Segoe UI Emoji" w:hAnsi="Segoe UI Emoji"/>
          <w:kern w:val="2"/>
          <w:sz w:val="32"/>
        </w:rPr>
        <w:t>☑</w:t>
      </w:r>
      <w:r>
        <w:rPr>
          <w:rFonts w:hint="eastAsia"/>
          <w:kern w:val="2"/>
        </w:rPr>
        <w:t>已包含在投标报价中</w:t>
      </w:r>
      <w:r>
        <w:rPr>
          <w:kern w:val="2"/>
        </w:rPr>
        <w:t>(签约合同价)，结算时不予调整；</w:t>
      </w:r>
    </w:p>
    <w:p>
      <w:pPr>
        <w:keepNext w:val="0"/>
        <w:keepLines w:val="0"/>
        <w:pageBreakBefore w:val="0"/>
        <w:widowControl w:val="0"/>
        <w:kinsoku/>
        <w:topLinePunct w:val="0"/>
        <w:autoSpaceDE/>
        <w:autoSpaceDN/>
        <w:bidi w:val="0"/>
        <w:adjustRightInd w:val="0"/>
        <w:snapToGrid w:val="0"/>
        <w:spacing w:line="360" w:lineRule="auto"/>
        <w:ind w:firstLine="2400" w:firstLineChars="1000"/>
        <w:jc w:val="left"/>
        <w:rPr>
          <w:kern w:val="2"/>
        </w:rPr>
      </w:pPr>
      <w:r>
        <w:rPr>
          <w:rFonts w:hint="eastAsia"/>
          <w:kern w:val="2"/>
        </w:rPr>
        <w:t>□未包含在投标报价中</w:t>
      </w:r>
      <w:r>
        <w:rPr>
          <w:kern w:val="2"/>
        </w:rPr>
        <w:t>(签约合同价)，由发包人另行支付；</w:t>
      </w:r>
    </w:p>
    <w:p>
      <w:pPr>
        <w:keepNext w:val="0"/>
        <w:keepLines w:val="0"/>
        <w:pageBreakBefore w:val="0"/>
        <w:widowControl w:val="0"/>
        <w:kinsoku/>
        <w:topLinePunct w:val="0"/>
        <w:autoSpaceDE/>
        <w:autoSpaceDN/>
        <w:bidi w:val="0"/>
        <w:adjustRightInd w:val="0"/>
        <w:snapToGrid w:val="0"/>
        <w:spacing w:line="360" w:lineRule="auto"/>
        <w:ind w:firstLine="480"/>
        <w:jc w:val="left"/>
        <w:rPr>
          <w:kern w:val="2"/>
        </w:rPr>
      </w:pPr>
      <w:r>
        <w:rPr>
          <w:rFonts w:ascii="Segoe UI Emoji" w:hAnsi="Segoe UI Emoji"/>
          <w:kern w:val="2"/>
          <w:sz w:val="32"/>
        </w:rPr>
        <w:t>☑</w:t>
      </w:r>
      <w:r>
        <w:rPr>
          <w:rFonts w:hint="eastAsia"/>
          <w:kern w:val="2"/>
        </w:rPr>
        <w:t>安全生产责任险；</w:t>
      </w:r>
    </w:p>
    <w:p>
      <w:pPr>
        <w:keepNext w:val="0"/>
        <w:keepLines w:val="0"/>
        <w:pageBreakBefore w:val="0"/>
        <w:widowControl w:val="0"/>
        <w:kinsoku/>
        <w:topLinePunct w:val="0"/>
        <w:autoSpaceDE/>
        <w:autoSpaceDN/>
        <w:bidi w:val="0"/>
        <w:adjustRightInd w:val="0"/>
        <w:snapToGrid w:val="0"/>
        <w:spacing w:line="360" w:lineRule="auto"/>
        <w:ind w:firstLine="480"/>
        <w:jc w:val="left"/>
        <w:rPr>
          <w:kern w:val="2"/>
        </w:rPr>
      </w:pPr>
      <w:r>
        <w:rPr>
          <w:rFonts w:hint="eastAsia"/>
          <w:kern w:val="2"/>
        </w:rPr>
        <w:t>该项保险保险费：</w:t>
      </w:r>
      <w:r>
        <w:rPr>
          <w:rFonts w:ascii="Segoe UI Emoji" w:hAnsi="Segoe UI Emoji"/>
          <w:kern w:val="2"/>
          <w:sz w:val="32"/>
        </w:rPr>
        <w:t>☑</w:t>
      </w:r>
      <w:r>
        <w:rPr>
          <w:rFonts w:hint="eastAsia"/>
          <w:kern w:val="2"/>
        </w:rPr>
        <w:t>已包含在投标报价中</w:t>
      </w:r>
      <w:r>
        <w:rPr>
          <w:kern w:val="2"/>
        </w:rPr>
        <w:t>(签约合同价)，结算时不予调整；</w:t>
      </w:r>
    </w:p>
    <w:p>
      <w:pPr>
        <w:keepNext w:val="0"/>
        <w:keepLines w:val="0"/>
        <w:pageBreakBefore w:val="0"/>
        <w:widowControl w:val="0"/>
        <w:kinsoku/>
        <w:topLinePunct w:val="0"/>
        <w:autoSpaceDE/>
        <w:autoSpaceDN/>
        <w:bidi w:val="0"/>
        <w:adjustRightInd w:val="0"/>
        <w:snapToGrid w:val="0"/>
        <w:spacing w:line="360" w:lineRule="auto"/>
        <w:ind w:firstLine="2400" w:firstLineChars="1000"/>
        <w:jc w:val="left"/>
        <w:rPr>
          <w:kern w:val="2"/>
        </w:rPr>
      </w:pPr>
      <w:r>
        <w:rPr>
          <w:rFonts w:hint="eastAsia"/>
          <w:kern w:val="2"/>
        </w:rPr>
        <w:t>□未包含在投标报价中</w:t>
      </w:r>
      <w:r>
        <w:rPr>
          <w:kern w:val="2"/>
        </w:rPr>
        <w:t>(签约合同价)，由发包人另行支付；</w:t>
      </w:r>
    </w:p>
    <w:p>
      <w:pPr>
        <w:keepNext w:val="0"/>
        <w:keepLines w:val="0"/>
        <w:pageBreakBefore w:val="0"/>
        <w:widowControl w:val="0"/>
        <w:kinsoku/>
        <w:topLinePunct w:val="0"/>
        <w:autoSpaceDE/>
        <w:autoSpaceDN/>
        <w:bidi w:val="0"/>
        <w:adjustRightInd w:val="0"/>
        <w:snapToGrid w:val="0"/>
        <w:spacing w:line="360" w:lineRule="auto"/>
        <w:ind w:firstLine="480"/>
        <w:jc w:val="left"/>
        <w:rPr>
          <w:kern w:val="2"/>
        </w:rPr>
      </w:pPr>
      <w:r>
        <w:rPr>
          <w:rFonts w:ascii="Segoe UI Emoji" w:hAnsi="Segoe UI Emoji"/>
          <w:kern w:val="2"/>
          <w:sz w:val="32"/>
        </w:rPr>
        <w:t>☑</w:t>
      </w:r>
      <w:r>
        <w:rPr>
          <w:rFonts w:hint="eastAsia"/>
          <w:kern w:val="2"/>
        </w:rPr>
        <w:t>其他：所有需要办理的保险。</w:t>
      </w:r>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528" w:name="_Toc46325367"/>
      <w:bookmarkStart w:id="529" w:name="_Toc16827"/>
      <w:r>
        <w:rPr>
          <w:rFonts w:hint="eastAsia" w:cs="Times New Roman"/>
          <w:b/>
          <w:bCs/>
          <w:kern w:val="2"/>
          <w:szCs w:val="32"/>
        </w:rPr>
        <w:t>33.</w:t>
      </w:r>
      <w:r>
        <w:rPr>
          <w:rFonts w:cs="Times New Roman"/>
          <w:b/>
          <w:bCs/>
          <w:kern w:val="2"/>
          <w:szCs w:val="32"/>
        </w:rPr>
        <w:t>2</w:t>
      </w:r>
      <w:r>
        <w:rPr>
          <w:rFonts w:hint="eastAsia" w:cs="Times New Roman"/>
          <w:b/>
          <w:bCs/>
          <w:kern w:val="2"/>
          <w:szCs w:val="32"/>
        </w:rPr>
        <w:t xml:space="preserve"> 承包人办理的保险</w:t>
      </w:r>
      <w:bookmarkEnd w:id="528"/>
      <w:bookmarkEnd w:id="529"/>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u w:val="single"/>
        </w:rPr>
        <w:t>33.2增加：</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u w:val="single"/>
        </w:rPr>
        <w:t>承包人必须为从事危险工作的职工办理意外伤害保险</w:t>
      </w:r>
      <w:r>
        <w:rPr>
          <w:rFonts w:hint="eastAsia" w:cs="Times New Roman"/>
          <w:kern w:val="2"/>
          <w:u w:val="single"/>
        </w:rPr>
        <w:t>；</w:t>
      </w:r>
      <w:r>
        <w:rPr>
          <w:rFonts w:hint="eastAsia" w:cs="Times New Roman"/>
          <w:u w:val="single"/>
        </w:rPr>
        <w:t>承包人</w:t>
      </w:r>
      <w:r>
        <w:rPr>
          <w:rFonts w:hint="eastAsia" w:cs="Times New Roman"/>
          <w:kern w:val="2"/>
          <w:u w:val="single"/>
        </w:rPr>
        <w:t>必须严格执行《深圳市建筑施工企业农民工参加工伤保险试行办法》的有关规定在工程开工前为本企业雇用的从事建筑施工的农民工参加工伤保险（一次性足额缴费参保）；</w:t>
      </w:r>
      <w:r>
        <w:rPr>
          <w:rFonts w:hint="eastAsia" w:cs="Times New Roman"/>
          <w:u w:val="single"/>
        </w:rPr>
        <w:t>承</w:t>
      </w:r>
      <w:r>
        <w:rPr>
          <w:rFonts w:hint="eastAsia" w:cs="Times New Roman"/>
          <w:kern w:val="2"/>
          <w:u w:val="single"/>
        </w:rPr>
        <w:t>包人必须足额（投保金额应足以现场重置）</w:t>
      </w:r>
      <w:r>
        <w:rPr>
          <w:rFonts w:hint="eastAsia" w:cs="Times New Roman"/>
          <w:u w:val="single"/>
        </w:rPr>
        <w:t>为施工场地内的所有各项施工机械设备、进场材料和工程设备办理保险，为施工项目部门用车购买全险。</w:t>
      </w:r>
      <w:r>
        <w:rPr>
          <w:rFonts w:hint="eastAsia" w:cs="Times New Roman"/>
          <w:kern w:val="2"/>
          <w:u w:val="single"/>
        </w:rPr>
        <w:t>承包人应保证投保标准足够及保险合同持续有效，否则承包人承担由此引起的一切责任和后果。无论该保险能否索赔或足额索赔，承包人均不能因此向发包人提出任何索赔要求。</w:t>
      </w:r>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u w:val="single"/>
        </w:rPr>
        <w:t>承包人投保的保单应报监理人和发包人备案。</w:t>
      </w:r>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530" w:name="_Toc8924"/>
      <w:bookmarkStart w:id="531" w:name="_Toc46325368"/>
      <w:r>
        <w:rPr>
          <w:rFonts w:hint="eastAsia" w:cs="Times New Roman"/>
          <w:b/>
          <w:bCs/>
          <w:kern w:val="2"/>
          <w:szCs w:val="32"/>
        </w:rPr>
        <w:t>33.</w:t>
      </w:r>
      <w:r>
        <w:rPr>
          <w:rFonts w:cs="Times New Roman"/>
          <w:b/>
          <w:bCs/>
          <w:kern w:val="2"/>
          <w:szCs w:val="32"/>
        </w:rPr>
        <w:t>3</w:t>
      </w:r>
      <w:r>
        <w:rPr>
          <w:rFonts w:hint="eastAsia" w:cs="Times New Roman"/>
          <w:b/>
          <w:bCs/>
          <w:kern w:val="2"/>
          <w:szCs w:val="32"/>
        </w:rPr>
        <w:t xml:space="preserve"> 投保人责任</w:t>
      </w:r>
      <w:bookmarkEnd w:id="530"/>
      <w:bookmarkEnd w:id="531"/>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u w:val="single"/>
        </w:rPr>
        <w:t>删除通用条款33.3款第⑵项并将其修改为：“当工程施工的性质、规模或计划发生变更时，承包人应及时通知承保人，并在整个期间按合同条款保证足够的保险额，所需保费增加的风险由承包人在签约合同价中综合考虑，包干报价。在发生上述通知前，如需对各项保险做任何变动，应事先征得发包人同意，并通知监理人”。</w:t>
      </w:r>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1"/>
        <w:rPr>
          <w:rFonts w:cs="Times New Roman"/>
          <w:b/>
          <w:bCs/>
          <w:kern w:val="2"/>
          <w:szCs w:val="32"/>
        </w:rPr>
      </w:pPr>
      <w:bookmarkStart w:id="532" w:name="_Toc15609"/>
      <w:bookmarkStart w:id="533" w:name="_Toc7583"/>
      <w:r>
        <w:rPr>
          <w:rFonts w:hint="eastAsia" w:cs="Times New Roman"/>
          <w:b/>
          <w:bCs/>
          <w:kern w:val="2"/>
          <w:szCs w:val="32"/>
        </w:rPr>
        <w:t>34 工程担保</w:t>
      </w:r>
      <w:bookmarkEnd w:id="526"/>
      <w:bookmarkEnd w:id="527"/>
      <w:bookmarkEnd w:id="532"/>
      <w:bookmarkEnd w:id="533"/>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534" w:name="_Toc28102"/>
      <w:bookmarkStart w:id="535" w:name="_Toc2000029"/>
      <w:bookmarkStart w:id="536" w:name="_Toc30965"/>
      <w:bookmarkStart w:id="537" w:name="_Toc46325370"/>
      <w:r>
        <w:rPr>
          <w:rFonts w:hint="eastAsia" w:cs="Times New Roman"/>
          <w:b/>
          <w:bCs/>
          <w:kern w:val="2"/>
          <w:szCs w:val="32"/>
        </w:rPr>
        <w:t>34.1 履约担保</w:t>
      </w:r>
      <w:bookmarkEnd w:id="534"/>
      <w:bookmarkEnd w:id="535"/>
      <w:bookmarkEnd w:id="536"/>
      <w:bookmarkEnd w:id="537"/>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u w:val="single"/>
        </w:rPr>
      </w:pPr>
      <w:r>
        <w:rPr>
          <w:rFonts w:hint="eastAsia" w:cs="Times New Roman"/>
          <w:kern w:val="2"/>
        </w:rPr>
        <w:t>(1)本工程履约担保应采用</w:t>
      </w:r>
      <w:r>
        <w:rPr>
          <w:rFonts w:hint="eastAsia" w:cs="Times New Roman"/>
          <w:u w:val="single"/>
        </w:rPr>
        <w:t>发包人认可的银行保函或</w:t>
      </w:r>
      <w:r>
        <w:rPr>
          <w:rFonts w:cs="Times New Roman"/>
          <w:u w:val="single"/>
        </w:rPr>
        <w:t>专业担保公司出具的保函</w:t>
      </w:r>
      <w:r>
        <w:rPr>
          <w:rFonts w:hint="eastAsia" w:cs="Times New Roman"/>
          <w:kern w:val="2"/>
        </w:rPr>
        <w:t>的形式，金额为：</w:t>
      </w:r>
      <w:r>
        <w:rPr>
          <w:rFonts w:hint="eastAsia" w:cs="Times New Roman"/>
          <w:u w:val="single"/>
        </w:rPr>
        <w:t>中标价的1</w:t>
      </w:r>
      <w:r>
        <w:rPr>
          <w:rFonts w:cs="Times New Roman"/>
          <w:u w:val="single"/>
        </w:rPr>
        <w:t>0</w:t>
      </w:r>
      <w:r>
        <w:rPr>
          <w:rFonts w:hint="eastAsia" w:cs="Times New Roman"/>
          <w:u w:val="single"/>
        </w:rPr>
        <w:t>%。</w:t>
      </w:r>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538" w:name="_Toc46325371"/>
      <w:bookmarkStart w:id="539" w:name="_Toc2000030"/>
      <w:bookmarkStart w:id="540" w:name="_Toc2428"/>
      <w:bookmarkStart w:id="541" w:name="_Toc15287"/>
      <w:r>
        <w:rPr>
          <w:rFonts w:hint="eastAsia" w:cs="Times New Roman"/>
          <w:b/>
          <w:bCs/>
          <w:kern w:val="2"/>
          <w:szCs w:val="32"/>
        </w:rPr>
        <w:t>34.2 支付担保</w:t>
      </w:r>
      <w:bookmarkEnd w:id="538"/>
      <w:bookmarkEnd w:id="539"/>
      <w:bookmarkEnd w:id="540"/>
      <w:bookmarkEnd w:id="541"/>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rPr>
        <w:t>(1)本工程支付担保应采用</w:t>
      </w:r>
      <w:r>
        <w:rPr>
          <w:rFonts w:hint="eastAsia" w:cs="Times New Roman"/>
          <w:u w:val="single"/>
        </w:rPr>
        <w:t>银行保函或专业担保公司出具的保函</w:t>
      </w:r>
      <w:r>
        <w:rPr>
          <w:rFonts w:hint="eastAsia" w:cs="Times New Roman"/>
          <w:kern w:val="2"/>
        </w:rPr>
        <w:t>的形式，金额为：</w:t>
      </w:r>
      <w:r>
        <w:rPr>
          <w:rFonts w:hint="eastAsia"/>
          <w:u w:val="single"/>
        </w:rPr>
        <w:t>本工程支付担保应按市住建局《深圳市住房和建设局关于严格落实工程款支付担保制度及保障农民工工资足额支付工作的通知》（深建市场〔</w:t>
      </w:r>
      <w:r>
        <w:rPr>
          <w:u w:val="single"/>
        </w:rPr>
        <w:t>2021〕16号）文件要求执行</w:t>
      </w:r>
      <w:r>
        <w:rPr>
          <w:rFonts w:hint="eastAsia" w:cs="Times New Roman"/>
          <w:u w:val="single"/>
        </w:rPr>
        <w:t>。</w:t>
      </w:r>
    </w:p>
    <w:p>
      <w:pPr>
        <w:keepNext w:val="0"/>
        <w:keepLines w:val="0"/>
        <w:pageBreakBefore w:val="0"/>
        <w:widowControl/>
        <w:tabs>
          <w:tab w:val="left" w:pos="540"/>
          <w:tab w:val="left" w:pos="720"/>
          <w:tab w:val="left" w:pos="1620"/>
          <w:tab w:val="left" w:pos="2340"/>
        </w:tabs>
        <w:kinsoku/>
        <w:topLinePunct w:val="0"/>
        <w:autoSpaceDE/>
        <w:autoSpaceDN/>
        <w:bidi w:val="0"/>
        <w:adjustRightInd w:val="0"/>
        <w:snapToGrid w:val="0"/>
        <w:spacing w:line="360" w:lineRule="auto"/>
        <w:ind w:left="178"/>
        <w:jc w:val="left"/>
        <w:outlineLvl w:val="1"/>
        <w:rPr>
          <w:rFonts w:ascii="Times New Roman" w:cs="Times New Roman"/>
          <w:b/>
          <w:bCs/>
          <w:kern w:val="44"/>
          <w:sz w:val="28"/>
          <w:szCs w:val="28"/>
        </w:rPr>
      </w:pPr>
      <w:bookmarkStart w:id="542" w:name="_Toc7495"/>
      <w:bookmarkStart w:id="543" w:name="_Toc46325372"/>
      <w:bookmarkStart w:id="544" w:name="_Toc23747"/>
      <w:bookmarkStart w:id="545" w:name="_Toc2000031"/>
      <w:r>
        <w:rPr>
          <w:rFonts w:hint="eastAsia" w:ascii="Times New Roman" w:cs="Times New Roman"/>
          <w:b/>
          <w:bCs/>
          <w:kern w:val="44"/>
          <w:sz w:val="28"/>
          <w:szCs w:val="28"/>
        </w:rPr>
        <w:t>36 合同份数与合同备案</w:t>
      </w:r>
      <w:bookmarkEnd w:id="542"/>
      <w:bookmarkEnd w:id="543"/>
      <w:bookmarkEnd w:id="544"/>
      <w:bookmarkEnd w:id="545"/>
    </w:p>
    <w:p>
      <w:pPr>
        <w:keepNext w:val="0"/>
        <w:keepLines w:val="0"/>
        <w:pageBreakBefore w:val="0"/>
        <w:widowControl w:val="0"/>
        <w:tabs>
          <w:tab w:val="left" w:pos="540"/>
          <w:tab w:val="left" w:pos="900"/>
          <w:tab w:val="left" w:pos="2340"/>
          <w:tab w:val="left" w:pos="4032"/>
        </w:tabs>
        <w:kinsoku/>
        <w:topLinePunct w:val="0"/>
        <w:autoSpaceDE/>
        <w:autoSpaceDN/>
        <w:bidi w:val="0"/>
        <w:adjustRightInd w:val="0"/>
        <w:snapToGrid w:val="0"/>
        <w:spacing w:line="360" w:lineRule="auto"/>
        <w:ind w:left="359"/>
        <w:jc w:val="left"/>
        <w:outlineLvl w:val="2"/>
        <w:rPr>
          <w:rFonts w:cs="Times New Roman"/>
          <w:b/>
          <w:bCs/>
          <w:kern w:val="2"/>
          <w:szCs w:val="32"/>
        </w:rPr>
      </w:pPr>
      <w:bookmarkStart w:id="546" w:name="_Toc5464"/>
      <w:bookmarkStart w:id="547" w:name="_Toc2000032"/>
      <w:bookmarkStart w:id="548" w:name="_Toc46325373"/>
      <w:bookmarkStart w:id="549" w:name="_Toc19155"/>
      <w:r>
        <w:rPr>
          <w:rFonts w:hint="eastAsia" w:cs="Times New Roman"/>
          <w:b/>
          <w:bCs/>
          <w:kern w:val="2"/>
          <w:szCs w:val="32"/>
        </w:rPr>
        <w:t>36.1 合同份数</w:t>
      </w:r>
      <w:bookmarkEnd w:id="546"/>
      <w:bookmarkEnd w:id="547"/>
      <w:bookmarkEnd w:id="548"/>
      <w:bookmarkEnd w:id="549"/>
    </w:p>
    <w:p>
      <w:pPr>
        <w:keepNext w:val="0"/>
        <w:keepLines w:val="0"/>
        <w:pageBreakBefore w:val="0"/>
        <w:widowControl w:val="0"/>
        <w:kinsoku/>
        <w:topLinePunct w:val="0"/>
        <w:autoSpaceDE/>
        <w:autoSpaceDN/>
        <w:bidi w:val="0"/>
        <w:adjustRightInd w:val="0"/>
        <w:snapToGrid w:val="0"/>
        <w:spacing w:line="360" w:lineRule="auto"/>
        <w:ind w:firstLine="480"/>
        <w:jc w:val="left"/>
        <w:rPr>
          <w:rFonts w:cs="Times New Roman"/>
          <w:kern w:val="2"/>
          <w:u w:val="single"/>
        </w:rPr>
      </w:pPr>
      <w:r>
        <w:rPr>
          <w:rFonts w:hint="eastAsia" w:cs="Times New Roman"/>
          <w:kern w:val="2"/>
          <w:u w:val="single"/>
        </w:rPr>
        <w:t>(2)合同份数：16份，其中发包人：</w:t>
      </w:r>
      <w:r>
        <w:rPr>
          <w:rFonts w:cs="Times New Roman"/>
          <w:kern w:val="2"/>
          <w:u w:val="single"/>
        </w:rPr>
        <w:t>8</w:t>
      </w:r>
      <w:r>
        <w:rPr>
          <w:rFonts w:hint="eastAsia" w:cs="Times New Roman"/>
          <w:kern w:val="2"/>
          <w:u w:val="single"/>
        </w:rPr>
        <w:t>份，承包人：8份。</w:t>
      </w:r>
    </w:p>
    <w:p>
      <w:pPr>
        <w:keepNext w:val="0"/>
        <w:keepLines w:val="0"/>
        <w:pageBreakBefore w:val="0"/>
        <w:widowControl w:val="0"/>
        <w:kinsoku/>
        <w:topLinePunct w:val="0"/>
        <w:autoSpaceDE/>
        <w:autoSpaceDN/>
        <w:bidi w:val="0"/>
        <w:adjustRightInd w:val="0"/>
        <w:snapToGrid w:val="0"/>
        <w:spacing w:line="360" w:lineRule="auto"/>
        <w:ind w:firstLine="480"/>
        <w:jc w:val="left"/>
        <w:rPr>
          <w:rFonts w:ascii="等线" w:hAnsi="等线"/>
          <w:kern w:val="2"/>
          <w:sz w:val="21"/>
        </w:rPr>
      </w:pPr>
      <w:r>
        <w:rPr>
          <w:rFonts w:hint="eastAsia" w:cs="Times New Roman"/>
          <w:kern w:val="2"/>
          <w:u w:val="single"/>
        </w:rPr>
        <w:t>合同副本其它保存单位及份数：</w:t>
      </w:r>
      <w:r>
        <w:rPr>
          <w:rFonts w:hint="eastAsia" w:cs="Times New Roman"/>
          <w:kern w:val="2"/>
          <w:u w:val="single"/>
          <w:lang w:val="en-US" w:eastAsia="zh-CN"/>
        </w:rPr>
        <w:t>/</w:t>
      </w:r>
      <w:r>
        <w:rPr>
          <w:rFonts w:hint="eastAsia" w:cs="Times New Roman"/>
          <w:kern w:val="2"/>
          <w:u w:val="single"/>
        </w:rPr>
        <w:t>份。</w:t>
      </w:r>
    </w:p>
    <w:p>
      <w:pPr>
        <w:spacing w:line="360" w:lineRule="auto"/>
        <w:rPr>
          <w:szCs w:val="21"/>
        </w:rPr>
      </w:pPr>
      <w:r>
        <w:rPr>
          <w:szCs w:val="21"/>
        </w:rPr>
        <w:fldChar w:fldCharType="begin"/>
      </w:r>
      <w:r>
        <w:rPr>
          <w:szCs w:val="21"/>
        </w:rPr>
        <w:instrText xml:space="preserve"> </w:instrText>
      </w:r>
      <w:r>
        <w:rPr>
          <w:rFonts w:hint="eastAsia"/>
          <w:szCs w:val="21"/>
        </w:rPr>
        <w:instrText xml:space="preserve">AUTOTEXT  专用条款 \* MERGEFORMAT</w:instrText>
      </w:r>
      <w:r>
        <w:rPr>
          <w:szCs w:val="21"/>
        </w:rPr>
        <w:instrText xml:space="preserve"> </w:instrText>
      </w:r>
      <w:r>
        <w:rPr>
          <w:szCs w:val="21"/>
        </w:rPr>
        <w:fldChar w:fldCharType="separate"/>
      </w:r>
      <w:r>
        <w:rPr>
          <w:szCs w:val="21"/>
        </w:rPr>
        <w:fldChar w:fldCharType="end"/>
      </w:r>
      <w:r>
        <w:rPr>
          <w:szCs w:val="21"/>
        </w:rPr>
        <w:br w:type="page"/>
      </w:r>
    </w:p>
    <w:p>
      <w:pPr>
        <w:spacing w:line="360" w:lineRule="auto"/>
        <w:jc w:val="center"/>
        <w:outlineLvl w:val="0"/>
        <w:rPr>
          <w:rFonts w:ascii="黑体" w:hAnsi="黑体" w:eastAsia="黑体"/>
          <w:sz w:val="32"/>
        </w:rPr>
      </w:pPr>
      <w:r>
        <w:rPr>
          <w:rFonts w:hint="eastAsia" w:ascii="黑体" w:hAnsi="黑体" w:eastAsia="黑体"/>
          <w:sz w:val="32"/>
        </w:rPr>
        <w:t>第四部分  补充条款</w:t>
      </w:r>
    </w:p>
    <w:p>
      <w:pPr>
        <w:widowControl w:val="0"/>
        <w:adjustRightInd w:val="0"/>
        <w:snapToGrid w:val="0"/>
        <w:spacing w:line="360" w:lineRule="auto"/>
        <w:ind w:firstLine="482" w:firstLineChars="200"/>
        <w:jc w:val="both"/>
        <w:rPr>
          <w:rFonts w:ascii="Times New Roman" w:hAnsi="Times New Roman" w:cs="Times New Roman"/>
          <w:b/>
          <w:kern w:val="2"/>
        </w:rPr>
      </w:pPr>
      <w:bookmarkStart w:id="550" w:name="_Hlk47374868"/>
      <w:r>
        <w:rPr>
          <w:rFonts w:hint="eastAsia" w:ascii="Times New Roman" w:hAnsi="Times New Roman" w:cs="Times New Roman"/>
          <w:b/>
          <w:kern w:val="2"/>
        </w:rPr>
        <w:t>本</w:t>
      </w:r>
      <w:r>
        <w:rPr>
          <w:rFonts w:ascii="Times New Roman" w:hAnsi="Times New Roman" w:cs="Times New Roman"/>
          <w:b/>
          <w:kern w:val="2"/>
        </w:rPr>
        <w:t>“</w:t>
      </w:r>
      <w:r>
        <w:rPr>
          <w:rFonts w:hint="eastAsia" w:ascii="Times New Roman" w:hAnsi="Times New Roman" w:cs="Times New Roman"/>
          <w:b/>
          <w:kern w:val="2"/>
        </w:rPr>
        <w:t>补充条款及附件</w:t>
      </w:r>
      <w:r>
        <w:rPr>
          <w:rFonts w:ascii="Times New Roman" w:hAnsi="Times New Roman" w:cs="Times New Roman"/>
          <w:b/>
          <w:kern w:val="2"/>
        </w:rPr>
        <w:t>”</w:t>
      </w:r>
      <w:r>
        <w:rPr>
          <w:rFonts w:hint="eastAsia" w:ascii="Times New Roman" w:hAnsi="Times New Roman" w:cs="Times New Roman"/>
          <w:b/>
          <w:kern w:val="2"/>
        </w:rPr>
        <w:t>是对</w:t>
      </w:r>
      <w:r>
        <w:rPr>
          <w:rFonts w:ascii="Times New Roman" w:hAnsi="Times New Roman" w:cs="Times New Roman"/>
          <w:b/>
          <w:kern w:val="2"/>
        </w:rPr>
        <w:t>“</w:t>
      </w:r>
      <w:r>
        <w:rPr>
          <w:rFonts w:hint="eastAsia" w:ascii="Times New Roman" w:hAnsi="Times New Roman" w:cs="Times New Roman"/>
          <w:b/>
          <w:kern w:val="2"/>
        </w:rPr>
        <w:t>通用条款或专用条款</w:t>
      </w:r>
      <w:r>
        <w:rPr>
          <w:rFonts w:ascii="Times New Roman" w:hAnsi="Times New Roman" w:cs="Times New Roman"/>
          <w:b/>
          <w:kern w:val="2"/>
        </w:rPr>
        <w:t>”</w:t>
      </w:r>
      <w:r>
        <w:rPr>
          <w:rFonts w:hint="eastAsia" w:ascii="Times New Roman" w:hAnsi="Times New Roman" w:cs="Times New Roman"/>
          <w:b/>
          <w:kern w:val="2"/>
        </w:rPr>
        <w:t>中不适用部分作出的修改及相应的补充。若</w:t>
      </w:r>
      <w:r>
        <w:rPr>
          <w:rFonts w:ascii="Times New Roman" w:hAnsi="Times New Roman" w:cs="Times New Roman"/>
          <w:b/>
          <w:kern w:val="2"/>
        </w:rPr>
        <w:t>“</w:t>
      </w:r>
      <w:r>
        <w:rPr>
          <w:rFonts w:hint="eastAsia" w:ascii="Times New Roman" w:hAnsi="Times New Roman" w:cs="Times New Roman"/>
          <w:b/>
          <w:kern w:val="2"/>
        </w:rPr>
        <w:t>补充条款及附件</w:t>
      </w:r>
      <w:r>
        <w:rPr>
          <w:rFonts w:ascii="Times New Roman" w:hAnsi="Times New Roman" w:cs="Times New Roman"/>
          <w:b/>
          <w:kern w:val="2"/>
        </w:rPr>
        <w:t>”</w:t>
      </w:r>
      <w:r>
        <w:rPr>
          <w:rFonts w:hint="eastAsia" w:ascii="Times New Roman" w:hAnsi="Times New Roman" w:cs="Times New Roman"/>
          <w:b/>
          <w:kern w:val="2"/>
        </w:rPr>
        <w:t>内容与</w:t>
      </w:r>
      <w:r>
        <w:rPr>
          <w:rFonts w:ascii="Times New Roman" w:hAnsi="Times New Roman" w:cs="Times New Roman"/>
          <w:b/>
          <w:kern w:val="2"/>
        </w:rPr>
        <w:t>“</w:t>
      </w:r>
      <w:r>
        <w:rPr>
          <w:rFonts w:hint="eastAsia" w:ascii="Times New Roman" w:hAnsi="Times New Roman" w:cs="Times New Roman"/>
          <w:b/>
          <w:kern w:val="2"/>
        </w:rPr>
        <w:t>通用条款或专用条款</w:t>
      </w:r>
      <w:r>
        <w:rPr>
          <w:rFonts w:ascii="Times New Roman" w:hAnsi="Times New Roman" w:cs="Times New Roman"/>
          <w:b/>
          <w:kern w:val="2"/>
        </w:rPr>
        <w:t>”</w:t>
      </w:r>
      <w:r>
        <w:rPr>
          <w:rFonts w:hint="eastAsia" w:ascii="Times New Roman" w:hAnsi="Times New Roman" w:cs="Times New Roman"/>
          <w:b/>
          <w:kern w:val="2"/>
        </w:rPr>
        <w:t>中的相应条款有冲突，以</w:t>
      </w:r>
      <w:r>
        <w:rPr>
          <w:rFonts w:ascii="Times New Roman" w:hAnsi="Times New Roman" w:cs="Times New Roman"/>
          <w:b/>
          <w:kern w:val="2"/>
        </w:rPr>
        <w:t>“</w:t>
      </w:r>
      <w:r>
        <w:rPr>
          <w:rFonts w:hint="eastAsia" w:ascii="Times New Roman" w:hAnsi="Times New Roman" w:cs="Times New Roman"/>
          <w:b/>
          <w:kern w:val="2"/>
        </w:rPr>
        <w:t>补充条款及附件</w:t>
      </w:r>
      <w:r>
        <w:rPr>
          <w:rFonts w:ascii="Times New Roman" w:hAnsi="Times New Roman" w:cs="Times New Roman"/>
          <w:b/>
          <w:kern w:val="2"/>
        </w:rPr>
        <w:t>”</w:t>
      </w:r>
      <w:r>
        <w:rPr>
          <w:rFonts w:hint="eastAsia" w:ascii="Times New Roman" w:hAnsi="Times New Roman" w:cs="Times New Roman"/>
          <w:b/>
          <w:kern w:val="2"/>
        </w:rPr>
        <w:t>内容为准。</w:t>
      </w:r>
    </w:p>
    <w:bookmarkEnd w:id="550"/>
    <w:p>
      <w:pPr>
        <w:widowControl/>
        <w:adjustRightInd w:val="0"/>
        <w:snapToGrid w:val="0"/>
        <w:spacing w:line="360" w:lineRule="auto"/>
        <w:jc w:val="left"/>
        <w:rPr>
          <w:highlight w:val="none"/>
        </w:rPr>
      </w:pPr>
      <w:r>
        <w:rPr>
          <w:rFonts w:hint="eastAsia" w:cs="Times New Roman"/>
          <w:b/>
          <w:bCs/>
          <w:kern w:val="2"/>
          <w:highlight w:val="none"/>
        </w:rPr>
        <w:t>一、合同价款支付、调整及结算</w:t>
      </w:r>
      <w:r>
        <w:rPr>
          <w:rFonts w:cs="Times New Roman"/>
          <w:b/>
          <w:bCs/>
          <w:kern w:val="2"/>
          <w:highlight w:val="none"/>
        </w:rPr>
        <w:t>方式</w:t>
      </w:r>
    </w:p>
    <w:p>
      <w:pPr>
        <w:widowControl w:val="0"/>
        <w:kinsoku w:val="0"/>
        <w:wordWrap w:val="0"/>
        <w:adjustRightInd w:val="0"/>
        <w:snapToGrid w:val="0"/>
        <w:spacing w:line="360" w:lineRule="auto"/>
        <w:ind w:firstLine="482" w:firstLineChars="200"/>
        <w:jc w:val="both"/>
        <w:rPr>
          <w:rFonts w:cs="Times New Roman"/>
          <w:kern w:val="2"/>
          <w:highlight w:val="none"/>
        </w:rPr>
      </w:pPr>
      <w:r>
        <w:rPr>
          <w:rFonts w:hint="eastAsia"/>
          <w:b/>
          <w:kern w:val="2"/>
          <w:highlight w:val="none"/>
        </w:rPr>
        <w:t>（</w:t>
      </w:r>
      <w:r>
        <w:rPr>
          <w:rFonts w:hint="eastAsia"/>
          <w:b/>
          <w:kern w:val="2"/>
          <w:highlight w:val="none"/>
          <w:lang w:val="en-US" w:eastAsia="zh-CN"/>
        </w:rPr>
        <w:t>一</w:t>
      </w:r>
      <w:r>
        <w:rPr>
          <w:rFonts w:hint="eastAsia"/>
          <w:b/>
          <w:kern w:val="2"/>
          <w:highlight w:val="none"/>
        </w:rPr>
        <w:t>）计量计价依据</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1</w:t>
      </w:r>
      <w:r>
        <w:rPr>
          <w:rFonts w:hint="eastAsia"/>
          <w:color w:val="000000"/>
          <w:kern w:val="2"/>
          <w:highlight w:val="none"/>
          <w:lang w:val="en-US" w:eastAsia="zh-CN"/>
        </w:rPr>
        <w:t>.</w:t>
      </w:r>
      <w:r>
        <w:rPr>
          <w:rFonts w:hint="eastAsia"/>
          <w:color w:val="000000"/>
          <w:kern w:val="2"/>
          <w:highlight w:val="none"/>
        </w:rPr>
        <w:t xml:space="preserve">《建设工程工程量清单计价规范》(GB50500-2013)； </w:t>
      </w:r>
    </w:p>
    <w:p>
      <w:pPr>
        <w:widowControl w:val="0"/>
        <w:adjustRightInd w:val="0"/>
        <w:snapToGrid w:val="0"/>
        <w:spacing w:line="360" w:lineRule="auto"/>
        <w:ind w:firstLine="480" w:firstLineChars="200"/>
        <w:jc w:val="both"/>
        <w:rPr>
          <w:rFonts w:hint="default"/>
          <w:color w:val="000000"/>
          <w:kern w:val="2"/>
          <w:highlight w:val="none"/>
          <w:lang w:val="en-US"/>
        </w:rPr>
      </w:pPr>
      <w:r>
        <w:rPr>
          <w:rFonts w:hint="eastAsia"/>
          <w:color w:val="000000"/>
          <w:kern w:val="2"/>
          <w:highlight w:val="none"/>
        </w:rPr>
        <w:t>2</w:t>
      </w:r>
      <w:r>
        <w:rPr>
          <w:rFonts w:hint="eastAsia"/>
          <w:color w:val="000000"/>
          <w:kern w:val="2"/>
          <w:highlight w:val="none"/>
          <w:lang w:val="en-US" w:eastAsia="zh-CN"/>
        </w:rPr>
        <w:t>.</w:t>
      </w:r>
      <w:r>
        <w:rPr>
          <w:rFonts w:hint="eastAsia"/>
          <w:color w:val="000000"/>
          <w:kern w:val="2"/>
          <w:highlight w:val="none"/>
        </w:rPr>
        <w:t>《关于实施房屋建筑与装饰工程等专业工程量计算规范（GB50854～862－2013）的规定》；</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3</w:t>
      </w:r>
      <w:r>
        <w:rPr>
          <w:rFonts w:hint="eastAsia"/>
          <w:color w:val="000000"/>
          <w:kern w:val="2"/>
          <w:highlight w:val="none"/>
          <w:lang w:val="en-US" w:eastAsia="zh-CN"/>
        </w:rPr>
        <w:t>.</w:t>
      </w:r>
      <w:r>
        <w:rPr>
          <w:rFonts w:hint="eastAsia"/>
          <w:color w:val="000000"/>
          <w:kern w:val="2"/>
          <w:highlight w:val="none"/>
        </w:rPr>
        <w:t>《深圳市建筑工程消耗量定额(2016)》</w:t>
      </w:r>
      <w:r>
        <w:rPr>
          <w:rFonts w:hint="eastAsia" w:hAnsi="微软雅黑" w:eastAsia="微软雅黑" w:cs="微软雅黑"/>
          <w:color w:val="000000"/>
          <w:kern w:val="2"/>
          <w:highlight w:val="none"/>
        </w:rPr>
        <w:t>､</w:t>
      </w:r>
      <w:r>
        <w:rPr>
          <w:rFonts w:hint="eastAsia"/>
          <w:color w:val="000000"/>
          <w:kern w:val="2"/>
          <w:highlight w:val="none"/>
        </w:rPr>
        <w:t>《深圳市装配式建筑工程消耗量定额(2016)》、《深圳市市政工程消耗量定额(2017)》</w:t>
      </w:r>
      <w:r>
        <w:rPr>
          <w:rFonts w:hint="eastAsia" w:hAnsi="微软雅黑" w:eastAsia="微软雅黑" w:cs="微软雅黑"/>
          <w:color w:val="000000"/>
          <w:kern w:val="2"/>
          <w:highlight w:val="none"/>
        </w:rPr>
        <w:t>､</w:t>
      </w:r>
      <w:r>
        <w:rPr>
          <w:rFonts w:hint="eastAsia"/>
          <w:color w:val="000000"/>
          <w:kern w:val="2"/>
          <w:highlight w:val="none"/>
        </w:rPr>
        <w:t>《深圳市装饰工程消耗量定额(2020)》</w:t>
      </w:r>
      <w:r>
        <w:rPr>
          <w:rFonts w:hint="eastAsia" w:hAnsi="微软雅黑" w:eastAsia="微软雅黑" w:cs="微软雅黑"/>
          <w:color w:val="000000"/>
          <w:kern w:val="2"/>
          <w:highlight w:val="none"/>
        </w:rPr>
        <w:t>､</w:t>
      </w:r>
      <w:r>
        <w:rPr>
          <w:rFonts w:hint="eastAsia"/>
          <w:color w:val="000000"/>
          <w:kern w:val="2"/>
          <w:highlight w:val="none"/>
        </w:rPr>
        <w:t>《深圳市安装工程消耗量定额(2020) 》</w:t>
      </w:r>
      <w:r>
        <w:rPr>
          <w:rFonts w:hint="eastAsia" w:hAnsi="微软雅黑" w:eastAsia="微软雅黑" w:cs="微软雅黑"/>
          <w:color w:val="000000"/>
          <w:kern w:val="2"/>
          <w:highlight w:val="none"/>
        </w:rPr>
        <w:t>､</w:t>
      </w:r>
      <w:r>
        <w:rPr>
          <w:rFonts w:hint="eastAsia"/>
          <w:color w:val="000000"/>
          <w:kern w:val="2"/>
          <w:highlight w:val="none"/>
        </w:rPr>
        <w:t>《深圳市园林建筑绿化工程消耗量定额(2017)》</w:t>
      </w:r>
      <w:r>
        <w:rPr>
          <w:rFonts w:hint="eastAsia" w:hAnsi="微软雅黑" w:eastAsia="微软雅黑" w:cs="微软雅黑"/>
          <w:color w:val="000000"/>
          <w:kern w:val="2"/>
          <w:highlight w:val="none"/>
        </w:rPr>
        <w:t>､</w:t>
      </w:r>
      <w:r>
        <w:rPr>
          <w:rFonts w:hint="eastAsia"/>
          <w:color w:val="000000"/>
          <w:kern w:val="2"/>
          <w:highlight w:val="none"/>
        </w:rPr>
        <w:t>《深圳市建设工程施工工期标准(2017)》；</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4</w:t>
      </w:r>
      <w:r>
        <w:rPr>
          <w:rFonts w:hint="eastAsia"/>
          <w:color w:val="000000"/>
          <w:kern w:val="2"/>
          <w:highlight w:val="none"/>
          <w:lang w:val="en-US" w:eastAsia="zh-CN"/>
        </w:rPr>
        <w:t>.</w:t>
      </w:r>
      <w:r>
        <w:rPr>
          <w:rFonts w:hint="eastAsia"/>
          <w:color w:val="000000"/>
          <w:kern w:val="2"/>
          <w:highlight w:val="none"/>
        </w:rPr>
        <w:t xml:space="preserve">《深圳市建设工程计价规程》(2017)； </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5</w:t>
      </w:r>
      <w:r>
        <w:rPr>
          <w:rFonts w:hint="eastAsia"/>
          <w:color w:val="000000"/>
          <w:kern w:val="2"/>
          <w:highlight w:val="none"/>
          <w:lang w:val="en-US" w:eastAsia="zh-CN"/>
        </w:rPr>
        <w:t>.</w:t>
      </w:r>
      <w:r>
        <w:rPr>
          <w:rFonts w:hint="eastAsia"/>
          <w:color w:val="000000"/>
          <w:kern w:val="2"/>
          <w:highlight w:val="none"/>
        </w:rPr>
        <w:t>材料价格按《深圳市建设工程价格信息》202</w:t>
      </w:r>
      <w:r>
        <w:rPr>
          <w:rFonts w:hint="eastAsia"/>
          <w:color w:val="000000"/>
          <w:kern w:val="2"/>
          <w:highlight w:val="none"/>
          <w:lang w:val="en-US" w:eastAsia="zh-CN"/>
        </w:rPr>
        <w:t>4</w:t>
      </w:r>
      <w:r>
        <w:rPr>
          <w:rFonts w:hint="eastAsia"/>
          <w:color w:val="000000"/>
          <w:kern w:val="2"/>
          <w:highlight w:val="none"/>
        </w:rPr>
        <w:t>年</w:t>
      </w:r>
      <w:r>
        <w:rPr>
          <w:rFonts w:hint="eastAsia"/>
          <w:color w:val="FF0000"/>
          <w:kern w:val="2"/>
          <w:highlight w:val="none"/>
        </w:rPr>
        <w:t>第</w:t>
      </w:r>
      <w:r>
        <w:rPr>
          <w:rFonts w:hint="default"/>
          <w:color w:val="FF0000"/>
          <w:kern w:val="2"/>
          <w:highlight w:val="none"/>
          <w:lang w:val="en-US"/>
        </w:rPr>
        <w:t>3</w:t>
      </w:r>
      <w:r>
        <w:rPr>
          <w:rFonts w:hint="eastAsia"/>
          <w:color w:val="FF0000"/>
          <w:kern w:val="2"/>
          <w:highlight w:val="none"/>
        </w:rPr>
        <w:t>期</w:t>
      </w:r>
      <w:r>
        <w:rPr>
          <w:rFonts w:hint="eastAsia"/>
          <w:color w:val="000000"/>
          <w:kern w:val="2"/>
          <w:highlight w:val="none"/>
        </w:rPr>
        <w:t>信息价计取，园林苗木价格选用《深圳建设工程价格信息》202</w:t>
      </w:r>
      <w:r>
        <w:rPr>
          <w:rFonts w:hint="eastAsia"/>
          <w:color w:val="000000"/>
          <w:kern w:val="2"/>
          <w:highlight w:val="none"/>
          <w:lang w:val="en-US" w:eastAsia="zh-CN"/>
        </w:rPr>
        <w:t>4</w:t>
      </w:r>
      <w:r>
        <w:rPr>
          <w:rFonts w:hint="eastAsia"/>
          <w:color w:val="000000"/>
          <w:kern w:val="2"/>
          <w:highlight w:val="none"/>
        </w:rPr>
        <w:t>年第</w:t>
      </w:r>
      <w:r>
        <w:rPr>
          <w:rFonts w:hint="eastAsia"/>
          <w:color w:val="000000"/>
          <w:kern w:val="2"/>
          <w:highlight w:val="none"/>
          <w:lang w:val="en-US" w:eastAsia="zh-CN"/>
        </w:rPr>
        <w:t>一</w:t>
      </w:r>
      <w:r>
        <w:rPr>
          <w:rFonts w:hint="eastAsia"/>
          <w:color w:val="000000"/>
          <w:kern w:val="2"/>
          <w:highlight w:val="none"/>
        </w:rPr>
        <w:t>季度信息价计取，当期未有的信息价往前依次类推，对于《深圳建设工程价格信息》缺少的主要材料设备价格，采用询价方式确定，询价方法按照《深圳市建设工程材料设备询价采购办法》的有关规定执行，取被询价单位报价合理值，经询价确认的材料设备价格不参与下浮；以暂估价出现的材料、设备需由发包人在工程施工中实行实时定价，经认质认价的材料设备价格不参与下浮。</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6</w:t>
      </w:r>
      <w:r>
        <w:rPr>
          <w:rFonts w:hint="eastAsia"/>
          <w:color w:val="000000"/>
          <w:kern w:val="2"/>
          <w:highlight w:val="none"/>
          <w:lang w:val="en-US" w:eastAsia="zh-CN"/>
        </w:rPr>
        <w:t>.</w:t>
      </w:r>
      <w:r>
        <w:rPr>
          <w:rFonts w:hint="eastAsia"/>
          <w:color w:val="000000"/>
          <w:kern w:val="2"/>
          <w:highlight w:val="none"/>
        </w:rPr>
        <w:t>取费标准</w:t>
      </w:r>
      <w:r>
        <w:rPr>
          <w:color w:val="000000"/>
          <w:kern w:val="2"/>
          <w:highlight w:val="none"/>
        </w:rPr>
        <w:t>:按《深圳市建设工程计价费率标准(2023)》中的相关专业推荐费率，其它按深圳市现行有关文件执行</w:t>
      </w:r>
      <w:r>
        <w:rPr>
          <w:rFonts w:hint="eastAsia"/>
          <w:color w:val="000000"/>
          <w:kern w:val="2"/>
          <w:highlight w:val="none"/>
        </w:rPr>
        <w:t>。其中，增值税综合应纳税费率根据《深圳市建筑业营改增建设工程计价依据调整实施细则（试行）》（深建市场〔2016〕14号）及《住房和城乡建设部办公厅关于重新调整建设工程计价依据增值税税率的通知》（建办标函〔2019〕193号））的规定计取。</w:t>
      </w:r>
    </w:p>
    <w:p>
      <w:pPr>
        <w:widowControl w:val="0"/>
        <w:adjustRightInd w:val="0"/>
        <w:snapToGrid w:val="0"/>
        <w:spacing w:line="360" w:lineRule="auto"/>
        <w:ind w:firstLine="480" w:firstLineChars="200"/>
        <w:jc w:val="both"/>
        <w:rPr>
          <w:kern w:val="2"/>
          <w:highlight w:val="none"/>
          <w:lang w:val="sq-AL"/>
        </w:rPr>
      </w:pPr>
      <w:r>
        <w:rPr>
          <w:rFonts w:hint="eastAsia"/>
          <w:kern w:val="2"/>
          <w:highlight w:val="none"/>
        </w:rPr>
        <w:t>7</w:t>
      </w:r>
      <w:r>
        <w:rPr>
          <w:rFonts w:hint="eastAsia"/>
          <w:kern w:val="2"/>
          <w:highlight w:val="none"/>
          <w:lang w:val="en-US" w:eastAsia="zh-CN"/>
        </w:rPr>
        <w:t>.</w:t>
      </w:r>
      <w:r>
        <w:rPr>
          <w:rFonts w:hint="eastAsia"/>
          <w:kern w:val="2"/>
          <w:highlight w:val="none"/>
          <w:lang w:val="sq-AL"/>
        </w:rPr>
        <w:t>净下浮率=[1－中标价（扣除不可竞争费）÷招标控制价（扣除不可竞争费）]×100%</w:t>
      </w:r>
      <w:r>
        <w:rPr>
          <w:rFonts w:hint="eastAsia"/>
          <w:kern w:val="2"/>
          <w:highlight w:val="none"/>
        </w:rPr>
        <w:t>，</w:t>
      </w:r>
      <w:r>
        <w:rPr>
          <w:rFonts w:hint="eastAsia" w:cs="Times New Roman"/>
          <w:kern w:val="2"/>
          <w:highlight w:val="none"/>
        </w:rPr>
        <w:t>本工程的净下浮率为</w:t>
      </w:r>
      <w:r>
        <w:rPr>
          <w:rFonts w:hint="eastAsia" w:cs="Times New Roman"/>
          <w:kern w:val="2"/>
          <w:highlight w:val="none"/>
          <w:u w:val="single"/>
          <w:lang w:val="en-US" w:eastAsia="zh-CN"/>
        </w:rPr>
        <w:t xml:space="preserve">    %</w:t>
      </w:r>
      <w:r>
        <w:rPr>
          <w:rFonts w:hint="eastAsia" w:cs="Times New Roman"/>
          <w:kern w:val="2"/>
          <w:highlight w:val="none"/>
        </w:rPr>
        <w:t>。</w:t>
      </w:r>
    </w:p>
    <w:p>
      <w:pPr>
        <w:widowControl w:val="0"/>
        <w:adjustRightInd w:val="0"/>
        <w:snapToGrid w:val="0"/>
        <w:spacing w:line="360" w:lineRule="auto"/>
        <w:ind w:firstLine="480" w:firstLineChars="200"/>
        <w:jc w:val="both"/>
        <w:rPr>
          <w:kern w:val="2"/>
          <w:highlight w:val="none"/>
        </w:rPr>
      </w:pPr>
      <w:r>
        <w:rPr>
          <w:rFonts w:hint="eastAsia"/>
          <w:kern w:val="2"/>
          <w:highlight w:val="none"/>
        </w:rPr>
        <w:t>注：</w:t>
      </w:r>
      <w:r>
        <w:rPr>
          <w:rFonts w:hint="eastAsia"/>
          <w:kern w:val="2"/>
          <w:highlight w:val="none"/>
          <w:lang w:val="sq-AL"/>
        </w:rPr>
        <w:t>不可竞争费</w:t>
      </w:r>
      <w:r>
        <w:rPr>
          <w:rFonts w:hint="eastAsia"/>
          <w:kern w:val="2"/>
          <w:highlight w:val="none"/>
        </w:rPr>
        <w:t>包括</w:t>
      </w:r>
      <w:r>
        <w:rPr>
          <w:rFonts w:hint="eastAsia"/>
          <w:kern w:val="2"/>
          <w:highlight w:val="none"/>
          <w:lang w:val="sq-AL"/>
        </w:rPr>
        <w:t>：安全文明施工费、专业工程暂估价、</w:t>
      </w:r>
      <w:r>
        <w:rPr>
          <w:rFonts w:hint="eastAsia"/>
          <w:kern w:val="2"/>
          <w:highlight w:val="none"/>
        </w:rPr>
        <w:t>材料设备暂估价、</w:t>
      </w:r>
      <w:r>
        <w:rPr>
          <w:rFonts w:hint="eastAsia"/>
          <w:kern w:val="2"/>
          <w:highlight w:val="none"/>
          <w:lang w:val="sq-AL"/>
        </w:rPr>
        <w:t>暂列金额、优质优价奖励费，以及其它不可竞争费。</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8</w:t>
      </w:r>
      <w:r>
        <w:rPr>
          <w:rFonts w:hint="eastAsia"/>
          <w:color w:val="000000"/>
          <w:kern w:val="2"/>
          <w:highlight w:val="none"/>
          <w:lang w:val="en-US" w:eastAsia="zh-CN"/>
        </w:rPr>
        <w:t>.</w:t>
      </w:r>
      <w:r>
        <w:rPr>
          <w:rFonts w:hint="eastAsia"/>
          <w:color w:val="000000"/>
          <w:kern w:val="2"/>
          <w:highlight w:val="none"/>
        </w:rPr>
        <w:t>其他深圳市现行相关计价规范及标准；</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9</w:t>
      </w:r>
      <w:r>
        <w:rPr>
          <w:rFonts w:hint="eastAsia"/>
          <w:color w:val="000000"/>
          <w:kern w:val="2"/>
          <w:highlight w:val="none"/>
          <w:lang w:val="en-US" w:eastAsia="zh-CN"/>
        </w:rPr>
        <w:t>.</w:t>
      </w:r>
      <w:r>
        <w:rPr>
          <w:rFonts w:hint="eastAsia"/>
          <w:color w:val="000000"/>
          <w:kern w:val="2"/>
          <w:highlight w:val="none"/>
        </w:rPr>
        <w:t>施工图纸；</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10</w:t>
      </w:r>
      <w:r>
        <w:rPr>
          <w:rFonts w:hint="eastAsia"/>
          <w:color w:val="000000"/>
          <w:kern w:val="2"/>
          <w:highlight w:val="none"/>
          <w:lang w:val="en-US" w:eastAsia="zh-CN"/>
        </w:rPr>
        <w:t>.</w:t>
      </w:r>
      <w:r>
        <w:rPr>
          <w:rFonts w:hint="eastAsia"/>
          <w:color w:val="000000"/>
          <w:kern w:val="2"/>
          <w:highlight w:val="none"/>
        </w:rPr>
        <w:t>本工程招标文件的招标技术要求；</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11</w:t>
      </w:r>
      <w:r>
        <w:rPr>
          <w:rFonts w:hint="eastAsia"/>
          <w:color w:val="000000"/>
          <w:kern w:val="2"/>
          <w:highlight w:val="none"/>
          <w:lang w:val="en-US" w:eastAsia="zh-CN"/>
        </w:rPr>
        <w:t>.</w:t>
      </w:r>
      <w:r>
        <w:rPr>
          <w:rFonts w:hint="eastAsia"/>
          <w:color w:val="000000"/>
          <w:kern w:val="2"/>
          <w:highlight w:val="none"/>
        </w:rPr>
        <w:t>本工程招标文件规定施工范围及工程界面。</w:t>
      </w:r>
    </w:p>
    <w:p>
      <w:pPr>
        <w:widowControl w:val="0"/>
        <w:kinsoku w:val="0"/>
        <w:wordWrap w:val="0"/>
        <w:adjustRightInd w:val="0"/>
        <w:snapToGrid w:val="0"/>
        <w:spacing w:line="360" w:lineRule="auto"/>
        <w:ind w:firstLine="482" w:firstLineChars="200"/>
        <w:jc w:val="both"/>
        <w:rPr>
          <w:b/>
          <w:kern w:val="2"/>
          <w:highlight w:val="none"/>
        </w:rPr>
      </w:pPr>
      <w:r>
        <w:rPr>
          <w:rFonts w:hint="eastAsia"/>
          <w:b/>
          <w:kern w:val="2"/>
          <w:highlight w:val="none"/>
        </w:rPr>
        <w:t>（</w:t>
      </w:r>
      <w:r>
        <w:rPr>
          <w:rFonts w:hint="eastAsia"/>
          <w:b/>
          <w:kern w:val="2"/>
          <w:highlight w:val="none"/>
          <w:lang w:val="en-US" w:eastAsia="zh-CN"/>
        </w:rPr>
        <w:t>二</w:t>
      </w:r>
      <w:r>
        <w:rPr>
          <w:rFonts w:hint="eastAsia"/>
          <w:b/>
          <w:kern w:val="2"/>
          <w:highlight w:val="none"/>
        </w:rPr>
        <w:t>）计价原则</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本工程为固定综合单价合同。合同清单综合单价包含为完成工程量清单项目及施工图纸所对应的所有工序及内容。承包人在投标报价中如有错漏，视为承包人在投标报价时项目单价和合价中已综合考虑，构成合同价款项目的单价不作调整。发包人不接受承包人基于任何工作子目单价在投标时的组价不当（包括但不限于工作子目对应的工作内容理解的偏差、工料机消耗量水平的确定、生产要素市场价格的判断、取费等）或任何其他差错而主张的任何损失或索赔。除合同文件和招标文件另有约定外，工程结算时不得以工程量清单价格子目组价不当未包含施工图工作内容而提出任何增加费用的索赔。</w:t>
      </w:r>
    </w:p>
    <w:p>
      <w:pPr>
        <w:widowControl w:val="0"/>
        <w:adjustRightInd w:val="0"/>
        <w:snapToGrid w:val="0"/>
        <w:spacing w:line="360" w:lineRule="auto"/>
        <w:ind w:firstLine="480" w:firstLineChars="200"/>
        <w:jc w:val="both"/>
        <w:rPr>
          <w:rFonts w:cs="Times New Roman"/>
          <w:kern w:val="2"/>
          <w:highlight w:val="none"/>
        </w:rPr>
      </w:pPr>
      <w:r>
        <w:rPr>
          <w:rFonts w:hint="eastAsia"/>
          <w:color w:val="000000"/>
          <w:kern w:val="2"/>
          <w:highlight w:val="none"/>
        </w:rPr>
        <w:t>本工程主要的措施项目包括但不限于安全文明施工措施费；履约担保手续费；夜间施工费；赶工措施费；冬雨季施工费；已完成工程及设备保护费；地上地下设施及建筑物的临时保护费；混凝土、钢筋混凝土模板及支架费；二次搬运费；脚手架费；垂直运输机械费；大型机械设备进出场及安拆费；施工排水、降水费；红线外临时占地租用费；施工交通组织措施费；土石方开挖及基坑支护专项方案的专家评审费；临时用水用电接驳；施工现场清洁费；施工便道费；临时道路修建/占用/修复费；现场工地围挡工程费、综合管线绘制等。</w:t>
      </w:r>
      <w:r>
        <w:rPr>
          <w:rFonts w:hint="eastAsia" w:cs="Times New Roman"/>
          <w:kern w:val="2"/>
          <w:highlight w:val="none"/>
        </w:rPr>
        <w:t>措施费中以项为单位列项的，以该项投标报价包干，结算时不予调整（</w:t>
      </w:r>
      <w:r>
        <w:rPr>
          <w:rFonts w:hint="eastAsia"/>
          <w:kern w:val="2"/>
          <w:highlight w:val="none"/>
        </w:rPr>
        <w:t>安装部分所需之脚手架搭拆费在措施费中按项计取，但结算按实调整</w:t>
      </w:r>
      <w:r>
        <w:rPr>
          <w:rFonts w:hint="eastAsia" w:cs="Times New Roman"/>
          <w:kern w:val="2"/>
          <w:highlight w:val="none"/>
        </w:rPr>
        <w:t>）</w:t>
      </w:r>
      <w:r>
        <w:rPr>
          <w:rFonts w:hint="eastAsia"/>
          <w:kern w:val="2"/>
          <w:highlight w:val="none"/>
        </w:rPr>
        <w:t>。</w:t>
      </w:r>
      <w:r>
        <w:rPr>
          <w:rFonts w:hint="eastAsia" w:cs="Times New Roman"/>
          <w:kern w:val="2"/>
          <w:highlight w:val="none"/>
        </w:rPr>
        <w:t>可计算工程量的，结算时工程量按实际发生量计算；安全文明措施按照投标时对应费率计算；在施工措施项目清单中未列出者，则视为该措施项目的费用已由投标人分摊在分部分项工程量清单的单价或已列施工措施项目的金额中，其费用不单独计取。</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合同综合单价的风险范围：包括但不限于完成本工程所有的材料费、人工费、机械费、</w:t>
      </w:r>
      <w:r>
        <w:rPr>
          <w:rFonts w:hint="eastAsia"/>
          <w:b/>
          <w:bCs/>
          <w:color w:val="000000"/>
          <w:kern w:val="2"/>
          <w:highlight w:val="none"/>
        </w:rPr>
        <w:t>检验试验费</w:t>
      </w:r>
      <w:r>
        <w:rPr>
          <w:rFonts w:hint="eastAsia"/>
          <w:color w:val="000000"/>
          <w:kern w:val="2"/>
          <w:highlight w:val="none"/>
        </w:rPr>
        <w:t>、施工水电费、土石方场内多次转运、材料设备场内多次转运、装卸费、成品保护费、工程建设标准和技术规范要求的费用、施工方案论证、施工图深化设计、技术处理费、缺陷修复费、验收移交、联合调试、对本工程相关的各专业工程提供协调及配合服务、合同工期内的赶工费、与知识产权相关的费用，治安、消防、安全、环保等主管部门因进行工程所规定应由施工单位所交纳的任何收费，民扰及扰民费，管理费、利润、各种施工风险、市场风险（除可调差情形外）、其他为按时按质完成本合同所规定工作的除措施费外所有直接和间接费用（不论图纸、规范、工程技术要求、工程量清单报价书中有没有说明），及本合同虽未提及但承包人在完成本工程过程中必须支付的与本工程相关的其他费用。</w:t>
      </w:r>
      <w:r>
        <w:rPr>
          <w:rFonts w:hint="eastAsia"/>
          <w:b/>
          <w:bCs/>
          <w:color w:val="000000"/>
          <w:kern w:val="2"/>
          <w:highlight w:val="none"/>
        </w:rPr>
        <w:t>除本合同另有约定，本合同综合单价不作调整</w:t>
      </w:r>
      <w:r>
        <w:rPr>
          <w:rFonts w:hint="eastAsia"/>
          <w:color w:val="000000"/>
          <w:kern w:val="2"/>
          <w:highlight w:val="none"/>
        </w:rPr>
        <w:t>。</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结算时工程量按实际发生量计算，</w:t>
      </w:r>
      <w:r>
        <w:rPr>
          <w:rFonts w:hint="eastAsia"/>
          <w:b/>
          <w:bCs/>
          <w:color w:val="000000"/>
          <w:kern w:val="2"/>
          <w:highlight w:val="none"/>
        </w:rPr>
        <w:t>工程量依据承包范围内经发包人确认的施工图、图纸会审纪要、设计变更通知单、经发包人批准的现场签证单等计算工程量</w:t>
      </w:r>
      <w:r>
        <w:rPr>
          <w:rFonts w:hint="eastAsia"/>
          <w:color w:val="000000"/>
          <w:kern w:val="2"/>
          <w:highlight w:val="none"/>
        </w:rPr>
        <w:t>。对施工质量不合格的分项工程，不予计量。</w:t>
      </w:r>
      <w:r>
        <w:rPr>
          <w:rFonts w:hint="eastAsia"/>
          <w:color w:val="000000"/>
          <w:kern w:val="2"/>
          <w:highlight w:val="none"/>
          <w:lang w:val="sq-AL"/>
        </w:rPr>
        <w:t>如图纸不能计量的，工程量由发包人、承包人、监理单位、咨询人四方现场计量确认（应包含现场草图、影像资料、工程量确认单）。</w:t>
      </w:r>
      <w:r>
        <w:rPr>
          <w:rFonts w:hint="eastAsia"/>
          <w:color w:val="000000"/>
          <w:kern w:val="2"/>
          <w:highlight w:val="none"/>
        </w:rPr>
        <w:t>因承包人自身原因造成的返工工程量、超出图纸范围又未经变更审批的工程量、不符合工程质量标准的工程量、发包人书面通知承包人取消的工程量，均不予计量。</w:t>
      </w:r>
    </w:p>
    <w:p>
      <w:pPr>
        <w:widowControl w:val="0"/>
        <w:adjustRightInd w:val="0"/>
        <w:snapToGrid w:val="0"/>
        <w:spacing w:line="360" w:lineRule="auto"/>
        <w:ind w:firstLine="480" w:firstLineChars="200"/>
        <w:jc w:val="both"/>
        <w:rPr>
          <w:kern w:val="2"/>
          <w:highlight w:val="none"/>
        </w:rPr>
      </w:pPr>
      <w:r>
        <w:rPr>
          <w:rFonts w:hint="eastAsia"/>
          <w:kern w:val="2"/>
          <w:highlight w:val="none"/>
        </w:rPr>
        <w:t>另，承包人不得以施工图工程量与招标工程量清单工程量不同（无论这种不同存在差异有多大）或工程变更引起工程量增减为由要求调整综合单价。</w:t>
      </w:r>
    </w:p>
    <w:p>
      <w:pPr>
        <w:widowControl w:val="0"/>
        <w:numPr>
          <w:ilvl w:val="0"/>
          <w:numId w:val="0"/>
        </w:numPr>
        <w:adjustRightInd w:val="0"/>
        <w:snapToGrid w:val="0"/>
        <w:spacing w:line="360" w:lineRule="auto"/>
        <w:ind w:firstLine="480" w:firstLineChars="200"/>
        <w:jc w:val="both"/>
        <w:rPr>
          <w:rFonts w:hint="default" w:eastAsia="宋体"/>
          <w:highlight w:val="none"/>
          <w:lang w:val="en-US" w:eastAsia="zh-CN"/>
        </w:rPr>
      </w:pPr>
      <w:r>
        <w:rPr>
          <w:rFonts w:hint="eastAsia" w:ascii="宋体" w:hAnsi="宋体" w:eastAsia="宋体" w:cs="宋体"/>
          <w:sz w:val="24"/>
          <w:szCs w:val="24"/>
          <w:highlight w:val="none"/>
          <w:lang w:val="en-US" w:eastAsia="zh-CN" w:bidi="ar-SA"/>
        </w:rPr>
        <w:t>（</w:t>
      </w:r>
      <w:r>
        <w:rPr>
          <w:rFonts w:hint="eastAsia" w:cs="宋体"/>
          <w:sz w:val="24"/>
          <w:szCs w:val="24"/>
          <w:highlight w:val="none"/>
          <w:lang w:val="en-US" w:eastAsia="zh-CN" w:bidi="ar-SA"/>
        </w:rPr>
        <w:t>三</w:t>
      </w:r>
      <w:r>
        <w:rPr>
          <w:rFonts w:hint="eastAsia" w:ascii="宋体" w:hAnsi="宋体" w:eastAsia="宋体" w:cs="宋体"/>
          <w:sz w:val="24"/>
          <w:szCs w:val="24"/>
          <w:highlight w:val="none"/>
          <w:lang w:val="en-US" w:eastAsia="zh-CN" w:bidi="ar-SA"/>
        </w:rPr>
        <w:t>）</w:t>
      </w:r>
      <w:r>
        <w:rPr>
          <w:rFonts w:hint="eastAsia"/>
          <w:b/>
          <w:bCs/>
          <w:color w:val="000000"/>
          <w:kern w:val="2"/>
          <w:highlight w:val="none"/>
        </w:rPr>
        <w:t>工料机调差</w:t>
      </w:r>
      <w:r>
        <w:rPr>
          <w:rFonts w:hint="eastAsia"/>
          <w:b/>
          <w:bCs/>
          <w:color w:val="000000"/>
          <w:kern w:val="2"/>
          <w:highlight w:val="none"/>
          <w:lang w:eastAsia="zh-CN"/>
        </w:rPr>
        <w:t>：</w:t>
      </w:r>
      <w:r>
        <w:rPr>
          <w:rFonts w:hint="eastAsia"/>
          <w:b/>
          <w:bCs/>
          <w:color w:val="000000"/>
          <w:kern w:val="2"/>
          <w:highlight w:val="none"/>
          <w:lang w:val="en-US" w:eastAsia="zh-CN"/>
        </w:rPr>
        <w:t>无。</w:t>
      </w:r>
    </w:p>
    <w:p>
      <w:pPr>
        <w:widowControl w:val="0"/>
        <w:adjustRightInd w:val="0"/>
        <w:snapToGrid w:val="0"/>
        <w:spacing w:line="360" w:lineRule="auto"/>
        <w:ind w:firstLine="482" w:firstLineChars="200"/>
        <w:jc w:val="both"/>
        <w:rPr>
          <w:b/>
          <w:kern w:val="2"/>
          <w:highlight w:val="none"/>
        </w:rPr>
      </w:pPr>
      <w:r>
        <w:rPr>
          <w:rFonts w:hint="eastAsia"/>
          <w:b/>
          <w:kern w:val="2"/>
          <w:highlight w:val="none"/>
        </w:rPr>
        <w:t>（</w:t>
      </w:r>
      <w:r>
        <w:rPr>
          <w:rFonts w:hint="eastAsia"/>
          <w:b/>
          <w:kern w:val="2"/>
          <w:highlight w:val="none"/>
          <w:lang w:val="en-US" w:eastAsia="zh-CN"/>
        </w:rPr>
        <w:t>四</w:t>
      </w:r>
      <w:r>
        <w:rPr>
          <w:rFonts w:hint="eastAsia"/>
          <w:b/>
          <w:kern w:val="2"/>
          <w:highlight w:val="none"/>
        </w:rPr>
        <w:t>）合同价所包含的内容</w:t>
      </w:r>
    </w:p>
    <w:p>
      <w:pPr>
        <w:widowControl w:val="0"/>
        <w:adjustRightInd w:val="0"/>
        <w:snapToGrid w:val="0"/>
        <w:spacing w:line="360" w:lineRule="auto"/>
        <w:ind w:firstLine="480" w:firstLineChars="200"/>
        <w:jc w:val="both"/>
        <w:rPr>
          <w:kern w:val="2"/>
          <w:highlight w:val="none"/>
        </w:rPr>
      </w:pPr>
      <w:r>
        <w:rPr>
          <w:rFonts w:hint="eastAsia"/>
          <w:kern w:val="2"/>
          <w:highlight w:val="none"/>
        </w:rPr>
        <w:t>根据本项目特点及现场施工条件，以下是可能影响工期及报价的重要风险因素。发包人此条款所列影响施工的情况只是概括性的，并未列尽，承包人应自行仔细核察可能影响施工的一切因素，承包人在施工过程中因以下风险因素而增加的所有投入及费用已包含在签约合同价中，发包人不予签证，承包人不得以此为由要求签证或拖延工期。</w:t>
      </w:r>
    </w:p>
    <w:p>
      <w:pPr>
        <w:widowControl w:val="0"/>
        <w:adjustRightInd w:val="0"/>
        <w:snapToGrid w:val="0"/>
        <w:spacing w:line="360" w:lineRule="auto"/>
        <w:ind w:firstLine="480" w:firstLineChars="200"/>
        <w:jc w:val="both"/>
        <w:rPr>
          <w:kern w:val="2"/>
          <w:highlight w:val="none"/>
        </w:rPr>
      </w:pPr>
      <w:r>
        <w:rPr>
          <w:rFonts w:hint="eastAsia"/>
          <w:kern w:val="2"/>
          <w:highlight w:val="none"/>
        </w:rPr>
        <w:t>所有综合单价为固定单价，除合同文件约定可调整的外，该综合单价不因任何因素而调整。</w:t>
      </w:r>
    </w:p>
    <w:p>
      <w:pPr>
        <w:widowControl w:val="0"/>
        <w:adjustRightInd w:val="0"/>
        <w:snapToGrid w:val="0"/>
        <w:spacing w:line="360" w:lineRule="auto"/>
        <w:ind w:firstLine="480" w:firstLineChars="200"/>
        <w:jc w:val="both"/>
        <w:rPr>
          <w:kern w:val="2"/>
          <w:highlight w:val="none"/>
        </w:rPr>
      </w:pPr>
      <w:r>
        <w:rPr>
          <w:rFonts w:hint="eastAsia"/>
          <w:kern w:val="2"/>
          <w:highlight w:val="none"/>
          <w:lang w:val="en-US" w:eastAsia="zh-CN"/>
        </w:rPr>
        <w:t>1.</w:t>
      </w:r>
      <w:r>
        <w:rPr>
          <w:rFonts w:hint="eastAsia"/>
          <w:kern w:val="2"/>
          <w:highlight w:val="none"/>
        </w:rPr>
        <w:t>临建设施及施工场地：本工程临时设施费用包含在</w:t>
      </w:r>
      <w:r>
        <w:rPr>
          <w:rFonts w:hint="eastAsia"/>
          <w:b/>
          <w:bCs/>
          <w:kern w:val="2"/>
          <w:highlight w:val="none"/>
        </w:rPr>
        <w:t>签约合同价</w:t>
      </w:r>
      <w:r>
        <w:rPr>
          <w:rFonts w:hint="eastAsia"/>
          <w:kern w:val="2"/>
          <w:highlight w:val="none"/>
        </w:rPr>
        <w:t>中。承包人应遵守国家法律法规，执行发包人及监理指令，按照施工图纸、设计变更单、图纸会审纪要、施工及验收规范等进行施工。按合同约定的质量及工期要求完成全部承建内容。合同约定由承包人完成或提供配合的工作（包括合同、会议纪要等的约定内容以及设计变更中涉及的工程指令执行、安全文明施工、成品保护等），凡因承包人原因未能完成或未能按质按期完成的，发包人在通知承包人后，即有权另择施工单位完成，所发生的费用由承包人承担，同时承包人应按</w:t>
      </w:r>
      <w:r>
        <w:rPr>
          <w:rFonts w:hint="eastAsia"/>
          <w:b/>
          <w:bCs/>
          <w:kern w:val="2"/>
          <w:highlight w:val="none"/>
        </w:rPr>
        <w:t>签约合同价</w:t>
      </w:r>
      <w:r>
        <w:rPr>
          <w:rFonts w:hint="eastAsia"/>
          <w:kern w:val="2"/>
          <w:highlight w:val="none"/>
        </w:rPr>
        <w:t>的20%向发包人支付违约金。发包人另行选择的施工单位的施工时间计入承包人工期，因此导致本合同工期延长的，承包人应承担违约责任。</w:t>
      </w:r>
    </w:p>
    <w:p>
      <w:pPr>
        <w:widowControl w:val="0"/>
        <w:adjustRightInd w:val="0"/>
        <w:snapToGrid w:val="0"/>
        <w:spacing w:line="360" w:lineRule="auto"/>
        <w:ind w:firstLine="480" w:firstLineChars="200"/>
        <w:jc w:val="both"/>
        <w:rPr>
          <w:kern w:val="2"/>
          <w:highlight w:val="none"/>
        </w:rPr>
      </w:pPr>
      <w:r>
        <w:rPr>
          <w:rFonts w:hint="eastAsia"/>
          <w:kern w:val="2"/>
          <w:highlight w:val="none"/>
          <w:lang w:val="en-US" w:eastAsia="zh-CN"/>
        </w:rPr>
        <w:t>2.</w:t>
      </w:r>
      <w:r>
        <w:rPr>
          <w:rFonts w:hint="eastAsia"/>
          <w:kern w:val="2"/>
          <w:highlight w:val="none"/>
        </w:rPr>
        <w:t>施工场地移交：发包人将现场场地移交至承包人，承包人应考虑现场场地与图纸存在的出入，对施工场地进行现状接收，并清理场地内遗留物料、垃圾等。</w:t>
      </w:r>
    </w:p>
    <w:p>
      <w:pPr>
        <w:widowControl w:val="0"/>
        <w:adjustRightInd w:val="0"/>
        <w:snapToGrid w:val="0"/>
        <w:spacing w:line="360" w:lineRule="auto"/>
        <w:ind w:firstLine="480" w:firstLineChars="200"/>
        <w:jc w:val="both"/>
        <w:rPr>
          <w:kern w:val="2"/>
          <w:highlight w:val="none"/>
        </w:rPr>
      </w:pPr>
      <w:r>
        <w:rPr>
          <w:rFonts w:hint="eastAsia"/>
          <w:kern w:val="2"/>
          <w:highlight w:val="none"/>
          <w:lang w:val="en-US" w:eastAsia="zh-CN"/>
        </w:rPr>
        <w:t>3.</w:t>
      </w:r>
      <w:r>
        <w:rPr>
          <w:rFonts w:hint="eastAsia"/>
          <w:kern w:val="2"/>
          <w:highlight w:val="none"/>
        </w:rPr>
        <w:t>赶工措施：承包人应根据本合同中工期及竣工验收节点要求，充分考虑本工程需赶工时因需投入大量的施工人员、管理人员、机械、材料等而引发的费用。该等费用已包含在</w:t>
      </w:r>
      <w:r>
        <w:rPr>
          <w:rFonts w:hint="eastAsia"/>
          <w:b/>
          <w:bCs/>
          <w:kern w:val="2"/>
          <w:highlight w:val="none"/>
        </w:rPr>
        <w:t>签约合同价</w:t>
      </w:r>
      <w:r>
        <w:rPr>
          <w:rFonts w:hint="eastAsia"/>
          <w:kern w:val="2"/>
          <w:highlight w:val="none"/>
        </w:rPr>
        <w:t>中，承包人不得另行要求发包人承担。</w:t>
      </w:r>
    </w:p>
    <w:p>
      <w:pPr>
        <w:widowControl w:val="0"/>
        <w:adjustRightInd w:val="0"/>
        <w:snapToGrid w:val="0"/>
        <w:spacing w:line="360" w:lineRule="auto"/>
        <w:ind w:firstLine="480" w:firstLineChars="200"/>
        <w:jc w:val="both"/>
        <w:rPr>
          <w:kern w:val="2"/>
          <w:highlight w:val="none"/>
        </w:rPr>
      </w:pPr>
      <w:r>
        <w:rPr>
          <w:rFonts w:hint="eastAsia"/>
          <w:kern w:val="2"/>
          <w:highlight w:val="none"/>
          <w:lang w:val="en-US" w:eastAsia="zh-CN"/>
        </w:rPr>
        <w:t>4.</w:t>
      </w:r>
      <w:r>
        <w:rPr>
          <w:rFonts w:hint="eastAsia"/>
          <w:kern w:val="2"/>
          <w:highlight w:val="none"/>
        </w:rPr>
        <w:t>主要材料定价：承包人不得以市场材料供应不足为由延误工期，因市场材料供应不足引起材料代换应按合同约定执行，增加的费用由承包人承担。承包人不得因此要求工程签证变更价款或延长工期。</w:t>
      </w:r>
    </w:p>
    <w:p>
      <w:pPr>
        <w:widowControl w:val="0"/>
        <w:adjustRightInd w:val="0"/>
        <w:snapToGrid w:val="0"/>
        <w:spacing w:line="360" w:lineRule="auto"/>
        <w:ind w:firstLine="480" w:firstLineChars="200"/>
        <w:jc w:val="both"/>
        <w:rPr>
          <w:kern w:val="2"/>
          <w:highlight w:val="none"/>
        </w:rPr>
      </w:pPr>
      <w:r>
        <w:rPr>
          <w:rFonts w:hint="eastAsia"/>
          <w:kern w:val="2"/>
          <w:highlight w:val="none"/>
        </w:rPr>
        <w:t>以暂估价出现的材料、设备需由发包人在工程施工中实行实时定价。承包人应在该材料设备订货进场施工前一个月根据图纸和招标文件的要求报送产品样品或工程样板及价格，经监理人及发包人审核确认后方可订货或施工，否则承包人承担由此引起的一切不良后果。承包人没有及时报价或报送资料不符合要求，而导致工期延误的，由承包人负责。发包人完成定价工作后应书面通知承包人，由于承包人未按时（超过5天）订货，导致该材料设备价格因市场原因涨价和工期延误，由承包人负责，发包人保留追索权利。</w:t>
      </w:r>
    </w:p>
    <w:p>
      <w:pPr>
        <w:widowControl w:val="0"/>
        <w:adjustRightInd w:val="0"/>
        <w:snapToGrid w:val="0"/>
        <w:spacing w:line="360" w:lineRule="auto"/>
        <w:ind w:firstLine="480" w:firstLineChars="200"/>
        <w:jc w:val="both"/>
        <w:rPr>
          <w:kern w:val="2"/>
          <w:highlight w:val="none"/>
        </w:rPr>
      </w:pPr>
      <w:r>
        <w:rPr>
          <w:rFonts w:hint="eastAsia"/>
          <w:kern w:val="2"/>
          <w:highlight w:val="none"/>
          <w:lang w:val="en-US" w:eastAsia="zh-CN"/>
        </w:rPr>
        <w:t>5.</w:t>
      </w:r>
      <w:r>
        <w:rPr>
          <w:rFonts w:hint="eastAsia"/>
          <w:kern w:val="2"/>
          <w:highlight w:val="none"/>
        </w:rPr>
        <w:t>主要材料设备品牌限定要求：对于本工程所需由发包人确定品牌、样板的材料，承包人需考虑给予发包人不少于10天的品牌、样板确认时间，提前提交完整资料至发包人，非发包人原因引起的或因双方价格确认导致的工期延误不予办理工期顺延。</w:t>
      </w:r>
    </w:p>
    <w:p>
      <w:pPr>
        <w:widowControl w:val="0"/>
        <w:adjustRightInd w:val="0"/>
        <w:snapToGrid w:val="0"/>
        <w:spacing w:line="360" w:lineRule="auto"/>
        <w:ind w:firstLine="480" w:firstLineChars="200"/>
        <w:jc w:val="both"/>
        <w:rPr>
          <w:kern w:val="2"/>
          <w:highlight w:val="none"/>
        </w:rPr>
      </w:pPr>
      <w:r>
        <w:rPr>
          <w:rFonts w:hint="eastAsia"/>
          <w:kern w:val="2"/>
          <w:highlight w:val="none"/>
          <w:lang w:val="en-US" w:eastAsia="zh-CN"/>
        </w:rPr>
        <w:t>6.</w:t>
      </w:r>
      <w:r>
        <w:rPr>
          <w:rFonts w:hint="eastAsia"/>
          <w:kern w:val="2"/>
          <w:highlight w:val="none"/>
        </w:rPr>
        <w:t>安全文明施工要求：承包人须服从发包人的管理，并按照发包人的相关要求进行施工。现场采取全封闭式管理并安装了门禁系统，所有人员需凭卡出入。管理措施及要求除本合同规定内容外，待承包人进场后，发包人会另行发放现场管理规定，承包人必须无条件服从。</w:t>
      </w:r>
    </w:p>
    <w:p>
      <w:pPr>
        <w:widowControl w:val="0"/>
        <w:adjustRightInd w:val="0"/>
        <w:snapToGrid w:val="0"/>
        <w:spacing w:line="360" w:lineRule="auto"/>
        <w:ind w:firstLine="480" w:firstLineChars="200"/>
        <w:jc w:val="both"/>
        <w:rPr>
          <w:kern w:val="2"/>
          <w:highlight w:val="none"/>
        </w:rPr>
      </w:pPr>
      <w:r>
        <w:rPr>
          <w:rFonts w:hint="eastAsia"/>
          <w:kern w:val="2"/>
          <w:highlight w:val="none"/>
          <w:lang w:val="en-US" w:eastAsia="zh-CN"/>
        </w:rPr>
        <w:t>7.</w:t>
      </w:r>
      <w:r>
        <w:rPr>
          <w:rFonts w:hint="eastAsia"/>
          <w:kern w:val="2"/>
          <w:highlight w:val="none"/>
        </w:rPr>
        <w:t>工程试车费用：按法律法规或地方规章或政府相关部门规定进行验收和水、电气安装及设备调试、运行，承包人负责各项现场配合事宜。此项费用已包含在</w:t>
      </w:r>
      <w:r>
        <w:rPr>
          <w:rFonts w:hint="eastAsia"/>
          <w:b/>
          <w:bCs/>
          <w:kern w:val="2"/>
          <w:highlight w:val="none"/>
        </w:rPr>
        <w:t>签约合同价</w:t>
      </w:r>
      <w:r>
        <w:rPr>
          <w:rFonts w:hint="eastAsia"/>
          <w:kern w:val="2"/>
          <w:highlight w:val="none"/>
        </w:rPr>
        <w:t>中，承包人不得另行要求发包人承担。</w:t>
      </w:r>
    </w:p>
    <w:p>
      <w:pPr>
        <w:widowControl w:val="0"/>
        <w:adjustRightInd w:val="0"/>
        <w:snapToGrid w:val="0"/>
        <w:spacing w:line="360" w:lineRule="auto"/>
        <w:ind w:firstLine="480" w:firstLineChars="200"/>
        <w:jc w:val="both"/>
        <w:rPr>
          <w:kern w:val="2"/>
          <w:highlight w:val="none"/>
        </w:rPr>
      </w:pPr>
      <w:r>
        <w:rPr>
          <w:rFonts w:hint="eastAsia"/>
          <w:kern w:val="2"/>
          <w:highlight w:val="none"/>
          <w:lang w:val="en-US" w:eastAsia="zh-CN"/>
        </w:rPr>
        <w:t>8.</w:t>
      </w:r>
      <w:r>
        <w:rPr>
          <w:rFonts w:hint="eastAsia"/>
          <w:kern w:val="2"/>
          <w:highlight w:val="none"/>
        </w:rPr>
        <w:t>参观视察配合：配合各级政府部门及相关单位参观考察，承包人承诺按发包人要求（包括领导参观考察时发包人临时提出的要求）做好现场的安全文明施工、标语标牌制作安装及陪同工作，因此引发的一切费用均由承包人承担且上述费用包含在</w:t>
      </w:r>
      <w:r>
        <w:rPr>
          <w:rFonts w:hint="eastAsia"/>
          <w:b/>
          <w:bCs/>
          <w:kern w:val="2"/>
          <w:highlight w:val="none"/>
        </w:rPr>
        <w:t>签约合同价</w:t>
      </w:r>
      <w:r>
        <w:rPr>
          <w:rFonts w:hint="eastAsia"/>
          <w:kern w:val="2"/>
          <w:highlight w:val="none"/>
        </w:rPr>
        <w:t>中。</w:t>
      </w:r>
    </w:p>
    <w:p>
      <w:pPr>
        <w:widowControl w:val="0"/>
        <w:adjustRightInd w:val="0"/>
        <w:snapToGrid w:val="0"/>
        <w:spacing w:line="360" w:lineRule="auto"/>
        <w:ind w:firstLine="480" w:firstLineChars="200"/>
        <w:jc w:val="both"/>
        <w:rPr>
          <w:kern w:val="2"/>
          <w:highlight w:val="none"/>
        </w:rPr>
      </w:pPr>
      <w:r>
        <w:rPr>
          <w:rFonts w:hint="eastAsia"/>
          <w:kern w:val="2"/>
          <w:highlight w:val="none"/>
          <w:lang w:val="en-US" w:eastAsia="zh-CN"/>
        </w:rPr>
        <w:t>9.</w:t>
      </w:r>
      <w:r>
        <w:rPr>
          <w:rFonts w:hint="eastAsia"/>
          <w:kern w:val="2"/>
          <w:highlight w:val="none"/>
        </w:rPr>
        <w:t>工程范围的调整：施工过程中，发包人有权根据工程实际情况对工程承包范围进行调整，承包人必须服从发包人的协调与安排，因工程范围调整所引起的工程量增减的金额按本合同中变更价款的约定进行计算。</w:t>
      </w:r>
    </w:p>
    <w:p>
      <w:pPr>
        <w:widowControl w:val="0"/>
        <w:adjustRightInd w:val="0"/>
        <w:snapToGrid w:val="0"/>
        <w:spacing w:line="360" w:lineRule="auto"/>
        <w:ind w:firstLine="480" w:firstLineChars="200"/>
        <w:jc w:val="both"/>
        <w:rPr>
          <w:kern w:val="2"/>
          <w:highlight w:val="none"/>
        </w:rPr>
      </w:pPr>
      <w:r>
        <w:rPr>
          <w:rFonts w:hint="eastAsia"/>
          <w:kern w:val="2"/>
          <w:highlight w:val="none"/>
          <w:lang w:val="en-US" w:eastAsia="zh-CN"/>
        </w:rPr>
        <w:t>10.</w:t>
      </w:r>
      <w:r>
        <w:rPr>
          <w:rFonts w:hint="eastAsia"/>
          <w:kern w:val="2"/>
          <w:highlight w:val="none"/>
        </w:rPr>
        <w:t>成品保护：本工程施工过程中，承包人应按发包人要求采取必要的成品保护措施进行成品保护、清洁和警示，并需考虑在竣工移交前反复保护的措施及费用，承包人报价中充分考虑采取此类措施所带来的费用，此项费用已包含在</w:t>
      </w:r>
      <w:r>
        <w:rPr>
          <w:rFonts w:hint="eastAsia"/>
          <w:b/>
          <w:bCs/>
          <w:kern w:val="2"/>
          <w:highlight w:val="none"/>
        </w:rPr>
        <w:t>签约合同价</w:t>
      </w:r>
      <w:r>
        <w:rPr>
          <w:rFonts w:hint="eastAsia"/>
          <w:kern w:val="2"/>
          <w:highlight w:val="none"/>
        </w:rPr>
        <w:t>中，承包人不得另行要求发包人承担。</w:t>
      </w:r>
    </w:p>
    <w:p>
      <w:pPr>
        <w:widowControl w:val="0"/>
        <w:adjustRightInd w:val="0"/>
        <w:snapToGrid w:val="0"/>
        <w:spacing w:line="360" w:lineRule="auto"/>
        <w:ind w:firstLine="480" w:firstLineChars="200"/>
        <w:jc w:val="both"/>
        <w:rPr>
          <w:kern w:val="2"/>
          <w:highlight w:val="none"/>
        </w:rPr>
      </w:pPr>
      <w:r>
        <w:rPr>
          <w:rFonts w:hint="eastAsia"/>
          <w:kern w:val="2"/>
          <w:highlight w:val="none"/>
          <w:lang w:val="en-US" w:eastAsia="zh-CN"/>
        </w:rPr>
        <w:t>11.</w:t>
      </w:r>
      <w:r>
        <w:rPr>
          <w:rFonts w:hint="eastAsia"/>
          <w:kern w:val="2"/>
          <w:highlight w:val="none"/>
        </w:rPr>
        <w:t>场内运输费用：承包人需将仓库腾挪、材料的二次搬运、腾挪及垂直运输、现场所产生的所有垃圾清理外运均已包含在</w:t>
      </w:r>
      <w:r>
        <w:rPr>
          <w:rFonts w:hint="eastAsia"/>
          <w:b/>
          <w:bCs/>
          <w:kern w:val="2"/>
          <w:highlight w:val="none"/>
        </w:rPr>
        <w:t>签约合同价</w:t>
      </w:r>
      <w:r>
        <w:rPr>
          <w:rFonts w:hint="eastAsia"/>
          <w:kern w:val="2"/>
          <w:highlight w:val="none"/>
        </w:rPr>
        <w:t>中，承包人不得另行要求发包人承担。</w:t>
      </w:r>
    </w:p>
    <w:p>
      <w:pPr>
        <w:widowControl w:val="0"/>
        <w:adjustRightInd w:val="0"/>
        <w:snapToGrid w:val="0"/>
        <w:spacing w:line="360" w:lineRule="auto"/>
        <w:ind w:firstLine="480" w:firstLineChars="200"/>
        <w:jc w:val="both"/>
        <w:rPr>
          <w:kern w:val="2"/>
          <w:highlight w:val="none"/>
        </w:rPr>
      </w:pPr>
      <w:r>
        <w:rPr>
          <w:rFonts w:hint="eastAsia"/>
          <w:kern w:val="2"/>
          <w:highlight w:val="none"/>
        </w:rPr>
        <w:t>1</w:t>
      </w:r>
      <w:r>
        <w:rPr>
          <w:rFonts w:hint="eastAsia"/>
          <w:kern w:val="2"/>
          <w:highlight w:val="none"/>
          <w:lang w:val="en-US" w:eastAsia="zh-CN"/>
        </w:rPr>
        <w:t>2.</w:t>
      </w:r>
      <w:r>
        <w:rPr>
          <w:rFonts w:hint="eastAsia"/>
          <w:kern w:val="2"/>
          <w:highlight w:val="none"/>
        </w:rPr>
        <w:t>本工程必须严格按合同工期完成，承包人需充分考虑各种可能导致工期增加产生的实际困难及费用，包括春节、赶工、劳动力数量、工资发放等问题，该等因素承包人已充分考虑并均包含在</w:t>
      </w:r>
      <w:r>
        <w:rPr>
          <w:rFonts w:hint="eastAsia"/>
          <w:b/>
          <w:bCs/>
          <w:kern w:val="2"/>
          <w:highlight w:val="none"/>
        </w:rPr>
        <w:t>签约合同价</w:t>
      </w:r>
      <w:r>
        <w:rPr>
          <w:rFonts w:hint="eastAsia"/>
          <w:kern w:val="2"/>
          <w:highlight w:val="none"/>
        </w:rPr>
        <w:t>中。本项目工期不可延误，各关键工序节点如有延误，根据相关条款进行处罚，并在当次进度款中直接扣除。</w:t>
      </w:r>
    </w:p>
    <w:p>
      <w:pPr>
        <w:widowControl w:val="0"/>
        <w:adjustRightInd w:val="0"/>
        <w:snapToGrid w:val="0"/>
        <w:spacing w:line="360" w:lineRule="auto"/>
        <w:ind w:firstLine="480" w:firstLineChars="200"/>
        <w:jc w:val="both"/>
        <w:rPr>
          <w:kern w:val="2"/>
          <w:highlight w:val="none"/>
        </w:rPr>
      </w:pPr>
      <w:r>
        <w:rPr>
          <w:rFonts w:hint="eastAsia"/>
          <w:kern w:val="2"/>
          <w:highlight w:val="none"/>
        </w:rPr>
        <w:t>1</w:t>
      </w:r>
      <w:r>
        <w:rPr>
          <w:rFonts w:hint="eastAsia"/>
          <w:kern w:val="2"/>
          <w:highlight w:val="none"/>
          <w:lang w:val="en-US" w:eastAsia="zh-CN"/>
        </w:rPr>
        <w:t>3.</w:t>
      </w:r>
      <w:r>
        <w:rPr>
          <w:rFonts w:hint="eastAsia"/>
          <w:kern w:val="2"/>
          <w:highlight w:val="none"/>
        </w:rPr>
        <w:t>水电费用：进场后，承包人自行与现场管理单位协商用水用电，水电费用包含在</w:t>
      </w:r>
      <w:r>
        <w:rPr>
          <w:rFonts w:hint="eastAsia"/>
          <w:b/>
          <w:bCs/>
          <w:kern w:val="2"/>
          <w:highlight w:val="none"/>
        </w:rPr>
        <w:t>签约合同价</w:t>
      </w:r>
      <w:r>
        <w:rPr>
          <w:rFonts w:hint="eastAsia"/>
          <w:kern w:val="2"/>
          <w:highlight w:val="none"/>
        </w:rPr>
        <w:t>中。本工程竣工验收前，承包人必须向物业管理单位缴清水电费用，否则发包人有权不向承包人支付结算款。</w:t>
      </w:r>
    </w:p>
    <w:p>
      <w:pPr>
        <w:widowControl w:val="0"/>
        <w:adjustRightInd w:val="0"/>
        <w:snapToGrid w:val="0"/>
        <w:spacing w:line="360" w:lineRule="auto"/>
        <w:ind w:firstLine="480" w:firstLineChars="200"/>
        <w:jc w:val="both"/>
        <w:rPr>
          <w:kern w:val="2"/>
          <w:highlight w:val="none"/>
        </w:rPr>
      </w:pPr>
      <w:r>
        <w:rPr>
          <w:rFonts w:hint="eastAsia"/>
          <w:kern w:val="2"/>
          <w:highlight w:val="none"/>
        </w:rPr>
        <w:t>1</w:t>
      </w:r>
      <w:r>
        <w:rPr>
          <w:rFonts w:hint="eastAsia"/>
          <w:kern w:val="2"/>
          <w:highlight w:val="none"/>
          <w:lang w:val="en-US" w:eastAsia="zh-CN"/>
        </w:rPr>
        <w:t>4.</w:t>
      </w:r>
      <w:r>
        <w:rPr>
          <w:rFonts w:hint="eastAsia"/>
          <w:kern w:val="2"/>
          <w:highlight w:val="none"/>
        </w:rPr>
        <w:t>开孔费用：所有孔洞预留、孔洞遗漏预留引起的二次开孔、设备拆装及移位等引起的所有费用均已包含在</w:t>
      </w:r>
      <w:r>
        <w:rPr>
          <w:rFonts w:hint="eastAsia"/>
          <w:b/>
          <w:bCs/>
          <w:kern w:val="2"/>
          <w:highlight w:val="none"/>
        </w:rPr>
        <w:t>签约合同价</w:t>
      </w:r>
      <w:r>
        <w:rPr>
          <w:rFonts w:hint="eastAsia"/>
          <w:kern w:val="2"/>
          <w:highlight w:val="none"/>
        </w:rPr>
        <w:t>中。</w:t>
      </w:r>
    </w:p>
    <w:p>
      <w:pPr>
        <w:widowControl w:val="0"/>
        <w:adjustRightInd w:val="0"/>
        <w:snapToGrid w:val="0"/>
        <w:spacing w:line="360" w:lineRule="auto"/>
        <w:ind w:firstLine="480" w:firstLineChars="200"/>
        <w:jc w:val="both"/>
        <w:rPr>
          <w:kern w:val="2"/>
          <w:highlight w:val="none"/>
        </w:rPr>
      </w:pPr>
      <w:r>
        <w:rPr>
          <w:rFonts w:hint="eastAsia"/>
          <w:kern w:val="2"/>
          <w:highlight w:val="none"/>
        </w:rPr>
        <w:t>1</w:t>
      </w:r>
      <w:r>
        <w:rPr>
          <w:rFonts w:hint="eastAsia"/>
          <w:kern w:val="2"/>
          <w:highlight w:val="none"/>
          <w:lang w:val="en-US" w:eastAsia="zh-CN"/>
        </w:rPr>
        <w:t>5.</w:t>
      </w:r>
      <w:r>
        <w:rPr>
          <w:rFonts w:hint="eastAsia"/>
          <w:kern w:val="2"/>
          <w:highlight w:val="none"/>
        </w:rPr>
        <w:t>承包人应派专业人员组织发包人（设计、工程、成本部门）在适当时机（不少于一次，每次不少于5-6人）前往材料设备厂家对材料设备进行抽查、检验等工作，由此产生的所有费用已包含在</w:t>
      </w:r>
      <w:r>
        <w:rPr>
          <w:rFonts w:hint="eastAsia"/>
          <w:b/>
          <w:bCs/>
          <w:kern w:val="2"/>
          <w:highlight w:val="none"/>
        </w:rPr>
        <w:t>签约合同价</w:t>
      </w:r>
      <w:r>
        <w:rPr>
          <w:rFonts w:hint="eastAsia"/>
          <w:kern w:val="2"/>
          <w:highlight w:val="none"/>
        </w:rPr>
        <w:t>中，承包人不得另行要求发包人承担。</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1</w:t>
      </w:r>
      <w:r>
        <w:rPr>
          <w:rFonts w:hint="eastAsia"/>
          <w:color w:val="auto"/>
          <w:kern w:val="2"/>
          <w:highlight w:val="none"/>
          <w:lang w:val="en-US" w:eastAsia="zh-CN"/>
        </w:rPr>
        <w:t>6.</w:t>
      </w:r>
      <w:r>
        <w:rPr>
          <w:rFonts w:hint="eastAsia"/>
          <w:color w:val="auto"/>
          <w:kern w:val="2"/>
          <w:highlight w:val="none"/>
        </w:rPr>
        <w:t>各图纸的复核及配合衔接：由发包人提供的所有图纸及技术要求（包括但不限于平面布置图、综合天花平面图、凡是天花综合平面图、地坪饰面图、建筑资料平面图、立面索引图、天花灯具布置连线图、插座照明配电图</w:t>
      </w:r>
      <w:r>
        <w:rPr>
          <w:rFonts w:hint="eastAsia"/>
          <w:color w:val="auto"/>
          <w:kern w:val="2"/>
          <w:highlight w:val="none"/>
          <w:lang w:eastAsia="zh-CN"/>
        </w:rPr>
        <w:t>、</w:t>
      </w:r>
      <w:r>
        <w:rPr>
          <w:rFonts w:hint="eastAsia"/>
          <w:color w:val="auto"/>
          <w:kern w:val="2"/>
          <w:highlight w:val="none"/>
          <w:lang w:val="en-US" w:eastAsia="zh-CN"/>
        </w:rPr>
        <w:t>给排水平面图、排油烟平面图</w:t>
      </w:r>
      <w:r>
        <w:rPr>
          <w:rFonts w:hint="eastAsia"/>
          <w:color w:val="auto"/>
          <w:kern w:val="2"/>
          <w:highlight w:val="none"/>
        </w:rPr>
        <w:t>、</w:t>
      </w:r>
      <w:r>
        <w:rPr>
          <w:rFonts w:hint="eastAsia"/>
          <w:color w:val="auto"/>
          <w:kern w:val="2"/>
          <w:highlight w:val="none"/>
          <w:lang w:val="en-US" w:eastAsia="zh-CN"/>
        </w:rPr>
        <w:t>燃气平面图、系统图、</w:t>
      </w:r>
      <w:r>
        <w:rPr>
          <w:rFonts w:hint="eastAsia"/>
          <w:color w:val="auto"/>
          <w:kern w:val="2"/>
          <w:highlight w:val="none"/>
        </w:rPr>
        <w:t>立面图、大样图、节点图等）等所有资料之间如存在任何矛盾或不一致，请在招标期间提出，由发包人统一解答，否则，中标后不得以上述资料之间存在矛盾或不一致为由向发包人提出索偿要求，或要求变更，增加</w:t>
      </w:r>
      <w:r>
        <w:rPr>
          <w:rFonts w:hint="eastAsia"/>
          <w:b/>
          <w:bCs/>
          <w:color w:val="auto"/>
          <w:kern w:val="2"/>
          <w:highlight w:val="none"/>
        </w:rPr>
        <w:t>签约合同价</w:t>
      </w:r>
      <w:r>
        <w:rPr>
          <w:rFonts w:hint="eastAsia"/>
          <w:color w:val="auto"/>
          <w:kern w:val="2"/>
          <w:highlight w:val="none"/>
        </w:rPr>
        <w:t>。发包人可要求按上述任何资料进行施工而不得调整</w:t>
      </w:r>
      <w:r>
        <w:rPr>
          <w:rFonts w:hint="eastAsia"/>
          <w:b/>
          <w:bCs/>
          <w:kern w:val="2"/>
          <w:highlight w:val="none"/>
        </w:rPr>
        <w:t>签约合同价</w:t>
      </w:r>
      <w:r>
        <w:rPr>
          <w:rFonts w:hint="eastAsia"/>
          <w:kern w:val="2"/>
          <w:highlight w:val="none"/>
        </w:rPr>
        <w:t>。承包人对图纸有任何疑问必须按投标须知前附表规定的时间内提出，由发包人统一解答，承包人须对图纸做充分的复核并将图纸的不完善充分考虑到</w:t>
      </w:r>
      <w:r>
        <w:rPr>
          <w:rFonts w:hint="eastAsia"/>
          <w:b/>
          <w:bCs/>
          <w:kern w:val="2"/>
          <w:highlight w:val="none"/>
        </w:rPr>
        <w:t>签约合同价</w:t>
      </w:r>
      <w:r>
        <w:rPr>
          <w:rFonts w:hint="eastAsia"/>
          <w:kern w:val="2"/>
          <w:highlight w:val="none"/>
        </w:rPr>
        <w:t>中。承包人中标后不得以图纸做法不明确、不完善、节点大样图的补充为由向发包人提出索偿要求，或要求变更并增加</w:t>
      </w:r>
      <w:r>
        <w:rPr>
          <w:rFonts w:hint="eastAsia"/>
          <w:b/>
          <w:bCs/>
          <w:kern w:val="2"/>
          <w:highlight w:val="none"/>
        </w:rPr>
        <w:t>签约合同价</w:t>
      </w:r>
      <w:r>
        <w:rPr>
          <w:rFonts w:hint="eastAsia"/>
          <w:kern w:val="2"/>
          <w:highlight w:val="none"/>
        </w:rPr>
        <w:t>；承包人应提供详细、全面的结构计算书，如发现招标图有受力不满足的地方，承包人应对</w:t>
      </w:r>
      <w:r>
        <w:rPr>
          <w:rFonts w:hint="eastAsia"/>
          <w:color w:val="auto"/>
          <w:kern w:val="2"/>
          <w:highlight w:val="none"/>
        </w:rPr>
        <w:t>该位置采取措施进行加强，此费用已包含在</w:t>
      </w:r>
      <w:r>
        <w:rPr>
          <w:rFonts w:hint="eastAsia"/>
          <w:b/>
          <w:bCs/>
          <w:color w:val="auto"/>
          <w:kern w:val="2"/>
          <w:highlight w:val="none"/>
        </w:rPr>
        <w:t>签约合同价</w:t>
      </w:r>
      <w:r>
        <w:rPr>
          <w:rFonts w:hint="eastAsia"/>
          <w:color w:val="auto"/>
          <w:kern w:val="2"/>
          <w:highlight w:val="none"/>
        </w:rPr>
        <w:t>中。</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lang w:val="en-US" w:eastAsia="zh-CN"/>
        </w:rPr>
        <w:t>17.</w:t>
      </w:r>
      <w:r>
        <w:rPr>
          <w:rFonts w:hint="eastAsia"/>
          <w:color w:val="auto"/>
          <w:kern w:val="2"/>
          <w:highlight w:val="none"/>
        </w:rPr>
        <w:t>垃圾外运：承包人进场后，承包人需在发包人指定的地点修建符合安全文明规定的垃圾池，施工产生的垃圾由承包人负责清运至垃圾池，自行外运。承包人须充分考虑垃圾外运市场价格波动等因素，该部分费用已包含在</w:t>
      </w:r>
      <w:r>
        <w:rPr>
          <w:rFonts w:hint="eastAsia"/>
          <w:b/>
          <w:bCs/>
          <w:color w:val="auto"/>
          <w:kern w:val="2"/>
          <w:highlight w:val="none"/>
        </w:rPr>
        <w:t>签约合同价</w:t>
      </w:r>
      <w:r>
        <w:rPr>
          <w:rFonts w:hint="eastAsia"/>
          <w:color w:val="auto"/>
          <w:kern w:val="2"/>
          <w:highlight w:val="none"/>
        </w:rPr>
        <w:t>中。</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lang w:val="en-US" w:eastAsia="zh-CN"/>
        </w:rPr>
        <w:t>18.</w:t>
      </w:r>
      <w:r>
        <w:rPr>
          <w:rFonts w:hint="eastAsia"/>
          <w:color w:val="auto"/>
          <w:kern w:val="2"/>
          <w:highlight w:val="none"/>
        </w:rPr>
        <w:t>交工前清洁施工现场的要求：承包人应保证施工场地清洁符合环境卫生管理的有关规定和深圳市文明施工要求，交工前清洁施工现场达到深圳市环境卫生的要求，保证施工场地平净、整洁，该部分费用已包含在</w:t>
      </w:r>
      <w:r>
        <w:rPr>
          <w:rFonts w:hint="eastAsia"/>
          <w:b/>
          <w:bCs/>
          <w:color w:val="auto"/>
          <w:kern w:val="2"/>
          <w:highlight w:val="none"/>
        </w:rPr>
        <w:t>签约合同价</w:t>
      </w:r>
      <w:r>
        <w:rPr>
          <w:rFonts w:hint="eastAsia"/>
          <w:color w:val="auto"/>
          <w:kern w:val="2"/>
          <w:highlight w:val="none"/>
        </w:rPr>
        <w:t>中。</w:t>
      </w:r>
    </w:p>
    <w:p>
      <w:pPr>
        <w:widowControl/>
        <w:adjustRightInd w:val="0"/>
        <w:snapToGrid w:val="0"/>
        <w:spacing w:line="360" w:lineRule="auto"/>
        <w:ind w:firstLine="480" w:firstLineChars="200"/>
        <w:jc w:val="left"/>
        <w:rPr>
          <w:color w:val="auto"/>
          <w:kern w:val="2"/>
          <w:highlight w:val="none"/>
        </w:rPr>
      </w:pPr>
      <w:r>
        <w:rPr>
          <w:rFonts w:hint="eastAsia"/>
          <w:color w:val="auto"/>
          <w:kern w:val="2"/>
          <w:highlight w:val="none"/>
          <w:lang w:val="en-US" w:eastAsia="zh-CN"/>
        </w:rPr>
        <w:t>19.本项目不考虑弃土收纳处置费，施工过程中产生的建筑垃圾、废料等</w:t>
      </w:r>
      <w:r>
        <w:rPr>
          <w:rFonts w:hint="eastAsia"/>
          <w:b/>
          <w:bCs/>
          <w:color w:val="auto"/>
          <w:kern w:val="2"/>
          <w:highlight w:val="none"/>
          <w:lang w:val="en-US" w:eastAsia="zh-CN"/>
        </w:rPr>
        <w:t>费用已包含在签约合同价中</w:t>
      </w:r>
      <w:r>
        <w:rPr>
          <w:rFonts w:hint="eastAsia"/>
          <w:color w:val="auto"/>
          <w:kern w:val="2"/>
          <w:highlight w:val="none"/>
          <w:lang w:val="en-US" w:eastAsia="zh-CN"/>
        </w:rPr>
        <w:t>，实际发生的收纳处置费</w:t>
      </w:r>
      <w:r>
        <w:rPr>
          <w:rFonts w:hint="eastAsia"/>
          <w:color w:val="auto"/>
          <w:kern w:val="2"/>
          <w:highlight w:val="none"/>
        </w:rPr>
        <w:t>已包含在</w:t>
      </w:r>
      <w:r>
        <w:rPr>
          <w:rFonts w:hint="eastAsia"/>
          <w:b/>
          <w:bCs/>
          <w:color w:val="auto"/>
          <w:kern w:val="2"/>
          <w:highlight w:val="none"/>
        </w:rPr>
        <w:t>签约合同价</w:t>
      </w:r>
      <w:r>
        <w:rPr>
          <w:rFonts w:hint="eastAsia"/>
          <w:color w:val="auto"/>
          <w:kern w:val="2"/>
          <w:highlight w:val="none"/>
        </w:rPr>
        <w:t>中</w:t>
      </w:r>
      <w:r>
        <w:rPr>
          <w:rFonts w:hint="eastAsia"/>
          <w:color w:val="auto"/>
          <w:kern w:val="2"/>
          <w:highlight w:val="none"/>
          <w:lang w:val="en-US" w:eastAsia="zh-CN"/>
        </w:rPr>
        <w:t>不另计算</w:t>
      </w:r>
      <w:r>
        <w:rPr>
          <w:rFonts w:hint="eastAsia"/>
          <w:color w:val="auto"/>
          <w:kern w:val="2"/>
          <w:highlight w:val="none"/>
        </w:rPr>
        <w:t>。</w:t>
      </w:r>
    </w:p>
    <w:p>
      <w:pPr>
        <w:widowControl w:val="0"/>
        <w:kinsoku w:val="0"/>
        <w:wordWrap w:val="0"/>
        <w:adjustRightInd w:val="0"/>
        <w:snapToGrid w:val="0"/>
        <w:spacing w:line="360" w:lineRule="auto"/>
        <w:ind w:firstLine="482" w:firstLineChars="200"/>
        <w:jc w:val="both"/>
        <w:rPr>
          <w:b/>
          <w:color w:val="auto"/>
          <w:kern w:val="2"/>
          <w:highlight w:val="none"/>
        </w:rPr>
      </w:pPr>
      <w:r>
        <w:rPr>
          <w:rFonts w:hint="eastAsia"/>
          <w:b/>
          <w:color w:val="auto"/>
          <w:kern w:val="2"/>
          <w:highlight w:val="none"/>
        </w:rPr>
        <w:t>（</w:t>
      </w:r>
      <w:r>
        <w:rPr>
          <w:rFonts w:hint="eastAsia"/>
          <w:b/>
          <w:color w:val="auto"/>
          <w:kern w:val="2"/>
          <w:highlight w:val="none"/>
          <w:lang w:val="en-US" w:eastAsia="zh-CN"/>
        </w:rPr>
        <w:t>五</w:t>
      </w:r>
      <w:r>
        <w:rPr>
          <w:rFonts w:hint="eastAsia"/>
          <w:b/>
          <w:color w:val="auto"/>
          <w:kern w:val="2"/>
          <w:highlight w:val="none"/>
        </w:rPr>
        <w:t>）工程结算</w:t>
      </w:r>
    </w:p>
    <w:p>
      <w:pPr>
        <w:widowControl w:val="0"/>
        <w:numPr>
          <w:ilvl w:val="12"/>
          <w:numId w:val="0"/>
        </w:numPr>
        <w:adjustRightInd w:val="0"/>
        <w:snapToGrid w:val="0"/>
        <w:spacing w:line="360" w:lineRule="auto"/>
        <w:ind w:left="0" w:firstLine="480" w:firstLineChars="200"/>
        <w:jc w:val="both"/>
        <w:rPr>
          <w:color w:val="000000"/>
          <w:kern w:val="2"/>
          <w:highlight w:val="none"/>
          <w:lang w:val="sq-AL"/>
        </w:rPr>
      </w:pPr>
      <w:r>
        <w:rPr>
          <w:rFonts w:hint="eastAsia"/>
          <w:color w:val="auto"/>
          <w:kern w:val="2"/>
          <w:highlight w:val="none"/>
        </w:rPr>
        <w:t>1</w:t>
      </w:r>
      <w:r>
        <w:rPr>
          <w:rFonts w:hint="eastAsia"/>
          <w:color w:val="auto"/>
          <w:kern w:val="2"/>
          <w:highlight w:val="none"/>
          <w:lang w:val="en-US" w:eastAsia="zh-CN"/>
        </w:rPr>
        <w:t>.</w:t>
      </w:r>
      <w:r>
        <w:rPr>
          <w:rFonts w:hint="eastAsia"/>
          <w:color w:val="auto"/>
          <w:kern w:val="2"/>
          <w:highlight w:val="none"/>
          <w:lang w:val="sq-AL"/>
        </w:rPr>
        <w:t>承包人应按规定的时间和内容向发包人提交齐全的符合主管部门要求的工程</w:t>
      </w:r>
      <w:r>
        <w:rPr>
          <w:rFonts w:hint="eastAsia"/>
          <w:color w:val="auto"/>
          <w:kern w:val="2"/>
          <w:highlight w:val="none"/>
        </w:rPr>
        <w:t>竣工</w:t>
      </w:r>
      <w:r>
        <w:rPr>
          <w:rFonts w:hint="eastAsia"/>
          <w:color w:val="auto"/>
          <w:kern w:val="2"/>
          <w:highlight w:val="none"/>
          <w:lang w:val="sq-AL"/>
        </w:rPr>
        <w:t>结算资料。</w:t>
      </w:r>
      <w:r>
        <w:rPr>
          <w:rFonts w:hint="eastAsia"/>
          <w:color w:val="auto"/>
          <w:kern w:val="2"/>
          <w:highlight w:val="none"/>
        </w:rPr>
        <w:t>承包人向发包人提交竣工结算书及完</w:t>
      </w:r>
      <w:r>
        <w:rPr>
          <w:rFonts w:hint="eastAsia"/>
          <w:color w:val="000000"/>
          <w:kern w:val="2"/>
          <w:highlight w:val="none"/>
        </w:rPr>
        <w:t>整的结算资料的时间要求为本工程竣工验收合格后30天内，承包人在结算报审后（从发包人代表签收之日起计算）与造价咨询在发包人要求时间内核对完毕，补充所有要求提供的资料，并完成签字确认，如未按时报审或完成核对，按照5000元/天进行处罚。</w:t>
      </w:r>
      <w:r>
        <w:rPr>
          <w:rFonts w:hint="eastAsia"/>
          <w:color w:val="000000"/>
          <w:kern w:val="2"/>
          <w:highlight w:val="none"/>
          <w:lang w:val="sq-AL"/>
        </w:rPr>
        <w:t>承包人未能按规定时间向发包人提交工程</w:t>
      </w:r>
      <w:r>
        <w:rPr>
          <w:rFonts w:hint="eastAsia"/>
          <w:color w:val="000000"/>
          <w:kern w:val="2"/>
          <w:highlight w:val="none"/>
        </w:rPr>
        <w:t>竣工</w:t>
      </w:r>
      <w:r>
        <w:rPr>
          <w:rFonts w:hint="eastAsia"/>
          <w:color w:val="000000"/>
          <w:kern w:val="2"/>
          <w:highlight w:val="none"/>
          <w:lang w:val="sq-AL"/>
        </w:rPr>
        <w:t>结算资料或在发包人核算期间承包人不予配合，因此而无法在规定时间内完成结算手续，经发包人通报后</w:t>
      </w:r>
      <w:r>
        <w:rPr>
          <w:color w:val="000000"/>
          <w:kern w:val="2"/>
          <w:highlight w:val="none"/>
          <w:lang w:val="sq-AL"/>
        </w:rPr>
        <w:t>30日内仍拒不办理的，</w:t>
      </w:r>
      <w:r>
        <w:rPr>
          <w:rFonts w:hint="eastAsia"/>
          <w:color w:val="000000"/>
          <w:kern w:val="2"/>
          <w:highlight w:val="none"/>
        </w:rPr>
        <w:t>除相应罚款外，逾期</w:t>
      </w:r>
      <w:r>
        <w:rPr>
          <w:rFonts w:hint="eastAsia"/>
          <w:color w:val="000000"/>
          <w:kern w:val="2"/>
          <w:highlight w:val="none"/>
          <w:lang w:val="sq-AL"/>
        </w:rPr>
        <w:t>发包人可启动强制结算机制，将其单方编制的结算文件送审计或审核，发包人根据已有资料审查、核实确定竣工结算价款,发包人核算的结果视为承包人已认可，承包人应该办理签认手续，不得有异议。另外，发包人因承包人的上述原因导致的无法按期办理本项目相关手续而造成的一切损失，含对任何第三方所造成的经济损失，均由承包人承担。发包人在收到承包人提交完整的竣工结算书及结算资料后，应按合同的有关约定，在监理人等的协助下，进行审查、核实，经与承包人协商达成一致意见后确认工程竣工结算价款。但发包人未对承包人提交的竣工结算书(包括经修改的竣工结算书或补充结算资料)进行认可和提出异议，不代表发包人已认可承包人提交的竣工结算书。</w:t>
      </w:r>
    </w:p>
    <w:p>
      <w:pPr>
        <w:widowControl w:val="0"/>
        <w:adjustRightInd w:val="0"/>
        <w:snapToGrid w:val="0"/>
        <w:spacing w:line="360" w:lineRule="auto"/>
        <w:ind w:firstLine="480" w:firstLineChars="200"/>
        <w:jc w:val="both"/>
        <w:rPr>
          <w:color w:val="000000"/>
          <w:kern w:val="2"/>
          <w:highlight w:val="none"/>
          <w:lang w:val="sq-AL"/>
        </w:rPr>
      </w:pPr>
      <w:r>
        <w:rPr>
          <w:color w:val="000000"/>
          <w:kern w:val="2"/>
          <w:highlight w:val="none"/>
        </w:rPr>
        <w:t>2</w:t>
      </w:r>
      <w:r>
        <w:rPr>
          <w:rFonts w:hint="eastAsia"/>
          <w:color w:val="000000"/>
          <w:kern w:val="2"/>
          <w:highlight w:val="none"/>
          <w:lang w:val="en-US" w:eastAsia="zh-CN"/>
        </w:rPr>
        <w:t>.</w:t>
      </w:r>
      <w:r>
        <w:rPr>
          <w:color w:val="000000"/>
          <w:kern w:val="2"/>
          <w:highlight w:val="none"/>
        </w:rPr>
        <w:t>结算模式：采用施工图结算模式，即施工图+变更+签证+其他（索赔、奖罚等）。</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3</w:t>
      </w:r>
      <w:r>
        <w:rPr>
          <w:rFonts w:hint="eastAsia"/>
          <w:color w:val="000000"/>
          <w:kern w:val="2"/>
          <w:highlight w:val="none"/>
          <w:lang w:val="en-US" w:eastAsia="zh-CN"/>
        </w:rPr>
        <w:t>.结算</w:t>
      </w:r>
      <w:r>
        <w:rPr>
          <w:rFonts w:hint="eastAsia"/>
          <w:color w:val="000000"/>
          <w:kern w:val="2"/>
          <w:highlight w:val="none"/>
        </w:rPr>
        <w:t>计量原则：按实际发生量计算，</w:t>
      </w:r>
      <w:r>
        <w:rPr>
          <w:rFonts w:hint="eastAsia"/>
          <w:b/>
          <w:bCs/>
          <w:color w:val="000000"/>
          <w:kern w:val="2"/>
          <w:highlight w:val="none"/>
        </w:rPr>
        <w:t>工程量依据承包范围内经发包人确认的施工图、图纸会审纪要、设计变更通知单、经发包人批准的现场签证单等计算工程量</w:t>
      </w:r>
      <w:r>
        <w:rPr>
          <w:rFonts w:hint="eastAsia"/>
          <w:color w:val="000000"/>
          <w:kern w:val="2"/>
          <w:highlight w:val="none"/>
        </w:rPr>
        <w:t>。对施工质量不合格的分项工程，不予计量。</w:t>
      </w:r>
      <w:r>
        <w:rPr>
          <w:rFonts w:hint="eastAsia"/>
          <w:color w:val="000000"/>
          <w:kern w:val="2"/>
          <w:highlight w:val="none"/>
          <w:lang w:val="sq-AL"/>
        </w:rPr>
        <w:t>如图纸不能计量的，工程量由发包人、承包人、监理单位、咨询人四方现场计量确认（应包含现场草图、影像资料、工程量确认单）。</w:t>
      </w:r>
      <w:r>
        <w:rPr>
          <w:rFonts w:hint="eastAsia"/>
          <w:color w:val="000000"/>
          <w:kern w:val="2"/>
          <w:highlight w:val="none"/>
        </w:rPr>
        <w:t>因承包人自身原因造成的返工工程量、超出图纸范围又未经变更审批的工程量、不符合工程质量标准的工程量、发包人书面通知承包人取消的工程量，均不予计量。</w:t>
      </w:r>
    </w:p>
    <w:p>
      <w:pPr>
        <w:widowControl w:val="0"/>
        <w:numPr>
          <w:ilvl w:val="-1"/>
          <w:numId w:val="0"/>
        </w:numPr>
        <w:kinsoku w:val="0"/>
        <w:wordWrap w:val="0"/>
        <w:adjustRightInd w:val="0"/>
        <w:snapToGrid w:val="0"/>
        <w:spacing w:line="360" w:lineRule="auto"/>
        <w:ind w:left="0" w:firstLine="482" w:firstLineChars="200"/>
        <w:jc w:val="both"/>
        <w:rPr>
          <w:rFonts w:hint="default" w:eastAsia="宋体" w:cs="Times New Roman"/>
          <w:kern w:val="2"/>
          <w:highlight w:val="none"/>
          <w:lang w:val="en-US" w:eastAsia="zh-CN"/>
        </w:rPr>
      </w:pPr>
      <w:r>
        <w:rPr>
          <w:rFonts w:hint="eastAsia"/>
          <w:b/>
          <w:kern w:val="2"/>
          <w:highlight w:val="none"/>
          <w:lang w:val="en-US" w:eastAsia="zh-CN"/>
        </w:rPr>
        <w:t>4.结算计价原则</w:t>
      </w:r>
    </w:p>
    <w:p>
      <w:pPr>
        <w:widowControl w:val="0"/>
        <w:numPr>
          <w:ilvl w:val="-1"/>
          <w:numId w:val="0"/>
        </w:numPr>
        <w:adjustRightInd w:val="0"/>
        <w:snapToGrid w:val="0"/>
        <w:spacing w:line="360" w:lineRule="auto"/>
        <w:ind w:left="0" w:firstLine="480" w:firstLineChars="200"/>
        <w:jc w:val="both"/>
        <w:rPr>
          <w:kern w:val="2"/>
          <w:highlight w:val="none"/>
        </w:rPr>
      </w:pPr>
      <w:r>
        <w:rPr>
          <w:rFonts w:hint="eastAsia"/>
          <w:color w:val="000000"/>
          <w:kern w:val="2"/>
          <w:highlight w:val="none"/>
        </w:rPr>
        <w:t>（1）</w:t>
      </w:r>
      <w:r>
        <w:rPr>
          <w:rFonts w:hint="eastAsia"/>
          <w:kern w:val="2"/>
          <w:highlight w:val="none"/>
        </w:rPr>
        <w:t>管堵头等所有管件以及管井内管道施工增加费用包含在</w:t>
      </w:r>
      <w:r>
        <w:rPr>
          <w:rFonts w:hint="eastAsia"/>
          <w:kern w:val="2"/>
          <w:highlight w:val="none"/>
          <w:lang w:val="en-US" w:eastAsia="zh-CN"/>
        </w:rPr>
        <w:t>相应</w:t>
      </w:r>
      <w:r>
        <w:rPr>
          <w:rFonts w:hint="eastAsia"/>
          <w:kern w:val="2"/>
          <w:highlight w:val="none"/>
        </w:rPr>
        <w:t>管道</w:t>
      </w:r>
      <w:r>
        <w:rPr>
          <w:rFonts w:hint="eastAsia"/>
          <w:kern w:val="2"/>
          <w:highlight w:val="none"/>
          <w:lang w:val="en-US" w:eastAsia="zh-CN"/>
        </w:rPr>
        <w:t>合同</w:t>
      </w:r>
      <w:r>
        <w:rPr>
          <w:rFonts w:hint="eastAsia"/>
          <w:kern w:val="2"/>
          <w:highlight w:val="none"/>
        </w:rPr>
        <w:t>综合单价中</w:t>
      </w:r>
      <w:r>
        <w:rPr>
          <w:rFonts w:hint="eastAsia"/>
          <w:kern w:val="2"/>
          <w:highlight w:val="none"/>
          <w:lang w:eastAsia="zh-CN"/>
        </w:rPr>
        <w:t>，</w:t>
      </w:r>
      <w:r>
        <w:rPr>
          <w:rFonts w:hint="eastAsia"/>
          <w:color w:val="000000"/>
          <w:kern w:val="2"/>
          <w:highlight w:val="none"/>
          <w:lang w:val="en-US" w:eastAsia="zh-CN"/>
        </w:rPr>
        <w:t>结算时不另计取</w:t>
      </w:r>
      <w:r>
        <w:rPr>
          <w:rFonts w:hint="eastAsia"/>
          <w:kern w:val="2"/>
          <w:highlight w:val="none"/>
        </w:rPr>
        <w:t>。</w:t>
      </w:r>
    </w:p>
    <w:p>
      <w:pPr>
        <w:widowControl w:val="0"/>
        <w:numPr>
          <w:ilvl w:val="-1"/>
          <w:numId w:val="0"/>
        </w:numPr>
        <w:adjustRightInd w:val="0"/>
        <w:snapToGrid w:val="0"/>
        <w:spacing w:line="360" w:lineRule="auto"/>
        <w:ind w:left="0" w:firstLine="480" w:firstLineChars="200"/>
        <w:jc w:val="both"/>
        <w:rPr>
          <w:kern w:val="2"/>
          <w:highlight w:val="none"/>
        </w:rPr>
      </w:pPr>
      <w:r>
        <w:rPr>
          <w:rFonts w:hint="eastAsia"/>
          <w:color w:val="000000"/>
          <w:kern w:val="2"/>
          <w:highlight w:val="none"/>
        </w:rPr>
        <w:t>（</w:t>
      </w:r>
      <w:r>
        <w:rPr>
          <w:rFonts w:hint="eastAsia"/>
          <w:color w:val="000000"/>
          <w:kern w:val="2"/>
          <w:highlight w:val="none"/>
          <w:lang w:val="en-US" w:eastAsia="zh-CN"/>
        </w:rPr>
        <w:t>2</w:t>
      </w:r>
      <w:r>
        <w:rPr>
          <w:rFonts w:hint="eastAsia"/>
          <w:color w:val="000000"/>
          <w:kern w:val="2"/>
          <w:highlight w:val="none"/>
        </w:rPr>
        <w:t>）</w:t>
      </w:r>
      <w:r>
        <w:rPr>
          <w:rFonts w:hint="eastAsia"/>
          <w:kern w:val="2"/>
          <w:highlight w:val="none"/>
        </w:rPr>
        <w:t>刨沟及修复：混凝土和砖体凿槽及修补、挂网等费用包含在相应凿(压)槽合同综合单价中，结算时不另计取。</w:t>
      </w:r>
    </w:p>
    <w:p>
      <w:pPr>
        <w:widowControl w:val="0"/>
        <w:numPr>
          <w:ilvl w:val="-1"/>
          <w:numId w:val="0"/>
        </w:numPr>
        <w:adjustRightInd w:val="0"/>
        <w:snapToGrid w:val="0"/>
        <w:spacing w:line="360" w:lineRule="auto"/>
        <w:ind w:left="0" w:firstLine="480" w:firstLineChars="200"/>
        <w:jc w:val="both"/>
        <w:rPr>
          <w:rFonts w:hint="eastAsia"/>
          <w:color w:val="000000"/>
          <w:kern w:val="2"/>
          <w:highlight w:val="none"/>
          <w:lang w:val="en-US" w:eastAsia="zh-CN"/>
        </w:rPr>
      </w:pPr>
      <w:r>
        <w:rPr>
          <w:rFonts w:hint="eastAsia"/>
          <w:color w:val="000000"/>
          <w:kern w:val="2"/>
          <w:highlight w:val="none"/>
        </w:rPr>
        <w:t>（</w:t>
      </w:r>
      <w:r>
        <w:rPr>
          <w:rFonts w:hint="eastAsia"/>
          <w:color w:val="000000"/>
          <w:kern w:val="2"/>
          <w:highlight w:val="none"/>
          <w:lang w:val="en-US" w:eastAsia="zh-CN"/>
        </w:rPr>
        <w:t>3</w:t>
      </w:r>
      <w:r>
        <w:rPr>
          <w:rFonts w:hint="eastAsia"/>
          <w:color w:val="000000"/>
          <w:kern w:val="2"/>
          <w:highlight w:val="none"/>
        </w:rPr>
        <w:t>）</w:t>
      </w:r>
      <w:r>
        <w:rPr>
          <w:rFonts w:hint="eastAsia" w:cs="Times New Roman"/>
          <w:color w:val="FF0000"/>
          <w:kern w:val="2"/>
          <w:highlight w:val="none"/>
        </w:rPr>
        <w:t>建筑物</w:t>
      </w:r>
      <w:r>
        <w:rPr>
          <w:rFonts w:hint="eastAsia"/>
          <w:color w:val="FF0000"/>
          <w:kern w:val="2"/>
          <w:highlight w:val="none"/>
        </w:rPr>
        <w:t>超高增加费</w:t>
      </w:r>
      <w:r>
        <w:rPr>
          <w:rFonts w:hint="eastAsia"/>
          <w:kern w:val="2"/>
          <w:highlight w:val="none"/>
        </w:rPr>
        <w:t>、</w:t>
      </w:r>
      <w:r>
        <w:rPr>
          <w:rFonts w:hint="eastAsia" w:cs="Times New Roman"/>
          <w:color w:val="FF0000"/>
          <w:kern w:val="2"/>
          <w:highlight w:val="none"/>
        </w:rPr>
        <w:t>高层建筑增加费</w:t>
      </w:r>
      <w:r>
        <w:rPr>
          <w:rFonts w:hint="eastAsia"/>
          <w:color w:val="FF0000"/>
          <w:kern w:val="2"/>
          <w:highlight w:val="none"/>
        </w:rPr>
        <w:t>、地下室增加费</w:t>
      </w:r>
      <w:r>
        <w:rPr>
          <w:rFonts w:hint="eastAsia"/>
          <w:color w:val="000000"/>
          <w:kern w:val="2"/>
          <w:highlight w:val="none"/>
          <w:lang w:val="en-US" w:eastAsia="zh-CN"/>
        </w:rPr>
        <w:t>等费用包含在相应合同综合单价中，结算时不另计取。</w:t>
      </w:r>
    </w:p>
    <w:p>
      <w:pPr>
        <w:widowControl w:val="0"/>
        <w:numPr>
          <w:ilvl w:val="-1"/>
          <w:numId w:val="0"/>
        </w:numPr>
        <w:adjustRightInd w:val="0"/>
        <w:snapToGrid w:val="0"/>
        <w:spacing w:line="360" w:lineRule="auto"/>
        <w:ind w:left="0" w:firstLine="480" w:firstLineChars="200"/>
        <w:jc w:val="both"/>
        <w:rPr>
          <w:rFonts w:hint="eastAsia" w:ascii="宋体" w:hAnsi="宋体" w:eastAsia="宋体" w:cs="宋体"/>
          <w:color w:val="000000"/>
          <w:kern w:val="2"/>
          <w:sz w:val="24"/>
          <w:szCs w:val="24"/>
          <w:highlight w:val="none"/>
          <w:lang w:val="en-US" w:eastAsia="zh-CN"/>
        </w:rPr>
      </w:pPr>
      <w:r>
        <w:rPr>
          <w:rFonts w:hint="eastAsia"/>
          <w:color w:val="000000"/>
          <w:kern w:val="2"/>
          <w:highlight w:val="none"/>
          <w:lang w:val="en-US" w:eastAsia="zh-CN"/>
        </w:rPr>
        <w:t>（4）</w:t>
      </w:r>
      <w:r>
        <w:rPr>
          <w:rFonts w:hint="default"/>
          <w:lang w:val="en-US" w:eastAsia="zh-CN"/>
        </w:rPr>
        <w:t>电缆残值回收单价</w:t>
      </w:r>
      <w:r>
        <w:rPr>
          <w:rFonts w:hint="eastAsia"/>
          <w:lang w:val="en-US" w:eastAsia="zh-CN"/>
        </w:rPr>
        <w:t>有合同价的按合同价计取，无合同价的结算时</w:t>
      </w:r>
      <w:r>
        <w:rPr>
          <w:rFonts w:hint="default"/>
          <w:lang w:val="en-US" w:eastAsia="zh-CN"/>
        </w:rPr>
        <w:t>统一按</w:t>
      </w:r>
      <w:r>
        <w:rPr>
          <w:rFonts w:hint="eastAsia"/>
          <w:lang w:val="en-US" w:eastAsia="zh-CN"/>
        </w:rPr>
        <w:t>对应电缆信息价</w:t>
      </w:r>
      <w:r>
        <w:rPr>
          <w:rFonts w:hint="default"/>
          <w:lang w:val="en-US" w:eastAsia="zh-CN"/>
        </w:rPr>
        <w:t>的50%计取</w:t>
      </w:r>
      <w:r>
        <w:rPr>
          <w:rFonts w:hint="eastAsia"/>
          <w:lang w:val="en-US" w:eastAsia="zh-CN"/>
        </w:rPr>
        <w:t>,并按合同下浮率下浮确定；回收工程量按几方现场确认不可利旧工程量计取。</w:t>
      </w:r>
    </w:p>
    <w:p>
      <w:pPr>
        <w:pStyle w:val="13"/>
        <w:widowControl w:val="0"/>
        <w:numPr>
          <w:ilvl w:val="-1"/>
          <w:numId w:val="0"/>
        </w:numPr>
        <w:adjustRightInd w:val="0"/>
        <w:snapToGrid w:val="0"/>
        <w:spacing w:line="360" w:lineRule="auto"/>
        <w:ind w:left="0" w:firstLine="480" w:firstLineChars="200"/>
        <w:jc w:val="both"/>
        <w:rPr>
          <w:kern w:val="2"/>
          <w:highlight w:val="none"/>
        </w:rPr>
      </w:pPr>
      <w:r>
        <w:rPr>
          <w:rFonts w:hint="eastAsia" w:cs="宋体"/>
          <w:color w:val="000000"/>
          <w:kern w:val="2"/>
          <w:sz w:val="24"/>
          <w:szCs w:val="24"/>
          <w:highlight w:val="none"/>
          <w:lang w:val="en-US" w:eastAsia="zh-CN"/>
        </w:rPr>
        <w:t>（5）</w:t>
      </w:r>
      <w:r>
        <w:rPr>
          <w:rFonts w:hint="eastAsia" w:ascii="宋体" w:hAnsi="宋体" w:eastAsia="宋体" w:cs="宋体"/>
          <w:color w:val="000000"/>
          <w:kern w:val="2"/>
          <w:sz w:val="24"/>
          <w:szCs w:val="24"/>
          <w:highlight w:val="none"/>
          <w:lang w:val="en-US" w:eastAsia="zh-CN"/>
        </w:rPr>
        <w:t>配电箱箱体安装、墙面修补、接地、端子板接线、开关及机构调整等费用包含在配电箱</w:t>
      </w:r>
      <w:r>
        <w:rPr>
          <w:rFonts w:hint="eastAsia" w:cs="宋体"/>
          <w:color w:val="000000"/>
          <w:kern w:val="2"/>
          <w:sz w:val="24"/>
          <w:szCs w:val="24"/>
          <w:highlight w:val="none"/>
          <w:lang w:val="en-US" w:eastAsia="zh-CN"/>
        </w:rPr>
        <w:t>合同</w:t>
      </w:r>
      <w:r>
        <w:rPr>
          <w:rFonts w:hint="eastAsia" w:ascii="宋体" w:hAnsi="宋体" w:eastAsia="宋体" w:cs="宋体"/>
          <w:color w:val="000000"/>
          <w:kern w:val="2"/>
          <w:sz w:val="24"/>
          <w:szCs w:val="24"/>
          <w:highlight w:val="none"/>
          <w:lang w:val="en-US" w:eastAsia="zh-CN"/>
        </w:rPr>
        <w:t>综合单价中</w:t>
      </w:r>
      <w:r>
        <w:rPr>
          <w:rFonts w:hint="eastAsia" w:cs="宋体"/>
          <w:color w:val="000000"/>
          <w:kern w:val="2"/>
          <w:sz w:val="24"/>
          <w:szCs w:val="24"/>
          <w:highlight w:val="none"/>
          <w:lang w:val="en-US" w:eastAsia="zh-CN"/>
        </w:rPr>
        <w:t>，</w:t>
      </w:r>
      <w:r>
        <w:rPr>
          <w:rFonts w:hint="eastAsia"/>
          <w:color w:val="000000"/>
          <w:kern w:val="2"/>
          <w:highlight w:val="none"/>
          <w:lang w:val="en-US" w:eastAsia="zh-CN"/>
        </w:rPr>
        <w:t>结算时不另计取</w:t>
      </w:r>
      <w:r>
        <w:rPr>
          <w:rFonts w:hint="eastAsia" w:ascii="宋体" w:hAnsi="宋体" w:eastAsia="宋体" w:cs="宋体"/>
          <w:color w:val="000000"/>
          <w:kern w:val="2"/>
          <w:sz w:val="24"/>
          <w:szCs w:val="24"/>
          <w:highlight w:val="none"/>
          <w:lang w:val="en-US" w:eastAsia="zh-CN"/>
        </w:rPr>
        <w:t>。</w:t>
      </w:r>
    </w:p>
    <w:p>
      <w:pPr>
        <w:pStyle w:val="13"/>
        <w:widowControl w:val="0"/>
        <w:numPr>
          <w:ilvl w:val="-1"/>
          <w:numId w:val="0"/>
        </w:numPr>
        <w:adjustRightInd w:val="0"/>
        <w:snapToGrid w:val="0"/>
        <w:spacing w:line="360" w:lineRule="auto"/>
        <w:ind w:left="0" w:firstLine="480" w:firstLineChars="200"/>
        <w:jc w:val="both"/>
        <w:rPr>
          <w:kern w:val="2"/>
          <w:highlight w:val="none"/>
        </w:rPr>
      </w:pPr>
      <w:r>
        <w:rPr>
          <w:rFonts w:hint="eastAsia" w:cs="宋体"/>
          <w:color w:val="000000"/>
          <w:kern w:val="2"/>
          <w:sz w:val="24"/>
          <w:szCs w:val="24"/>
          <w:highlight w:val="none"/>
          <w:lang w:val="en-US" w:eastAsia="zh-CN"/>
        </w:rPr>
        <w:t>（6）屋面风机涉及支架安装位置的防水修复费用包含在风机合同综合单价中，</w:t>
      </w:r>
      <w:r>
        <w:rPr>
          <w:rFonts w:hint="eastAsia"/>
          <w:color w:val="000000"/>
          <w:kern w:val="2"/>
          <w:highlight w:val="none"/>
          <w:lang w:val="en-US" w:eastAsia="zh-CN"/>
        </w:rPr>
        <w:t>结算时不另计取</w:t>
      </w:r>
      <w:r>
        <w:rPr>
          <w:rFonts w:hint="eastAsia"/>
          <w:kern w:val="2"/>
          <w:highlight w:val="none"/>
        </w:rPr>
        <w:t>。</w:t>
      </w:r>
    </w:p>
    <w:p>
      <w:pPr>
        <w:pStyle w:val="13"/>
        <w:widowControl w:val="0"/>
        <w:numPr>
          <w:ilvl w:val="-1"/>
          <w:numId w:val="0"/>
        </w:numPr>
        <w:adjustRightInd w:val="0"/>
        <w:snapToGrid w:val="0"/>
        <w:spacing w:line="360" w:lineRule="auto"/>
        <w:ind w:left="0" w:firstLine="480" w:firstLineChars="200"/>
        <w:jc w:val="both"/>
        <w:rPr>
          <w:rFonts w:hint="eastAsia"/>
          <w:highlight w:val="none"/>
          <w:lang w:val="en-US" w:eastAsia="zh-CN"/>
        </w:rPr>
      </w:pPr>
      <w:r>
        <w:rPr>
          <w:rFonts w:hint="eastAsia"/>
          <w:highlight w:val="none"/>
          <w:lang w:val="en-US" w:eastAsia="zh-CN"/>
        </w:rPr>
        <w:t>（7）油烟净化器和风机拆装、搬运费用包含在相应合同</w:t>
      </w:r>
      <w:r>
        <w:rPr>
          <w:rFonts w:hint="eastAsia" w:cs="宋体"/>
          <w:color w:val="000000"/>
          <w:kern w:val="2"/>
          <w:sz w:val="24"/>
          <w:szCs w:val="24"/>
          <w:highlight w:val="none"/>
          <w:lang w:val="en-US" w:eastAsia="zh-CN"/>
        </w:rPr>
        <w:t>综合单价中，</w:t>
      </w:r>
      <w:r>
        <w:rPr>
          <w:rFonts w:hint="eastAsia"/>
          <w:color w:val="000000"/>
          <w:kern w:val="2"/>
          <w:highlight w:val="none"/>
          <w:lang w:val="en-US" w:eastAsia="zh-CN"/>
        </w:rPr>
        <w:t>结算时不另计取</w:t>
      </w:r>
      <w:r>
        <w:rPr>
          <w:rFonts w:hint="eastAsia"/>
          <w:kern w:val="2"/>
          <w:highlight w:val="none"/>
        </w:rPr>
        <w:t>。</w:t>
      </w:r>
    </w:p>
    <w:p>
      <w:pPr>
        <w:numPr>
          <w:ilvl w:val="-1"/>
          <w:numId w:val="0"/>
        </w:numPr>
        <w:adjustRightInd w:val="0"/>
        <w:snapToGrid w:val="0"/>
        <w:spacing w:line="360" w:lineRule="auto"/>
        <w:ind w:left="0" w:firstLine="480" w:firstLineChars="200"/>
        <w:rPr>
          <w:rFonts w:hint="eastAsia"/>
          <w:color w:val="000000"/>
          <w:kern w:val="2"/>
          <w:highlight w:val="none"/>
          <w:lang w:val="en-US" w:eastAsia="zh-CN"/>
        </w:rPr>
      </w:pPr>
      <w:r>
        <w:rPr>
          <w:rFonts w:hint="eastAsia"/>
          <w:color w:val="000000"/>
          <w:kern w:val="2"/>
          <w:highlight w:val="none"/>
          <w:lang w:val="en-US" w:eastAsia="zh-CN"/>
        </w:rPr>
        <w:t>（8）燃气管碰头费按项列计，结算时按提供的发票据实结算，且最终结算价不超过该项费用合同单价，超过时按本项合同单价进行结算。</w:t>
      </w:r>
    </w:p>
    <w:p>
      <w:pPr>
        <w:numPr>
          <w:ilvl w:val="-1"/>
          <w:numId w:val="0"/>
        </w:numPr>
        <w:adjustRightInd w:val="0"/>
        <w:snapToGrid w:val="0"/>
        <w:spacing w:line="360" w:lineRule="auto"/>
        <w:ind w:left="0" w:firstLine="480" w:firstLineChars="200"/>
        <w:rPr>
          <w:rFonts w:hint="eastAsia"/>
          <w:color w:val="000000"/>
          <w:kern w:val="2"/>
          <w:highlight w:val="none"/>
          <w:lang w:val="en-US" w:eastAsia="zh-CN"/>
        </w:rPr>
      </w:pPr>
      <w:r>
        <w:rPr>
          <w:rFonts w:hint="eastAsia"/>
          <w:color w:val="000000"/>
          <w:kern w:val="2"/>
          <w:highlight w:val="none"/>
          <w:lang w:val="en-US" w:eastAsia="zh-CN"/>
        </w:rPr>
        <w:t>（9）拆除天花、配电箱、桥架及接地母线、自动开关、电缆及电缆终端头、配线及配管等涉及拆除工作内容，工程量结算时按几方现场确认的工程量进行计取。</w:t>
      </w:r>
    </w:p>
    <w:p>
      <w:pPr>
        <w:pStyle w:val="2"/>
        <w:rPr>
          <w:rFonts w:hint="eastAsia"/>
          <w:lang w:val="en-US" w:eastAsia="zh-CN"/>
        </w:rPr>
      </w:pPr>
      <w:r>
        <w:rPr>
          <w:rFonts w:hint="eastAsia" w:ascii="宋体" w:hAnsi="宋体" w:eastAsia="宋体" w:cs="宋体"/>
          <w:b/>
          <w:bCs/>
          <w:color w:val="000000"/>
          <w:kern w:val="2"/>
          <w:sz w:val="24"/>
          <w:szCs w:val="24"/>
          <w:highlight w:val="none"/>
          <w:lang w:val="sq-AL"/>
        </w:rPr>
        <w:t>本项目</w:t>
      </w:r>
      <w:r>
        <w:rPr>
          <w:rFonts w:hint="eastAsia" w:cs="宋体"/>
          <w:b/>
          <w:bCs/>
          <w:color w:val="000000"/>
          <w:kern w:val="2"/>
          <w:sz w:val="24"/>
          <w:szCs w:val="24"/>
          <w:highlight w:val="none"/>
          <w:lang w:val="en-US" w:eastAsia="zh-CN"/>
        </w:rPr>
        <w:t>最终</w:t>
      </w:r>
      <w:r>
        <w:rPr>
          <w:rFonts w:hint="eastAsia" w:ascii="宋体" w:hAnsi="宋体" w:eastAsia="宋体" w:cs="宋体"/>
          <w:b/>
          <w:bCs/>
          <w:color w:val="000000"/>
          <w:kern w:val="2"/>
          <w:sz w:val="24"/>
          <w:szCs w:val="24"/>
          <w:highlight w:val="none"/>
          <w:lang w:val="sq-AL"/>
        </w:rPr>
        <w:t>结算金额不得超过</w:t>
      </w:r>
      <w:r>
        <w:rPr>
          <w:rFonts w:hint="eastAsia" w:ascii="宋体" w:hAnsi="宋体" w:eastAsia="宋体" w:cs="宋体"/>
          <w:b/>
          <w:bCs/>
          <w:color w:val="000000"/>
          <w:kern w:val="2"/>
          <w:sz w:val="24"/>
          <w:szCs w:val="24"/>
          <w:highlight w:val="none"/>
          <w:lang w:val="sq-AL" w:eastAsia="zh-CN"/>
        </w:rPr>
        <w:t>投标上</w:t>
      </w:r>
      <w:r>
        <w:rPr>
          <w:rFonts w:hint="eastAsia" w:ascii="宋体" w:hAnsi="宋体" w:eastAsia="宋体" w:cs="宋体"/>
          <w:b/>
          <w:bCs/>
          <w:color w:val="000000"/>
          <w:kern w:val="2"/>
          <w:sz w:val="24"/>
          <w:szCs w:val="24"/>
          <w:highlight w:val="none"/>
          <w:lang w:val="sq-AL"/>
        </w:rPr>
        <w:t>限价总额。若结算金额超过</w:t>
      </w:r>
      <w:r>
        <w:rPr>
          <w:rFonts w:hint="eastAsia" w:ascii="宋体" w:hAnsi="宋体" w:eastAsia="宋体" w:cs="宋体"/>
          <w:b/>
          <w:bCs/>
          <w:color w:val="000000"/>
          <w:kern w:val="2"/>
          <w:sz w:val="24"/>
          <w:szCs w:val="24"/>
          <w:highlight w:val="none"/>
          <w:lang w:val="sq-AL" w:eastAsia="zh-CN"/>
        </w:rPr>
        <w:t>投标上</w:t>
      </w:r>
      <w:r>
        <w:rPr>
          <w:rFonts w:hint="eastAsia" w:ascii="宋体" w:hAnsi="宋体" w:eastAsia="宋体" w:cs="宋体"/>
          <w:b/>
          <w:bCs/>
          <w:color w:val="000000"/>
          <w:kern w:val="2"/>
          <w:sz w:val="24"/>
          <w:szCs w:val="24"/>
          <w:highlight w:val="none"/>
          <w:lang w:val="sq-AL"/>
        </w:rPr>
        <w:t>限价总额，则超出部分由乙方自行独立承担，按本项目</w:t>
      </w:r>
      <w:r>
        <w:rPr>
          <w:rFonts w:hint="eastAsia" w:ascii="宋体" w:hAnsi="宋体" w:eastAsia="宋体" w:cs="宋体"/>
          <w:b/>
          <w:bCs/>
          <w:color w:val="000000"/>
          <w:kern w:val="2"/>
          <w:sz w:val="24"/>
          <w:szCs w:val="24"/>
          <w:highlight w:val="none"/>
          <w:lang w:val="sq-AL" w:eastAsia="zh-CN"/>
        </w:rPr>
        <w:t>投标上</w:t>
      </w:r>
      <w:r>
        <w:rPr>
          <w:rFonts w:hint="eastAsia" w:ascii="宋体" w:hAnsi="宋体" w:eastAsia="宋体" w:cs="宋体"/>
          <w:b/>
          <w:bCs/>
          <w:color w:val="000000"/>
          <w:kern w:val="2"/>
          <w:sz w:val="24"/>
          <w:szCs w:val="24"/>
          <w:highlight w:val="none"/>
          <w:lang w:val="sq-AL"/>
        </w:rPr>
        <w:t>限价总额进行结算，乙方不得向甲方寻求其他任何的补偿或赔偿。</w:t>
      </w:r>
      <w:r>
        <w:rPr>
          <w:rFonts w:hint="eastAsia"/>
          <w:b/>
          <w:bCs/>
          <w:kern w:val="2"/>
          <w:highlight w:val="none"/>
          <w:lang w:val="sq-AL"/>
        </w:rPr>
        <w:t>最终结算价格以发包人委托第三方机构审定并经发包人确认的结果为准，若项目按规定须提交政府审计部门审计的，则最终结算价以政府审计部门审计结果为准。</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lang w:val="en-US" w:eastAsia="zh-CN"/>
        </w:rPr>
        <w:t>6.</w:t>
      </w:r>
      <w:r>
        <w:rPr>
          <w:rFonts w:hint="eastAsia"/>
          <w:color w:val="000000"/>
          <w:kern w:val="2"/>
          <w:highlight w:val="none"/>
          <w:lang w:val="sq-AL"/>
        </w:rPr>
        <w:t>承包人必须按实编制</w:t>
      </w:r>
      <w:r>
        <w:rPr>
          <w:rFonts w:hint="eastAsia"/>
          <w:color w:val="000000"/>
          <w:kern w:val="2"/>
          <w:highlight w:val="none"/>
        </w:rPr>
        <w:t>施工图预算及</w:t>
      </w:r>
      <w:r>
        <w:rPr>
          <w:rFonts w:hint="eastAsia"/>
          <w:color w:val="000000"/>
          <w:kern w:val="2"/>
          <w:highlight w:val="none"/>
          <w:lang w:val="sq-AL"/>
        </w:rPr>
        <w:t>工程竣工结算，</w:t>
      </w:r>
      <w:r>
        <w:rPr>
          <w:rFonts w:hint="eastAsia"/>
          <w:color w:val="000000"/>
          <w:kern w:val="2"/>
          <w:highlight w:val="none"/>
        </w:rPr>
        <w:t>不得高估冒算。</w:t>
      </w:r>
    </w:p>
    <w:p>
      <w:pPr>
        <w:widowControl w:val="0"/>
        <w:adjustRightInd w:val="0"/>
        <w:snapToGrid w:val="0"/>
        <w:spacing w:line="360" w:lineRule="auto"/>
        <w:ind w:firstLine="480" w:firstLineChars="200"/>
        <w:jc w:val="both"/>
        <w:rPr>
          <w:rFonts w:hint="eastAsia"/>
          <w:color w:val="000000"/>
          <w:kern w:val="2"/>
          <w:highlight w:val="none"/>
          <w:lang w:val="sq-AL"/>
        </w:rPr>
      </w:pPr>
      <w:r>
        <w:rPr>
          <w:rFonts w:hint="eastAsia"/>
          <w:color w:val="000000"/>
          <w:kern w:val="2"/>
          <w:highlight w:val="none"/>
          <w:lang w:val="sq-AL"/>
        </w:rPr>
        <w:t>经发包人委托第三方造价咨询复审单位进行</w:t>
      </w:r>
      <w:r>
        <w:rPr>
          <w:rFonts w:hint="eastAsia"/>
          <w:color w:val="000000"/>
          <w:kern w:val="2"/>
          <w:highlight w:val="none"/>
        </w:rPr>
        <w:t>施工图预算审核及</w:t>
      </w:r>
      <w:r>
        <w:rPr>
          <w:rFonts w:hint="eastAsia"/>
          <w:color w:val="000000"/>
          <w:kern w:val="2"/>
          <w:highlight w:val="none"/>
          <w:lang w:val="sq-AL"/>
        </w:rPr>
        <w:t>结算审核，如复审核减额超过承包人报送的</w:t>
      </w:r>
      <w:r>
        <w:rPr>
          <w:rFonts w:hint="eastAsia"/>
          <w:color w:val="000000"/>
          <w:kern w:val="2"/>
          <w:highlight w:val="none"/>
        </w:rPr>
        <w:t>施工图预算及</w:t>
      </w:r>
      <w:r>
        <w:rPr>
          <w:rFonts w:hint="eastAsia"/>
          <w:color w:val="000000"/>
          <w:kern w:val="2"/>
          <w:highlight w:val="none"/>
          <w:lang w:val="sq-AL"/>
        </w:rPr>
        <w:t>工程竣工结算造价的10%(不含本数10%)，承包人按以下方式承担违约金: 违约金=[承包人送审造价 - (</w:t>
      </w:r>
      <w:r>
        <w:rPr>
          <w:rFonts w:hint="eastAsia"/>
          <w:color w:val="000000"/>
          <w:kern w:val="2"/>
          <w:highlight w:val="none"/>
        </w:rPr>
        <w:t>复审</w:t>
      </w:r>
      <w:r>
        <w:rPr>
          <w:rFonts w:hint="eastAsia"/>
          <w:color w:val="000000"/>
          <w:kern w:val="2"/>
          <w:highlight w:val="none"/>
          <w:lang w:val="sq-AL"/>
        </w:rPr>
        <w:t>审定价*110%)</w:t>
      </w:r>
      <w:r>
        <w:rPr>
          <w:rFonts w:hint="eastAsia"/>
          <w:color w:val="000000"/>
          <w:kern w:val="2"/>
          <w:highlight w:val="none"/>
        </w:rPr>
        <w:t>]</w:t>
      </w:r>
      <w:r>
        <w:rPr>
          <w:rFonts w:hint="eastAsia"/>
          <w:color w:val="000000"/>
          <w:kern w:val="2"/>
          <w:highlight w:val="none"/>
          <w:lang w:val="sq-AL"/>
        </w:rPr>
        <w:t>x5%，发包人有权在</w:t>
      </w:r>
      <w:r>
        <w:rPr>
          <w:rFonts w:hint="eastAsia"/>
          <w:color w:val="000000"/>
          <w:kern w:val="2"/>
          <w:highlight w:val="none"/>
        </w:rPr>
        <w:t>工程进度款、</w:t>
      </w:r>
      <w:r>
        <w:rPr>
          <w:rFonts w:hint="eastAsia"/>
          <w:color w:val="000000"/>
          <w:kern w:val="2"/>
          <w:highlight w:val="none"/>
          <w:lang w:val="sq-AL"/>
        </w:rPr>
        <w:t>结算款项中以违约金形式扣除，承包人不得有异议。</w:t>
      </w:r>
    </w:p>
    <w:p>
      <w:pPr>
        <w:widowControl w:val="0"/>
        <w:kinsoku w:val="0"/>
        <w:wordWrap w:val="0"/>
        <w:adjustRightInd w:val="0"/>
        <w:snapToGrid w:val="0"/>
        <w:spacing w:line="360" w:lineRule="auto"/>
        <w:ind w:firstLine="482" w:firstLineChars="200"/>
        <w:jc w:val="both"/>
        <w:rPr>
          <w:b/>
          <w:kern w:val="2"/>
          <w:highlight w:val="none"/>
        </w:rPr>
      </w:pPr>
      <w:r>
        <w:rPr>
          <w:rFonts w:hint="eastAsia"/>
          <w:b/>
          <w:kern w:val="2"/>
          <w:highlight w:val="none"/>
        </w:rPr>
        <w:t>（</w:t>
      </w:r>
      <w:r>
        <w:rPr>
          <w:rFonts w:hint="eastAsia"/>
          <w:b/>
          <w:kern w:val="2"/>
          <w:highlight w:val="none"/>
          <w:lang w:val="en-US" w:eastAsia="zh-CN"/>
        </w:rPr>
        <w:t>六</w:t>
      </w:r>
      <w:r>
        <w:rPr>
          <w:rFonts w:hint="eastAsia"/>
          <w:b/>
          <w:kern w:val="2"/>
          <w:highlight w:val="none"/>
        </w:rPr>
        <w:t>）工程款支付</w:t>
      </w:r>
    </w:p>
    <w:p>
      <w:pPr>
        <w:widowControl w:val="0"/>
        <w:adjustRightInd w:val="0"/>
        <w:snapToGrid w:val="0"/>
        <w:spacing w:line="360" w:lineRule="auto"/>
        <w:ind w:firstLine="480" w:firstLineChars="200"/>
        <w:jc w:val="both"/>
        <w:rPr>
          <w:rFonts w:hint="eastAsia"/>
          <w:color w:val="000000"/>
          <w:kern w:val="2"/>
          <w:highlight w:val="none"/>
        </w:rPr>
      </w:pPr>
      <w:r>
        <w:rPr>
          <w:rFonts w:hint="eastAsia"/>
          <w:color w:val="000000"/>
          <w:kern w:val="2"/>
          <w:highlight w:val="none"/>
          <w:lang w:val="en-US" w:eastAsia="zh-CN"/>
        </w:rPr>
        <w:t>1.</w:t>
      </w:r>
      <w:r>
        <w:rPr>
          <w:rFonts w:hint="eastAsia"/>
          <w:color w:val="000000"/>
          <w:kern w:val="2"/>
          <w:highlight w:val="none"/>
        </w:rPr>
        <w:t>工程预付款</w:t>
      </w:r>
    </w:p>
    <w:p>
      <w:pPr>
        <w:pStyle w:val="13"/>
        <w:rPr>
          <w:rFonts w:hint="default" w:eastAsia="宋体"/>
          <w:highlight w:val="none"/>
          <w:lang w:val="en-US" w:eastAsia="zh-CN"/>
        </w:rPr>
      </w:pPr>
      <w:r>
        <w:rPr>
          <w:rFonts w:hint="eastAsia"/>
          <w:color w:val="000000"/>
          <w:kern w:val="2"/>
          <w:highlight w:val="none"/>
          <w:lang w:val="en-US" w:eastAsia="zh-CN"/>
        </w:rPr>
        <w:t>本项目不支付预付款。</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lang w:val="en-US" w:eastAsia="zh-CN"/>
        </w:rPr>
        <w:t>2.</w:t>
      </w:r>
      <w:r>
        <w:rPr>
          <w:rFonts w:hint="eastAsia"/>
          <w:color w:val="000000"/>
          <w:kern w:val="2"/>
          <w:highlight w:val="none"/>
        </w:rPr>
        <w:t>期中支付</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（1）原则上工程施工进度款按月支付，具体约定如下：</w:t>
      </w:r>
    </w:p>
    <w:p>
      <w:pPr>
        <w:widowControl w:val="0"/>
        <w:adjustRightInd w:val="0"/>
        <w:snapToGrid w:val="0"/>
        <w:spacing w:line="360" w:lineRule="auto"/>
        <w:ind w:firstLine="480" w:firstLineChars="200"/>
        <w:jc w:val="both"/>
        <w:rPr>
          <w:rFonts w:hint="eastAsia"/>
          <w:color w:val="000000"/>
          <w:kern w:val="2"/>
          <w:highlight w:val="none"/>
        </w:rPr>
      </w:pPr>
      <w:r>
        <w:rPr>
          <w:rFonts w:hint="eastAsia"/>
          <w:color w:val="000000"/>
          <w:kern w:val="2"/>
          <w:highlight w:val="none"/>
        </w:rPr>
        <w:t xml:space="preserve"> 每月25日前，承包人向监理工程师提出当期已完工程量计价申请，经监理、造价咨询、发包人按程序审核同意后，支付给承包人，每期应付工程进度款为当期完成产值的80％。首期进度款请款时需提供</w:t>
      </w:r>
      <w:r>
        <w:rPr>
          <w:rFonts w:hint="eastAsia"/>
          <w:color w:val="000000"/>
          <w:kern w:val="2"/>
          <w:highlight w:val="none"/>
          <w:lang w:val="en-US" w:eastAsia="zh-CN"/>
        </w:rPr>
        <w:t>履约保函、</w:t>
      </w:r>
      <w:r>
        <w:rPr>
          <w:rFonts w:hint="eastAsia"/>
          <w:color w:val="000000"/>
          <w:kern w:val="2"/>
          <w:highlight w:val="none"/>
        </w:rPr>
        <w:t>保险购买证明（验原件、留复印件）</w:t>
      </w:r>
      <w:r>
        <w:rPr>
          <w:rFonts w:hint="eastAsia"/>
          <w:color w:val="000000"/>
          <w:kern w:val="2"/>
          <w:highlight w:val="none"/>
          <w:lang w:val="en-US" w:eastAsia="zh-CN"/>
        </w:rPr>
        <w:t>经发包人审核后支付首期进度款</w:t>
      </w:r>
      <w:r>
        <w:rPr>
          <w:rFonts w:hint="eastAsia"/>
          <w:color w:val="000000"/>
          <w:kern w:val="2"/>
          <w:highlight w:val="none"/>
        </w:rPr>
        <w:t>；</w:t>
      </w:r>
    </w:p>
    <w:p>
      <w:pPr>
        <w:widowControl w:val="0"/>
        <w:adjustRightInd w:val="0"/>
        <w:snapToGrid w:val="0"/>
        <w:spacing w:line="360" w:lineRule="auto"/>
        <w:ind w:firstLine="480" w:firstLineChars="200"/>
        <w:jc w:val="both"/>
        <w:rPr>
          <w:rFonts w:hint="eastAsia"/>
          <w:color w:val="000000"/>
          <w:kern w:val="2"/>
          <w:highlight w:val="none"/>
        </w:rPr>
      </w:pPr>
      <w:r>
        <w:rPr>
          <w:rFonts w:hint="eastAsia"/>
          <w:color w:val="000000"/>
          <w:kern w:val="2"/>
          <w:highlight w:val="none"/>
        </w:rPr>
        <w:t>（2）经发包人确认工程完工且竣工验收合格后，支付至合同签约价或预算价中低价者扣除暂列金额后的85%；</w:t>
      </w:r>
    </w:p>
    <w:p>
      <w:pPr>
        <w:widowControl w:val="0"/>
        <w:adjustRightInd w:val="0"/>
        <w:snapToGrid w:val="0"/>
        <w:spacing w:line="360" w:lineRule="auto"/>
        <w:ind w:firstLine="480" w:firstLineChars="200"/>
        <w:jc w:val="both"/>
        <w:rPr>
          <w:rFonts w:hint="eastAsia"/>
          <w:color w:val="000000"/>
          <w:kern w:val="2"/>
          <w:highlight w:val="none"/>
        </w:rPr>
      </w:pPr>
      <w:r>
        <w:rPr>
          <w:rFonts w:hint="eastAsia"/>
          <w:color w:val="000000"/>
          <w:kern w:val="2"/>
          <w:highlight w:val="none"/>
        </w:rPr>
        <w:t>（3）竣工图完成、提交质量保修金保函、提交完整竣工结算资料且结算审核完成后，支付至结算价97%（若提供工程质保保函，则在竣工结算经最终审核后支付至最终审定结算金额的100%）；</w:t>
      </w:r>
    </w:p>
    <w:p>
      <w:pPr>
        <w:widowControl w:val="0"/>
        <w:adjustRightInd w:val="0"/>
        <w:snapToGrid w:val="0"/>
        <w:spacing w:line="360" w:lineRule="auto"/>
        <w:ind w:firstLine="480" w:firstLineChars="200"/>
        <w:jc w:val="both"/>
        <w:rPr>
          <w:rFonts w:hint="eastAsia"/>
          <w:color w:val="000000"/>
          <w:kern w:val="2"/>
          <w:highlight w:val="none"/>
        </w:rPr>
      </w:pPr>
      <w:r>
        <w:rPr>
          <w:rFonts w:hint="eastAsia"/>
          <w:color w:val="000000"/>
          <w:kern w:val="2"/>
          <w:highlight w:val="none"/>
        </w:rPr>
        <w:t>（4）结算金额的3%作为工程质保金，竣工满两年后，按《工程质量缺陷保修书》的有关约定支付；</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（5）承包人在竣工验收当月申请工程款时，必须先结清该工程用水用电费用（含正式电），并提供供电部门相关证明。否则，发包人有权拒绝支付当月工程款。</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lang w:val="en-US" w:eastAsia="zh-CN"/>
        </w:rPr>
        <w:t>4.</w:t>
      </w:r>
      <w:r>
        <w:rPr>
          <w:rFonts w:hint="eastAsia"/>
          <w:color w:val="000000"/>
          <w:kern w:val="2"/>
          <w:highlight w:val="none"/>
        </w:rPr>
        <w:t>承包人在发包人支付款项时用增值税专用发票进行结算，应在发包人付款前足额提供发票，发票金额以实际付款金额为准。如承包人未按约定提供相应金额的合法税务发票及相应付款申请资料，发包人有权不予支付款项。承包人应在发票开具后10日内提交发包人，延期提交的，发包人有权拒收且不付款。</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承包人保证其提供的银行账号真实、合法、有效，发包人向承包人指定的银行账号转入款项后即视为发包人履行完毕付款义务，合同支付方式包括但不限于银行转账、银行承兑汇票、商业承兑汇票等形式。若发包人以银行承兑汇票、商业承兑汇票等票据形式（票据期限不超过三个月，支付比例不超过合同额的30%）向承包人支付工程款时，因票据贴现产生的利息，由承包人承担。承包人开户银行、账号等如有变更，应在当期工程款申请时同步以书面方式通知发包人。如承包人未按合同约定及时通知发包人，由此导致的不利后果及损失均由承包人承担，给发包人造成经济损失的需予以赔偿。</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lang w:val="en-US" w:eastAsia="zh-CN"/>
        </w:rPr>
        <w:t>5.</w:t>
      </w:r>
      <w:r>
        <w:rPr>
          <w:rFonts w:hint="eastAsia"/>
          <w:color w:val="000000"/>
          <w:kern w:val="2"/>
          <w:highlight w:val="none"/>
        </w:rPr>
        <w:t>本工程保修款支付详见《工程质量缺陷保修书》。</w:t>
      </w:r>
    </w:p>
    <w:p>
      <w:pPr>
        <w:widowControl w:val="0"/>
        <w:adjustRightInd w:val="0"/>
        <w:snapToGrid w:val="0"/>
        <w:spacing w:line="360" w:lineRule="auto"/>
        <w:ind w:firstLine="480" w:firstLineChars="200"/>
        <w:jc w:val="both"/>
        <w:rPr>
          <w:rFonts w:hint="eastAsia" w:cs="Times New Roman"/>
          <w:color w:val="000000"/>
          <w:kern w:val="2"/>
          <w:highlight w:val="none"/>
        </w:rPr>
      </w:pPr>
      <w:r>
        <w:rPr>
          <w:rFonts w:hint="eastAsia" w:cs="Times New Roman"/>
          <w:color w:val="000000"/>
          <w:kern w:val="2"/>
          <w:highlight w:val="none"/>
          <w:lang w:val="en-US" w:eastAsia="zh-CN"/>
        </w:rPr>
        <w:t>6.</w:t>
      </w:r>
      <w:r>
        <w:rPr>
          <w:rFonts w:hint="eastAsia" w:cs="Times New Roman"/>
          <w:color w:val="000000"/>
          <w:kern w:val="2"/>
          <w:highlight w:val="none"/>
        </w:rPr>
        <w:t>本工程签约合同价中工人工资款比例为：</w:t>
      </w:r>
      <w:r>
        <w:rPr>
          <w:rFonts w:hint="eastAsia" w:cs="Times New Roman"/>
          <w:color w:val="000000"/>
          <w:kern w:val="2"/>
          <w:highlight w:val="none"/>
          <w:u w:val="single"/>
        </w:rPr>
        <w:t xml:space="preserve"> </w:t>
      </w:r>
      <w:r>
        <w:rPr>
          <w:rFonts w:hint="eastAsia" w:cs="Times New Roman"/>
          <w:color w:val="000000"/>
          <w:kern w:val="2"/>
          <w:highlight w:val="none"/>
          <w:u w:val="single"/>
          <w:lang w:val="en-US" w:eastAsia="zh-CN"/>
        </w:rPr>
        <w:t>17</w:t>
      </w:r>
      <w:r>
        <w:rPr>
          <w:rFonts w:hint="eastAsia" w:cs="Times New Roman"/>
          <w:color w:val="000000"/>
          <w:kern w:val="2"/>
          <w:highlight w:val="none"/>
          <w:u w:val="single"/>
        </w:rPr>
        <w:t xml:space="preserve">% </w:t>
      </w:r>
      <w:r>
        <w:rPr>
          <w:rFonts w:hint="eastAsia" w:cs="Times New Roman"/>
          <w:color w:val="000000"/>
          <w:kern w:val="2"/>
          <w:highlight w:val="none"/>
        </w:rPr>
        <w:t>。</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lang w:eastAsia="zh-CN"/>
        </w:rPr>
        <w:t>（</w:t>
      </w:r>
      <w:r>
        <w:rPr>
          <w:rFonts w:hint="eastAsia"/>
          <w:color w:val="000000"/>
          <w:kern w:val="2"/>
          <w:highlight w:val="none"/>
          <w:lang w:val="en-US" w:eastAsia="zh-CN"/>
        </w:rPr>
        <w:t>1</w:t>
      </w:r>
      <w:r>
        <w:rPr>
          <w:rFonts w:hint="eastAsia"/>
          <w:color w:val="000000"/>
          <w:kern w:val="2"/>
          <w:highlight w:val="none"/>
          <w:lang w:eastAsia="zh-CN"/>
        </w:rPr>
        <w:t>）</w:t>
      </w:r>
      <w:r>
        <w:rPr>
          <w:rFonts w:hint="eastAsia"/>
          <w:color w:val="000000"/>
          <w:kern w:val="2"/>
          <w:highlight w:val="none"/>
        </w:rPr>
        <w:t>承包人指定收款账户的银行信息如下：</w:t>
      </w:r>
    </w:p>
    <w:p>
      <w:pPr>
        <w:widowControl w:val="0"/>
        <w:adjustRightInd w:val="0"/>
        <w:snapToGrid w:val="0"/>
        <w:spacing w:line="360" w:lineRule="auto"/>
        <w:ind w:firstLine="480" w:firstLineChars="200"/>
        <w:jc w:val="both"/>
        <w:rPr>
          <w:rFonts w:hint="default" w:eastAsia="宋体"/>
          <w:color w:val="000000"/>
          <w:kern w:val="2"/>
          <w:highlight w:val="none"/>
          <w:u w:val="single"/>
          <w:lang w:val="en-US" w:eastAsia="zh-CN"/>
        </w:rPr>
      </w:pPr>
      <w:r>
        <w:rPr>
          <w:rFonts w:hint="eastAsia"/>
          <w:color w:val="000000"/>
          <w:kern w:val="2"/>
          <w:highlight w:val="none"/>
        </w:rPr>
        <w:t>开户名称：</w:t>
      </w:r>
      <w:r>
        <w:rPr>
          <w:rFonts w:hint="eastAsia"/>
          <w:color w:val="000000"/>
          <w:kern w:val="2"/>
          <w:highlight w:val="none"/>
          <w:u w:val="single"/>
          <w:lang w:val="en-US" w:eastAsia="zh-CN"/>
        </w:rPr>
        <w:t>*******</w:t>
      </w:r>
    </w:p>
    <w:p>
      <w:pPr>
        <w:widowControl w:val="0"/>
        <w:adjustRightInd w:val="0"/>
        <w:snapToGrid w:val="0"/>
        <w:spacing w:line="360" w:lineRule="auto"/>
        <w:ind w:firstLine="480" w:firstLineChars="200"/>
        <w:jc w:val="both"/>
        <w:rPr>
          <w:rFonts w:hint="default" w:eastAsia="宋体"/>
          <w:color w:val="000000"/>
          <w:kern w:val="2"/>
          <w:highlight w:val="none"/>
          <w:lang w:val="en-US" w:eastAsia="zh-CN"/>
        </w:rPr>
      </w:pPr>
      <w:r>
        <w:rPr>
          <w:rFonts w:hint="eastAsia"/>
          <w:color w:val="000000"/>
          <w:kern w:val="2"/>
          <w:highlight w:val="none"/>
        </w:rPr>
        <w:t>银行账号：</w:t>
      </w:r>
      <w:r>
        <w:rPr>
          <w:rFonts w:hint="eastAsia"/>
          <w:color w:val="000000"/>
          <w:kern w:val="2"/>
          <w:highlight w:val="none"/>
          <w:u w:val="single"/>
          <w:lang w:val="en-US" w:eastAsia="zh-CN"/>
        </w:rPr>
        <w:t>*******</w:t>
      </w:r>
    </w:p>
    <w:p>
      <w:pPr>
        <w:widowControl w:val="0"/>
        <w:adjustRightInd w:val="0"/>
        <w:snapToGrid w:val="0"/>
        <w:spacing w:line="360" w:lineRule="auto"/>
        <w:ind w:firstLine="480" w:firstLineChars="200"/>
        <w:jc w:val="both"/>
        <w:rPr>
          <w:rFonts w:hint="eastAsia"/>
          <w:color w:val="000000"/>
          <w:kern w:val="2"/>
          <w:highlight w:val="none"/>
          <w:u w:val="single"/>
          <w:lang w:val="en-US" w:eastAsia="zh-CN"/>
        </w:rPr>
      </w:pPr>
      <w:r>
        <w:rPr>
          <w:rFonts w:hint="eastAsia"/>
          <w:color w:val="000000"/>
          <w:kern w:val="2"/>
          <w:highlight w:val="none"/>
        </w:rPr>
        <w:t>开户银行：</w:t>
      </w:r>
      <w:r>
        <w:rPr>
          <w:rFonts w:hint="eastAsia"/>
          <w:color w:val="000000"/>
          <w:kern w:val="2"/>
          <w:highlight w:val="none"/>
          <w:u w:val="single"/>
          <w:lang w:val="en-US" w:eastAsia="zh-CN"/>
        </w:rPr>
        <w:t>*******</w:t>
      </w:r>
    </w:p>
    <w:p>
      <w:pPr>
        <w:widowControl w:val="0"/>
        <w:adjustRightInd w:val="0"/>
        <w:snapToGrid w:val="0"/>
        <w:spacing w:line="360" w:lineRule="auto"/>
        <w:ind w:firstLine="480" w:firstLineChars="200"/>
        <w:jc w:val="both"/>
        <w:rPr>
          <w:rFonts w:hint="eastAsia"/>
          <w:color w:val="000000"/>
          <w:kern w:val="2"/>
          <w:highlight w:val="none"/>
          <w:u w:val="single"/>
          <w:lang w:val="en-US" w:eastAsia="zh-CN"/>
        </w:rPr>
      </w:pPr>
      <w:r>
        <w:rPr>
          <w:rFonts w:hint="eastAsia"/>
          <w:color w:val="000000"/>
          <w:kern w:val="2"/>
          <w:highlight w:val="none"/>
        </w:rPr>
        <w:t>纳税人识别号：</w:t>
      </w:r>
      <w:r>
        <w:rPr>
          <w:rFonts w:hint="eastAsia"/>
          <w:color w:val="000000"/>
          <w:kern w:val="2"/>
          <w:highlight w:val="none"/>
          <w:u w:val="single"/>
          <w:lang w:val="en-US" w:eastAsia="zh-CN"/>
        </w:rPr>
        <w:t>*******</w:t>
      </w:r>
    </w:p>
    <w:p>
      <w:pPr>
        <w:widowControl w:val="0"/>
        <w:numPr>
          <w:ilvl w:val="-1"/>
          <w:numId w:val="0"/>
        </w:numPr>
        <w:adjustRightInd w:val="0"/>
        <w:snapToGrid w:val="0"/>
        <w:spacing w:line="360" w:lineRule="auto"/>
        <w:ind w:firstLine="480" w:firstLineChars="200"/>
        <w:jc w:val="both"/>
        <w:rPr>
          <w:rFonts w:hint="eastAsia"/>
          <w:color w:val="000000"/>
          <w:kern w:val="2"/>
          <w:highlight w:val="none"/>
        </w:rPr>
      </w:pPr>
      <w:r>
        <w:rPr>
          <w:rFonts w:hint="eastAsia"/>
          <w:color w:val="000000"/>
          <w:kern w:val="2"/>
          <w:highlight w:val="none"/>
          <w:u w:val="none"/>
          <w:lang w:val="en-US" w:eastAsia="zh-CN"/>
        </w:rPr>
        <w:t>（2）</w:t>
      </w:r>
      <w:r>
        <w:rPr>
          <w:rFonts w:hint="eastAsia"/>
          <w:color w:val="000000"/>
          <w:kern w:val="2"/>
          <w:highlight w:val="none"/>
        </w:rPr>
        <w:t>工人工资专用账户信息：</w:t>
      </w:r>
    </w:p>
    <w:p>
      <w:pPr>
        <w:widowControl w:val="0"/>
        <w:adjustRightInd w:val="0"/>
        <w:snapToGrid w:val="0"/>
        <w:spacing w:line="360" w:lineRule="auto"/>
        <w:ind w:firstLine="480" w:firstLineChars="200"/>
        <w:jc w:val="both"/>
        <w:rPr>
          <w:rFonts w:hint="eastAsia"/>
          <w:color w:val="000000"/>
          <w:kern w:val="2"/>
          <w:highlight w:val="none"/>
          <w:u w:val="single"/>
        </w:rPr>
      </w:pPr>
      <w:r>
        <w:rPr>
          <w:rFonts w:hint="eastAsia"/>
          <w:color w:val="000000"/>
          <w:kern w:val="2"/>
          <w:highlight w:val="none"/>
        </w:rPr>
        <w:t>工人工资款支付专用账户名称：</w:t>
      </w:r>
      <w:r>
        <w:rPr>
          <w:rFonts w:hint="eastAsia"/>
          <w:color w:val="000000"/>
          <w:kern w:val="2"/>
          <w:highlight w:val="none"/>
          <w:u w:val="single"/>
          <w:lang w:val="en-US" w:eastAsia="zh-CN"/>
        </w:rPr>
        <w:t>*******</w:t>
      </w:r>
    </w:p>
    <w:p>
      <w:pPr>
        <w:widowControl w:val="0"/>
        <w:adjustRightInd w:val="0"/>
        <w:snapToGrid w:val="0"/>
        <w:spacing w:line="360" w:lineRule="auto"/>
        <w:ind w:firstLine="480" w:firstLineChars="200"/>
        <w:jc w:val="both"/>
        <w:rPr>
          <w:rFonts w:hint="eastAsia"/>
          <w:color w:val="000000"/>
          <w:kern w:val="2"/>
          <w:highlight w:val="none"/>
          <w:u w:val="single"/>
        </w:rPr>
      </w:pPr>
      <w:r>
        <w:rPr>
          <w:rFonts w:hint="eastAsia"/>
          <w:color w:val="000000"/>
          <w:kern w:val="2"/>
          <w:highlight w:val="none"/>
        </w:rPr>
        <w:t>工人工资款支付专用账户开户银行：</w:t>
      </w:r>
      <w:r>
        <w:rPr>
          <w:rFonts w:hint="eastAsia"/>
          <w:color w:val="000000"/>
          <w:kern w:val="2"/>
          <w:highlight w:val="none"/>
          <w:u w:val="single"/>
          <w:lang w:val="en-US" w:eastAsia="zh-CN"/>
        </w:rPr>
        <w:t>*******</w:t>
      </w:r>
    </w:p>
    <w:p>
      <w:pPr>
        <w:widowControl w:val="0"/>
        <w:adjustRightInd w:val="0"/>
        <w:snapToGrid w:val="0"/>
        <w:spacing w:line="360" w:lineRule="auto"/>
        <w:ind w:firstLine="480" w:firstLineChars="200"/>
        <w:jc w:val="both"/>
        <w:rPr>
          <w:rFonts w:hint="eastAsia" w:eastAsia="宋体"/>
          <w:color w:val="000000"/>
          <w:kern w:val="2"/>
          <w:highlight w:val="none"/>
          <w:u w:val="single"/>
          <w:lang w:val="en-US" w:eastAsia="zh-CN"/>
        </w:rPr>
      </w:pPr>
      <w:r>
        <w:rPr>
          <w:rFonts w:hint="eastAsia"/>
          <w:color w:val="000000"/>
          <w:kern w:val="2"/>
          <w:highlight w:val="none"/>
        </w:rPr>
        <w:t>工人工资款支付专用账户号：</w:t>
      </w:r>
      <w:r>
        <w:rPr>
          <w:rFonts w:hint="eastAsia"/>
          <w:color w:val="000000"/>
          <w:kern w:val="2"/>
          <w:highlight w:val="none"/>
          <w:u w:val="single"/>
          <w:lang w:val="en-US" w:eastAsia="zh-CN"/>
        </w:rPr>
        <w:t>*************</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lang w:val="en-US" w:eastAsia="zh-CN"/>
        </w:rPr>
        <w:t>7.</w:t>
      </w:r>
      <w:r>
        <w:rPr>
          <w:rFonts w:hint="eastAsia"/>
          <w:color w:val="000000"/>
          <w:kern w:val="2"/>
          <w:highlight w:val="none"/>
        </w:rPr>
        <w:t>资金监管</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发包人要求承包人建立监管账户，工程进度款支付到以承包人名义设立的监管账户中，承包人向外支付时，需</w:t>
      </w:r>
      <w:r>
        <w:rPr>
          <w:rFonts w:hint="eastAsia" w:cs="仿宋_GB2312"/>
          <w:szCs w:val="21"/>
          <w:highlight w:val="none"/>
        </w:rPr>
        <w:t>提交支付名单和《资金使用计划（预算）》给发包人审核；在发包人批准的名单和计划内，承包人提交支付指令及银行需要的相关资料（相关合同、票据等），由银行进行逐笔审批单笔支付</w:t>
      </w:r>
      <w:r>
        <w:rPr>
          <w:rFonts w:hint="eastAsia"/>
          <w:color w:val="000000"/>
          <w:kern w:val="2"/>
          <w:highlight w:val="none"/>
        </w:rPr>
        <w:t>。资金共管的范围包括但不限于工程预付款、工程进度款、安全文明措施费等。</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资金监管协议书参考模板详见附件5。</w:t>
      </w:r>
    </w:p>
    <w:p>
      <w:pPr>
        <w:widowControl w:val="0"/>
        <w:kinsoku w:val="0"/>
        <w:wordWrap w:val="0"/>
        <w:adjustRightInd w:val="0"/>
        <w:snapToGrid w:val="0"/>
        <w:spacing w:line="360" w:lineRule="auto"/>
        <w:ind w:firstLine="482" w:firstLineChars="200"/>
        <w:jc w:val="both"/>
        <w:rPr>
          <w:b/>
          <w:kern w:val="2"/>
          <w:highlight w:val="none"/>
        </w:rPr>
      </w:pPr>
      <w:r>
        <w:rPr>
          <w:rFonts w:hint="eastAsia"/>
          <w:b/>
          <w:kern w:val="2"/>
          <w:highlight w:val="none"/>
        </w:rPr>
        <w:t>（</w:t>
      </w:r>
      <w:r>
        <w:rPr>
          <w:rFonts w:hint="eastAsia"/>
          <w:b/>
          <w:kern w:val="2"/>
          <w:highlight w:val="none"/>
          <w:lang w:val="en-US" w:eastAsia="zh-CN"/>
        </w:rPr>
        <w:t>七</w:t>
      </w:r>
      <w:r>
        <w:rPr>
          <w:rFonts w:hint="eastAsia"/>
          <w:b/>
          <w:kern w:val="2"/>
          <w:highlight w:val="none"/>
        </w:rPr>
        <w:t>）工程变更价款</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lang w:val="en-US" w:eastAsia="zh-CN"/>
        </w:rPr>
        <w:t>1.</w:t>
      </w:r>
      <w:r>
        <w:rPr>
          <w:rFonts w:hint="eastAsia"/>
          <w:b/>
          <w:kern w:val="2"/>
          <w:highlight w:val="none"/>
        </w:rPr>
        <w:t>工程变更价款的确定方式</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（1）合同综合单价中已有适用于变更工程的综合单价</w:t>
      </w:r>
      <w:r>
        <w:rPr>
          <w:rFonts w:hint="eastAsia"/>
          <w:color w:val="000000"/>
          <w:kern w:val="2"/>
          <w:highlight w:val="none"/>
          <w:lang w:eastAsia="zh-CN"/>
        </w:rPr>
        <w:t>（</w:t>
      </w:r>
      <w:r>
        <w:rPr>
          <w:rFonts w:hint="eastAsia"/>
          <w:color w:val="000000"/>
          <w:kern w:val="2"/>
          <w:highlight w:val="none"/>
          <w:lang w:val="en-US" w:eastAsia="zh-CN"/>
        </w:rPr>
        <w:t>或下挂定额子目单价</w:t>
      </w:r>
      <w:r>
        <w:rPr>
          <w:rFonts w:hint="eastAsia"/>
          <w:color w:val="000000"/>
          <w:kern w:val="2"/>
          <w:highlight w:val="none"/>
          <w:lang w:eastAsia="zh-CN"/>
        </w:rPr>
        <w:t>）</w:t>
      </w:r>
      <w:r>
        <w:rPr>
          <w:rFonts w:hint="eastAsia"/>
          <w:color w:val="000000"/>
          <w:kern w:val="2"/>
          <w:highlight w:val="none"/>
        </w:rPr>
        <w:t>，按</w:t>
      </w:r>
      <w:r>
        <w:rPr>
          <w:rFonts w:hint="eastAsia"/>
          <w:color w:val="000000"/>
          <w:kern w:val="2"/>
          <w:highlight w:val="none"/>
          <w:lang w:val="en-US" w:eastAsia="zh-CN"/>
        </w:rPr>
        <w:t>合同</w:t>
      </w:r>
      <w:r>
        <w:rPr>
          <w:rFonts w:hint="eastAsia"/>
          <w:color w:val="000000"/>
          <w:kern w:val="2"/>
          <w:highlight w:val="none"/>
        </w:rPr>
        <w:t>综合单价</w:t>
      </w:r>
      <w:r>
        <w:rPr>
          <w:rFonts w:hint="eastAsia"/>
          <w:color w:val="000000"/>
          <w:kern w:val="2"/>
          <w:highlight w:val="none"/>
          <w:lang w:eastAsia="zh-CN"/>
        </w:rPr>
        <w:t>（</w:t>
      </w:r>
      <w:r>
        <w:rPr>
          <w:rFonts w:hint="eastAsia"/>
          <w:color w:val="000000"/>
          <w:kern w:val="2"/>
          <w:highlight w:val="none"/>
          <w:lang w:val="en-US" w:eastAsia="zh-CN"/>
        </w:rPr>
        <w:t>或下挂定额子目单价</w:t>
      </w:r>
      <w:r>
        <w:rPr>
          <w:rFonts w:hint="eastAsia"/>
          <w:color w:val="000000"/>
          <w:kern w:val="2"/>
          <w:highlight w:val="none"/>
          <w:lang w:eastAsia="zh-CN"/>
        </w:rPr>
        <w:t>）</w:t>
      </w:r>
      <w:r>
        <w:rPr>
          <w:rFonts w:hint="eastAsia"/>
          <w:color w:val="000000"/>
          <w:kern w:val="2"/>
          <w:highlight w:val="none"/>
        </w:rPr>
        <w:t>确定变更价款。如合同存在相同清单项目不同综合单价(含电子文件)不一致的情况，按不利于承包人的方式计取</w:t>
      </w:r>
      <w:r>
        <w:rPr>
          <w:rFonts w:hint="eastAsia"/>
          <w:color w:val="000000"/>
          <w:kern w:val="2"/>
          <w:highlight w:val="none"/>
          <w:lang w:eastAsia="zh-CN"/>
        </w:rPr>
        <w:t>；</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w:t>
      </w:r>
      <w:r>
        <w:rPr>
          <w:rFonts w:hint="eastAsia"/>
          <w:color w:val="000000"/>
          <w:kern w:val="2"/>
          <w:highlight w:val="none"/>
          <w:lang w:val="en-US" w:eastAsia="zh-CN"/>
        </w:rPr>
        <w:t>2</w:t>
      </w:r>
      <w:r>
        <w:rPr>
          <w:rFonts w:hint="eastAsia"/>
          <w:color w:val="000000"/>
          <w:kern w:val="2"/>
          <w:highlight w:val="none"/>
        </w:rPr>
        <w:t>）</w:t>
      </w:r>
      <w:r>
        <w:rPr>
          <w:rFonts w:hint="eastAsia"/>
          <w:color w:val="000000"/>
          <w:kern w:val="2"/>
          <w:highlight w:val="none"/>
          <w:lang w:val="en-US" w:eastAsia="zh-CN"/>
        </w:rPr>
        <w:t>合同综合单价</w:t>
      </w:r>
      <w:r>
        <w:rPr>
          <w:rFonts w:hint="eastAsia"/>
          <w:color w:val="000000"/>
          <w:kern w:val="2"/>
          <w:highlight w:val="none"/>
        </w:rPr>
        <w:t>中只有类似于变更工程的综合单价</w:t>
      </w:r>
      <w:r>
        <w:rPr>
          <w:rFonts w:hint="eastAsia"/>
          <w:color w:val="000000"/>
          <w:kern w:val="2"/>
          <w:highlight w:val="none"/>
          <w:lang w:eastAsia="zh-CN"/>
        </w:rPr>
        <w:t>（</w:t>
      </w:r>
      <w:r>
        <w:rPr>
          <w:rFonts w:hint="eastAsia"/>
          <w:color w:val="000000"/>
          <w:kern w:val="2"/>
          <w:highlight w:val="none"/>
          <w:lang w:val="en-US" w:eastAsia="zh-CN"/>
        </w:rPr>
        <w:t>或下挂定额子目单价</w:t>
      </w:r>
      <w:r>
        <w:rPr>
          <w:rFonts w:hint="eastAsia"/>
          <w:color w:val="000000"/>
          <w:kern w:val="2"/>
          <w:highlight w:val="none"/>
          <w:lang w:eastAsia="zh-CN"/>
        </w:rPr>
        <w:t>）</w:t>
      </w:r>
      <w:r>
        <w:rPr>
          <w:rFonts w:hint="eastAsia"/>
          <w:color w:val="000000"/>
          <w:kern w:val="2"/>
          <w:highlight w:val="none"/>
        </w:rPr>
        <w:t>，可以参照类似单价确定变更价款;</w:t>
      </w:r>
    </w:p>
    <w:p>
      <w:pPr>
        <w:widowControl w:val="0"/>
        <w:adjustRightInd w:val="0"/>
        <w:snapToGrid w:val="0"/>
        <w:spacing w:line="360" w:lineRule="auto"/>
        <w:ind w:firstLine="480" w:firstLineChars="200"/>
        <w:jc w:val="both"/>
        <w:rPr>
          <w:rFonts w:hint="eastAsia" w:eastAsia="宋体"/>
          <w:color w:val="000000"/>
          <w:kern w:val="2"/>
          <w:highlight w:val="none"/>
          <w:lang w:eastAsia="zh-CN"/>
        </w:rPr>
      </w:pPr>
      <w:r>
        <w:rPr>
          <w:rFonts w:hint="eastAsia"/>
          <w:color w:val="000000"/>
          <w:kern w:val="2"/>
          <w:highlight w:val="none"/>
        </w:rPr>
        <w:t>（</w:t>
      </w:r>
      <w:r>
        <w:rPr>
          <w:rFonts w:hint="eastAsia"/>
          <w:color w:val="000000"/>
          <w:kern w:val="2"/>
          <w:highlight w:val="none"/>
          <w:lang w:val="en-US" w:eastAsia="zh-CN"/>
        </w:rPr>
        <w:t>3</w:t>
      </w:r>
      <w:r>
        <w:rPr>
          <w:rFonts w:hint="eastAsia"/>
          <w:color w:val="000000"/>
          <w:kern w:val="2"/>
          <w:highlight w:val="none"/>
        </w:rPr>
        <w:t>）</w:t>
      </w:r>
      <w:r>
        <w:rPr>
          <w:rFonts w:hint="eastAsia"/>
          <w:color w:val="000000"/>
          <w:kern w:val="2"/>
          <w:highlight w:val="none"/>
          <w:lang w:val="en-US" w:eastAsia="zh-CN"/>
        </w:rPr>
        <w:t>合同综合单价</w:t>
      </w:r>
      <w:r>
        <w:rPr>
          <w:rFonts w:hint="eastAsia"/>
          <w:color w:val="000000"/>
          <w:kern w:val="2"/>
          <w:highlight w:val="none"/>
        </w:rPr>
        <w:t>中没有适用于变更工程的综合单价，按照招标控制价的编制方法计算出该清单项目的综合单价，再依据中标净下浮率调整后确定</w:t>
      </w:r>
      <w:r>
        <w:rPr>
          <w:rFonts w:hint="eastAsia"/>
          <w:color w:val="000000"/>
          <w:kern w:val="2"/>
          <w:highlight w:val="none"/>
          <w:lang w:eastAsia="zh-CN"/>
        </w:rPr>
        <w:t>；</w:t>
      </w:r>
    </w:p>
    <w:p>
      <w:pPr>
        <w:widowControl/>
        <w:numPr>
          <w:ilvl w:val="0"/>
          <w:numId w:val="0"/>
        </w:numPr>
        <w:adjustRightInd w:val="0"/>
        <w:snapToGrid w:val="0"/>
        <w:spacing w:line="360" w:lineRule="auto"/>
        <w:ind w:firstLine="480" w:firstLineChars="200"/>
        <w:jc w:val="left"/>
        <w:rPr>
          <w:color w:val="000000"/>
          <w:kern w:val="2"/>
          <w:highlight w:val="none"/>
        </w:rPr>
      </w:pPr>
      <w:r>
        <w:rPr>
          <w:rFonts w:hint="eastAsia"/>
          <w:color w:val="000000"/>
          <w:kern w:val="2"/>
          <w:highlight w:val="none"/>
        </w:rPr>
        <w:t>（</w:t>
      </w:r>
      <w:r>
        <w:rPr>
          <w:rFonts w:hint="eastAsia"/>
          <w:color w:val="000000"/>
          <w:kern w:val="2"/>
          <w:highlight w:val="none"/>
          <w:lang w:val="en-US" w:eastAsia="zh-CN"/>
        </w:rPr>
        <w:t>4</w:t>
      </w:r>
      <w:r>
        <w:rPr>
          <w:rFonts w:hint="eastAsia"/>
          <w:color w:val="000000"/>
          <w:kern w:val="2"/>
          <w:highlight w:val="none"/>
        </w:rPr>
        <w:t>）以上情况均不适用的项目，由承包人报送变更工程的项目综合单价，经发包人审批后确定。</w:t>
      </w:r>
    </w:p>
    <w:p>
      <w:pPr>
        <w:widowControl w:val="0"/>
        <w:adjustRightInd w:val="0"/>
        <w:snapToGrid w:val="0"/>
        <w:spacing w:line="360" w:lineRule="auto"/>
        <w:ind w:firstLine="480" w:firstLineChars="200"/>
        <w:jc w:val="both"/>
        <w:rPr>
          <w:kern w:val="2"/>
          <w:highlight w:val="none"/>
        </w:rPr>
      </w:pPr>
      <w:r>
        <w:rPr>
          <w:rFonts w:hint="eastAsia"/>
          <w:kern w:val="2"/>
          <w:highlight w:val="none"/>
        </w:rPr>
        <w:t>工程中标净下浮率=</w:t>
      </w:r>
      <w:r>
        <w:rPr>
          <w:rFonts w:hint="eastAsia"/>
          <w:kern w:val="2"/>
          <w:highlight w:val="none"/>
          <w:lang w:val="sq-AL"/>
        </w:rPr>
        <w:t>[1－中标价（扣除不可竞争费）÷招标控制价（扣除不可竞争费）]×100%</w:t>
      </w:r>
      <w:r>
        <w:rPr>
          <w:rFonts w:hint="eastAsia"/>
          <w:kern w:val="2"/>
          <w:highlight w:val="none"/>
        </w:rPr>
        <w:t>。</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承包人不得以变更签证工程的造价未确定为由，拒不进行施工，否则发包人有权按招标文件内工期延误的有关约定，对承包人提出索赔。</w:t>
      </w:r>
    </w:p>
    <w:p>
      <w:pPr>
        <w:widowControl w:val="0"/>
        <w:adjustRightInd w:val="0"/>
        <w:snapToGrid w:val="0"/>
        <w:spacing w:line="360" w:lineRule="auto"/>
        <w:ind w:firstLine="482" w:firstLineChars="200"/>
        <w:jc w:val="both"/>
        <w:rPr>
          <w:b/>
          <w:bCs/>
          <w:kern w:val="2"/>
          <w:highlight w:val="none"/>
        </w:rPr>
      </w:pPr>
      <w:r>
        <w:rPr>
          <w:rFonts w:hint="eastAsia"/>
          <w:b/>
          <w:bCs/>
          <w:kern w:val="2"/>
          <w:highlight w:val="none"/>
          <w:lang w:val="en-US" w:eastAsia="zh-CN"/>
        </w:rPr>
        <w:t>2.</w:t>
      </w:r>
      <w:r>
        <w:rPr>
          <w:rFonts w:hint="eastAsia"/>
          <w:b/>
          <w:bCs/>
          <w:kern w:val="2"/>
          <w:highlight w:val="none"/>
        </w:rPr>
        <w:t>工程变更引起措施项目费调整方式：除安全文明施工措施费、钢筋混凝土模板及脚手架费外，其余措施费不调整。</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lang w:val="en-US" w:eastAsia="zh-CN"/>
        </w:rPr>
        <w:t>3.</w:t>
      </w:r>
      <w:r>
        <w:rPr>
          <w:rFonts w:hint="eastAsia"/>
          <w:color w:val="000000"/>
          <w:kern w:val="2"/>
          <w:highlight w:val="none"/>
        </w:rPr>
        <w:t>工程变更风险提示</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(1)招标时提供的图纸中可能出现部分节点大样图未标明或不详细等情况，承包人必须仔细核查图纸，如有不明处，必须按《投标须知前附表》规定的时间内书面提出，由发包人统一解答，凡未书面提出，均视为承包人认可发包人的所有图纸为明确可行的，则合同签订后或施工过程中，中标人不得以图纸做法不明确、不完善为由申请设计变更或增加价款，发包人对此均不予补偿。</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(2)对节点大样图的任何补充、深化设计都不涉及到造价，承包人对节点大样图的补充、深化设计必须获得发包人及发包人委托的设计咨询的认可，如果发包人及设计咨询认为承包人的设计不满足要求，承包人必须无条件修改至发包人及设计咨询认可为止，且此认可并不涉及任何造价的改变或工期的增加，承包人须在投标报价中自行考虑。</w:t>
      </w:r>
    </w:p>
    <w:p>
      <w:pPr>
        <w:widowControl w:val="0"/>
        <w:kinsoku w:val="0"/>
        <w:wordWrap w:val="0"/>
        <w:adjustRightInd w:val="0"/>
        <w:snapToGrid w:val="0"/>
        <w:spacing w:line="360" w:lineRule="auto"/>
        <w:ind w:firstLine="482" w:firstLineChars="200"/>
        <w:jc w:val="both"/>
        <w:rPr>
          <w:rFonts w:cs="Times New Roman"/>
          <w:kern w:val="2"/>
          <w:highlight w:val="none"/>
        </w:rPr>
      </w:pPr>
      <w:r>
        <w:rPr>
          <w:rFonts w:hint="eastAsia"/>
          <w:b/>
          <w:kern w:val="2"/>
          <w:highlight w:val="none"/>
        </w:rPr>
        <w:t>（</w:t>
      </w:r>
      <w:r>
        <w:rPr>
          <w:rFonts w:hint="eastAsia"/>
          <w:b/>
          <w:kern w:val="2"/>
          <w:highlight w:val="none"/>
          <w:lang w:val="en-US" w:eastAsia="zh-CN"/>
        </w:rPr>
        <w:t>八</w:t>
      </w:r>
      <w:r>
        <w:rPr>
          <w:rFonts w:hint="eastAsia"/>
          <w:b/>
          <w:kern w:val="2"/>
          <w:highlight w:val="none"/>
        </w:rPr>
        <w:t>）安全文明措施费范围</w:t>
      </w:r>
    </w:p>
    <w:p>
      <w:pPr>
        <w:widowControl w:val="0"/>
        <w:adjustRightInd w:val="0"/>
        <w:snapToGrid w:val="0"/>
        <w:spacing w:line="360" w:lineRule="auto"/>
        <w:ind w:firstLine="480" w:firstLineChars="200"/>
        <w:jc w:val="both"/>
        <w:rPr>
          <w:kern w:val="2"/>
          <w:highlight w:val="none"/>
        </w:rPr>
      </w:pPr>
      <w:r>
        <w:rPr>
          <w:rFonts w:hint="eastAsia"/>
          <w:color w:val="000000"/>
          <w:kern w:val="2"/>
          <w:highlight w:val="none"/>
        </w:rPr>
        <w:t>安全文明措施费包含</w:t>
      </w:r>
      <w:r>
        <w:rPr>
          <w:rFonts w:hint="eastAsia"/>
          <w:kern w:val="2"/>
          <w:highlight w:val="none"/>
        </w:rPr>
        <w:t>《深圳市建设工程计价费率标准（2023）》之安全文明措施费但不限于的工作内容：</w:t>
      </w:r>
    </w:p>
    <w:p>
      <w:pPr>
        <w:widowControl w:val="0"/>
        <w:adjustRightInd w:val="0"/>
        <w:snapToGrid w:val="0"/>
        <w:spacing w:line="360" w:lineRule="auto"/>
        <w:ind w:firstLine="480" w:firstLineChars="200"/>
        <w:jc w:val="both"/>
        <w:rPr>
          <w:color w:val="FF0000"/>
          <w:kern w:val="2"/>
          <w:highlight w:val="none"/>
        </w:rPr>
      </w:pPr>
      <w:r>
        <w:rPr>
          <w:rFonts w:hint="eastAsia"/>
          <w:kern w:val="2"/>
          <w:highlight w:val="none"/>
        </w:rPr>
        <w:t>1、临时设施（</w:t>
      </w:r>
      <w:r>
        <w:rPr>
          <w:rFonts w:cs="Times New Roman"/>
          <w:kern w:val="2"/>
          <w:highlight w:val="none"/>
        </w:rPr>
        <w:t>包括办公室、宿舍、食堂、卫生间、淋浴间等</w:t>
      </w:r>
      <w:r>
        <w:rPr>
          <w:rFonts w:hint="eastAsia"/>
          <w:kern w:val="2"/>
          <w:highlight w:val="none"/>
        </w:rPr>
        <w:t>）</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(1)现场围挡：围挡搭设、维护、拆除及清运，含门、基础及面层一般装饰。现场大门应设置密封不透式铁门，配备警卫门卫室及门禁系统。</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(2)场地硬化：场地铺设硬地化材料、维护、拆除及清运。包括场地临时道路、吊装、预制、加工及生活等场地硬地化。</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(3)临时建筑：基础制作、临时建筑搭设、维护、拆除及清运。包括临时办公室、会议室、宿舍、食堂、厕所、加工场等。</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(4)现场临时用电设施：现场电源接入点之后的临时用电设备、设施及配电线路安装、维护、拆除及清运。含本工程所需的所有现场临时用电设施。包括施工及生活用的配电柜箱、电线系统、外电防护及保护装置等。</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(5)现场临时用水设施：现场水源接入点之后的临时用水及消防设备、设施及管线安装、维护、拆除及清运。含本工程所需的所有现场临时用水设施，包括水表、水管、水龙头及保护措施。</w:t>
      </w:r>
    </w:p>
    <w:p>
      <w:pPr>
        <w:widowControl w:val="0"/>
        <w:adjustRightInd w:val="0"/>
        <w:snapToGrid w:val="0"/>
        <w:spacing w:line="360" w:lineRule="auto"/>
        <w:ind w:firstLine="480" w:firstLineChars="200"/>
        <w:jc w:val="both"/>
        <w:rPr>
          <w:kern w:val="2"/>
          <w:highlight w:val="none"/>
        </w:rPr>
      </w:pPr>
      <w:r>
        <w:rPr>
          <w:rFonts w:hint="eastAsia"/>
          <w:kern w:val="2"/>
          <w:highlight w:val="none"/>
        </w:rPr>
        <w:t>承包人已考察现场，承包人进场以后土方外运、场地平整等费用承包人已综合考虑在临时设施费之内；</w:t>
      </w:r>
    </w:p>
    <w:p>
      <w:pPr>
        <w:widowControl w:val="0"/>
        <w:adjustRightInd w:val="0"/>
        <w:snapToGrid w:val="0"/>
        <w:spacing w:line="360" w:lineRule="auto"/>
        <w:ind w:firstLine="480" w:firstLineChars="200"/>
        <w:jc w:val="both"/>
        <w:rPr>
          <w:kern w:val="2"/>
          <w:highlight w:val="none"/>
        </w:rPr>
      </w:pPr>
      <w:r>
        <w:rPr>
          <w:rFonts w:hint="eastAsia"/>
          <w:kern w:val="2"/>
          <w:highlight w:val="none"/>
        </w:rPr>
        <w:t>办公室场地由承包人自行考虑。</w:t>
      </w:r>
    </w:p>
    <w:p>
      <w:pPr>
        <w:widowControl w:val="0"/>
        <w:adjustRightInd w:val="0"/>
        <w:snapToGrid w:val="0"/>
        <w:spacing w:line="360" w:lineRule="auto"/>
        <w:ind w:firstLine="480" w:firstLineChars="200"/>
        <w:jc w:val="both"/>
        <w:rPr>
          <w:kern w:val="2"/>
          <w:highlight w:val="none"/>
        </w:rPr>
      </w:pPr>
      <w:r>
        <w:rPr>
          <w:rFonts w:hint="eastAsia"/>
          <w:kern w:val="2"/>
          <w:highlight w:val="none"/>
        </w:rPr>
        <w:t>施工垃圾集中收集站设置与保持（满足现场施工要求，包含分包）。</w:t>
      </w:r>
    </w:p>
    <w:p>
      <w:pPr>
        <w:widowControl w:val="0"/>
        <w:adjustRightInd w:val="0"/>
        <w:snapToGrid w:val="0"/>
        <w:spacing w:line="360" w:lineRule="auto"/>
        <w:ind w:firstLine="480" w:firstLineChars="200"/>
        <w:jc w:val="both"/>
        <w:rPr>
          <w:kern w:val="2"/>
          <w:highlight w:val="none"/>
        </w:rPr>
      </w:pPr>
      <w:r>
        <w:rPr>
          <w:rFonts w:hint="eastAsia"/>
          <w:kern w:val="2"/>
          <w:highlight w:val="none"/>
        </w:rPr>
        <w:t>施工备用水蓄水池设置与保持（满足现场要求，包含分包）</w:t>
      </w:r>
    </w:p>
    <w:p>
      <w:pPr>
        <w:widowControl w:val="0"/>
        <w:adjustRightInd w:val="0"/>
        <w:snapToGrid w:val="0"/>
        <w:spacing w:line="360" w:lineRule="auto"/>
        <w:ind w:firstLine="480" w:firstLineChars="200"/>
        <w:jc w:val="both"/>
        <w:rPr>
          <w:kern w:val="2"/>
          <w:highlight w:val="none"/>
        </w:rPr>
      </w:pPr>
      <w:r>
        <w:rPr>
          <w:rFonts w:hint="eastAsia"/>
          <w:kern w:val="2"/>
          <w:highlight w:val="none"/>
        </w:rPr>
        <w:t>地下室施工完毕后，投标方需按照总平面对现有临时道路进行修筑，以便形成多个环路，宽度6米，内容包括土方平整、碾压、150mm厚石粉铺设、碾压、150mm厚C25混凝土浇筑（并单边设置不小于300*400的排水明沟），保持所在标段范围路段畅通；另为了保证施工道路至于地下室顶板之上并保证结构及行车安全，两层地下室结构板务必按照招标方的要求进行结构回顶；</w:t>
      </w:r>
    </w:p>
    <w:p>
      <w:pPr>
        <w:widowControl w:val="0"/>
        <w:adjustRightInd w:val="0"/>
        <w:snapToGrid w:val="0"/>
        <w:spacing w:line="360" w:lineRule="auto"/>
        <w:ind w:firstLine="480" w:firstLineChars="200"/>
        <w:jc w:val="both"/>
        <w:rPr>
          <w:kern w:val="2"/>
          <w:highlight w:val="none"/>
        </w:rPr>
      </w:pPr>
      <w:r>
        <w:rPr>
          <w:rFonts w:hint="eastAsia"/>
          <w:kern w:val="2"/>
          <w:highlight w:val="none"/>
        </w:rPr>
        <w:t>包括从给水接驳点至施工现场的施工用水管道、从变压器接至施工现场临时电缆及每单元务必按照首层1个，标准层1个/2层、以及裙楼部位或超大面积标准层按1个/30米半径范围内的标准配备用水接驳点、三级电箱便于投标方及各分包使用，安全通道及出入口配备常明照明等。</w:t>
      </w:r>
    </w:p>
    <w:p>
      <w:pPr>
        <w:widowControl w:val="0"/>
        <w:adjustRightInd w:val="0"/>
        <w:snapToGrid w:val="0"/>
        <w:spacing w:line="360" w:lineRule="auto"/>
        <w:ind w:firstLine="480" w:firstLineChars="200"/>
        <w:jc w:val="both"/>
        <w:rPr>
          <w:kern w:val="2"/>
          <w:highlight w:val="none"/>
        </w:rPr>
      </w:pPr>
      <w:r>
        <w:rPr>
          <w:rFonts w:hint="eastAsia"/>
          <w:kern w:val="2"/>
          <w:highlight w:val="none"/>
        </w:rPr>
        <w:t>临时设施拆除退场须经过监理审批，完工后按发包人要求将以上临时设施拆除以及所产生垃圾清运出现场。</w:t>
      </w:r>
    </w:p>
    <w:p>
      <w:pPr>
        <w:widowControl w:val="0"/>
        <w:adjustRightInd w:val="0"/>
        <w:snapToGrid w:val="0"/>
        <w:spacing w:line="360" w:lineRule="auto"/>
        <w:ind w:firstLine="480" w:firstLineChars="200"/>
        <w:jc w:val="both"/>
        <w:rPr>
          <w:kern w:val="2"/>
          <w:highlight w:val="none"/>
        </w:rPr>
      </w:pPr>
      <w:r>
        <w:rPr>
          <w:rFonts w:hint="eastAsia"/>
          <w:kern w:val="2"/>
          <w:highlight w:val="none"/>
          <w:lang w:val="en-US" w:eastAsia="zh-CN"/>
        </w:rPr>
        <w:t>2.</w:t>
      </w:r>
      <w:r>
        <w:rPr>
          <w:rFonts w:hint="eastAsia"/>
          <w:kern w:val="2"/>
          <w:highlight w:val="none"/>
        </w:rPr>
        <w:t>安全施工</w:t>
      </w:r>
    </w:p>
    <w:p>
      <w:pPr>
        <w:widowControl w:val="0"/>
        <w:adjustRightInd w:val="0"/>
        <w:snapToGrid w:val="0"/>
        <w:spacing w:line="360" w:lineRule="auto"/>
        <w:ind w:firstLine="480" w:firstLineChars="200"/>
        <w:jc w:val="both"/>
        <w:rPr>
          <w:kern w:val="2"/>
          <w:highlight w:val="none"/>
        </w:rPr>
      </w:pPr>
      <w:r>
        <w:rPr>
          <w:rFonts w:hint="eastAsia"/>
          <w:kern w:val="2"/>
          <w:highlight w:val="none"/>
        </w:rPr>
        <w:t>(1)安全警示牌、标语：危险处设置警示牌、操作规程牌；设置安全标语及横幅。包括本工程所有的安全警示牌、标语及横幅。</w:t>
      </w:r>
    </w:p>
    <w:p>
      <w:pPr>
        <w:widowControl w:val="0"/>
        <w:adjustRightInd w:val="0"/>
        <w:snapToGrid w:val="0"/>
        <w:spacing w:line="360" w:lineRule="auto"/>
        <w:ind w:firstLine="480" w:firstLineChars="200"/>
        <w:jc w:val="both"/>
        <w:rPr>
          <w:kern w:val="2"/>
          <w:highlight w:val="none"/>
        </w:rPr>
      </w:pPr>
      <w:r>
        <w:rPr>
          <w:rFonts w:hint="eastAsia"/>
          <w:kern w:val="2"/>
          <w:highlight w:val="none"/>
        </w:rPr>
        <w:t>(2)危险处防护措施：基坑周边、临边作业、交叉作业、高处作业等防护；施工机械安全防护措施。含本工程所需的所有的安全防护措施。</w:t>
      </w:r>
    </w:p>
    <w:p>
      <w:pPr>
        <w:widowControl w:val="0"/>
        <w:adjustRightInd w:val="0"/>
        <w:snapToGrid w:val="0"/>
        <w:spacing w:line="360" w:lineRule="auto"/>
        <w:ind w:firstLine="480" w:firstLineChars="200"/>
        <w:jc w:val="both"/>
        <w:rPr>
          <w:kern w:val="2"/>
          <w:highlight w:val="none"/>
        </w:rPr>
      </w:pPr>
      <w:r>
        <w:rPr>
          <w:rFonts w:hint="eastAsia"/>
          <w:kern w:val="2"/>
          <w:highlight w:val="none"/>
        </w:rPr>
        <w:t>(3)安全网：挂、拆及维护安全网；挂、拆及维护尼龙编织布。</w:t>
      </w:r>
    </w:p>
    <w:p>
      <w:pPr>
        <w:widowControl w:val="0"/>
        <w:adjustRightInd w:val="0"/>
        <w:snapToGrid w:val="0"/>
        <w:spacing w:line="360" w:lineRule="auto"/>
        <w:ind w:firstLine="480" w:firstLineChars="200"/>
        <w:jc w:val="both"/>
        <w:rPr>
          <w:kern w:val="2"/>
          <w:highlight w:val="none"/>
        </w:rPr>
      </w:pPr>
      <w:r>
        <w:rPr>
          <w:rFonts w:hint="eastAsia"/>
          <w:kern w:val="2"/>
          <w:highlight w:val="none"/>
        </w:rPr>
        <w:t>(4)作业人员防护：本工程所有作业人员安全防护具(安全帽、安全带等安全护具)。(5)安全培训、教育及检测：本工程所需的所有安全教育、培训、交底等；特种设备检验检测；应急预案演练；危险性较大项目论证；起重吊装警戒措施</w:t>
      </w:r>
    </w:p>
    <w:p>
      <w:pPr>
        <w:widowControl w:val="0"/>
        <w:adjustRightInd w:val="0"/>
        <w:snapToGrid w:val="0"/>
        <w:spacing w:line="360" w:lineRule="auto"/>
        <w:ind w:firstLine="480" w:firstLineChars="200"/>
        <w:jc w:val="both"/>
        <w:rPr>
          <w:kern w:val="2"/>
          <w:highlight w:val="none"/>
        </w:rPr>
      </w:pPr>
      <w:r>
        <w:rPr>
          <w:rFonts w:hint="eastAsia"/>
          <w:kern w:val="2"/>
          <w:highlight w:val="none"/>
        </w:rPr>
        <w:t>(5)消防安全：本工程所需的所有消防安全设施。包括灭火器、消防水桶、消防水管、加压泵等。</w:t>
      </w:r>
    </w:p>
    <w:p>
      <w:pPr>
        <w:widowControl w:val="0"/>
        <w:adjustRightInd w:val="0"/>
        <w:snapToGrid w:val="0"/>
        <w:spacing w:line="360" w:lineRule="auto"/>
        <w:ind w:firstLine="480" w:firstLineChars="200"/>
        <w:jc w:val="both"/>
        <w:rPr>
          <w:kern w:val="2"/>
          <w:highlight w:val="none"/>
        </w:rPr>
      </w:pPr>
      <w:r>
        <w:rPr>
          <w:rFonts w:hint="eastAsia"/>
          <w:kern w:val="2"/>
          <w:highlight w:val="none"/>
        </w:rPr>
        <w:t>(6)上下脚手架人行斜道：搭、拆及维护上下脚手架人行斜道。</w:t>
      </w:r>
    </w:p>
    <w:p>
      <w:pPr>
        <w:widowControl w:val="0"/>
        <w:adjustRightInd w:val="0"/>
        <w:snapToGrid w:val="0"/>
        <w:spacing w:line="360" w:lineRule="auto"/>
        <w:ind w:firstLine="480" w:firstLineChars="200"/>
        <w:jc w:val="both"/>
        <w:rPr>
          <w:kern w:val="2"/>
          <w:highlight w:val="none"/>
        </w:rPr>
      </w:pPr>
      <w:r>
        <w:rPr>
          <w:rFonts w:hint="eastAsia"/>
          <w:kern w:val="2"/>
          <w:highlight w:val="none"/>
        </w:rPr>
        <w:t>(7)接料平台：搭、拆及维护接料平台。</w:t>
      </w:r>
    </w:p>
    <w:p>
      <w:pPr>
        <w:widowControl w:val="0"/>
        <w:adjustRightInd w:val="0"/>
        <w:snapToGrid w:val="0"/>
        <w:spacing w:line="360" w:lineRule="auto"/>
        <w:ind w:firstLine="480" w:firstLineChars="200"/>
        <w:jc w:val="both"/>
        <w:rPr>
          <w:kern w:val="2"/>
          <w:highlight w:val="none"/>
        </w:rPr>
      </w:pPr>
      <w:r>
        <w:rPr>
          <w:rFonts w:hint="eastAsia"/>
          <w:kern w:val="2"/>
          <w:highlight w:val="none"/>
        </w:rPr>
        <w:t>(8)洞口和临边防护设施:楼梯口、电梯口、通道口、预留洞口、阳台周边、楼层周边、屋面周边、基坑周边、卸料平台两侧以及上下通道等临边安全防护设施。</w:t>
      </w:r>
    </w:p>
    <w:p>
      <w:pPr>
        <w:widowControl w:val="0"/>
        <w:adjustRightInd w:val="0"/>
        <w:snapToGrid w:val="0"/>
        <w:spacing w:line="360" w:lineRule="auto"/>
        <w:ind w:firstLine="480" w:firstLineChars="200"/>
        <w:jc w:val="both"/>
        <w:rPr>
          <w:kern w:val="2"/>
          <w:highlight w:val="none"/>
        </w:rPr>
      </w:pPr>
      <w:r>
        <w:rPr>
          <w:rFonts w:hint="eastAsia"/>
          <w:kern w:val="2"/>
          <w:highlight w:val="none"/>
        </w:rPr>
        <w:t>材料加工厂及施工设备区域及安全出入口安全防护棚及安全通道的搭设及保持，包含防护棚及安全通道及其他防护措施的搭设、拆除，标语标识等，</w:t>
      </w:r>
    </w:p>
    <w:p>
      <w:pPr>
        <w:widowControl w:val="0"/>
        <w:adjustRightInd w:val="0"/>
        <w:snapToGrid w:val="0"/>
        <w:spacing w:line="360" w:lineRule="auto"/>
        <w:ind w:firstLine="480" w:firstLineChars="200"/>
        <w:jc w:val="both"/>
        <w:rPr>
          <w:kern w:val="2"/>
          <w:highlight w:val="none"/>
        </w:rPr>
      </w:pPr>
      <w:r>
        <w:rPr>
          <w:rFonts w:hint="eastAsia"/>
          <w:kern w:val="2"/>
          <w:highlight w:val="none"/>
        </w:rPr>
        <w:t>挑架及安全防护棚的设置需符合国家和工程所在地市有关施工现场安全要求。报价中包含外挑脚手架形成前落地架的搭设及拆除费用以及今后存在的挑架下重新搭架及拆除费用，同时满足防坠落、安全、美观、不漏水、不受污染、无扬尘等要求；</w:t>
      </w:r>
    </w:p>
    <w:p>
      <w:pPr>
        <w:widowControl w:val="0"/>
        <w:adjustRightInd w:val="0"/>
        <w:snapToGrid w:val="0"/>
        <w:spacing w:line="360" w:lineRule="auto"/>
        <w:ind w:firstLine="480" w:firstLineChars="200"/>
        <w:jc w:val="both"/>
        <w:rPr>
          <w:kern w:val="2"/>
          <w:highlight w:val="none"/>
        </w:rPr>
      </w:pPr>
      <w:r>
        <w:rPr>
          <w:rFonts w:hint="eastAsia"/>
          <w:kern w:val="2"/>
          <w:highlight w:val="none"/>
        </w:rPr>
        <w:t>(9)塔式起重机、外用电梯、井字架提升机等建筑施工起重设备及配套防护设施；</w:t>
      </w:r>
    </w:p>
    <w:p>
      <w:pPr>
        <w:widowControl w:val="0"/>
        <w:adjustRightInd w:val="0"/>
        <w:snapToGrid w:val="0"/>
        <w:spacing w:line="360" w:lineRule="auto"/>
        <w:ind w:firstLine="480" w:firstLineChars="200"/>
        <w:jc w:val="both"/>
        <w:rPr>
          <w:kern w:val="2"/>
          <w:highlight w:val="none"/>
        </w:rPr>
      </w:pPr>
      <w:r>
        <w:rPr>
          <w:rFonts w:hint="eastAsia"/>
          <w:kern w:val="2"/>
          <w:highlight w:val="none"/>
        </w:rPr>
        <w:t>(10)施工用电：符合规范要求的临时用电系统、标准化电箱、电器保护装置、电源线路的敷设、外电防护措施等；</w:t>
      </w:r>
    </w:p>
    <w:p>
      <w:pPr>
        <w:widowControl w:val="0"/>
        <w:adjustRightInd w:val="0"/>
        <w:snapToGrid w:val="0"/>
        <w:spacing w:line="360" w:lineRule="auto"/>
        <w:ind w:firstLine="480" w:firstLineChars="200"/>
        <w:jc w:val="both"/>
        <w:rPr>
          <w:kern w:val="2"/>
          <w:highlight w:val="none"/>
        </w:rPr>
      </w:pPr>
      <w:r>
        <w:rPr>
          <w:rFonts w:hint="eastAsia"/>
          <w:kern w:val="2"/>
          <w:highlight w:val="none"/>
        </w:rPr>
        <w:t>(11)清运自身施工垃圾的同时，室内外分包单位负责将其建筑/施工垃圾清运至指定的集中收集点，承包人及时清运至政府指定垃圾场，不得倾倒在距项目两地块红线1km范围内；包括所有室内外分包单位的施工垃圾（包含精装修垃圾），包括总包、分包设计变更等造成的一切垃圾，时间期限为开工一直到小区竣工。</w:t>
      </w:r>
    </w:p>
    <w:p>
      <w:pPr>
        <w:widowControl w:val="0"/>
        <w:adjustRightInd w:val="0"/>
        <w:snapToGrid w:val="0"/>
        <w:spacing w:line="360" w:lineRule="auto"/>
        <w:ind w:firstLine="480" w:firstLineChars="200"/>
        <w:jc w:val="both"/>
        <w:rPr>
          <w:kern w:val="2"/>
          <w:highlight w:val="none"/>
        </w:rPr>
      </w:pPr>
      <w:r>
        <w:rPr>
          <w:rFonts w:hint="eastAsia"/>
          <w:kern w:val="2"/>
          <w:highlight w:val="none"/>
        </w:rPr>
        <w:t>(12)按当地政府文明施工要求（如深圳市建设工程现场文明施工管理办法）可能增加的其他费用。</w:t>
      </w:r>
    </w:p>
    <w:p>
      <w:pPr>
        <w:widowControl w:val="0"/>
        <w:adjustRightInd w:val="0"/>
        <w:snapToGrid w:val="0"/>
        <w:spacing w:line="360" w:lineRule="auto"/>
        <w:ind w:firstLine="480" w:firstLineChars="200"/>
        <w:jc w:val="both"/>
        <w:rPr>
          <w:kern w:val="2"/>
          <w:highlight w:val="none"/>
        </w:rPr>
      </w:pPr>
      <w:r>
        <w:rPr>
          <w:rFonts w:hint="eastAsia"/>
          <w:kern w:val="2"/>
          <w:highlight w:val="none"/>
        </w:rPr>
        <w:t>(13）工地视频监控由承包人自行承担。</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lang w:val="en-US" w:eastAsia="zh-CN"/>
        </w:rPr>
        <w:t>3.</w:t>
      </w:r>
      <w:r>
        <w:rPr>
          <w:rFonts w:hint="eastAsia"/>
          <w:color w:val="000000"/>
          <w:kern w:val="2"/>
          <w:highlight w:val="none"/>
        </w:rPr>
        <w:t>文明施工</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(1)标示标牌：本工程所需的所有标示标牌。含工程概况、组织机构、管理人员名单及监督电话、安全生产、文明施工、消防保卫；施工现场总平面图等标示、标牌。</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(2)场容场貌：保持道路通畅、保持现场整洁、场地绿化。</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(3)材料堆放：保持材料堆放有序；易燃易爆有毒有害物品分类存放。</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(4)环境卫生：本工程所需的所有环境卫生措施。包括除四害消杀；食堂卫生措施；防暑降温措施。</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(5)垃圾堆放相关设施：本工程所需的所有建筑垃圾和生活垃圾堆放相关设施。含建筑垃圾和生活垃圾临时堆放相关设施的搭设、维护、加固、拆除及标识及清运。</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4</w:t>
      </w:r>
      <w:r>
        <w:rPr>
          <w:rFonts w:hint="eastAsia"/>
          <w:color w:val="000000"/>
          <w:kern w:val="2"/>
          <w:highlight w:val="none"/>
          <w:lang w:val="en-US" w:eastAsia="zh-CN"/>
        </w:rPr>
        <w:t>.</w:t>
      </w:r>
      <w:r>
        <w:rPr>
          <w:rFonts w:hint="eastAsia"/>
          <w:color w:val="000000"/>
          <w:kern w:val="2"/>
          <w:highlight w:val="none"/>
        </w:rPr>
        <w:t>环境保护</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施工单位在进场前将水土保持方案报送监理单位审核，水土保持方案包括水土流失预测、水土流失防治措施等，经审核的水土保持方案，施工过程中不得任意更改。施工过程中，施工单位应采取相应措施，防止因施工引起水土流失，应当按照批准的水土保持方案进行施工，不得破坏原有防洪排涝体系的功能，严禁向附近水库倾倒余泥、砂、石、渣土。</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(1)施工废水处理回用设施：本工程所需的所有废水处理回用设施。含基础施工、基础基坑降排水等施工废水处理回用设施的建设、维护、拆除及清运；安装回用水池及相关洒水设施的建设、维护、拆除及清运；临时化粪池和排污管道的建设、维护、拆除及清运。</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(2)施工车辆清洗设备：本工程所需的所有施工车辆清洗设备。含建设洗车用水处理回用设施的建设、维护、拆除及清运；清洗用高压水枪安装、拆除及清运；设置专人或自动机械逐台清洗出场车辆。</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(3)工地现场及周边道路降尘：本工程所需的所有降尘措施。含配置洒水设备；制定实施洒水降尘制度；场地和道路硬化或使用抑尘剂。</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(4)料堆防尘：本工程所有的料堆防尘措施。含水泥、砂石等易扬散的料堆表面全面覆盖；洒水或其他除尘措施。</w:t>
      </w:r>
    </w:p>
    <w:p>
      <w:pPr>
        <w:widowControl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(5)施工噪声防治：本工程所需的所有施工噪声防治措施。</w:t>
      </w:r>
    </w:p>
    <w:p>
      <w:pPr>
        <w:widowControl w:val="0"/>
        <w:kinsoku w:val="0"/>
        <w:wordWrap w:val="0"/>
        <w:adjustRightInd w:val="0"/>
        <w:snapToGrid w:val="0"/>
        <w:spacing w:line="360" w:lineRule="auto"/>
        <w:ind w:firstLine="480" w:firstLineChars="200"/>
        <w:jc w:val="both"/>
        <w:rPr>
          <w:color w:val="000000"/>
          <w:kern w:val="2"/>
          <w:highlight w:val="none"/>
        </w:rPr>
      </w:pPr>
      <w:r>
        <w:rPr>
          <w:rFonts w:hint="eastAsia"/>
          <w:color w:val="000000"/>
          <w:kern w:val="2"/>
          <w:highlight w:val="none"/>
        </w:rPr>
        <w:t>承包人未按上述要求进行施工，导致周边环境污染、市政设施受损，附近河流、水库污染等引发的一切索赔、诉讼、损害赔偿等费用均由承包人负责处理，由此给发包人造成损失的，承包人赔偿发包人全部损失，并不免除政府主管部门对承包人的有关行政处罚和经济处罚。</w:t>
      </w:r>
    </w:p>
    <w:p>
      <w:pPr>
        <w:widowControl/>
        <w:jc w:val="left"/>
        <w:rPr>
          <w:kern w:val="2"/>
          <w:highlight w:val="yellow"/>
        </w:rPr>
      </w:pPr>
      <w:r>
        <w:rPr>
          <w:kern w:val="2"/>
          <w:highlight w:val="yellow"/>
        </w:rPr>
        <w:br w:type="page"/>
      </w:r>
    </w:p>
    <w:p>
      <w:pPr>
        <w:widowControl w:val="0"/>
        <w:numPr>
          <w:ilvl w:val="12"/>
          <w:numId w:val="0"/>
        </w:numPr>
        <w:adjustRightInd w:val="0"/>
        <w:snapToGrid w:val="0"/>
        <w:spacing w:line="360" w:lineRule="auto"/>
        <w:ind w:left="0" w:firstLine="480" w:firstLineChars="200"/>
        <w:jc w:val="both"/>
        <w:rPr>
          <w:color w:val="000000"/>
          <w:kern w:val="2"/>
        </w:rPr>
      </w:pPr>
      <w:r>
        <w:rPr>
          <w:rFonts w:hint="eastAsia"/>
          <w:color w:val="000000"/>
          <w:kern w:val="2"/>
        </w:rPr>
        <w:t>二、建设工程项目施工总承包工程管理及技术要求：详见附件1。</w:t>
      </w:r>
    </w:p>
    <w:p>
      <w:pPr>
        <w:widowControl w:val="0"/>
        <w:adjustRightInd w:val="0"/>
        <w:snapToGrid w:val="0"/>
        <w:spacing w:line="360" w:lineRule="auto"/>
        <w:ind w:firstLine="480" w:firstLineChars="200"/>
        <w:jc w:val="both"/>
        <w:rPr>
          <w:color w:val="000000"/>
          <w:kern w:val="2"/>
        </w:rPr>
      </w:pPr>
      <w:r>
        <w:rPr>
          <w:rFonts w:hint="eastAsia"/>
          <w:color w:val="000000"/>
          <w:kern w:val="2"/>
        </w:rPr>
        <w:t>三、材料设备参考品牌：详见附件2。</w:t>
      </w:r>
    </w:p>
    <w:p>
      <w:pPr>
        <w:widowControl/>
        <w:adjustRightInd w:val="0"/>
        <w:snapToGrid w:val="0"/>
        <w:spacing w:line="360" w:lineRule="auto"/>
        <w:ind w:firstLine="480" w:firstLineChars="200"/>
        <w:jc w:val="left"/>
        <w:rPr>
          <w:szCs w:val="20"/>
        </w:rPr>
      </w:pPr>
      <w:r>
        <w:rPr>
          <w:rFonts w:hint="eastAsia"/>
          <w:color w:val="000000"/>
          <w:kern w:val="2"/>
          <w:szCs w:val="20"/>
        </w:rPr>
        <w:t>四、履约评价管理办法：详见附件3。</w:t>
      </w:r>
    </w:p>
    <w:p>
      <w:pPr>
        <w:widowControl w:val="0"/>
        <w:adjustRightInd w:val="0"/>
        <w:snapToGrid w:val="0"/>
        <w:spacing w:line="360" w:lineRule="auto"/>
        <w:ind w:firstLine="480" w:firstLineChars="200"/>
        <w:jc w:val="both"/>
        <w:rPr>
          <w:color w:val="000000"/>
          <w:kern w:val="2"/>
        </w:rPr>
      </w:pPr>
      <w:r>
        <w:rPr>
          <w:rFonts w:hint="eastAsia"/>
          <w:color w:val="000000"/>
          <w:kern w:val="2"/>
        </w:rPr>
        <w:t>五、工程质量保修书：详见附件4。</w:t>
      </w:r>
    </w:p>
    <w:p>
      <w:pPr>
        <w:widowControl w:val="0"/>
        <w:adjustRightInd w:val="0"/>
        <w:snapToGrid w:val="0"/>
        <w:spacing w:line="360" w:lineRule="auto"/>
        <w:ind w:firstLine="480" w:firstLineChars="200"/>
        <w:jc w:val="both"/>
        <w:rPr>
          <w:color w:val="000000"/>
          <w:kern w:val="2"/>
        </w:rPr>
      </w:pPr>
      <w:r>
        <w:rPr>
          <w:rFonts w:hint="eastAsia"/>
          <w:color w:val="000000"/>
          <w:kern w:val="2"/>
        </w:rPr>
        <w:t>六、资金监管协议书：参考模板详见附件5。</w:t>
      </w:r>
    </w:p>
    <w:p>
      <w:pPr>
        <w:widowControl w:val="0"/>
        <w:adjustRightInd w:val="0"/>
        <w:snapToGrid w:val="0"/>
        <w:spacing w:line="360" w:lineRule="auto"/>
        <w:ind w:firstLine="480" w:firstLineChars="200"/>
        <w:jc w:val="both"/>
        <w:rPr>
          <w:color w:val="000000"/>
          <w:kern w:val="2"/>
        </w:rPr>
      </w:pPr>
      <w:r>
        <w:rPr>
          <w:rFonts w:hint="eastAsia"/>
          <w:color w:val="000000"/>
          <w:kern w:val="2"/>
        </w:rPr>
        <w:t>七、安全生产、文明施工管理协议书：详见附件6。</w:t>
      </w:r>
    </w:p>
    <w:p>
      <w:pPr>
        <w:widowControl w:val="0"/>
        <w:adjustRightInd w:val="0"/>
        <w:snapToGrid w:val="0"/>
        <w:spacing w:line="360" w:lineRule="auto"/>
        <w:ind w:firstLine="480" w:firstLineChars="200"/>
        <w:jc w:val="both"/>
        <w:rPr>
          <w:color w:val="000000"/>
          <w:kern w:val="2"/>
        </w:rPr>
      </w:pPr>
      <w:r>
        <w:rPr>
          <w:rFonts w:hint="eastAsia"/>
          <w:color w:val="000000"/>
          <w:kern w:val="2"/>
        </w:rPr>
        <w:t>八、安全生产管理承诺书：详见附件7。</w:t>
      </w:r>
    </w:p>
    <w:p>
      <w:pPr>
        <w:widowControl w:val="0"/>
        <w:adjustRightInd w:val="0"/>
        <w:snapToGrid w:val="0"/>
        <w:spacing w:line="360" w:lineRule="auto"/>
        <w:ind w:firstLine="480" w:firstLineChars="200"/>
        <w:jc w:val="both"/>
        <w:rPr>
          <w:color w:val="000000"/>
          <w:kern w:val="2"/>
        </w:rPr>
      </w:pPr>
      <w:r>
        <w:rPr>
          <w:rFonts w:hint="eastAsia"/>
          <w:color w:val="000000"/>
          <w:kern w:val="2"/>
        </w:rPr>
        <w:t>九、消防安全管理承诺书：详见附件8。</w:t>
      </w:r>
    </w:p>
    <w:p>
      <w:pPr>
        <w:widowControl w:val="0"/>
        <w:adjustRightInd w:val="0"/>
        <w:snapToGrid w:val="0"/>
        <w:spacing w:line="360" w:lineRule="auto"/>
        <w:ind w:firstLine="480" w:firstLineChars="200"/>
        <w:jc w:val="both"/>
        <w:rPr>
          <w:color w:val="000000"/>
          <w:kern w:val="2"/>
        </w:rPr>
      </w:pPr>
      <w:r>
        <w:rPr>
          <w:rFonts w:hint="eastAsia"/>
          <w:color w:val="000000"/>
          <w:kern w:val="2"/>
        </w:rPr>
        <w:t>十、项目开发建设廉洁协议书：详见附件9。</w:t>
      </w:r>
    </w:p>
    <w:p>
      <w:pPr>
        <w:widowControl w:val="0"/>
        <w:adjustRightInd w:val="0"/>
        <w:snapToGrid w:val="0"/>
        <w:spacing w:line="360" w:lineRule="auto"/>
        <w:ind w:firstLine="480" w:firstLineChars="200"/>
        <w:jc w:val="both"/>
        <w:rPr>
          <w:color w:val="000000"/>
          <w:kern w:val="2"/>
        </w:rPr>
      </w:pPr>
      <w:r>
        <w:rPr>
          <w:rFonts w:hint="eastAsia"/>
          <w:color w:val="000000"/>
          <w:kern w:val="2"/>
        </w:rPr>
        <w:t>十一、项目管理机构配备情况表：详见附件10。</w:t>
      </w:r>
    </w:p>
    <w:p>
      <w:pPr>
        <w:widowControl w:val="0"/>
        <w:adjustRightInd w:val="0"/>
        <w:snapToGrid w:val="0"/>
        <w:spacing w:line="360" w:lineRule="auto"/>
        <w:ind w:firstLine="480" w:firstLineChars="200"/>
        <w:jc w:val="both"/>
        <w:rPr>
          <w:color w:val="000000"/>
          <w:kern w:val="2"/>
        </w:rPr>
      </w:pPr>
      <w:r>
        <w:rPr>
          <w:rFonts w:hint="eastAsia"/>
          <w:color w:val="000000"/>
          <w:kern w:val="2"/>
        </w:rPr>
        <w:t>十二、维护农民工合法权益承诺书：详见附件11。</w:t>
      </w:r>
    </w:p>
    <w:p>
      <w:pPr>
        <w:widowControl w:val="0"/>
        <w:adjustRightInd w:val="0"/>
        <w:snapToGrid w:val="0"/>
        <w:spacing w:line="360" w:lineRule="auto"/>
        <w:ind w:firstLine="480" w:firstLineChars="200"/>
        <w:jc w:val="both"/>
        <w:rPr>
          <w:color w:val="000000"/>
          <w:kern w:val="2"/>
        </w:rPr>
      </w:pPr>
      <w:r>
        <w:rPr>
          <w:rFonts w:hint="eastAsia"/>
          <w:color w:val="000000"/>
          <w:kern w:val="2"/>
        </w:rPr>
        <w:t>十三、关于设计文件审核及变更管理的投标承诺函：详见附件12。</w:t>
      </w:r>
    </w:p>
    <w:p>
      <w:pPr>
        <w:widowControl w:val="0"/>
        <w:adjustRightInd w:val="0"/>
        <w:snapToGrid w:val="0"/>
        <w:spacing w:line="360" w:lineRule="auto"/>
        <w:ind w:firstLine="480" w:firstLineChars="200"/>
        <w:jc w:val="both"/>
        <w:rPr>
          <w:color w:val="000000"/>
          <w:kern w:val="2"/>
        </w:rPr>
      </w:pPr>
      <w:r>
        <w:rPr>
          <w:rFonts w:hint="eastAsia"/>
          <w:color w:val="000000"/>
          <w:kern w:val="2"/>
        </w:rPr>
        <w:t>十四、有关本工程的澄清文件。</w:t>
      </w:r>
    </w:p>
    <w:p>
      <w:pPr>
        <w:widowControl/>
        <w:numPr>
          <w:ilvl w:val="12"/>
          <w:numId w:val="0"/>
        </w:numPr>
        <w:ind w:left="0" w:firstLine="0"/>
        <w:jc w:val="left"/>
        <w:rPr>
          <w:kern w:val="2"/>
        </w:rPr>
      </w:pPr>
      <w:r>
        <w:rPr>
          <w:rFonts w:hint="eastAsia"/>
          <w:kern w:val="2"/>
        </w:rPr>
        <w:br w:type="page"/>
      </w:r>
    </w:p>
    <w:p>
      <w:pPr>
        <w:widowControl/>
        <w:spacing w:line="360" w:lineRule="auto"/>
        <w:jc w:val="left"/>
        <w:outlineLvl w:val="1"/>
        <w:rPr>
          <w:kern w:val="2"/>
          <w:sz w:val="21"/>
          <w:szCs w:val="21"/>
        </w:rPr>
      </w:pPr>
      <w:bookmarkStart w:id="551" w:name="_Toc19931"/>
      <w:bookmarkStart w:id="552" w:name="_Toc142387747"/>
      <w:bookmarkStart w:id="553" w:name="_Toc22361"/>
      <w:bookmarkStart w:id="554" w:name="_Toc28803"/>
      <w:bookmarkStart w:id="555" w:name="_Toc2686"/>
      <w:bookmarkStart w:id="556" w:name="_Toc306"/>
      <w:bookmarkStart w:id="557" w:name="_Toc21428"/>
      <w:bookmarkStart w:id="558" w:name="_Toc20760"/>
      <w:r>
        <w:rPr>
          <w:rFonts w:hint="eastAsia"/>
          <w:kern w:val="2"/>
          <w:sz w:val="21"/>
          <w:szCs w:val="21"/>
        </w:rPr>
        <w:t>附件1</w:t>
      </w:r>
      <w:bookmarkEnd w:id="551"/>
      <w:bookmarkEnd w:id="552"/>
      <w:bookmarkEnd w:id="553"/>
      <w:bookmarkEnd w:id="554"/>
      <w:r>
        <w:rPr>
          <w:rFonts w:hint="eastAsia"/>
          <w:kern w:val="2"/>
          <w:sz w:val="21"/>
          <w:szCs w:val="21"/>
        </w:rPr>
        <w:t>：</w:t>
      </w:r>
      <w:r>
        <w:rPr>
          <w:rFonts w:hint="eastAsia"/>
          <w:kern w:val="2"/>
        </w:rPr>
        <w:t>施工总承包工程管理及技术要求</w:t>
      </w:r>
      <w:bookmarkEnd w:id="555"/>
      <w:bookmarkEnd w:id="556"/>
    </w:p>
    <w:bookmarkEnd w:id="557"/>
    <w:bookmarkEnd w:id="558"/>
    <w:p>
      <w:pPr>
        <w:widowControl/>
        <w:jc w:val="left"/>
      </w:pPr>
      <w:bookmarkStart w:id="559" w:name="_bookmark1"/>
      <w:bookmarkEnd w:id="559"/>
      <w:bookmarkStart w:id="560" w:name="_bookmark2"/>
      <w:bookmarkEnd w:id="560"/>
      <w:bookmarkStart w:id="561" w:name="1.工程概况"/>
      <w:bookmarkEnd w:id="561"/>
      <w:bookmarkStart w:id="562" w:name="2.1_土建部分"/>
      <w:bookmarkEnd w:id="562"/>
      <w:bookmarkStart w:id="563" w:name="2.招标范围"/>
      <w:bookmarkEnd w:id="563"/>
      <w:bookmarkStart w:id="564" w:name="_bookmark3"/>
      <w:bookmarkEnd w:id="564"/>
    </w:p>
    <w:p>
      <w:pPr>
        <w:widowControl/>
        <w:jc w:val="left"/>
        <w:rPr>
          <w:rFonts w:ascii="Times New Roman"/>
          <w:sz w:val="20"/>
        </w:rPr>
      </w:pPr>
    </w:p>
    <w:p>
      <w:pPr>
        <w:widowControl/>
        <w:spacing w:line="320" w:lineRule="exact"/>
        <w:jc w:val="left"/>
        <w:rPr>
          <w:rFonts w:ascii="Times New Roman"/>
          <w:b/>
          <w:bCs/>
          <w:sz w:val="20"/>
        </w:rPr>
      </w:pPr>
    </w:p>
    <w:p>
      <w:pPr>
        <w:widowControl/>
        <w:spacing w:line="320" w:lineRule="exact"/>
        <w:jc w:val="left"/>
        <w:rPr>
          <w:rFonts w:ascii="Times New Roman"/>
          <w:b/>
          <w:bCs/>
          <w:sz w:val="20"/>
        </w:rPr>
      </w:pPr>
    </w:p>
    <w:p>
      <w:pPr>
        <w:widowControl/>
        <w:jc w:val="left"/>
        <w:rPr>
          <w:rFonts w:ascii="Times New Roman"/>
          <w:sz w:val="20"/>
        </w:rPr>
      </w:pPr>
    </w:p>
    <w:p>
      <w:pPr>
        <w:widowControl w:val="0"/>
        <w:spacing w:line="360" w:lineRule="auto"/>
        <w:jc w:val="left"/>
        <w:rPr>
          <w:rFonts w:ascii="Times New Roman"/>
          <w:b/>
          <w:bCs/>
          <w:sz w:val="52"/>
          <w:szCs w:val="52"/>
        </w:rPr>
      </w:pPr>
    </w:p>
    <w:p>
      <w:pPr>
        <w:widowControl w:val="0"/>
        <w:spacing w:line="360" w:lineRule="auto"/>
        <w:jc w:val="left"/>
      </w:pPr>
    </w:p>
    <w:p>
      <w:pPr>
        <w:widowControl w:val="0"/>
        <w:spacing w:line="360" w:lineRule="auto"/>
        <w:jc w:val="left"/>
      </w:pPr>
    </w:p>
    <w:p>
      <w:pPr>
        <w:widowControl w:val="0"/>
        <w:spacing w:line="360" w:lineRule="auto"/>
        <w:jc w:val="left"/>
        <w:rPr>
          <w:rFonts w:ascii="Times New Roman"/>
          <w:sz w:val="52"/>
          <w:szCs w:val="52"/>
        </w:rPr>
      </w:pPr>
    </w:p>
    <w:p>
      <w:pPr>
        <w:widowControl w:val="0"/>
        <w:spacing w:line="360" w:lineRule="auto"/>
        <w:jc w:val="center"/>
        <w:rPr>
          <w:rFonts w:ascii="方正小标宋简体" w:hAnsi="方正小标宋简体" w:eastAsia="方正小标宋简体" w:cs="方正小标宋简体"/>
          <w:b/>
          <w:bCs/>
          <w:kern w:val="2"/>
          <w:sz w:val="52"/>
          <w:szCs w:val="52"/>
        </w:rPr>
      </w:pPr>
      <w:bookmarkStart w:id="565" w:name="_Toc16132"/>
      <w:bookmarkStart w:id="566" w:name="_Toc11737"/>
      <w:bookmarkStart w:id="567" w:name="_Toc31531"/>
      <w:bookmarkStart w:id="568" w:name="_Toc12602"/>
      <w:bookmarkStart w:id="569" w:name="_Toc10448"/>
      <w:bookmarkStart w:id="570" w:name="_Toc9871"/>
      <w:r>
        <w:rPr>
          <w:rFonts w:hint="eastAsia" w:ascii="方正小标宋简体" w:hAnsi="方正小标宋简体" w:eastAsia="方正小标宋简体" w:cs="方正小标宋简体"/>
          <w:b/>
          <w:bCs/>
          <w:kern w:val="2"/>
          <w:sz w:val="52"/>
          <w:szCs w:val="52"/>
        </w:rPr>
        <w:t>施工</w:t>
      </w:r>
      <w:bookmarkEnd w:id="565"/>
      <w:bookmarkEnd w:id="566"/>
      <w:bookmarkEnd w:id="567"/>
      <w:bookmarkEnd w:id="568"/>
      <w:bookmarkEnd w:id="569"/>
      <w:bookmarkEnd w:id="570"/>
      <w:bookmarkStart w:id="571" w:name="_Toc8543"/>
      <w:bookmarkStart w:id="572" w:name="_Toc27712"/>
      <w:r>
        <w:rPr>
          <w:rFonts w:hint="eastAsia" w:ascii="方正小标宋简体" w:hAnsi="方正小标宋简体" w:eastAsia="方正小标宋简体" w:cs="方正小标宋简体"/>
          <w:b/>
          <w:bCs/>
          <w:kern w:val="2"/>
          <w:sz w:val="52"/>
          <w:szCs w:val="52"/>
        </w:rPr>
        <w:t>总承包管理及技术要求</w:t>
      </w:r>
      <w:bookmarkEnd w:id="571"/>
      <w:bookmarkEnd w:id="572"/>
    </w:p>
    <w:p>
      <w:pPr>
        <w:widowControl/>
        <w:jc w:val="left"/>
        <w:rPr>
          <w:sz w:val="22"/>
          <w:szCs w:val="22"/>
          <w:lang w:bidi="zh-CN"/>
        </w:rPr>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tabs>
          <w:tab w:val="left" w:pos="6617"/>
        </w:tabs>
        <w:jc w:val="left"/>
        <w:sectPr>
          <w:footerReference r:id="rId4" w:type="default"/>
          <w:pgSz w:w="11910" w:h="16840"/>
          <w:pgMar w:top="1417" w:right="1417" w:bottom="1417" w:left="1417" w:header="808" w:footer="720" w:gutter="0"/>
          <w:pgNumType w:fmt="numberInDash" w:start="1"/>
          <w:cols w:space="720" w:num="1"/>
        </w:sectPr>
      </w:pPr>
      <w:r>
        <w:rPr>
          <w:rFonts w:hint="eastAsia"/>
        </w:rPr>
        <w:tab/>
      </w:r>
    </w:p>
    <w:p>
      <w:pPr>
        <w:widowControl/>
        <w:jc w:val="left"/>
        <w:rPr>
          <w:b/>
          <w:bCs/>
          <w:sz w:val="28"/>
          <w:szCs w:val="28"/>
        </w:rPr>
      </w:pPr>
    </w:p>
    <w:p>
      <w:pPr>
        <w:widowControl/>
        <w:adjustRightInd w:val="0"/>
        <w:snapToGrid w:val="0"/>
        <w:spacing w:line="360" w:lineRule="auto"/>
        <w:ind w:firstLine="562" w:firstLineChars="200"/>
        <w:jc w:val="center"/>
        <w:rPr>
          <w:b/>
          <w:bCs/>
          <w:sz w:val="28"/>
          <w:szCs w:val="28"/>
        </w:rPr>
      </w:pPr>
      <w:r>
        <w:rPr>
          <w:rFonts w:hint="eastAsia"/>
          <w:b/>
          <w:bCs/>
          <w:sz w:val="28"/>
          <w:szCs w:val="28"/>
        </w:rPr>
        <w:t>目录</w:t>
      </w:r>
    </w:p>
    <w:p>
      <w:pPr>
        <w:widowControl/>
        <w:tabs>
          <w:tab w:val="right" w:leader="dot" w:pos="8310"/>
        </w:tabs>
        <w:adjustRightInd w:val="0"/>
        <w:snapToGrid w:val="0"/>
        <w:spacing w:line="360" w:lineRule="auto"/>
        <w:ind w:firstLine="480" w:firstLineChars="200"/>
        <w:jc w:val="left"/>
      </w:pPr>
      <w:r>
        <w:rPr>
          <w:rFonts w:hint="eastAsia"/>
        </w:rPr>
        <w:fldChar w:fldCharType="begin"/>
      </w:r>
      <w:r>
        <w:rPr>
          <w:rFonts w:hint="eastAsia"/>
        </w:rPr>
        <w:instrText xml:space="preserve">TOC \o "1-3" \h \u </w:instrText>
      </w:r>
      <w:r>
        <w:rPr>
          <w:rFonts w:hint="eastAsia"/>
        </w:rPr>
        <w:fldChar w:fldCharType="separate"/>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"_Toc25721" </w:instrText>
      </w:r>
      <w:r>
        <w:fldChar w:fldCharType="separate"/>
      </w:r>
      <w:r>
        <w:rPr>
          <w:rFonts w:hint="eastAsia"/>
        </w:rPr>
        <w:t>1. 工程概况</w:t>
      </w:r>
      <w:r>
        <w:rPr>
          <w:rFonts w:hint="eastAsia"/>
        </w:rPr>
        <w:tab/>
      </w:r>
      <w:r>
        <w:rPr>
          <w:rFonts w:hint="eastAsia"/>
        </w:rPr>
        <w:fldChar w:fldCharType="begin"/>
      </w:r>
      <w:r>
        <w:rPr>
          <w:rFonts w:hint="eastAsia"/>
        </w:rPr>
        <w:instrText xml:space="preserve"> PAGEREF _Toc25721 \h </w:instrText>
      </w:r>
      <w:r>
        <w:rPr>
          <w:rFonts w:hint="eastAsia"/>
        </w:rPr>
        <w:fldChar w:fldCharType="separate"/>
      </w:r>
      <w:r>
        <w:rPr>
          <w:rFonts w:hint="eastAsia"/>
        </w:rPr>
        <w:t>148</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"_Toc14566" </w:instrText>
      </w:r>
      <w:r>
        <w:fldChar w:fldCharType="separate"/>
      </w:r>
      <w:r>
        <w:rPr>
          <w:rFonts w:hint="eastAsia"/>
        </w:rPr>
        <w:t>2. 承包范围</w:t>
      </w:r>
      <w:r>
        <w:rPr>
          <w:rFonts w:hint="eastAsia"/>
        </w:rPr>
        <w:tab/>
      </w:r>
      <w:r>
        <w:rPr>
          <w:rFonts w:hint="eastAsia"/>
        </w:rPr>
        <w:fldChar w:fldCharType="begin"/>
      </w:r>
      <w:r>
        <w:rPr>
          <w:rFonts w:hint="eastAsia"/>
        </w:rPr>
        <w:instrText xml:space="preserve"> PAGEREF _Toc14566 \h </w:instrText>
      </w:r>
      <w:r>
        <w:rPr>
          <w:rFonts w:hint="eastAsia"/>
        </w:rPr>
        <w:fldChar w:fldCharType="separate"/>
      </w:r>
      <w:r>
        <w:rPr>
          <w:rFonts w:hint="eastAsia"/>
        </w:rPr>
        <w:t>149</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"_Toc920" </w:instrText>
      </w:r>
      <w:r>
        <w:fldChar w:fldCharType="separate"/>
      </w:r>
      <w:r>
        <w:rPr>
          <w:rFonts w:hint="eastAsia"/>
        </w:rPr>
        <w:t>2.1 承包范围</w:t>
      </w:r>
      <w:r>
        <w:rPr>
          <w:rFonts w:hint="eastAsia"/>
        </w:rPr>
        <w:tab/>
      </w:r>
      <w:r>
        <w:rPr>
          <w:rFonts w:hint="eastAsia"/>
        </w:rPr>
        <w:fldChar w:fldCharType="begin"/>
      </w:r>
      <w:r>
        <w:rPr>
          <w:rFonts w:hint="eastAsia"/>
        </w:rPr>
        <w:instrText xml:space="preserve"> PAGEREF _Toc920 \h </w:instrText>
      </w:r>
      <w:r>
        <w:rPr>
          <w:rFonts w:hint="eastAsia"/>
        </w:rPr>
        <w:fldChar w:fldCharType="separate"/>
      </w:r>
      <w:r>
        <w:rPr>
          <w:rFonts w:hint="eastAsia"/>
        </w:rPr>
        <w:t>149</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"_Toc27908" </w:instrText>
      </w:r>
      <w:r>
        <w:fldChar w:fldCharType="separate"/>
      </w:r>
      <w:r>
        <w:rPr>
          <w:rFonts w:hint="eastAsia"/>
        </w:rPr>
        <w:t>2.2 承包范围补充说明</w:t>
      </w:r>
      <w:r>
        <w:rPr>
          <w:rFonts w:hint="eastAsia"/>
        </w:rPr>
        <w:tab/>
      </w:r>
      <w:r>
        <w:rPr>
          <w:rFonts w:hint="eastAsia"/>
        </w:rPr>
        <w:fldChar w:fldCharType="begin"/>
      </w:r>
      <w:r>
        <w:rPr>
          <w:rFonts w:hint="eastAsia"/>
        </w:rPr>
        <w:instrText xml:space="preserve"> PAGEREF _Toc27908 \h </w:instrText>
      </w:r>
      <w:r>
        <w:rPr>
          <w:rFonts w:hint="eastAsia"/>
        </w:rPr>
        <w:fldChar w:fldCharType="separate"/>
      </w:r>
      <w:r>
        <w:rPr>
          <w:rFonts w:hint="eastAsia"/>
        </w:rPr>
        <w:t>150</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"_Toc12262" </w:instrText>
      </w:r>
      <w:r>
        <w:fldChar w:fldCharType="separate"/>
      </w:r>
      <w:r>
        <w:rPr>
          <w:rFonts w:hint="eastAsia"/>
        </w:rPr>
        <w:t>3. 工程整体建设目标</w:t>
      </w:r>
      <w:r>
        <w:rPr>
          <w:rFonts w:hint="eastAsia"/>
        </w:rPr>
        <w:tab/>
      </w:r>
      <w:r>
        <w:rPr>
          <w:rFonts w:hint="eastAsia"/>
        </w:rPr>
        <w:fldChar w:fldCharType="begin"/>
      </w:r>
      <w:r>
        <w:rPr>
          <w:rFonts w:hint="eastAsia"/>
        </w:rPr>
        <w:instrText xml:space="preserve"> PAGEREF _Toc12262 \h </w:instrText>
      </w:r>
      <w:r>
        <w:rPr>
          <w:rFonts w:hint="eastAsia"/>
        </w:rPr>
        <w:fldChar w:fldCharType="separate"/>
      </w:r>
      <w:r>
        <w:rPr>
          <w:rFonts w:hint="eastAsia"/>
        </w:rPr>
        <w:t>152</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"_Toc5821" </w:instrText>
      </w:r>
      <w:r>
        <w:fldChar w:fldCharType="separate"/>
      </w:r>
      <w:r>
        <w:rPr>
          <w:rFonts w:hint="eastAsia"/>
        </w:rPr>
        <w:t>3.1 工期目标</w:t>
      </w:r>
      <w:r>
        <w:rPr>
          <w:rFonts w:hint="eastAsia"/>
        </w:rPr>
        <w:tab/>
      </w:r>
      <w:r>
        <w:rPr>
          <w:rFonts w:hint="eastAsia"/>
        </w:rPr>
        <w:fldChar w:fldCharType="begin"/>
      </w:r>
      <w:r>
        <w:rPr>
          <w:rFonts w:hint="eastAsia"/>
        </w:rPr>
        <w:instrText xml:space="preserve"> PAGEREF _Toc5821 \h </w:instrText>
      </w:r>
      <w:r>
        <w:rPr>
          <w:rFonts w:hint="eastAsia"/>
        </w:rPr>
        <w:fldChar w:fldCharType="separate"/>
      </w:r>
      <w:r>
        <w:rPr>
          <w:rFonts w:hint="eastAsia"/>
        </w:rPr>
        <w:t>152</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"_Toc3314" </w:instrText>
      </w:r>
      <w:r>
        <w:fldChar w:fldCharType="separate"/>
      </w:r>
      <w:r>
        <w:rPr>
          <w:rFonts w:hint="eastAsia"/>
        </w:rPr>
        <w:t>(一)12-16宗地</w:t>
      </w:r>
      <w:r>
        <w:rPr>
          <w:rFonts w:hint="eastAsia"/>
        </w:rPr>
        <w:tab/>
      </w:r>
      <w:r>
        <w:rPr>
          <w:rFonts w:hint="eastAsia"/>
        </w:rPr>
        <w:fldChar w:fldCharType="begin"/>
      </w:r>
      <w:r>
        <w:rPr>
          <w:rFonts w:hint="eastAsia"/>
        </w:rPr>
        <w:instrText xml:space="preserve"> PAGEREF _Toc3314 \h </w:instrText>
      </w:r>
      <w:r>
        <w:rPr>
          <w:rFonts w:hint="eastAsia"/>
        </w:rPr>
        <w:fldChar w:fldCharType="separate"/>
      </w:r>
      <w:r>
        <w:rPr>
          <w:rFonts w:hint="eastAsia"/>
        </w:rPr>
        <w:t>152</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"_Toc16021" </w:instrText>
      </w:r>
      <w:r>
        <w:fldChar w:fldCharType="separate"/>
      </w:r>
      <w:r>
        <w:rPr>
          <w:rFonts w:hint="eastAsia"/>
        </w:rPr>
        <w:t>(二)12-19宗地</w:t>
      </w:r>
      <w:r>
        <w:rPr>
          <w:rFonts w:hint="eastAsia"/>
        </w:rPr>
        <w:tab/>
      </w:r>
      <w:r>
        <w:rPr>
          <w:rFonts w:hint="eastAsia"/>
        </w:rPr>
        <w:fldChar w:fldCharType="begin"/>
      </w:r>
      <w:r>
        <w:rPr>
          <w:rFonts w:hint="eastAsia"/>
        </w:rPr>
        <w:instrText xml:space="preserve"> PAGEREF _Toc16021 \h </w:instrText>
      </w:r>
      <w:r>
        <w:rPr>
          <w:rFonts w:hint="eastAsia"/>
        </w:rPr>
        <w:fldChar w:fldCharType="separate"/>
      </w:r>
      <w:r>
        <w:rPr>
          <w:rFonts w:hint="eastAsia"/>
        </w:rPr>
        <w:t>153</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"_Toc28567" </w:instrText>
      </w:r>
      <w:r>
        <w:fldChar w:fldCharType="separate"/>
      </w:r>
      <w:r>
        <w:rPr>
          <w:rFonts w:hint="eastAsia"/>
        </w:rPr>
        <w:t>（三）工期说明：</w:t>
      </w:r>
      <w:r>
        <w:rPr>
          <w:rFonts w:hint="eastAsia"/>
        </w:rPr>
        <w:tab/>
      </w:r>
      <w:r>
        <w:rPr>
          <w:rFonts w:hint="eastAsia"/>
        </w:rPr>
        <w:fldChar w:fldCharType="begin"/>
      </w:r>
      <w:r>
        <w:rPr>
          <w:rFonts w:hint="eastAsia"/>
        </w:rPr>
        <w:instrText xml:space="preserve"> PAGEREF _Toc28567 \h </w:instrText>
      </w:r>
      <w:r>
        <w:rPr>
          <w:rFonts w:hint="eastAsia"/>
        </w:rPr>
        <w:fldChar w:fldCharType="separate"/>
      </w:r>
      <w:r>
        <w:rPr>
          <w:rFonts w:hint="eastAsia"/>
        </w:rPr>
        <w:t>154</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"_Toc17082" </w:instrText>
      </w:r>
      <w:r>
        <w:fldChar w:fldCharType="separate"/>
      </w:r>
      <w:r>
        <w:rPr>
          <w:rFonts w:hint="eastAsia"/>
        </w:rPr>
        <w:t>3.2 质量目标</w:t>
      </w:r>
      <w:r>
        <w:rPr>
          <w:rFonts w:hint="eastAsia"/>
        </w:rPr>
        <w:tab/>
      </w:r>
      <w:r>
        <w:rPr>
          <w:rFonts w:hint="eastAsia"/>
        </w:rPr>
        <w:fldChar w:fldCharType="begin"/>
      </w:r>
      <w:r>
        <w:rPr>
          <w:rFonts w:hint="eastAsia"/>
        </w:rPr>
        <w:instrText xml:space="preserve"> PAGEREF _Toc17082 \h </w:instrText>
      </w:r>
      <w:r>
        <w:rPr>
          <w:rFonts w:hint="eastAsia"/>
        </w:rPr>
        <w:fldChar w:fldCharType="separate"/>
      </w:r>
      <w:r>
        <w:rPr>
          <w:rFonts w:hint="eastAsia"/>
        </w:rPr>
        <w:t>155</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"_Toc12042" </w:instrText>
      </w:r>
      <w:r>
        <w:fldChar w:fldCharType="separate"/>
      </w:r>
      <w:r>
        <w:rPr>
          <w:rFonts w:hint="eastAsia"/>
        </w:rPr>
        <w:t>3.3 安全文明施工目标</w:t>
      </w:r>
      <w:r>
        <w:rPr>
          <w:rFonts w:hint="eastAsia"/>
        </w:rPr>
        <w:tab/>
      </w:r>
      <w:r>
        <w:rPr>
          <w:rFonts w:hint="eastAsia"/>
        </w:rPr>
        <w:fldChar w:fldCharType="begin"/>
      </w:r>
      <w:r>
        <w:rPr>
          <w:rFonts w:hint="eastAsia"/>
        </w:rPr>
        <w:instrText xml:space="preserve"> PAGEREF _Toc12042 \h </w:instrText>
      </w:r>
      <w:r>
        <w:rPr>
          <w:rFonts w:hint="eastAsia"/>
        </w:rPr>
        <w:fldChar w:fldCharType="separate"/>
      </w:r>
      <w:r>
        <w:rPr>
          <w:rFonts w:hint="eastAsia"/>
        </w:rPr>
        <w:t>155</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"_Toc12389" </w:instrText>
      </w:r>
      <w:r>
        <w:fldChar w:fldCharType="separate"/>
      </w:r>
      <w:r>
        <w:rPr>
          <w:rFonts w:hint="eastAsia"/>
        </w:rPr>
        <w:t>3.4 绿色建筑标准</w:t>
      </w:r>
      <w:r>
        <w:rPr>
          <w:rFonts w:hint="eastAsia"/>
        </w:rPr>
        <w:tab/>
      </w:r>
      <w:r>
        <w:rPr>
          <w:rFonts w:hint="eastAsia"/>
        </w:rPr>
        <w:fldChar w:fldCharType="begin"/>
      </w:r>
      <w:r>
        <w:rPr>
          <w:rFonts w:hint="eastAsia"/>
        </w:rPr>
        <w:instrText xml:space="preserve"> PAGEREF _Toc12389 \h </w:instrText>
      </w:r>
      <w:r>
        <w:rPr>
          <w:rFonts w:hint="eastAsia"/>
        </w:rPr>
        <w:fldChar w:fldCharType="separate"/>
      </w:r>
      <w:r>
        <w:rPr>
          <w:rFonts w:hint="eastAsia"/>
        </w:rPr>
        <w:t>155</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"_Toc13091" </w:instrText>
      </w:r>
      <w:r>
        <w:fldChar w:fldCharType="separate"/>
      </w:r>
      <w:r>
        <w:rPr>
          <w:rFonts w:hint="eastAsia"/>
        </w:rPr>
        <w:t>3.5基于项目建设，双方共享知识产权的科技目标</w:t>
      </w:r>
      <w:r>
        <w:rPr>
          <w:rFonts w:hint="eastAsia"/>
        </w:rPr>
        <w:tab/>
      </w:r>
      <w:r>
        <w:rPr>
          <w:rFonts w:hint="eastAsia"/>
        </w:rPr>
        <w:fldChar w:fldCharType="begin"/>
      </w:r>
      <w:r>
        <w:rPr>
          <w:rFonts w:hint="eastAsia"/>
        </w:rPr>
        <w:instrText xml:space="preserve"> PAGEREF _Toc13091 \h </w:instrText>
      </w:r>
      <w:r>
        <w:rPr>
          <w:rFonts w:hint="eastAsia"/>
        </w:rPr>
        <w:fldChar w:fldCharType="separate"/>
      </w:r>
      <w:r>
        <w:rPr>
          <w:rFonts w:hint="eastAsia"/>
        </w:rPr>
        <w:t>155</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"_Toc18792" </w:instrText>
      </w:r>
      <w:r>
        <w:fldChar w:fldCharType="separate"/>
      </w:r>
      <w:r>
        <w:rPr>
          <w:rFonts w:hint="eastAsia"/>
        </w:rPr>
        <w:t>4. 技术管理规范</w:t>
      </w:r>
      <w:r>
        <w:rPr>
          <w:rFonts w:hint="eastAsia"/>
        </w:rPr>
        <w:tab/>
      </w:r>
      <w:r>
        <w:rPr>
          <w:rFonts w:hint="eastAsia"/>
        </w:rPr>
        <w:fldChar w:fldCharType="begin"/>
      </w:r>
      <w:r>
        <w:rPr>
          <w:rFonts w:hint="eastAsia"/>
        </w:rPr>
        <w:instrText xml:space="preserve"> PAGEREF _Toc18792 \h </w:instrText>
      </w:r>
      <w:r>
        <w:rPr>
          <w:rFonts w:hint="eastAsia"/>
        </w:rPr>
        <w:fldChar w:fldCharType="separate"/>
      </w:r>
      <w:r>
        <w:rPr>
          <w:rFonts w:hint="eastAsia"/>
        </w:rPr>
        <w:t>155</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"_Toc21067" </w:instrText>
      </w:r>
      <w:r>
        <w:fldChar w:fldCharType="separate"/>
      </w:r>
      <w:r>
        <w:rPr>
          <w:rFonts w:hint="eastAsia"/>
        </w:rPr>
        <w:t>5. 项目组织架构</w:t>
      </w:r>
      <w:r>
        <w:rPr>
          <w:rFonts w:hint="eastAsia"/>
        </w:rPr>
        <w:tab/>
      </w:r>
      <w:r>
        <w:rPr>
          <w:rFonts w:hint="eastAsia"/>
        </w:rPr>
        <w:fldChar w:fldCharType="begin"/>
      </w:r>
      <w:r>
        <w:rPr>
          <w:rFonts w:hint="eastAsia"/>
        </w:rPr>
        <w:instrText xml:space="preserve"> PAGEREF _Toc21067 \h </w:instrText>
      </w:r>
      <w:r>
        <w:rPr>
          <w:rFonts w:hint="eastAsia"/>
        </w:rPr>
        <w:fldChar w:fldCharType="separate"/>
      </w:r>
      <w:r>
        <w:rPr>
          <w:rFonts w:hint="eastAsia"/>
        </w:rPr>
        <w:t>155</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"_Toc7937" </w:instrText>
      </w:r>
      <w:r>
        <w:fldChar w:fldCharType="separate"/>
      </w:r>
      <w:r>
        <w:rPr>
          <w:rFonts w:hint="eastAsia"/>
        </w:rPr>
        <w:t>5.1 基本要求</w:t>
      </w:r>
      <w:r>
        <w:rPr>
          <w:rFonts w:hint="eastAsia"/>
        </w:rPr>
        <w:tab/>
      </w:r>
      <w:r>
        <w:rPr>
          <w:rFonts w:hint="eastAsia"/>
        </w:rPr>
        <w:fldChar w:fldCharType="begin"/>
      </w:r>
      <w:r>
        <w:rPr>
          <w:rFonts w:hint="eastAsia"/>
        </w:rPr>
        <w:instrText xml:space="preserve"> PAGEREF _Toc7937 \h </w:instrText>
      </w:r>
      <w:r>
        <w:rPr>
          <w:rFonts w:hint="eastAsia"/>
        </w:rPr>
        <w:fldChar w:fldCharType="separate"/>
      </w:r>
      <w:r>
        <w:rPr>
          <w:rFonts w:hint="eastAsia"/>
        </w:rPr>
        <w:t>156</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"_Toc25455" </w:instrText>
      </w:r>
      <w:r>
        <w:fldChar w:fldCharType="separate"/>
      </w:r>
      <w:r>
        <w:rPr>
          <w:rFonts w:hint="eastAsia"/>
        </w:rPr>
        <w:t>5.2 主要管理人员要求</w:t>
      </w:r>
      <w:r>
        <w:rPr>
          <w:rFonts w:hint="eastAsia"/>
        </w:rPr>
        <w:tab/>
      </w:r>
      <w:r>
        <w:rPr>
          <w:rFonts w:hint="eastAsia"/>
        </w:rPr>
        <w:fldChar w:fldCharType="begin"/>
      </w:r>
      <w:r>
        <w:rPr>
          <w:rFonts w:hint="eastAsia"/>
        </w:rPr>
        <w:instrText xml:space="preserve"> PAGEREF _Toc25455 \h </w:instrText>
      </w:r>
      <w:r>
        <w:rPr>
          <w:rFonts w:hint="eastAsia"/>
        </w:rPr>
        <w:fldChar w:fldCharType="separate"/>
      </w:r>
      <w:r>
        <w:rPr>
          <w:rFonts w:hint="eastAsia"/>
        </w:rPr>
        <w:t>156</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"_Toc13416" </w:instrText>
      </w:r>
      <w:r>
        <w:fldChar w:fldCharType="separate"/>
      </w:r>
      <w:r>
        <w:rPr>
          <w:rFonts w:hint="eastAsia"/>
        </w:rPr>
        <w:t>（1）公司分管领导</w:t>
      </w:r>
      <w:r>
        <w:rPr>
          <w:rFonts w:hint="eastAsia"/>
        </w:rPr>
        <w:tab/>
      </w:r>
      <w:r>
        <w:rPr>
          <w:rFonts w:hint="eastAsia"/>
        </w:rPr>
        <w:fldChar w:fldCharType="begin"/>
      </w:r>
      <w:r>
        <w:rPr>
          <w:rFonts w:hint="eastAsia"/>
        </w:rPr>
        <w:instrText xml:space="preserve"> PAGEREF _Toc13416 \h </w:instrText>
      </w:r>
      <w:r>
        <w:rPr>
          <w:rFonts w:hint="eastAsia"/>
        </w:rPr>
        <w:fldChar w:fldCharType="separate"/>
      </w:r>
      <w:r>
        <w:rPr>
          <w:rFonts w:hint="eastAsia"/>
        </w:rPr>
        <w:t>156</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"_Toc19682" </w:instrText>
      </w:r>
      <w:r>
        <w:fldChar w:fldCharType="separate"/>
      </w:r>
      <w:r>
        <w:rPr>
          <w:rFonts w:hint="eastAsia"/>
        </w:rPr>
        <w:t>（2）项目经理</w:t>
      </w:r>
      <w:r>
        <w:rPr>
          <w:rFonts w:hint="eastAsia"/>
        </w:rPr>
        <w:tab/>
      </w:r>
      <w:r>
        <w:rPr>
          <w:rFonts w:hint="eastAsia"/>
        </w:rPr>
        <w:fldChar w:fldCharType="begin"/>
      </w:r>
      <w:r>
        <w:rPr>
          <w:rFonts w:hint="eastAsia"/>
        </w:rPr>
        <w:instrText xml:space="preserve"> PAGEREF _Toc19682 \h </w:instrText>
      </w:r>
      <w:r>
        <w:rPr>
          <w:rFonts w:hint="eastAsia"/>
        </w:rPr>
        <w:fldChar w:fldCharType="separate"/>
      </w:r>
      <w:r>
        <w:rPr>
          <w:rFonts w:hint="eastAsia"/>
        </w:rPr>
        <w:t>156</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"_Toc28343" </w:instrText>
      </w:r>
      <w:r>
        <w:fldChar w:fldCharType="separate"/>
      </w:r>
      <w:r>
        <w:rPr>
          <w:rFonts w:hint="eastAsia"/>
        </w:rPr>
        <w:t>6. 计划管理</w:t>
      </w:r>
      <w:r>
        <w:rPr>
          <w:rFonts w:hint="eastAsia"/>
        </w:rPr>
        <w:tab/>
      </w:r>
      <w:r>
        <w:rPr>
          <w:rFonts w:hint="eastAsia"/>
        </w:rPr>
        <w:fldChar w:fldCharType="begin"/>
      </w:r>
      <w:r>
        <w:rPr>
          <w:rFonts w:hint="eastAsia"/>
        </w:rPr>
        <w:instrText xml:space="preserve"> PAGEREF _Toc28343 \h </w:instrText>
      </w:r>
      <w:r>
        <w:rPr>
          <w:rFonts w:hint="eastAsia"/>
        </w:rPr>
        <w:fldChar w:fldCharType="separate"/>
      </w:r>
      <w:r>
        <w:rPr>
          <w:rFonts w:hint="eastAsia"/>
        </w:rPr>
        <w:t>156</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"_Toc24353" </w:instrText>
      </w:r>
      <w:r>
        <w:fldChar w:fldCharType="separate"/>
      </w:r>
      <w:r>
        <w:rPr>
          <w:rFonts w:hint="eastAsia"/>
        </w:rPr>
        <w:t>7. 工地管理系统</w:t>
      </w:r>
      <w:r>
        <w:rPr>
          <w:rFonts w:hint="eastAsia"/>
        </w:rPr>
        <w:tab/>
      </w:r>
      <w:r>
        <w:rPr>
          <w:rFonts w:hint="eastAsia"/>
        </w:rPr>
        <w:fldChar w:fldCharType="begin"/>
      </w:r>
      <w:r>
        <w:rPr>
          <w:rFonts w:hint="eastAsia"/>
        </w:rPr>
        <w:instrText xml:space="preserve"> PAGEREF _Toc24353 \h </w:instrText>
      </w:r>
      <w:r>
        <w:rPr>
          <w:rFonts w:hint="eastAsia"/>
        </w:rPr>
        <w:fldChar w:fldCharType="separate"/>
      </w:r>
      <w:r>
        <w:rPr>
          <w:rFonts w:hint="eastAsia"/>
        </w:rPr>
        <w:t>157</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"_Toc1302" </w:instrText>
      </w:r>
      <w:r>
        <w:fldChar w:fldCharType="separate"/>
      </w:r>
      <w:r>
        <w:rPr>
          <w:rFonts w:hint="eastAsia"/>
        </w:rPr>
        <w:t>8. 工程信息化管理</w:t>
      </w:r>
      <w:r>
        <w:rPr>
          <w:rFonts w:hint="eastAsia"/>
        </w:rPr>
        <w:tab/>
      </w:r>
      <w:r>
        <w:rPr>
          <w:rFonts w:hint="eastAsia"/>
        </w:rPr>
        <w:fldChar w:fldCharType="begin"/>
      </w:r>
      <w:r>
        <w:rPr>
          <w:rFonts w:hint="eastAsia"/>
        </w:rPr>
        <w:instrText xml:space="preserve"> PAGEREF _Toc1302 \h </w:instrText>
      </w:r>
      <w:r>
        <w:rPr>
          <w:rFonts w:hint="eastAsia"/>
        </w:rPr>
        <w:fldChar w:fldCharType="separate"/>
      </w:r>
      <w:r>
        <w:rPr>
          <w:rFonts w:hint="eastAsia"/>
        </w:rPr>
        <w:t>158</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"_Toc717" </w:instrText>
      </w:r>
      <w:r>
        <w:fldChar w:fldCharType="separate"/>
      </w:r>
      <w:r>
        <w:rPr>
          <w:rFonts w:hint="eastAsia"/>
        </w:rPr>
        <w:t>9. 质量管理</w:t>
      </w:r>
      <w:r>
        <w:rPr>
          <w:rFonts w:hint="eastAsia"/>
        </w:rPr>
        <w:tab/>
      </w:r>
      <w:r>
        <w:rPr>
          <w:rFonts w:hint="eastAsia"/>
        </w:rPr>
        <w:fldChar w:fldCharType="begin"/>
      </w:r>
      <w:r>
        <w:rPr>
          <w:rFonts w:hint="eastAsia"/>
        </w:rPr>
        <w:instrText xml:space="preserve"> PAGEREF _Toc717 \h </w:instrText>
      </w:r>
      <w:r>
        <w:rPr>
          <w:rFonts w:hint="eastAsia"/>
        </w:rPr>
        <w:fldChar w:fldCharType="separate"/>
      </w:r>
      <w:r>
        <w:rPr>
          <w:rFonts w:hint="eastAsia"/>
        </w:rPr>
        <w:t>158</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"_Toc31576" </w:instrText>
      </w:r>
      <w:r>
        <w:fldChar w:fldCharType="separate"/>
      </w:r>
      <w:r>
        <w:rPr>
          <w:rFonts w:hint="eastAsia"/>
        </w:rPr>
        <w:t>9.1 质量管理内容</w:t>
      </w:r>
      <w:r>
        <w:rPr>
          <w:rFonts w:hint="eastAsia"/>
        </w:rPr>
        <w:tab/>
      </w:r>
      <w:r>
        <w:rPr>
          <w:rFonts w:hint="eastAsia"/>
        </w:rPr>
        <w:fldChar w:fldCharType="begin"/>
      </w:r>
      <w:r>
        <w:rPr>
          <w:rFonts w:hint="eastAsia"/>
        </w:rPr>
        <w:instrText xml:space="preserve"> PAGEREF _Toc31576 \h </w:instrText>
      </w:r>
      <w:r>
        <w:rPr>
          <w:rFonts w:hint="eastAsia"/>
        </w:rPr>
        <w:fldChar w:fldCharType="separate"/>
      </w:r>
      <w:r>
        <w:rPr>
          <w:rFonts w:hint="eastAsia"/>
        </w:rPr>
        <w:t>158</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"_Toc15191" </w:instrText>
      </w:r>
      <w:r>
        <w:fldChar w:fldCharType="separate"/>
      </w:r>
      <w:r>
        <w:rPr>
          <w:rFonts w:hint="eastAsia"/>
        </w:rPr>
        <w:t>9.2 总承包商承担的质量责任</w:t>
      </w:r>
      <w:r>
        <w:rPr>
          <w:rFonts w:hint="eastAsia"/>
        </w:rPr>
        <w:tab/>
      </w:r>
      <w:r>
        <w:rPr>
          <w:rFonts w:hint="eastAsia"/>
        </w:rPr>
        <w:fldChar w:fldCharType="begin"/>
      </w:r>
      <w:r>
        <w:rPr>
          <w:rFonts w:hint="eastAsia"/>
        </w:rPr>
        <w:instrText xml:space="preserve"> PAGEREF _Toc15191 \h </w:instrText>
      </w:r>
      <w:r>
        <w:rPr>
          <w:rFonts w:hint="eastAsia"/>
        </w:rPr>
        <w:fldChar w:fldCharType="separate"/>
      </w:r>
      <w:r>
        <w:rPr>
          <w:rFonts w:hint="eastAsia"/>
        </w:rPr>
        <w:t>158</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"_Toc17001" </w:instrText>
      </w:r>
      <w:r>
        <w:fldChar w:fldCharType="separate"/>
      </w:r>
      <w:r>
        <w:rPr>
          <w:rFonts w:hint="eastAsia"/>
        </w:rPr>
        <w:t>9.3 总承包商质量管理制度</w:t>
      </w:r>
      <w:r>
        <w:rPr>
          <w:rFonts w:hint="eastAsia"/>
        </w:rPr>
        <w:tab/>
      </w:r>
      <w:r>
        <w:rPr>
          <w:rFonts w:hint="eastAsia"/>
        </w:rPr>
        <w:fldChar w:fldCharType="begin"/>
      </w:r>
      <w:r>
        <w:rPr>
          <w:rFonts w:hint="eastAsia"/>
        </w:rPr>
        <w:instrText xml:space="preserve"> PAGEREF _Toc17001 \h </w:instrText>
      </w:r>
      <w:r>
        <w:rPr>
          <w:rFonts w:hint="eastAsia"/>
        </w:rPr>
        <w:fldChar w:fldCharType="separate"/>
      </w:r>
      <w:r>
        <w:rPr>
          <w:rFonts w:hint="eastAsia"/>
        </w:rPr>
        <w:t>158</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"_Toc13628" </w:instrText>
      </w:r>
      <w:r>
        <w:fldChar w:fldCharType="separate"/>
      </w:r>
      <w:r>
        <w:rPr>
          <w:rFonts w:hint="eastAsia"/>
        </w:rPr>
        <w:t>9.4 施工样板管理制度</w:t>
      </w:r>
      <w:r>
        <w:rPr>
          <w:rFonts w:hint="eastAsia"/>
        </w:rPr>
        <w:tab/>
      </w:r>
      <w:r>
        <w:rPr>
          <w:rFonts w:hint="eastAsia"/>
        </w:rPr>
        <w:fldChar w:fldCharType="begin"/>
      </w:r>
      <w:r>
        <w:rPr>
          <w:rFonts w:hint="eastAsia"/>
        </w:rPr>
        <w:instrText xml:space="preserve"> PAGEREF _Toc13628 \h </w:instrText>
      </w:r>
      <w:r>
        <w:rPr>
          <w:rFonts w:hint="eastAsia"/>
        </w:rPr>
        <w:fldChar w:fldCharType="separate"/>
      </w:r>
      <w:r>
        <w:rPr>
          <w:rFonts w:hint="eastAsia"/>
        </w:rPr>
        <w:t>159</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"_Toc31896" </w:instrText>
      </w:r>
      <w:r>
        <w:fldChar w:fldCharType="separate"/>
      </w:r>
      <w:r>
        <w:rPr>
          <w:rFonts w:hint="eastAsia"/>
        </w:rPr>
        <w:t>（1）样板引路原则</w:t>
      </w:r>
      <w:r>
        <w:rPr>
          <w:rFonts w:hint="eastAsia"/>
        </w:rPr>
        <w:tab/>
      </w:r>
      <w:r>
        <w:rPr>
          <w:rFonts w:hint="eastAsia"/>
        </w:rPr>
        <w:fldChar w:fldCharType="begin"/>
      </w:r>
      <w:r>
        <w:rPr>
          <w:rFonts w:hint="eastAsia"/>
        </w:rPr>
        <w:instrText xml:space="preserve"> PAGEREF _Toc31896 \h </w:instrText>
      </w:r>
      <w:r>
        <w:rPr>
          <w:rFonts w:hint="eastAsia"/>
        </w:rPr>
        <w:fldChar w:fldCharType="separate"/>
      </w:r>
      <w:r>
        <w:rPr>
          <w:rFonts w:hint="eastAsia"/>
        </w:rPr>
        <w:t>159</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"_Toc7707" </w:instrText>
      </w:r>
      <w:r>
        <w:fldChar w:fldCharType="separate"/>
      </w:r>
      <w:r>
        <w:rPr>
          <w:rFonts w:hint="eastAsia"/>
        </w:rPr>
        <w:t>（2）施工样板操作细则</w:t>
      </w:r>
      <w:r>
        <w:rPr>
          <w:rFonts w:hint="eastAsia"/>
        </w:rPr>
        <w:tab/>
      </w:r>
      <w:r>
        <w:rPr>
          <w:rFonts w:hint="eastAsia"/>
        </w:rPr>
        <w:fldChar w:fldCharType="begin"/>
      </w:r>
      <w:r>
        <w:rPr>
          <w:rFonts w:hint="eastAsia"/>
        </w:rPr>
        <w:instrText xml:space="preserve"> PAGEREF _Toc7707 \h </w:instrText>
      </w:r>
      <w:r>
        <w:rPr>
          <w:rFonts w:hint="eastAsia"/>
        </w:rPr>
        <w:fldChar w:fldCharType="separate"/>
      </w:r>
      <w:r>
        <w:rPr>
          <w:rFonts w:hint="eastAsia"/>
        </w:rPr>
        <w:t>159</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"_Toc5629" </w:instrText>
      </w:r>
      <w:r>
        <w:fldChar w:fldCharType="separate"/>
      </w:r>
      <w:r>
        <w:rPr>
          <w:rFonts w:hint="eastAsia"/>
        </w:rPr>
        <w:t>（3）施工样板范围与类型</w:t>
      </w:r>
      <w:r>
        <w:rPr>
          <w:rFonts w:hint="eastAsia"/>
        </w:rPr>
        <w:tab/>
      </w:r>
      <w:r>
        <w:rPr>
          <w:rFonts w:hint="eastAsia"/>
        </w:rPr>
        <w:fldChar w:fldCharType="begin"/>
      </w:r>
      <w:r>
        <w:rPr>
          <w:rFonts w:hint="eastAsia"/>
        </w:rPr>
        <w:instrText xml:space="preserve"> PAGEREF _Toc5629 \h </w:instrText>
      </w:r>
      <w:r>
        <w:rPr>
          <w:rFonts w:hint="eastAsia"/>
        </w:rPr>
        <w:fldChar w:fldCharType="separate"/>
      </w:r>
      <w:r>
        <w:rPr>
          <w:rFonts w:hint="eastAsia"/>
        </w:rPr>
        <w:t>160</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"_Toc3975" </w:instrText>
      </w:r>
      <w:r>
        <w:fldChar w:fldCharType="separate"/>
      </w:r>
      <w:r>
        <w:rPr>
          <w:rFonts w:hint="eastAsia"/>
        </w:rPr>
        <w:t>10. 测量管理</w:t>
      </w:r>
      <w:r>
        <w:rPr>
          <w:rFonts w:hint="eastAsia"/>
        </w:rPr>
        <w:tab/>
      </w:r>
      <w:r>
        <w:rPr>
          <w:rFonts w:hint="eastAsia"/>
        </w:rPr>
        <w:fldChar w:fldCharType="begin"/>
      </w:r>
      <w:r>
        <w:rPr>
          <w:rFonts w:hint="eastAsia"/>
        </w:rPr>
        <w:instrText xml:space="preserve"> PAGEREF _Toc3975 \h </w:instrText>
      </w:r>
      <w:r>
        <w:rPr>
          <w:rFonts w:hint="eastAsia"/>
        </w:rPr>
        <w:fldChar w:fldCharType="separate"/>
      </w:r>
      <w:r>
        <w:rPr>
          <w:rFonts w:hint="eastAsia"/>
        </w:rPr>
        <w:t>161</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"_Toc23563" </w:instrText>
      </w:r>
      <w:r>
        <w:fldChar w:fldCharType="separate"/>
      </w:r>
      <w:r>
        <w:rPr>
          <w:rFonts w:hint="eastAsia"/>
        </w:rPr>
        <w:t>10.1 基本要求</w:t>
      </w:r>
      <w:r>
        <w:rPr>
          <w:rFonts w:hint="eastAsia"/>
        </w:rPr>
        <w:tab/>
      </w:r>
      <w:r>
        <w:rPr>
          <w:rFonts w:hint="eastAsia"/>
        </w:rPr>
        <w:fldChar w:fldCharType="begin"/>
      </w:r>
      <w:r>
        <w:rPr>
          <w:rFonts w:hint="eastAsia"/>
        </w:rPr>
        <w:instrText xml:space="preserve"> PAGEREF _Toc23563 \h </w:instrText>
      </w:r>
      <w:r>
        <w:rPr>
          <w:rFonts w:hint="eastAsia"/>
        </w:rPr>
        <w:fldChar w:fldCharType="separate"/>
      </w:r>
      <w:r>
        <w:rPr>
          <w:rFonts w:hint="eastAsia"/>
        </w:rPr>
        <w:t>161</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"_Toc29962" </w:instrText>
      </w:r>
      <w:r>
        <w:fldChar w:fldCharType="separate"/>
      </w:r>
      <w:r>
        <w:rPr>
          <w:rFonts w:hint="eastAsia"/>
        </w:rPr>
        <w:t>10.2 总承包商的测量责任</w:t>
      </w:r>
      <w:r>
        <w:rPr>
          <w:rFonts w:hint="eastAsia"/>
        </w:rPr>
        <w:tab/>
      </w:r>
      <w:r>
        <w:rPr>
          <w:rFonts w:hint="eastAsia"/>
        </w:rPr>
        <w:fldChar w:fldCharType="begin"/>
      </w:r>
      <w:r>
        <w:rPr>
          <w:rFonts w:hint="eastAsia"/>
        </w:rPr>
        <w:instrText xml:space="preserve"> PAGEREF _Toc29962 \h </w:instrText>
      </w:r>
      <w:r>
        <w:rPr>
          <w:rFonts w:hint="eastAsia"/>
        </w:rPr>
        <w:fldChar w:fldCharType="separate"/>
      </w:r>
      <w:r>
        <w:rPr>
          <w:rFonts w:hint="eastAsia"/>
        </w:rPr>
        <w:t>162</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"_Toc28827" </w:instrText>
      </w:r>
      <w:r>
        <w:fldChar w:fldCharType="separate"/>
      </w:r>
      <w:r>
        <w:rPr>
          <w:rFonts w:hint="eastAsia"/>
        </w:rPr>
        <w:t>11. 安全文明施工管理</w:t>
      </w:r>
      <w:r>
        <w:rPr>
          <w:rFonts w:hint="eastAsia"/>
        </w:rPr>
        <w:tab/>
      </w:r>
      <w:r>
        <w:rPr>
          <w:rFonts w:hint="eastAsia"/>
        </w:rPr>
        <w:fldChar w:fldCharType="begin"/>
      </w:r>
      <w:r>
        <w:rPr>
          <w:rFonts w:hint="eastAsia"/>
        </w:rPr>
        <w:instrText xml:space="preserve"> PAGEREF _Toc28827 \h </w:instrText>
      </w:r>
      <w:r>
        <w:rPr>
          <w:rFonts w:hint="eastAsia"/>
        </w:rPr>
        <w:fldChar w:fldCharType="separate"/>
      </w:r>
      <w:r>
        <w:rPr>
          <w:rFonts w:hint="eastAsia"/>
        </w:rPr>
        <w:t>162</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"_Toc9131" </w:instrText>
      </w:r>
      <w:r>
        <w:fldChar w:fldCharType="separate"/>
      </w:r>
      <w:r>
        <w:rPr>
          <w:rFonts w:hint="eastAsia"/>
        </w:rPr>
        <w:t>11.1 总则</w:t>
      </w:r>
      <w:r>
        <w:rPr>
          <w:rFonts w:hint="eastAsia"/>
        </w:rPr>
        <w:tab/>
      </w:r>
      <w:r>
        <w:rPr>
          <w:rFonts w:hint="eastAsia"/>
        </w:rPr>
        <w:fldChar w:fldCharType="begin"/>
      </w:r>
      <w:r>
        <w:rPr>
          <w:rFonts w:hint="eastAsia"/>
        </w:rPr>
        <w:instrText xml:space="preserve"> PAGEREF _Toc9131 \h </w:instrText>
      </w:r>
      <w:r>
        <w:rPr>
          <w:rFonts w:hint="eastAsia"/>
        </w:rPr>
        <w:fldChar w:fldCharType="separate"/>
      </w:r>
      <w:r>
        <w:rPr>
          <w:rFonts w:hint="eastAsia"/>
        </w:rPr>
        <w:t>162</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"_Toc27878" </w:instrText>
      </w:r>
      <w:r>
        <w:fldChar w:fldCharType="separate"/>
      </w:r>
      <w:r>
        <w:rPr>
          <w:rFonts w:hint="eastAsia"/>
        </w:rPr>
        <w:t>11.2 一般规定</w:t>
      </w:r>
      <w:r>
        <w:rPr>
          <w:rFonts w:hint="eastAsia"/>
        </w:rPr>
        <w:tab/>
      </w:r>
      <w:r>
        <w:rPr>
          <w:rFonts w:hint="eastAsia"/>
        </w:rPr>
        <w:fldChar w:fldCharType="begin"/>
      </w:r>
      <w:r>
        <w:rPr>
          <w:rFonts w:hint="eastAsia"/>
        </w:rPr>
        <w:instrText xml:space="preserve"> PAGEREF _Toc27878 \h </w:instrText>
      </w:r>
      <w:r>
        <w:rPr>
          <w:rFonts w:hint="eastAsia"/>
        </w:rPr>
        <w:fldChar w:fldCharType="separate"/>
      </w:r>
      <w:r>
        <w:rPr>
          <w:rFonts w:hint="eastAsia"/>
        </w:rPr>
        <w:t>163</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"_Toc11999" </w:instrText>
      </w:r>
      <w:r>
        <w:fldChar w:fldCharType="separate"/>
      </w:r>
      <w:r>
        <w:rPr>
          <w:rFonts w:hint="eastAsia"/>
        </w:rPr>
        <w:t>11.3 安全生产和消防管理要求</w:t>
      </w:r>
      <w:r>
        <w:rPr>
          <w:rFonts w:hint="eastAsia"/>
        </w:rPr>
        <w:tab/>
      </w:r>
      <w:r>
        <w:rPr>
          <w:rFonts w:hint="eastAsia"/>
        </w:rPr>
        <w:fldChar w:fldCharType="begin"/>
      </w:r>
      <w:r>
        <w:rPr>
          <w:rFonts w:hint="eastAsia"/>
        </w:rPr>
        <w:instrText xml:space="preserve"> PAGEREF _Toc11999 \h </w:instrText>
      </w:r>
      <w:r>
        <w:rPr>
          <w:rFonts w:hint="eastAsia"/>
        </w:rPr>
        <w:fldChar w:fldCharType="separate"/>
      </w:r>
      <w:r>
        <w:rPr>
          <w:rFonts w:hint="eastAsia"/>
        </w:rPr>
        <w:t>166</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"_Toc294" </w:instrText>
      </w:r>
      <w:r>
        <w:fldChar w:fldCharType="separate"/>
      </w:r>
      <w:r>
        <w:rPr>
          <w:rFonts w:hint="eastAsia"/>
        </w:rPr>
        <w:t>11.4 文明施工管理要求</w:t>
      </w:r>
      <w:r>
        <w:rPr>
          <w:rFonts w:hint="eastAsia"/>
        </w:rPr>
        <w:tab/>
      </w:r>
      <w:r>
        <w:rPr>
          <w:rFonts w:hint="eastAsia"/>
        </w:rPr>
        <w:fldChar w:fldCharType="begin"/>
      </w:r>
      <w:r>
        <w:rPr>
          <w:rFonts w:hint="eastAsia"/>
        </w:rPr>
        <w:instrText xml:space="preserve"> PAGEREF _Toc294 \h </w:instrText>
      </w:r>
      <w:r>
        <w:rPr>
          <w:rFonts w:hint="eastAsia"/>
        </w:rPr>
        <w:fldChar w:fldCharType="separate"/>
      </w:r>
      <w:r>
        <w:rPr>
          <w:rFonts w:hint="eastAsia"/>
        </w:rPr>
        <w:t>170</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"_Toc11822" </w:instrText>
      </w:r>
      <w:r>
        <w:fldChar w:fldCharType="separate"/>
      </w:r>
      <w:r>
        <w:rPr>
          <w:rFonts w:hint="eastAsia"/>
        </w:rPr>
        <w:t>11.5 施工标准化管理要求</w:t>
      </w:r>
      <w:r>
        <w:rPr>
          <w:rFonts w:hint="eastAsia"/>
        </w:rPr>
        <w:tab/>
      </w:r>
      <w:r>
        <w:rPr>
          <w:rFonts w:hint="eastAsia"/>
        </w:rPr>
        <w:fldChar w:fldCharType="begin"/>
      </w:r>
      <w:r>
        <w:rPr>
          <w:rFonts w:hint="eastAsia"/>
        </w:rPr>
        <w:instrText xml:space="preserve"> PAGEREF _Toc11822 \h </w:instrText>
      </w:r>
      <w:r>
        <w:rPr>
          <w:rFonts w:hint="eastAsia"/>
        </w:rPr>
        <w:fldChar w:fldCharType="separate"/>
      </w:r>
      <w:r>
        <w:rPr>
          <w:rFonts w:hint="eastAsia"/>
        </w:rPr>
        <w:t>173</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"_Toc13866" </w:instrText>
      </w:r>
      <w:r>
        <w:fldChar w:fldCharType="separate"/>
      </w:r>
      <w:r>
        <w:rPr>
          <w:rFonts w:hint="eastAsia"/>
        </w:rPr>
        <w:t>（1）标准化实施要求</w:t>
      </w:r>
      <w:r>
        <w:rPr>
          <w:rFonts w:hint="eastAsia"/>
        </w:rPr>
        <w:tab/>
      </w:r>
      <w:r>
        <w:rPr>
          <w:rFonts w:hint="eastAsia"/>
        </w:rPr>
        <w:fldChar w:fldCharType="begin"/>
      </w:r>
      <w:r>
        <w:rPr>
          <w:rFonts w:hint="eastAsia"/>
        </w:rPr>
        <w:instrText xml:space="preserve"> PAGEREF _Toc13866 \h </w:instrText>
      </w:r>
      <w:r>
        <w:rPr>
          <w:rFonts w:hint="eastAsia"/>
        </w:rPr>
        <w:fldChar w:fldCharType="separate"/>
      </w:r>
      <w:r>
        <w:rPr>
          <w:rFonts w:hint="eastAsia"/>
        </w:rPr>
        <w:t>173</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"_Toc16621" </w:instrText>
      </w:r>
      <w:r>
        <w:fldChar w:fldCharType="separate"/>
      </w:r>
      <w:r>
        <w:rPr>
          <w:rFonts w:hint="eastAsia"/>
        </w:rPr>
        <w:t>（2）其他管理要求</w:t>
      </w:r>
      <w:r>
        <w:rPr>
          <w:rFonts w:hint="eastAsia"/>
        </w:rPr>
        <w:tab/>
      </w:r>
      <w:r>
        <w:rPr>
          <w:rFonts w:hint="eastAsia"/>
        </w:rPr>
        <w:fldChar w:fldCharType="begin"/>
      </w:r>
      <w:r>
        <w:rPr>
          <w:rFonts w:hint="eastAsia"/>
        </w:rPr>
        <w:instrText xml:space="preserve"> PAGEREF _Toc16621 \h </w:instrText>
      </w:r>
      <w:r>
        <w:rPr>
          <w:rFonts w:hint="eastAsia"/>
        </w:rPr>
        <w:fldChar w:fldCharType="separate"/>
      </w:r>
      <w:r>
        <w:rPr>
          <w:rFonts w:hint="eastAsia"/>
        </w:rPr>
        <w:t>190</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"_Toc2225" </w:instrText>
      </w:r>
      <w:r>
        <w:fldChar w:fldCharType="separate"/>
      </w:r>
      <w:r>
        <w:rPr>
          <w:rFonts w:hint="eastAsia"/>
        </w:rPr>
        <w:t>12. 工地管理要求</w:t>
      </w:r>
      <w:r>
        <w:rPr>
          <w:rFonts w:hint="eastAsia"/>
        </w:rPr>
        <w:tab/>
      </w:r>
      <w:r>
        <w:rPr>
          <w:rFonts w:hint="eastAsia"/>
        </w:rPr>
        <w:fldChar w:fldCharType="begin"/>
      </w:r>
      <w:r>
        <w:rPr>
          <w:rFonts w:hint="eastAsia"/>
        </w:rPr>
        <w:instrText xml:space="preserve"> PAGEREF _Toc2225 \h </w:instrText>
      </w:r>
      <w:r>
        <w:rPr>
          <w:rFonts w:hint="eastAsia"/>
        </w:rPr>
        <w:fldChar w:fldCharType="separate"/>
      </w:r>
      <w:r>
        <w:rPr>
          <w:rFonts w:hint="eastAsia"/>
        </w:rPr>
        <w:t>190</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"_Toc18606" </w:instrText>
      </w:r>
      <w:r>
        <w:fldChar w:fldCharType="separate"/>
      </w:r>
      <w:r>
        <w:rPr>
          <w:rFonts w:hint="eastAsia"/>
        </w:rPr>
        <w:t>12.1 一般要求</w:t>
      </w:r>
      <w:r>
        <w:rPr>
          <w:rFonts w:hint="eastAsia"/>
        </w:rPr>
        <w:tab/>
      </w:r>
      <w:r>
        <w:rPr>
          <w:rFonts w:hint="eastAsia"/>
        </w:rPr>
        <w:fldChar w:fldCharType="begin"/>
      </w:r>
      <w:r>
        <w:rPr>
          <w:rFonts w:hint="eastAsia"/>
        </w:rPr>
        <w:instrText xml:space="preserve"> PAGEREF _Toc18606 \h </w:instrText>
      </w:r>
      <w:r>
        <w:rPr>
          <w:rFonts w:hint="eastAsia"/>
        </w:rPr>
        <w:fldChar w:fldCharType="separate"/>
      </w:r>
      <w:r>
        <w:rPr>
          <w:rFonts w:hint="eastAsia"/>
        </w:rPr>
        <w:t>190</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"_Toc5262" </w:instrText>
      </w:r>
      <w:r>
        <w:fldChar w:fldCharType="separate"/>
      </w:r>
      <w:r>
        <w:rPr>
          <w:rFonts w:hint="eastAsia"/>
        </w:rPr>
        <w:t>12.2 临时办公区</w:t>
      </w:r>
      <w:r>
        <w:rPr>
          <w:rFonts w:hint="eastAsia"/>
        </w:rPr>
        <w:tab/>
      </w:r>
      <w:r>
        <w:rPr>
          <w:rFonts w:hint="eastAsia"/>
        </w:rPr>
        <w:fldChar w:fldCharType="begin"/>
      </w:r>
      <w:r>
        <w:rPr>
          <w:rFonts w:hint="eastAsia"/>
        </w:rPr>
        <w:instrText xml:space="preserve"> PAGEREF _Toc5262 \h </w:instrText>
      </w:r>
      <w:r>
        <w:rPr>
          <w:rFonts w:hint="eastAsia"/>
        </w:rPr>
        <w:fldChar w:fldCharType="separate"/>
      </w:r>
      <w:r>
        <w:rPr>
          <w:rFonts w:hint="eastAsia"/>
        </w:rPr>
        <w:t>191</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"_Toc22620" </w:instrText>
      </w:r>
      <w:r>
        <w:fldChar w:fldCharType="separate"/>
      </w:r>
      <w:r>
        <w:rPr>
          <w:rFonts w:hint="eastAsia"/>
        </w:rPr>
        <w:t>12.3 临时道路、临时场地、临时设施</w:t>
      </w:r>
      <w:r>
        <w:rPr>
          <w:rFonts w:hint="eastAsia"/>
        </w:rPr>
        <w:tab/>
      </w:r>
      <w:r>
        <w:rPr>
          <w:rFonts w:hint="eastAsia"/>
        </w:rPr>
        <w:fldChar w:fldCharType="begin"/>
      </w:r>
      <w:r>
        <w:rPr>
          <w:rFonts w:hint="eastAsia"/>
        </w:rPr>
        <w:instrText xml:space="preserve"> PAGEREF _Toc22620 \h </w:instrText>
      </w:r>
      <w:r>
        <w:rPr>
          <w:rFonts w:hint="eastAsia"/>
        </w:rPr>
        <w:fldChar w:fldCharType="separate"/>
      </w:r>
      <w:r>
        <w:rPr>
          <w:rFonts w:hint="eastAsia"/>
        </w:rPr>
        <w:t>191</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"_Toc1314" </w:instrText>
      </w:r>
      <w:r>
        <w:fldChar w:fldCharType="separate"/>
      </w:r>
      <w:r>
        <w:rPr>
          <w:rFonts w:hint="eastAsia"/>
        </w:rPr>
        <w:t>12.4 临时水电、临时照明</w:t>
      </w:r>
      <w:r>
        <w:rPr>
          <w:rFonts w:hint="eastAsia"/>
        </w:rPr>
        <w:tab/>
      </w:r>
      <w:r>
        <w:rPr>
          <w:rFonts w:hint="eastAsia"/>
        </w:rPr>
        <w:fldChar w:fldCharType="begin"/>
      </w:r>
      <w:r>
        <w:rPr>
          <w:rFonts w:hint="eastAsia"/>
        </w:rPr>
        <w:instrText xml:space="preserve"> PAGEREF _Toc1314 \h </w:instrText>
      </w:r>
      <w:r>
        <w:rPr>
          <w:rFonts w:hint="eastAsia"/>
        </w:rPr>
        <w:fldChar w:fldCharType="separate"/>
      </w:r>
      <w:r>
        <w:rPr>
          <w:rFonts w:hint="eastAsia"/>
        </w:rPr>
        <w:t>191</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"_Toc30904" </w:instrText>
      </w:r>
      <w:r>
        <w:fldChar w:fldCharType="separate"/>
      </w:r>
      <w:r>
        <w:rPr>
          <w:rFonts w:hint="eastAsia"/>
        </w:rPr>
        <w:t>12.5 建筑垃圾清运</w:t>
      </w:r>
      <w:r>
        <w:rPr>
          <w:rFonts w:hint="eastAsia"/>
        </w:rPr>
        <w:tab/>
      </w:r>
      <w:r>
        <w:rPr>
          <w:rFonts w:hint="eastAsia"/>
        </w:rPr>
        <w:fldChar w:fldCharType="begin"/>
      </w:r>
      <w:r>
        <w:rPr>
          <w:rFonts w:hint="eastAsia"/>
        </w:rPr>
        <w:instrText xml:space="preserve"> PAGEREF _Toc30904 \h </w:instrText>
      </w:r>
      <w:r>
        <w:rPr>
          <w:rFonts w:hint="eastAsia"/>
        </w:rPr>
        <w:fldChar w:fldCharType="separate"/>
      </w:r>
      <w:r>
        <w:rPr>
          <w:rFonts w:hint="eastAsia"/>
        </w:rPr>
        <w:t>192</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"_Toc28550" </w:instrText>
      </w:r>
      <w:r>
        <w:fldChar w:fldCharType="separate"/>
      </w:r>
      <w:r>
        <w:rPr>
          <w:rFonts w:hint="eastAsia"/>
        </w:rPr>
        <w:t>13. 施工技术管理</w:t>
      </w:r>
      <w:r>
        <w:rPr>
          <w:rFonts w:hint="eastAsia"/>
        </w:rPr>
        <w:tab/>
      </w:r>
      <w:r>
        <w:rPr>
          <w:rFonts w:hint="eastAsia"/>
        </w:rPr>
        <w:fldChar w:fldCharType="begin"/>
      </w:r>
      <w:r>
        <w:rPr>
          <w:rFonts w:hint="eastAsia"/>
        </w:rPr>
        <w:instrText xml:space="preserve"> PAGEREF _Toc28550 \h </w:instrText>
      </w:r>
      <w:r>
        <w:rPr>
          <w:rFonts w:hint="eastAsia"/>
        </w:rPr>
        <w:fldChar w:fldCharType="separate"/>
      </w:r>
      <w:r>
        <w:rPr>
          <w:rFonts w:hint="eastAsia"/>
        </w:rPr>
        <w:t>192</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"_Toc13464" </w:instrText>
      </w:r>
      <w:r>
        <w:fldChar w:fldCharType="separate"/>
      </w:r>
      <w:r>
        <w:rPr>
          <w:rFonts w:hint="eastAsia"/>
        </w:rPr>
        <w:t>13.1 基本要求</w:t>
      </w:r>
      <w:r>
        <w:rPr>
          <w:rFonts w:hint="eastAsia"/>
        </w:rPr>
        <w:tab/>
      </w:r>
      <w:r>
        <w:rPr>
          <w:rFonts w:hint="eastAsia"/>
        </w:rPr>
        <w:fldChar w:fldCharType="begin"/>
      </w:r>
      <w:r>
        <w:rPr>
          <w:rFonts w:hint="eastAsia"/>
        </w:rPr>
        <w:instrText xml:space="preserve"> PAGEREF _Toc13464 \h </w:instrText>
      </w:r>
      <w:r>
        <w:rPr>
          <w:rFonts w:hint="eastAsia"/>
        </w:rPr>
        <w:fldChar w:fldCharType="separate"/>
      </w:r>
      <w:r>
        <w:rPr>
          <w:rFonts w:hint="eastAsia"/>
        </w:rPr>
        <w:t>192</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"_Toc20066" </w:instrText>
      </w:r>
      <w:r>
        <w:fldChar w:fldCharType="separate"/>
      </w:r>
      <w:r>
        <w:rPr>
          <w:rFonts w:hint="eastAsia"/>
        </w:rPr>
        <w:t>13.2 施工方案审批管理</w:t>
      </w:r>
      <w:r>
        <w:rPr>
          <w:rFonts w:hint="eastAsia"/>
        </w:rPr>
        <w:tab/>
      </w:r>
      <w:r>
        <w:rPr>
          <w:rFonts w:hint="eastAsia"/>
        </w:rPr>
        <w:fldChar w:fldCharType="begin"/>
      </w:r>
      <w:r>
        <w:rPr>
          <w:rFonts w:hint="eastAsia"/>
        </w:rPr>
        <w:instrText xml:space="preserve"> PAGEREF _Toc20066 \h </w:instrText>
      </w:r>
      <w:r>
        <w:rPr>
          <w:rFonts w:hint="eastAsia"/>
        </w:rPr>
        <w:fldChar w:fldCharType="separate"/>
      </w:r>
      <w:r>
        <w:rPr>
          <w:rFonts w:hint="eastAsia"/>
        </w:rPr>
        <w:t>193</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"_Toc21939" </w:instrText>
      </w:r>
      <w:r>
        <w:fldChar w:fldCharType="separate"/>
      </w:r>
      <w:r>
        <w:rPr>
          <w:rFonts w:hint="eastAsia"/>
        </w:rPr>
        <w:t>14. 成品保护要求</w:t>
      </w:r>
      <w:r>
        <w:rPr>
          <w:rFonts w:hint="eastAsia"/>
        </w:rPr>
        <w:tab/>
      </w:r>
      <w:r>
        <w:rPr>
          <w:rFonts w:hint="eastAsia"/>
        </w:rPr>
        <w:fldChar w:fldCharType="begin"/>
      </w:r>
      <w:r>
        <w:rPr>
          <w:rFonts w:hint="eastAsia"/>
        </w:rPr>
        <w:instrText xml:space="preserve"> PAGEREF _Toc21939 \h </w:instrText>
      </w:r>
      <w:r>
        <w:rPr>
          <w:rFonts w:hint="eastAsia"/>
        </w:rPr>
        <w:fldChar w:fldCharType="separate"/>
      </w:r>
      <w:r>
        <w:rPr>
          <w:rFonts w:hint="eastAsia"/>
        </w:rPr>
        <w:t>194</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"_Toc21153" </w:instrText>
      </w:r>
      <w:r>
        <w:fldChar w:fldCharType="separate"/>
      </w:r>
      <w:r>
        <w:rPr>
          <w:rFonts w:hint="eastAsia"/>
        </w:rPr>
        <w:t>14.1 基本要求</w:t>
      </w:r>
      <w:r>
        <w:rPr>
          <w:rFonts w:hint="eastAsia"/>
        </w:rPr>
        <w:tab/>
      </w:r>
      <w:r>
        <w:rPr>
          <w:rFonts w:hint="eastAsia"/>
        </w:rPr>
        <w:fldChar w:fldCharType="begin"/>
      </w:r>
      <w:r>
        <w:rPr>
          <w:rFonts w:hint="eastAsia"/>
        </w:rPr>
        <w:instrText xml:space="preserve"> PAGEREF _Toc21153 \h </w:instrText>
      </w:r>
      <w:r>
        <w:rPr>
          <w:rFonts w:hint="eastAsia"/>
        </w:rPr>
        <w:fldChar w:fldCharType="separate"/>
      </w:r>
      <w:r>
        <w:rPr>
          <w:rFonts w:hint="eastAsia"/>
        </w:rPr>
        <w:t>194</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"_Toc12388" </w:instrText>
      </w:r>
      <w:r>
        <w:fldChar w:fldCharType="separate"/>
      </w:r>
      <w:r>
        <w:rPr>
          <w:rFonts w:hint="eastAsia"/>
        </w:rPr>
        <w:t>14.2 总承包商的成品保护要求</w:t>
      </w:r>
      <w:r>
        <w:rPr>
          <w:rFonts w:hint="eastAsia"/>
        </w:rPr>
        <w:tab/>
      </w:r>
      <w:r>
        <w:rPr>
          <w:rFonts w:hint="eastAsia"/>
        </w:rPr>
        <w:fldChar w:fldCharType="begin"/>
      </w:r>
      <w:r>
        <w:rPr>
          <w:rFonts w:hint="eastAsia"/>
        </w:rPr>
        <w:instrText xml:space="preserve"> PAGEREF _Toc12388 \h </w:instrText>
      </w:r>
      <w:r>
        <w:rPr>
          <w:rFonts w:hint="eastAsia"/>
        </w:rPr>
        <w:fldChar w:fldCharType="separate"/>
      </w:r>
      <w:r>
        <w:rPr>
          <w:rFonts w:hint="eastAsia"/>
        </w:rPr>
        <w:t>194</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"_Toc12778" </w:instrText>
      </w:r>
      <w:r>
        <w:fldChar w:fldCharType="separate"/>
      </w:r>
      <w:r>
        <w:rPr>
          <w:rFonts w:hint="eastAsia"/>
        </w:rPr>
        <w:t>14.3 成品保护措施要求</w:t>
      </w:r>
      <w:r>
        <w:rPr>
          <w:rFonts w:hint="eastAsia"/>
        </w:rPr>
        <w:tab/>
      </w:r>
      <w:r>
        <w:rPr>
          <w:rFonts w:hint="eastAsia"/>
        </w:rPr>
        <w:fldChar w:fldCharType="begin"/>
      </w:r>
      <w:r>
        <w:rPr>
          <w:rFonts w:hint="eastAsia"/>
        </w:rPr>
        <w:instrText xml:space="preserve"> PAGEREF _Toc12778 \h </w:instrText>
      </w:r>
      <w:r>
        <w:rPr>
          <w:rFonts w:hint="eastAsia"/>
        </w:rPr>
        <w:fldChar w:fldCharType="separate"/>
      </w:r>
      <w:r>
        <w:rPr>
          <w:rFonts w:hint="eastAsia"/>
        </w:rPr>
        <w:t>195</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"_Toc21406" </w:instrText>
      </w:r>
      <w:r>
        <w:fldChar w:fldCharType="separate"/>
      </w:r>
      <w:r>
        <w:rPr>
          <w:rFonts w:hint="eastAsia"/>
        </w:rPr>
        <w:t>（1）基本措施</w:t>
      </w:r>
      <w:r>
        <w:rPr>
          <w:rFonts w:hint="eastAsia"/>
        </w:rPr>
        <w:tab/>
      </w:r>
      <w:r>
        <w:rPr>
          <w:rFonts w:hint="eastAsia"/>
        </w:rPr>
        <w:fldChar w:fldCharType="begin"/>
      </w:r>
      <w:r>
        <w:rPr>
          <w:rFonts w:hint="eastAsia"/>
        </w:rPr>
        <w:instrText xml:space="preserve"> PAGEREF _Toc21406 \h </w:instrText>
      </w:r>
      <w:r>
        <w:rPr>
          <w:rFonts w:hint="eastAsia"/>
        </w:rPr>
        <w:fldChar w:fldCharType="separate"/>
      </w:r>
      <w:r>
        <w:rPr>
          <w:rFonts w:hint="eastAsia"/>
        </w:rPr>
        <w:t>195</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"_Toc22431" </w:instrText>
      </w:r>
      <w:r>
        <w:fldChar w:fldCharType="separate"/>
      </w:r>
      <w:r>
        <w:rPr>
          <w:rFonts w:hint="eastAsia"/>
        </w:rPr>
        <w:t>（2）钢结构成品保护措施</w:t>
      </w:r>
      <w:r>
        <w:rPr>
          <w:rFonts w:hint="eastAsia"/>
        </w:rPr>
        <w:tab/>
      </w:r>
      <w:r>
        <w:rPr>
          <w:rFonts w:hint="eastAsia"/>
        </w:rPr>
        <w:fldChar w:fldCharType="begin"/>
      </w:r>
      <w:r>
        <w:rPr>
          <w:rFonts w:hint="eastAsia"/>
        </w:rPr>
        <w:instrText xml:space="preserve"> PAGEREF _Toc22431 \h </w:instrText>
      </w:r>
      <w:r>
        <w:rPr>
          <w:rFonts w:hint="eastAsia"/>
        </w:rPr>
        <w:fldChar w:fldCharType="separate"/>
      </w:r>
      <w:r>
        <w:rPr>
          <w:rFonts w:hint="eastAsia"/>
        </w:rPr>
        <w:t>195</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"_Toc15476" </w:instrText>
      </w:r>
      <w:r>
        <w:fldChar w:fldCharType="separate"/>
      </w:r>
      <w:r>
        <w:rPr>
          <w:rFonts w:hint="eastAsia"/>
        </w:rPr>
        <w:t>（3）土建、装修成品保护措施</w:t>
      </w:r>
      <w:r>
        <w:rPr>
          <w:rFonts w:hint="eastAsia"/>
        </w:rPr>
        <w:tab/>
      </w:r>
      <w:r>
        <w:rPr>
          <w:rFonts w:hint="eastAsia"/>
        </w:rPr>
        <w:fldChar w:fldCharType="begin"/>
      </w:r>
      <w:r>
        <w:rPr>
          <w:rFonts w:hint="eastAsia"/>
        </w:rPr>
        <w:instrText xml:space="preserve"> PAGEREF _Toc15476 \h </w:instrText>
      </w:r>
      <w:r>
        <w:rPr>
          <w:rFonts w:hint="eastAsia"/>
        </w:rPr>
        <w:fldChar w:fldCharType="separate"/>
      </w:r>
      <w:r>
        <w:rPr>
          <w:rFonts w:hint="eastAsia"/>
        </w:rPr>
        <w:t>196</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"_Toc30426" </w:instrText>
      </w:r>
      <w:r>
        <w:fldChar w:fldCharType="separate"/>
      </w:r>
      <w:r>
        <w:rPr>
          <w:rFonts w:hint="eastAsia"/>
        </w:rPr>
        <w:t>（4）机电安装工程成品保护</w:t>
      </w:r>
      <w:r>
        <w:rPr>
          <w:rFonts w:hint="eastAsia"/>
        </w:rPr>
        <w:tab/>
      </w:r>
      <w:r>
        <w:rPr>
          <w:rFonts w:hint="eastAsia"/>
        </w:rPr>
        <w:fldChar w:fldCharType="begin"/>
      </w:r>
      <w:r>
        <w:rPr>
          <w:rFonts w:hint="eastAsia"/>
        </w:rPr>
        <w:instrText xml:space="preserve"> PAGEREF _Toc30426 \h </w:instrText>
      </w:r>
      <w:r>
        <w:rPr>
          <w:rFonts w:hint="eastAsia"/>
        </w:rPr>
        <w:fldChar w:fldCharType="separate"/>
      </w:r>
      <w:r>
        <w:rPr>
          <w:rFonts w:hint="eastAsia"/>
        </w:rPr>
        <w:t>201</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"_Toc6817" </w:instrText>
      </w:r>
      <w:r>
        <w:fldChar w:fldCharType="separate"/>
      </w:r>
      <w:r>
        <w:rPr>
          <w:rFonts w:hint="eastAsia"/>
        </w:rPr>
        <w:t>15. 检验与验收</w:t>
      </w:r>
      <w:r>
        <w:rPr>
          <w:rFonts w:hint="eastAsia"/>
        </w:rPr>
        <w:tab/>
      </w:r>
      <w:r>
        <w:rPr>
          <w:rFonts w:hint="eastAsia"/>
        </w:rPr>
        <w:fldChar w:fldCharType="begin"/>
      </w:r>
      <w:r>
        <w:rPr>
          <w:rFonts w:hint="eastAsia"/>
        </w:rPr>
        <w:instrText xml:space="preserve"> PAGEREF _Toc6817 \h </w:instrText>
      </w:r>
      <w:r>
        <w:rPr>
          <w:rFonts w:hint="eastAsia"/>
        </w:rPr>
        <w:fldChar w:fldCharType="separate"/>
      </w:r>
      <w:r>
        <w:rPr>
          <w:rFonts w:hint="eastAsia"/>
        </w:rPr>
        <w:t>205</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"_Toc19794" </w:instrText>
      </w:r>
      <w:r>
        <w:fldChar w:fldCharType="separate"/>
      </w:r>
      <w:r>
        <w:rPr>
          <w:rFonts w:hint="eastAsia"/>
        </w:rPr>
        <w:t>15.1 工程检验管理要求</w:t>
      </w:r>
      <w:r>
        <w:rPr>
          <w:rFonts w:hint="eastAsia"/>
        </w:rPr>
        <w:tab/>
      </w:r>
      <w:r>
        <w:rPr>
          <w:rFonts w:hint="eastAsia"/>
        </w:rPr>
        <w:fldChar w:fldCharType="begin"/>
      </w:r>
      <w:r>
        <w:rPr>
          <w:rFonts w:hint="eastAsia"/>
        </w:rPr>
        <w:instrText xml:space="preserve"> PAGEREF _Toc19794 \h </w:instrText>
      </w:r>
      <w:r>
        <w:rPr>
          <w:rFonts w:hint="eastAsia"/>
        </w:rPr>
        <w:fldChar w:fldCharType="separate"/>
      </w:r>
      <w:r>
        <w:rPr>
          <w:rFonts w:hint="eastAsia"/>
        </w:rPr>
        <w:t>205</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"_Toc22113" </w:instrText>
      </w:r>
      <w:r>
        <w:fldChar w:fldCharType="separate"/>
      </w:r>
      <w:r>
        <w:rPr>
          <w:rFonts w:hint="eastAsia"/>
        </w:rPr>
        <w:t>15.2 材料样板及进场材料验收管理要求</w:t>
      </w:r>
      <w:r>
        <w:rPr>
          <w:rFonts w:hint="eastAsia"/>
        </w:rPr>
        <w:tab/>
      </w:r>
      <w:r>
        <w:rPr>
          <w:rFonts w:hint="eastAsia"/>
        </w:rPr>
        <w:fldChar w:fldCharType="begin"/>
      </w:r>
      <w:r>
        <w:rPr>
          <w:rFonts w:hint="eastAsia"/>
        </w:rPr>
        <w:instrText xml:space="preserve"> PAGEREF _Toc22113 \h </w:instrText>
      </w:r>
      <w:r>
        <w:rPr>
          <w:rFonts w:hint="eastAsia"/>
        </w:rPr>
        <w:fldChar w:fldCharType="separate"/>
      </w:r>
      <w:r>
        <w:rPr>
          <w:rFonts w:hint="eastAsia"/>
        </w:rPr>
        <w:t>205</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"_Toc9794" </w:instrText>
      </w:r>
      <w:r>
        <w:fldChar w:fldCharType="separate"/>
      </w:r>
      <w:r>
        <w:rPr>
          <w:rFonts w:hint="eastAsia"/>
        </w:rPr>
        <w:t>15.3 工程隐蔽验收管理要求</w:t>
      </w:r>
      <w:r>
        <w:rPr>
          <w:rFonts w:hint="eastAsia"/>
        </w:rPr>
        <w:tab/>
      </w:r>
      <w:r>
        <w:rPr>
          <w:rFonts w:hint="eastAsia"/>
        </w:rPr>
        <w:fldChar w:fldCharType="begin"/>
      </w:r>
      <w:r>
        <w:rPr>
          <w:rFonts w:hint="eastAsia"/>
        </w:rPr>
        <w:instrText xml:space="preserve"> PAGEREF _Toc9794 \h </w:instrText>
      </w:r>
      <w:r>
        <w:rPr>
          <w:rFonts w:hint="eastAsia"/>
        </w:rPr>
        <w:fldChar w:fldCharType="separate"/>
      </w:r>
      <w:r>
        <w:rPr>
          <w:rFonts w:hint="eastAsia"/>
        </w:rPr>
        <w:t>205</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"_Toc18982" </w:instrText>
      </w:r>
      <w:r>
        <w:fldChar w:fldCharType="separate"/>
      </w:r>
      <w:r>
        <w:rPr>
          <w:rFonts w:hint="eastAsia"/>
        </w:rPr>
        <w:t>16. 对基坑支护与桩基础工程管理要求</w:t>
      </w:r>
      <w:r>
        <w:rPr>
          <w:rFonts w:hint="eastAsia"/>
        </w:rPr>
        <w:tab/>
      </w:r>
      <w:r>
        <w:rPr>
          <w:rFonts w:hint="eastAsia"/>
        </w:rPr>
        <w:fldChar w:fldCharType="begin"/>
      </w:r>
      <w:r>
        <w:rPr>
          <w:rFonts w:hint="eastAsia"/>
        </w:rPr>
        <w:instrText xml:space="preserve"> PAGEREF _Toc18982 \h </w:instrText>
      </w:r>
      <w:r>
        <w:rPr>
          <w:rFonts w:hint="eastAsia"/>
        </w:rPr>
        <w:fldChar w:fldCharType="separate"/>
      </w:r>
      <w:r>
        <w:rPr>
          <w:rFonts w:hint="eastAsia"/>
        </w:rPr>
        <w:t>205</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"_Toc26068" </w:instrText>
      </w:r>
      <w:r>
        <w:fldChar w:fldCharType="separate"/>
      </w:r>
      <w:r>
        <w:rPr>
          <w:rFonts w:hint="eastAsia"/>
        </w:rPr>
        <w:t>17. 材料设备管理要求</w:t>
      </w:r>
      <w:r>
        <w:rPr>
          <w:rFonts w:hint="eastAsia"/>
        </w:rPr>
        <w:tab/>
      </w:r>
      <w:r>
        <w:rPr>
          <w:rFonts w:hint="eastAsia"/>
        </w:rPr>
        <w:fldChar w:fldCharType="begin"/>
      </w:r>
      <w:r>
        <w:rPr>
          <w:rFonts w:hint="eastAsia"/>
        </w:rPr>
        <w:instrText xml:space="preserve"> PAGEREF _Toc26068 \h </w:instrText>
      </w:r>
      <w:r>
        <w:rPr>
          <w:rFonts w:hint="eastAsia"/>
        </w:rPr>
        <w:fldChar w:fldCharType="separate"/>
      </w:r>
      <w:r>
        <w:rPr>
          <w:rFonts w:hint="eastAsia"/>
        </w:rPr>
        <w:t>206</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"_Toc30447" </w:instrText>
      </w:r>
      <w:r>
        <w:fldChar w:fldCharType="separate"/>
      </w:r>
      <w:r>
        <w:rPr>
          <w:rFonts w:hint="eastAsia"/>
        </w:rPr>
        <w:t>18.文档、资料、会议管理</w:t>
      </w:r>
      <w:r>
        <w:rPr>
          <w:rFonts w:hint="eastAsia"/>
        </w:rPr>
        <w:tab/>
      </w:r>
      <w:r>
        <w:rPr>
          <w:rFonts w:hint="eastAsia"/>
        </w:rPr>
        <w:fldChar w:fldCharType="begin"/>
      </w:r>
      <w:r>
        <w:rPr>
          <w:rFonts w:hint="eastAsia"/>
        </w:rPr>
        <w:instrText xml:space="preserve"> PAGEREF _Toc30447 \h </w:instrText>
      </w:r>
      <w:r>
        <w:rPr>
          <w:rFonts w:hint="eastAsia"/>
        </w:rPr>
        <w:fldChar w:fldCharType="separate"/>
      </w:r>
      <w:r>
        <w:rPr>
          <w:rFonts w:hint="eastAsia"/>
        </w:rPr>
        <w:t>207</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"_Toc26781" </w:instrText>
      </w:r>
      <w:r>
        <w:fldChar w:fldCharType="separate"/>
      </w:r>
      <w:r>
        <w:rPr>
          <w:rFonts w:hint="eastAsia"/>
        </w:rPr>
        <w:t>18.1 工程文件管理</w:t>
      </w:r>
      <w:r>
        <w:rPr>
          <w:rFonts w:hint="eastAsia"/>
        </w:rPr>
        <w:tab/>
      </w:r>
      <w:r>
        <w:rPr>
          <w:rFonts w:hint="eastAsia"/>
        </w:rPr>
        <w:fldChar w:fldCharType="begin"/>
      </w:r>
      <w:r>
        <w:rPr>
          <w:rFonts w:hint="eastAsia"/>
        </w:rPr>
        <w:instrText xml:space="preserve"> PAGEREF _Toc26781 \h </w:instrText>
      </w:r>
      <w:r>
        <w:rPr>
          <w:rFonts w:hint="eastAsia"/>
        </w:rPr>
        <w:fldChar w:fldCharType="separate"/>
      </w:r>
      <w:r>
        <w:rPr>
          <w:rFonts w:hint="eastAsia"/>
        </w:rPr>
        <w:t>207</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"_Toc28741" </w:instrText>
      </w:r>
      <w:r>
        <w:fldChar w:fldCharType="separate"/>
      </w:r>
      <w:r>
        <w:rPr>
          <w:rFonts w:hint="eastAsia"/>
        </w:rPr>
        <w:t>（1）收发文管理</w:t>
      </w:r>
      <w:r>
        <w:rPr>
          <w:rFonts w:hint="eastAsia"/>
        </w:rPr>
        <w:tab/>
      </w:r>
      <w:r>
        <w:rPr>
          <w:rFonts w:hint="eastAsia"/>
        </w:rPr>
        <w:fldChar w:fldCharType="begin"/>
      </w:r>
      <w:r>
        <w:rPr>
          <w:rFonts w:hint="eastAsia"/>
        </w:rPr>
        <w:instrText xml:space="preserve"> PAGEREF _Toc28741 \h </w:instrText>
      </w:r>
      <w:r>
        <w:rPr>
          <w:rFonts w:hint="eastAsia"/>
        </w:rPr>
        <w:fldChar w:fldCharType="separate"/>
      </w:r>
      <w:r>
        <w:rPr>
          <w:rFonts w:hint="eastAsia"/>
        </w:rPr>
        <w:t>207</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"_Toc8230" </w:instrText>
      </w:r>
      <w:r>
        <w:fldChar w:fldCharType="separate"/>
      </w:r>
      <w:r>
        <w:rPr>
          <w:rFonts w:hint="eastAsia"/>
        </w:rPr>
        <w:t>（2）工程技术资料管理</w:t>
      </w:r>
      <w:r>
        <w:rPr>
          <w:rFonts w:hint="eastAsia"/>
        </w:rPr>
        <w:tab/>
      </w:r>
      <w:r>
        <w:rPr>
          <w:rFonts w:hint="eastAsia"/>
        </w:rPr>
        <w:fldChar w:fldCharType="begin"/>
      </w:r>
      <w:r>
        <w:rPr>
          <w:rFonts w:hint="eastAsia"/>
        </w:rPr>
        <w:instrText xml:space="preserve"> PAGEREF _Toc8230 \h </w:instrText>
      </w:r>
      <w:r>
        <w:rPr>
          <w:rFonts w:hint="eastAsia"/>
        </w:rPr>
        <w:fldChar w:fldCharType="separate"/>
      </w:r>
      <w:r>
        <w:rPr>
          <w:rFonts w:hint="eastAsia"/>
        </w:rPr>
        <w:t>207</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"_Toc25897" </w:instrText>
      </w:r>
      <w:r>
        <w:fldChar w:fldCharType="separate"/>
      </w:r>
      <w:r>
        <w:rPr>
          <w:rFonts w:hint="eastAsia"/>
        </w:rPr>
        <w:t>（3）施工阶段的技术资料管理</w:t>
      </w:r>
      <w:r>
        <w:rPr>
          <w:rFonts w:hint="eastAsia"/>
        </w:rPr>
        <w:tab/>
      </w:r>
      <w:r>
        <w:rPr>
          <w:rFonts w:hint="eastAsia"/>
        </w:rPr>
        <w:fldChar w:fldCharType="begin"/>
      </w:r>
      <w:r>
        <w:rPr>
          <w:rFonts w:hint="eastAsia"/>
        </w:rPr>
        <w:instrText xml:space="preserve"> PAGEREF _Toc25897 \h </w:instrText>
      </w:r>
      <w:r>
        <w:rPr>
          <w:rFonts w:hint="eastAsia"/>
        </w:rPr>
        <w:fldChar w:fldCharType="separate"/>
      </w:r>
      <w:r>
        <w:rPr>
          <w:rFonts w:hint="eastAsia"/>
        </w:rPr>
        <w:t>207</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"_Toc23707" </w:instrText>
      </w:r>
      <w:r>
        <w:fldChar w:fldCharType="separate"/>
      </w:r>
      <w:r>
        <w:rPr>
          <w:rFonts w:hint="eastAsia"/>
        </w:rPr>
        <w:t>（4）竣工阶段的技术资料管理</w:t>
      </w:r>
      <w:r>
        <w:rPr>
          <w:rFonts w:hint="eastAsia"/>
        </w:rPr>
        <w:tab/>
      </w:r>
      <w:r>
        <w:rPr>
          <w:rFonts w:hint="eastAsia"/>
        </w:rPr>
        <w:fldChar w:fldCharType="begin"/>
      </w:r>
      <w:r>
        <w:rPr>
          <w:rFonts w:hint="eastAsia"/>
        </w:rPr>
        <w:instrText xml:space="preserve"> PAGEREF _Toc23707 \h </w:instrText>
      </w:r>
      <w:r>
        <w:rPr>
          <w:rFonts w:hint="eastAsia"/>
        </w:rPr>
        <w:fldChar w:fldCharType="separate"/>
      </w:r>
      <w:r>
        <w:rPr>
          <w:rFonts w:hint="eastAsia"/>
        </w:rPr>
        <w:t>208</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"_Toc5503" </w:instrText>
      </w:r>
      <w:r>
        <w:fldChar w:fldCharType="separate"/>
      </w:r>
      <w:r>
        <w:rPr>
          <w:rFonts w:hint="eastAsia"/>
        </w:rPr>
        <w:t>（5）竣工资料的移交</w:t>
      </w:r>
      <w:r>
        <w:rPr>
          <w:rFonts w:hint="eastAsia"/>
        </w:rPr>
        <w:tab/>
      </w:r>
      <w:r>
        <w:rPr>
          <w:rFonts w:hint="eastAsia"/>
        </w:rPr>
        <w:fldChar w:fldCharType="begin"/>
      </w:r>
      <w:r>
        <w:rPr>
          <w:rFonts w:hint="eastAsia"/>
        </w:rPr>
        <w:instrText xml:space="preserve"> PAGEREF _Toc5503 \h </w:instrText>
      </w:r>
      <w:r>
        <w:rPr>
          <w:rFonts w:hint="eastAsia"/>
        </w:rPr>
        <w:fldChar w:fldCharType="separate"/>
      </w:r>
      <w:r>
        <w:rPr>
          <w:rFonts w:hint="eastAsia"/>
        </w:rPr>
        <w:t>208</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"_Toc29975" </w:instrText>
      </w:r>
      <w:r>
        <w:fldChar w:fldCharType="separate"/>
      </w:r>
      <w:r>
        <w:rPr>
          <w:rFonts w:hint="eastAsia"/>
        </w:rPr>
        <w:t>（6）竣工及结算资料</w:t>
      </w:r>
      <w:r>
        <w:rPr>
          <w:rFonts w:hint="eastAsia"/>
        </w:rPr>
        <w:tab/>
      </w:r>
      <w:r>
        <w:rPr>
          <w:rFonts w:hint="eastAsia"/>
        </w:rPr>
        <w:fldChar w:fldCharType="begin"/>
      </w:r>
      <w:r>
        <w:rPr>
          <w:rFonts w:hint="eastAsia"/>
        </w:rPr>
        <w:instrText xml:space="preserve"> PAGEREF _Toc29975 \h </w:instrText>
      </w:r>
      <w:r>
        <w:rPr>
          <w:rFonts w:hint="eastAsia"/>
        </w:rPr>
        <w:fldChar w:fldCharType="separate"/>
      </w:r>
      <w:r>
        <w:rPr>
          <w:rFonts w:hint="eastAsia"/>
        </w:rPr>
        <w:t>208</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"_Toc16308" </w:instrText>
      </w:r>
      <w:r>
        <w:fldChar w:fldCharType="separate"/>
      </w:r>
      <w:r>
        <w:rPr>
          <w:rFonts w:hint="eastAsia"/>
        </w:rPr>
        <w:t>18.2 例会制度</w:t>
      </w:r>
      <w:r>
        <w:rPr>
          <w:rFonts w:hint="eastAsia"/>
        </w:rPr>
        <w:tab/>
      </w:r>
      <w:r>
        <w:rPr>
          <w:rFonts w:hint="eastAsia"/>
        </w:rPr>
        <w:fldChar w:fldCharType="begin"/>
      </w:r>
      <w:r>
        <w:rPr>
          <w:rFonts w:hint="eastAsia"/>
        </w:rPr>
        <w:instrText xml:space="preserve"> PAGEREF _Toc16308 \h </w:instrText>
      </w:r>
      <w:r>
        <w:rPr>
          <w:rFonts w:hint="eastAsia"/>
        </w:rPr>
        <w:fldChar w:fldCharType="separate"/>
      </w:r>
      <w:r>
        <w:rPr>
          <w:rFonts w:hint="eastAsia"/>
        </w:rPr>
        <w:t>209</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"_Toc19236" </w:instrText>
      </w:r>
      <w:r>
        <w:fldChar w:fldCharType="separate"/>
      </w:r>
      <w:r>
        <w:rPr>
          <w:rFonts w:hint="eastAsia"/>
        </w:rPr>
        <w:t>18.3 影像记录</w:t>
      </w:r>
      <w:r>
        <w:rPr>
          <w:rFonts w:hint="eastAsia"/>
        </w:rPr>
        <w:tab/>
      </w:r>
      <w:r>
        <w:rPr>
          <w:rFonts w:hint="eastAsia"/>
        </w:rPr>
        <w:fldChar w:fldCharType="begin"/>
      </w:r>
      <w:r>
        <w:rPr>
          <w:rFonts w:hint="eastAsia"/>
        </w:rPr>
        <w:instrText xml:space="preserve"> PAGEREF _Toc19236 \h </w:instrText>
      </w:r>
      <w:r>
        <w:rPr>
          <w:rFonts w:hint="eastAsia"/>
        </w:rPr>
        <w:fldChar w:fldCharType="separate"/>
      </w:r>
      <w:r>
        <w:rPr>
          <w:rFonts w:hint="eastAsia"/>
        </w:rPr>
        <w:t>209</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"_Toc12464" </w:instrText>
      </w:r>
      <w:r>
        <w:fldChar w:fldCharType="separate"/>
      </w:r>
      <w:r>
        <w:rPr>
          <w:rFonts w:hint="eastAsia"/>
        </w:rPr>
        <w:t>18.4 工程图纸100%数字化</w:t>
      </w:r>
      <w:r>
        <w:rPr>
          <w:rFonts w:hint="eastAsia"/>
        </w:rPr>
        <w:tab/>
      </w:r>
      <w:r>
        <w:rPr>
          <w:rFonts w:hint="eastAsia"/>
        </w:rPr>
        <w:fldChar w:fldCharType="begin"/>
      </w:r>
      <w:r>
        <w:rPr>
          <w:rFonts w:hint="eastAsia"/>
        </w:rPr>
        <w:instrText xml:space="preserve"> PAGEREF _Toc12464 \h </w:instrText>
      </w:r>
      <w:r>
        <w:rPr>
          <w:rFonts w:hint="eastAsia"/>
        </w:rPr>
        <w:fldChar w:fldCharType="separate"/>
      </w:r>
      <w:r>
        <w:rPr>
          <w:rFonts w:hint="eastAsia"/>
        </w:rPr>
        <w:t>210</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"_Toc19303" </w:instrText>
      </w:r>
      <w:r>
        <w:fldChar w:fldCharType="separate"/>
      </w:r>
      <w:r>
        <w:rPr>
          <w:rFonts w:hint="eastAsia"/>
        </w:rPr>
        <w:t>18.5 工程总结技术论文汇编及出版</w:t>
      </w:r>
      <w:r>
        <w:rPr>
          <w:rFonts w:hint="eastAsia"/>
        </w:rPr>
        <w:tab/>
      </w:r>
      <w:r>
        <w:rPr>
          <w:rFonts w:hint="eastAsia"/>
        </w:rPr>
        <w:fldChar w:fldCharType="begin"/>
      </w:r>
      <w:r>
        <w:rPr>
          <w:rFonts w:hint="eastAsia"/>
        </w:rPr>
        <w:instrText xml:space="preserve"> PAGEREF _Toc19303 \h </w:instrText>
      </w:r>
      <w:r>
        <w:rPr>
          <w:rFonts w:hint="eastAsia"/>
        </w:rPr>
        <w:fldChar w:fldCharType="separate"/>
      </w:r>
      <w:r>
        <w:rPr>
          <w:rFonts w:hint="eastAsia"/>
        </w:rPr>
        <w:t>210</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"_Toc12381" </w:instrText>
      </w:r>
      <w:r>
        <w:fldChar w:fldCharType="separate"/>
      </w:r>
      <w:r>
        <w:rPr>
          <w:rFonts w:hint="eastAsia"/>
        </w:rPr>
        <w:t>18.6 信息发布的规定</w:t>
      </w:r>
      <w:r>
        <w:rPr>
          <w:rFonts w:hint="eastAsia"/>
        </w:rPr>
        <w:tab/>
      </w:r>
      <w:r>
        <w:rPr>
          <w:rFonts w:hint="eastAsia"/>
        </w:rPr>
        <w:fldChar w:fldCharType="begin"/>
      </w:r>
      <w:r>
        <w:rPr>
          <w:rFonts w:hint="eastAsia"/>
        </w:rPr>
        <w:instrText xml:space="preserve"> PAGEREF _Toc12381 \h </w:instrText>
      </w:r>
      <w:r>
        <w:rPr>
          <w:rFonts w:hint="eastAsia"/>
        </w:rPr>
        <w:fldChar w:fldCharType="separate"/>
      </w:r>
      <w:r>
        <w:rPr>
          <w:rFonts w:hint="eastAsia"/>
        </w:rPr>
        <w:t>211</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"_Toc23705" </w:instrText>
      </w:r>
      <w:r>
        <w:fldChar w:fldCharType="separate"/>
      </w:r>
      <w:r>
        <w:rPr>
          <w:rFonts w:hint="eastAsia"/>
        </w:rPr>
        <w:t>19.模块化集成建筑技术管理要求</w:t>
      </w:r>
      <w:r>
        <w:rPr>
          <w:rFonts w:hint="eastAsia"/>
        </w:rPr>
        <w:tab/>
      </w:r>
      <w:r>
        <w:rPr>
          <w:rFonts w:hint="eastAsia"/>
        </w:rPr>
        <w:fldChar w:fldCharType="begin"/>
      </w:r>
      <w:r>
        <w:rPr>
          <w:rFonts w:hint="eastAsia"/>
        </w:rPr>
        <w:instrText xml:space="preserve"> PAGEREF _Toc23705 \h </w:instrText>
      </w:r>
      <w:r>
        <w:rPr>
          <w:rFonts w:hint="eastAsia"/>
        </w:rPr>
        <w:fldChar w:fldCharType="separate"/>
      </w:r>
      <w:r>
        <w:rPr>
          <w:rFonts w:hint="eastAsia"/>
        </w:rPr>
        <w:t>211</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"_Toc5951" </w:instrText>
      </w:r>
      <w:r>
        <w:fldChar w:fldCharType="separate"/>
      </w:r>
      <w:r>
        <w:rPr>
          <w:rFonts w:hint="eastAsia"/>
        </w:rPr>
        <w:t>20.预制空腔墙柱装配整体式竖向连接技术要求</w:t>
      </w:r>
      <w:r>
        <w:rPr>
          <w:rFonts w:hint="eastAsia"/>
        </w:rPr>
        <w:tab/>
      </w:r>
      <w:r>
        <w:rPr>
          <w:rFonts w:hint="eastAsia"/>
        </w:rPr>
        <w:fldChar w:fldCharType="begin"/>
      </w:r>
      <w:r>
        <w:rPr>
          <w:rFonts w:hint="eastAsia"/>
        </w:rPr>
        <w:instrText xml:space="preserve"> PAGEREF _Toc5951 \h </w:instrText>
      </w:r>
      <w:r>
        <w:rPr>
          <w:rFonts w:hint="eastAsia"/>
        </w:rPr>
        <w:fldChar w:fldCharType="separate"/>
      </w:r>
      <w:r>
        <w:rPr>
          <w:rFonts w:hint="eastAsia"/>
        </w:rPr>
        <w:t>211</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"_Toc30509" </w:instrText>
      </w:r>
      <w:r>
        <w:fldChar w:fldCharType="separate"/>
      </w:r>
      <w:r>
        <w:rPr>
          <w:rFonts w:hint="eastAsia"/>
        </w:rPr>
        <w:t>21.违约处罚明细</w:t>
      </w:r>
      <w:r>
        <w:rPr>
          <w:rFonts w:hint="eastAsia"/>
        </w:rPr>
        <w:tab/>
      </w:r>
      <w:r>
        <w:rPr>
          <w:rFonts w:hint="eastAsia"/>
        </w:rPr>
        <w:fldChar w:fldCharType="begin"/>
      </w:r>
      <w:r>
        <w:rPr>
          <w:rFonts w:hint="eastAsia"/>
        </w:rPr>
        <w:instrText xml:space="preserve"> PAGEREF _Toc30509 \h </w:instrText>
      </w:r>
      <w:r>
        <w:rPr>
          <w:rFonts w:hint="eastAsia"/>
        </w:rPr>
        <w:fldChar w:fldCharType="separate"/>
      </w:r>
      <w:r>
        <w:rPr>
          <w:rFonts w:hint="eastAsia"/>
        </w:rPr>
        <w:t>211</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"_Toc32244" </w:instrText>
      </w:r>
      <w:r>
        <w:fldChar w:fldCharType="separate"/>
      </w:r>
      <w:r>
        <w:rPr>
          <w:rFonts w:hint="eastAsia"/>
        </w:rPr>
        <w:t>（1）承包人团队人员管理处罚细则</w:t>
      </w:r>
      <w:r>
        <w:rPr>
          <w:rFonts w:hint="eastAsia"/>
        </w:rPr>
        <w:tab/>
      </w:r>
      <w:r>
        <w:rPr>
          <w:rFonts w:hint="eastAsia"/>
        </w:rPr>
        <w:fldChar w:fldCharType="begin"/>
      </w:r>
      <w:r>
        <w:rPr>
          <w:rFonts w:hint="eastAsia"/>
        </w:rPr>
        <w:instrText xml:space="preserve"> PAGEREF _Toc32244 \h </w:instrText>
      </w:r>
      <w:r>
        <w:rPr>
          <w:rFonts w:hint="eastAsia"/>
        </w:rPr>
        <w:fldChar w:fldCharType="separate"/>
      </w:r>
      <w:r>
        <w:rPr>
          <w:rFonts w:hint="eastAsia"/>
        </w:rPr>
        <w:t>211</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"_Toc13149" </w:instrText>
      </w:r>
      <w:r>
        <w:fldChar w:fldCharType="separate"/>
      </w:r>
      <w:r>
        <w:rPr>
          <w:rFonts w:hint="eastAsia"/>
        </w:rPr>
        <w:t>（2）转包、发包、劳务用工管理处罚细则</w:t>
      </w:r>
      <w:r>
        <w:rPr>
          <w:rFonts w:hint="eastAsia"/>
        </w:rPr>
        <w:tab/>
      </w:r>
      <w:r>
        <w:rPr>
          <w:rFonts w:hint="eastAsia"/>
        </w:rPr>
        <w:fldChar w:fldCharType="begin"/>
      </w:r>
      <w:r>
        <w:rPr>
          <w:rFonts w:hint="eastAsia"/>
        </w:rPr>
        <w:instrText xml:space="preserve"> PAGEREF _Toc13149 \h </w:instrText>
      </w:r>
      <w:r>
        <w:rPr>
          <w:rFonts w:hint="eastAsia"/>
        </w:rPr>
        <w:fldChar w:fldCharType="separate"/>
      </w:r>
      <w:r>
        <w:rPr>
          <w:rFonts w:hint="eastAsia"/>
        </w:rPr>
        <w:t>213</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"_Toc15768" </w:instrText>
      </w:r>
      <w:r>
        <w:fldChar w:fldCharType="separate"/>
      </w:r>
      <w:r>
        <w:rPr>
          <w:rFonts w:hint="eastAsia"/>
        </w:rPr>
        <w:t>（3）进度管理处罚细则</w:t>
      </w:r>
      <w:r>
        <w:rPr>
          <w:rFonts w:hint="eastAsia"/>
        </w:rPr>
        <w:tab/>
      </w:r>
      <w:r>
        <w:rPr>
          <w:rFonts w:hint="eastAsia"/>
        </w:rPr>
        <w:fldChar w:fldCharType="begin"/>
      </w:r>
      <w:r>
        <w:rPr>
          <w:rFonts w:hint="eastAsia"/>
        </w:rPr>
        <w:instrText xml:space="preserve"> PAGEREF _Toc15768 \h </w:instrText>
      </w:r>
      <w:r>
        <w:rPr>
          <w:rFonts w:hint="eastAsia"/>
        </w:rPr>
        <w:fldChar w:fldCharType="separate"/>
      </w:r>
      <w:r>
        <w:rPr>
          <w:rFonts w:hint="eastAsia"/>
        </w:rPr>
        <w:t>214</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"_Toc18550" </w:instrText>
      </w:r>
      <w:r>
        <w:fldChar w:fldCharType="separate"/>
      </w:r>
      <w:r>
        <w:rPr>
          <w:rFonts w:hint="eastAsia"/>
        </w:rPr>
        <w:t>（4）质量管理处罚细则</w:t>
      </w:r>
      <w:r>
        <w:rPr>
          <w:rFonts w:hint="eastAsia"/>
        </w:rPr>
        <w:tab/>
      </w:r>
      <w:r>
        <w:rPr>
          <w:rFonts w:hint="eastAsia"/>
        </w:rPr>
        <w:fldChar w:fldCharType="begin"/>
      </w:r>
      <w:r>
        <w:rPr>
          <w:rFonts w:hint="eastAsia"/>
        </w:rPr>
        <w:instrText xml:space="preserve"> PAGEREF _Toc18550 \h </w:instrText>
      </w:r>
      <w:r>
        <w:rPr>
          <w:rFonts w:hint="eastAsia"/>
        </w:rPr>
        <w:fldChar w:fldCharType="separate"/>
      </w:r>
      <w:r>
        <w:rPr>
          <w:rFonts w:hint="eastAsia"/>
        </w:rPr>
        <w:t>215</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"_Toc28765" </w:instrText>
      </w:r>
      <w:r>
        <w:fldChar w:fldCharType="separate"/>
      </w:r>
      <w:r>
        <w:rPr>
          <w:rFonts w:hint="eastAsia"/>
        </w:rPr>
        <w:t>（5）安全文明处罚细则</w:t>
      </w:r>
      <w:r>
        <w:rPr>
          <w:rFonts w:hint="eastAsia"/>
        </w:rPr>
        <w:tab/>
      </w:r>
      <w:r>
        <w:rPr>
          <w:rFonts w:hint="eastAsia"/>
        </w:rPr>
        <w:fldChar w:fldCharType="begin"/>
      </w:r>
      <w:r>
        <w:rPr>
          <w:rFonts w:hint="eastAsia"/>
        </w:rPr>
        <w:instrText xml:space="preserve"> PAGEREF _Toc28765 \h </w:instrText>
      </w:r>
      <w:r>
        <w:rPr>
          <w:rFonts w:hint="eastAsia"/>
        </w:rPr>
        <w:fldChar w:fldCharType="separate"/>
      </w:r>
      <w:r>
        <w:rPr>
          <w:rFonts w:hint="eastAsia"/>
        </w:rPr>
        <w:t>218</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"_Toc3988" </w:instrText>
      </w:r>
      <w:r>
        <w:fldChar w:fldCharType="separate"/>
      </w:r>
      <w:r>
        <w:rPr>
          <w:rFonts w:hint="eastAsia"/>
        </w:rPr>
        <w:t>（6）工程款、结算相关处罚细则</w:t>
      </w:r>
      <w:r>
        <w:rPr>
          <w:rFonts w:hint="eastAsia"/>
        </w:rPr>
        <w:tab/>
      </w:r>
      <w:r>
        <w:rPr>
          <w:rFonts w:hint="eastAsia"/>
        </w:rPr>
        <w:fldChar w:fldCharType="begin"/>
      </w:r>
      <w:r>
        <w:rPr>
          <w:rFonts w:hint="eastAsia"/>
        </w:rPr>
        <w:instrText xml:space="preserve"> PAGEREF _Toc3988 \h </w:instrText>
      </w:r>
      <w:r>
        <w:rPr>
          <w:rFonts w:hint="eastAsia"/>
        </w:rPr>
        <w:fldChar w:fldCharType="separate"/>
      </w:r>
      <w:r>
        <w:rPr>
          <w:rFonts w:hint="eastAsia"/>
        </w:rPr>
        <w:t>220</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"_Toc23516" </w:instrText>
      </w:r>
      <w:r>
        <w:fldChar w:fldCharType="separate"/>
      </w:r>
      <w:r>
        <w:rPr>
          <w:rFonts w:hint="eastAsia"/>
        </w:rPr>
        <w:t>（7）其他处罚细则</w:t>
      </w:r>
      <w:r>
        <w:rPr>
          <w:rFonts w:hint="eastAsia"/>
        </w:rPr>
        <w:tab/>
      </w:r>
      <w:r>
        <w:rPr>
          <w:rFonts w:hint="eastAsia"/>
        </w:rPr>
        <w:fldChar w:fldCharType="begin"/>
      </w:r>
      <w:r>
        <w:rPr>
          <w:rFonts w:hint="eastAsia"/>
        </w:rPr>
        <w:instrText xml:space="preserve"> PAGEREF _Toc23516 \h </w:instrText>
      </w:r>
      <w:r>
        <w:rPr>
          <w:rFonts w:hint="eastAsia"/>
        </w:rPr>
        <w:fldChar w:fldCharType="separate"/>
      </w:r>
      <w:r>
        <w:rPr>
          <w:rFonts w:hint="eastAsia"/>
        </w:rPr>
        <w:t>221</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"_Toc27951" </w:instrText>
      </w:r>
      <w:r>
        <w:fldChar w:fldCharType="separate"/>
      </w:r>
      <w:r>
        <w:rPr>
          <w:rFonts w:hint="eastAsia"/>
        </w:rPr>
        <w:t>22.评奖考核</w:t>
      </w:r>
      <w:r>
        <w:rPr>
          <w:rFonts w:hint="eastAsia"/>
        </w:rPr>
        <w:tab/>
      </w:r>
      <w:r>
        <w:rPr>
          <w:rFonts w:hint="eastAsia"/>
        </w:rPr>
        <w:fldChar w:fldCharType="begin"/>
      </w:r>
      <w:r>
        <w:rPr>
          <w:rFonts w:hint="eastAsia"/>
        </w:rPr>
        <w:instrText xml:space="preserve"> PAGEREF _Toc27951 \h </w:instrText>
      </w:r>
      <w:r>
        <w:rPr>
          <w:rFonts w:hint="eastAsia"/>
        </w:rPr>
        <w:fldChar w:fldCharType="separate"/>
      </w:r>
      <w:r>
        <w:rPr>
          <w:rFonts w:hint="eastAsia"/>
        </w:rPr>
        <w:t>223</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"_Toc15076" </w:instrText>
      </w:r>
      <w:r>
        <w:fldChar w:fldCharType="separate"/>
      </w:r>
      <w:r>
        <w:rPr>
          <w:rFonts w:hint="eastAsia"/>
        </w:rPr>
        <w:t>附件1.1</w:t>
      </w:r>
      <w:r>
        <w:rPr>
          <w:rFonts w:hint="eastAsia"/>
        </w:rPr>
        <w:tab/>
      </w:r>
      <w:r>
        <w:rPr>
          <w:rFonts w:hint="eastAsia"/>
        </w:rPr>
        <w:fldChar w:fldCharType="begin"/>
      </w:r>
      <w:r>
        <w:rPr>
          <w:rFonts w:hint="eastAsia"/>
        </w:rPr>
        <w:instrText xml:space="preserve"> PAGEREF _Toc15076 \h </w:instrText>
      </w:r>
      <w:r>
        <w:rPr>
          <w:rFonts w:hint="eastAsia"/>
        </w:rPr>
        <w:fldChar w:fldCharType="separate"/>
      </w:r>
      <w:r>
        <w:rPr>
          <w:rFonts w:hint="eastAsia"/>
        </w:rPr>
        <w:t>224</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"_Toc24618" </w:instrText>
      </w:r>
      <w:r>
        <w:fldChar w:fldCharType="separate"/>
      </w:r>
      <w:r>
        <w:rPr>
          <w:rFonts w:hint="eastAsia"/>
        </w:rPr>
        <w:t>附件1.2</w:t>
      </w:r>
      <w:r>
        <w:rPr>
          <w:rFonts w:hint="eastAsia"/>
        </w:rPr>
        <w:tab/>
      </w:r>
      <w:r>
        <w:rPr>
          <w:rFonts w:hint="eastAsia"/>
        </w:rPr>
        <w:fldChar w:fldCharType="begin"/>
      </w:r>
      <w:r>
        <w:rPr>
          <w:rFonts w:hint="eastAsia"/>
        </w:rPr>
        <w:instrText xml:space="preserve"> PAGEREF _Toc24618 \h </w:instrText>
      </w:r>
      <w:r>
        <w:rPr>
          <w:rFonts w:hint="eastAsia"/>
        </w:rPr>
        <w:fldChar w:fldCharType="separate"/>
      </w:r>
      <w:r>
        <w:rPr>
          <w:rFonts w:hint="eastAsia"/>
        </w:rPr>
        <w:t>250</w:t>
      </w:r>
      <w:r>
        <w:rPr>
          <w:rFonts w:hint="eastAsia"/>
        </w:rPr>
        <w:fldChar w:fldCharType="end"/>
      </w:r>
      <w:r>
        <w:rPr>
          <w:rFonts w:hint="eastAsia"/>
        </w:rPr>
        <w:fldChar w:fldCharType="end"/>
      </w:r>
    </w:p>
    <w:p>
      <w:pPr>
        <w:widowControl/>
        <w:tabs>
          <w:tab w:val="right" w:leader="dot" w:pos="8310"/>
        </w:tabs>
        <w:adjustRightInd w:val="0"/>
        <w:snapToGrid w:val="0"/>
        <w:spacing w:line="360" w:lineRule="auto"/>
        <w:ind w:firstLine="480" w:firstLineChars="200"/>
        <w:jc w:val="left"/>
      </w:pPr>
      <w:r>
        <w:fldChar w:fldCharType="begin"/>
      </w:r>
      <w:r>
        <w:instrText xml:space="preserve"> HYPERLINK \l "_Toc19158" </w:instrText>
      </w:r>
      <w:r>
        <w:fldChar w:fldCharType="separate"/>
      </w:r>
      <w:r>
        <w:rPr>
          <w:rFonts w:hint="eastAsia"/>
        </w:rPr>
        <w:t>附件1.3</w:t>
      </w:r>
      <w:r>
        <w:rPr>
          <w:rFonts w:hint="eastAsia"/>
        </w:rPr>
        <w:tab/>
      </w:r>
      <w:r>
        <w:rPr>
          <w:rFonts w:hint="eastAsia"/>
        </w:rPr>
        <w:fldChar w:fldCharType="begin"/>
      </w:r>
      <w:r>
        <w:rPr>
          <w:rFonts w:hint="eastAsia"/>
        </w:rPr>
        <w:instrText xml:space="preserve"> PAGEREF _Toc19158 \h </w:instrText>
      </w:r>
      <w:r>
        <w:rPr>
          <w:rFonts w:hint="eastAsia"/>
        </w:rPr>
        <w:fldChar w:fldCharType="separate"/>
      </w:r>
      <w:r>
        <w:rPr>
          <w:rFonts w:hint="eastAsia"/>
        </w:rPr>
        <w:t>310</w:t>
      </w:r>
      <w:r>
        <w:rPr>
          <w:rFonts w:hint="eastAsia"/>
        </w:rPr>
        <w:fldChar w:fldCharType="end"/>
      </w:r>
      <w:r>
        <w:rPr>
          <w:rFonts w:hint="eastAsia"/>
        </w:rPr>
        <w:fldChar w:fldCharType="end"/>
      </w:r>
      <w:r>
        <w:rPr>
          <w:rFonts w:hint="eastAsia"/>
        </w:rPr>
        <w:fldChar w:fldCharType="end"/>
      </w:r>
    </w:p>
    <w:p>
      <w:pPr>
        <w:widowControl/>
        <w:jc w:val="left"/>
        <w:rPr>
          <w:kern w:val="2"/>
        </w:rPr>
      </w:pPr>
    </w:p>
    <w:p>
      <w:pPr>
        <w:widowControl/>
        <w:jc w:val="left"/>
        <w:rPr>
          <w:kern w:val="2"/>
        </w:rPr>
      </w:pPr>
    </w:p>
    <w:p>
      <w:pPr>
        <w:widowControl/>
        <w:numPr>
          <w:ilvl w:val="0"/>
          <w:numId w:val="4"/>
        </w:numPr>
        <w:tabs>
          <w:tab w:val="left" w:pos="584"/>
          <w:tab w:val="left" w:pos="585"/>
        </w:tabs>
        <w:autoSpaceDE w:val="0"/>
        <w:autoSpaceDN w:val="0"/>
        <w:spacing w:before="120" w:beforeLines="50" w:after="120" w:afterLines="50" w:line="560" w:lineRule="exact"/>
        <w:ind w:left="425" w:hanging="425"/>
        <w:jc w:val="left"/>
        <w:outlineLvl w:val="1"/>
        <w:rPr>
          <w:b/>
          <w:bCs/>
          <w:kern w:val="2"/>
        </w:rPr>
        <w:sectPr>
          <w:footerReference r:id="rId5" w:type="default"/>
          <w:pgSz w:w="11910" w:h="16840"/>
          <w:pgMar w:top="1440" w:right="1800" w:bottom="1440" w:left="1800" w:header="808" w:footer="847" w:gutter="0"/>
          <w:pgNumType w:fmt="numberInDash"/>
          <w:cols w:space="720" w:num="1"/>
        </w:sectPr>
      </w:pPr>
      <w:bookmarkStart w:id="573" w:name="_Toc21286"/>
      <w:bookmarkStart w:id="574" w:name="_Toc3476"/>
    </w:p>
    <w:p>
      <w:pPr>
        <w:keepNext/>
        <w:keepLines/>
        <w:pageBreakBefore w:val="0"/>
        <w:widowControl/>
        <w:kinsoku/>
        <w:wordWrap/>
        <w:overflowPunct/>
        <w:topLinePunct w:val="0"/>
        <w:bidi w:val="0"/>
        <w:adjustRightInd w:val="0"/>
        <w:snapToGrid w:val="0"/>
        <w:spacing w:line="360" w:lineRule="auto"/>
        <w:jc w:val="left"/>
        <w:textAlignment w:val="auto"/>
        <w:outlineLvl w:val="2"/>
        <w:rPr>
          <w:b/>
          <w:bCs/>
          <w:kern w:val="2"/>
        </w:rPr>
      </w:pPr>
      <w:bookmarkStart w:id="575" w:name="_Toc13939"/>
      <w:bookmarkStart w:id="576" w:name="_Toc16482"/>
      <w:bookmarkStart w:id="577" w:name="_Toc11203"/>
      <w:bookmarkStart w:id="578" w:name="_Toc16902"/>
      <w:bookmarkStart w:id="579" w:name="_Toc24676"/>
      <w:bookmarkStart w:id="580" w:name="_Toc18330"/>
      <w:bookmarkStart w:id="581" w:name="_Toc27310"/>
      <w:bookmarkStart w:id="582" w:name="_Toc25446"/>
      <w:bookmarkStart w:id="583" w:name="_Toc32096"/>
      <w:bookmarkStart w:id="584" w:name="_Toc8107"/>
      <w:bookmarkStart w:id="585" w:name="_Toc25721"/>
      <w:r>
        <w:rPr>
          <w:rFonts w:hint="eastAsia"/>
          <w:b/>
          <w:bCs/>
          <w:kern w:val="2"/>
        </w:rPr>
        <w:t>1. 工程概况</w:t>
      </w:r>
      <w:bookmarkEnd w:id="573"/>
      <w:bookmarkEnd w:id="575"/>
      <w:bookmarkEnd w:id="576"/>
      <w:bookmarkEnd w:id="577"/>
      <w:bookmarkEnd w:id="578"/>
      <w:bookmarkEnd w:id="579"/>
      <w:bookmarkEnd w:id="580"/>
      <w:bookmarkEnd w:id="581"/>
      <w:bookmarkEnd w:id="582"/>
      <w:bookmarkEnd w:id="583"/>
      <w:bookmarkEnd w:id="584"/>
      <w:bookmarkEnd w:id="585"/>
    </w:p>
    <w:p>
      <w:pPr>
        <w:pageBreakBefore w:val="0"/>
        <w:widowControl/>
        <w:tabs>
          <w:tab w:val="left" w:pos="0"/>
        </w:tabs>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仿宋_GB2312"/>
          <w:kern w:val="2"/>
          <w:lang w:val="en-US" w:eastAsia="zh-CN"/>
        </w:rPr>
      </w:pPr>
      <w:r>
        <w:rPr>
          <w:rFonts w:hint="eastAsia" w:ascii="宋体" w:hAnsi="宋体" w:eastAsia="宋体" w:cs="仿宋_GB2312"/>
          <w:kern w:val="2"/>
          <w:lang w:val="en-US" w:eastAsia="zh-CN"/>
        </w:rPr>
        <w:t>本项目</w:t>
      </w:r>
      <w:r>
        <w:rPr>
          <w:rFonts w:hint="eastAsia" w:ascii="宋体" w:hAnsi="宋体" w:eastAsia="宋体" w:cs="仿宋_GB2312"/>
          <w:kern w:val="2"/>
        </w:rPr>
        <w:t>位于龙华区观湖街道观澜高新科技产业园内，观乐路与观盛三路交汇处，</w:t>
      </w:r>
      <w:r>
        <w:rPr>
          <w:rFonts w:hint="eastAsia" w:cs="仿宋_GB2312"/>
          <w:kern w:val="2"/>
          <w:lang w:val="en-US" w:eastAsia="zh-CN"/>
        </w:rPr>
        <w:t>项目</w:t>
      </w:r>
      <w:r>
        <w:rPr>
          <w:rFonts w:hint="eastAsia" w:ascii="宋体" w:hAnsi="宋体" w:eastAsia="宋体" w:cs="仿宋_GB2312"/>
          <w:kern w:val="2"/>
        </w:rPr>
        <w:t>沿街商业面积3606.07㎡，</w:t>
      </w:r>
      <w:r>
        <w:rPr>
          <w:rFonts w:hint="eastAsia" w:cs="仿宋_GB2312"/>
          <w:kern w:val="2"/>
          <w:lang w:val="en-US" w:eastAsia="zh-CN"/>
        </w:rPr>
        <w:t>改造范围包含</w:t>
      </w:r>
      <w:r>
        <w:rPr>
          <w:rFonts w:hint="eastAsia" w:ascii="宋体" w:hAnsi="宋体" w:eastAsia="宋体" w:cs="仿宋_GB2312"/>
          <w:kern w:val="2"/>
          <w:lang w:val="en-US" w:eastAsia="zh-CN"/>
        </w:rPr>
        <w:t>一栋二单元、三单元商铺</w:t>
      </w:r>
      <w:r>
        <w:rPr>
          <w:rFonts w:hint="eastAsia" w:cs="仿宋_GB2312"/>
          <w:kern w:val="2"/>
          <w:lang w:val="en-US" w:eastAsia="zh-CN"/>
        </w:rPr>
        <w:t>和地下室、天面等部位</w:t>
      </w:r>
      <w:r>
        <w:rPr>
          <w:rFonts w:hint="eastAsia" w:ascii="宋体" w:hAnsi="宋体" w:eastAsia="宋体" w:cs="仿宋_GB2312"/>
          <w:kern w:val="2"/>
          <w:lang w:val="en-US" w:eastAsia="zh-CN"/>
        </w:rPr>
        <w:t>。</w:t>
      </w:r>
    </w:p>
    <w:p>
      <w:pPr>
        <w:pageBreakBefore w:val="0"/>
        <w:widowControl/>
        <w:tabs>
          <w:tab w:val="left" w:pos="0"/>
        </w:tabs>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仿宋_GB2312"/>
          <w:kern w:val="2"/>
          <w:lang w:val="en-US" w:eastAsia="zh-CN"/>
        </w:rPr>
      </w:pPr>
      <w:bookmarkStart w:id="586" w:name="_Toc27171"/>
      <w:bookmarkStart w:id="587" w:name="_Toc31277"/>
      <w:bookmarkStart w:id="588" w:name="_Toc12804"/>
      <w:bookmarkStart w:id="589" w:name="_Toc19254"/>
      <w:bookmarkStart w:id="590" w:name="_Toc1245"/>
      <w:bookmarkStart w:id="591" w:name="_Toc6901"/>
      <w:bookmarkStart w:id="592" w:name="_Toc12988"/>
      <w:bookmarkStart w:id="593" w:name="_Toc32459"/>
      <w:bookmarkStart w:id="594" w:name="_Toc8006"/>
      <w:bookmarkStart w:id="595" w:name="_Toc2568"/>
      <w:bookmarkStart w:id="596" w:name="_Toc1259"/>
      <w:r>
        <w:rPr>
          <w:rFonts w:hint="eastAsia" w:ascii="宋体" w:hAnsi="宋体" w:eastAsia="宋体" w:cs="仿宋_GB2312"/>
          <w:kern w:val="2"/>
          <w:lang w:val="en-US" w:eastAsia="zh-CN"/>
        </w:rPr>
        <w:t>现场条件：</w:t>
      </w:r>
    </w:p>
    <w:p>
      <w:pPr>
        <w:pageBreakBefore w:val="0"/>
        <w:widowControl/>
        <w:tabs>
          <w:tab w:val="left" w:pos="0"/>
        </w:tabs>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仿宋_GB2312"/>
          <w:kern w:val="2"/>
        </w:rPr>
      </w:pPr>
      <w:r>
        <w:rPr>
          <w:rFonts w:hint="eastAsia" w:ascii="宋体" w:hAnsi="宋体" w:eastAsia="宋体" w:cs="仿宋_GB2312"/>
          <w:kern w:val="2"/>
        </w:rPr>
        <w:t>（1）临时用水：由承包方负责，该费用已在合同价中综合考虑，结算时不另行计取；</w:t>
      </w:r>
    </w:p>
    <w:p>
      <w:pPr>
        <w:pageBreakBefore w:val="0"/>
        <w:widowControl/>
        <w:tabs>
          <w:tab w:val="left" w:pos="0"/>
        </w:tabs>
        <w:kinsoku/>
        <w:wordWrap/>
        <w:overflowPunct/>
        <w:topLinePunct w:val="0"/>
        <w:bidi w:val="0"/>
        <w:adjustRightInd w:val="0"/>
        <w:snapToGrid w:val="0"/>
        <w:spacing w:line="360" w:lineRule="auto"/>
        <w:ind w:firstLine="480" w:firstLineChars="200"/>
        <w:jc w:val="both"/>
        <w:textAlignment w:val="auto"/>
        <w:rPr>
          <w:rFonts w:hint="eastAsia" w:cs="仿宋_GB2312"/>
          <w:kern w:val="2"/>
        </w:rPr>
      </w:pPr>
      <w:r>
        <w:rPr>
          <w:rFonts w:hint="eastAsia" w:cs="仿宋_GB2312"/>
          <w:kern w:val="2"/>
        </w:rPr>
        <w:t>（2）临时用电：由承包方负责，该费用已在合同价中综合考虑，结算时不另行计取；</w:t>
      </w:r>
    </w:p>
    <w:p>
      <w:pPr>
        <w:pageBreakBefore w:val="0"/>
        <w:widowControl/>
        <w:tabs>
          <w:tab w:val="left" w:pos="0"/>
        </w:tabs>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仿宋_GB2312"/>
          <w:kern w:val="2"/>
        </w:rPr>
      </w:pPr>
      <w:r>
        <w:rPr>
          <w:rFonts w:hint="eastAsia" w:ascii="宋体" w:hAnsi="宋体" w:eastAsia="宋体" w:cs="仿宋_GB2312"/>
          <w:kern w:val="2"/>
        </w:rPr>
        <w:t>（</w:t>
      </w:r>
      <w:r>
        <w:rPr>
          <w:rFonts w:hint="eastAsia" w:ascii="宋体" w:hAnsi="宋体" w:eastAsia="宋体" w:cs="仿宋_GB2312"/>
          <w:kern w:val="2"/>
          <w:lang w:val="en-US" w:eastAsia="zh-CN"/>
        </w:rPr>
        <w:t>3</w:t>
      </w:r>
      <w:r>
        <w:rPr>
          <w:rFonts w:hint="eastAsia" w:ascii="宋体" w:hAnsi="宋体" w:eastAsia="宋体" w:cs="仿宋_GB2312"/>
          <w:kern w:val="2"/>
        </w:rPr>
        <w:t>）临时设施</w:t>
      </w:r>
      <w:r>
        <w:rPr>
          <w:rFonts w:hint="eastAsia" w:cs="仿宋_GB2312"/>
          <w:kern w:val="2"/>
          <w:lang w:eastAsia="zh-CN"/>
        </w:rPr>
        <w:t>：</w:t>
      </w:r>
      <w:r>
        <w:rPr>
          <w:rFonts w:hint="eastAsia" w:ascii="宋体" w:hAnsi="宋体" w:eastAsia="宋体" w:cs="仿宋_GB2312"/>
          <w:kern w:val="2"/>
        </w:rPr>
        <w:t>场内临时办公设施的设置需报发包人、监理单位审批同意</w:t>
      </w:r>
      <w:r>
        <w:rPr>
          <w:rFonts w:hint="eastAsia" w:cs="仿宋_GB2312"/>
          <w:kern w:val="2"/>
          <w:lang w:eastAsia="zh-CN"/>
        </w:rPr>
        <w:t>；</w:t>
      </w:r>
      <w:r>
        <w:rPr>
          <w:rFonts w:hint="eastAsia" w:ascii="宋体" w:hAnsi="宋体" w:eastAsia="宋体" w:cs="仿宋_GB2312"/>
          <w:kern w:val="2"/>
        </w:rPr>
        <w:t>项目周边不具备生活设施搭建条件，承包人需自行解决。</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bCs/>
          <w:kern w:val="2"/>
        </w:rPr>
      </w:pPr>
      <w:r>
        <w:rPr>
          <w:rFonts w:hint="eastAsia"/>
          <w:bCs/>
          <w:kern w:val="2"/>
        </w:rPr>
        <w:t>总承包商既是项目建设的参与者，也是总组织、总协调、总管理者，对项目建设起着至关重要的作用。总承包商应在履行合同的基础上，充分发挥自身实力和优势，做好对所有承包商的组织、协调和管理工作，确保项目施工进度、质量和安全处于可控范围；总承包商还应负责施工现场管理，做好现场总平面规划，提供满足工程施工需要的临时设施、临时用水、临时用电、临时场地等设施，统筹安排现场各种施工资源与工作面的使用，做好现场安保和综合治理。</w:t>
      </w:r>
    </w:p>
    <w:p>
      <w:pPr>
        <w:keepNext/>
        <w:keepLines/>
        <w:pageBreakBefore w:val="0"/>
        <w:widowControl/>
        <w:kinsoku/>
        <w:wordWrap/>
        <w:overflowPunct/>
        <w:topLinePunct w:val="0"/>
        <w:bidi w:val="0"/>
        <w:adjustRightInd w:val="0"/>
        <w:snapToGrid w:val="0"/>
        <w:spacing w:line="360" w:lineRule="auto"/>
        <w:jc w:val="left"/>
        <w:textAlignment w:val="auto"/>
        <w:outlineLvl w:val="2"/>
        <w:rPr>
          <w:b/>
          <w:bCs/>
          <w:kern w:val="2"/>
          <w:highlight w:val="none"/>
        </w:rPr>
      </w:pPr>
      <w:bookmarkStart w:id="597" w:name="_Toc14566"/>
      <w:r>
        <w:rPr>
          <w:rFonts w:hint="eastAsia"/>
          <w:b/>
          <w:bCs/>
          <w:kern w:val="2"/>
          <w:highlight w:val="none"/>
        </w:rPr>
        <w:t>2. 承包范围</w:t>
      </w:r>
      <w:bookmarkEnd w:id="586"/>
      <w:bookmarkEnd w:id="587"/>
      <w:bookmarkEnd w:id="588"/>
      <w:bookmarkEnd w:id="589"/>
      <w:bookmarkEnd w:id="590"/>
      <w:bookmarkEnd w:id="591"/>
      <w:bookmarkEnd w:id="592"/>
      <w:bookmarkEnd w:id="593"/>
      <w:bookmarkEnd w:id="594"/>
      <w:bookmarkEnd w:id="595"/>
      <w:bookmarkEnd w:id="596"/>
      <w:bookmarkEnd w:id="597"/>
    </w:p>
    <w:p>
      <w:pPr>
        <w:keepNext/>
        <w:keepLines/>
        <w:pageBreakBefore w:val="0"/>
        <w:widowControl w:val="0"/>
        <w:tabs>
          <w:tab w:val="left" w:pos="585"/>
        </w:tabs>
        <w:kinsoku/>
        <w:wordWrap/>
        <w:overflowPunct/>
        <w:topLinePunct w:val="0"/>
        <w:autoSpaceDE w:val="0"/>
        <w:autoSpaceDN w:val="0"/>
        <w:bidi w:val="0"/>
        <w:adjustRightInd w:val="0"/>
        <w:snapToGrid w:val="0"/>
        <w:spacing w:line="360" w:lineRule="auto"/>
        <w:jc w:val="left"/>
        <w:textAlignment w:val="auto"/>
        <w:outlineLvl w:val="3"/>
        <w:rPr>
          <w:b/>
          <w:bCs/>
          <w:kern w:val="2"/>
          <w:highlight w:val="none"/>
        </w:rPr>
      </w:pPr>
      <w:bookmarkStart w:id="598" w:name="_Toc920"/>
      <w:r>
        <w:rPr>
          <w:rFonts w:hint="eastAsia"/>
          <w:b/>
          <w:bCs/>
          <w:kern w:val="2"/>
          <w:highlight w:val="none"/>
        </w:rPr>
        <w:t>2.1 承包范围</w:t>
      </w:r>
      <w:bookmarkEnd w:id="598"/>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bCs/>
          <w:kern w:val="2"/>
          <w:highlight w:val="none"/>
        </w:rPr>
      </w:pPr>
      <w:r>
        <w:rPr>
          <w:rFonts w:hint="eastAsia"/>
          <w:bCs/>
          <w:kern w:val="2"/>
          <w:highlight w:val="none"/>
        </w:rPr>
        <w:t>本项目为龙馨家园一栋二单元、三单元商铺给排水、电气、暖通、燃气改造工程。包括但不限于：（1）排水改造为部分具备排油烟条件的商铺增加餐饮排水，接至地下室新增的隔油提升设备，经处理后加压提升至室外污水井；（2）电气改造为商铺增加用电量，开关、电缆全部按现商铺提资的用电量全部更换；（3）暖通改造为裙房商铺增加水平排油烟管道和接驳口，接至对应楼层现有排油烟主立管；屋面增加油烟净化器、排油烟风机、设备基础和水平连接管道接至现有出塔楼屋面排油烟主管道；（4）燃气改造为增加商铺燃气接驳口，对应增设商业燃气调压箱，中压段接至商铺原预留中压接口，低压段接至各商铺燃气接驳口</w:t>
      </w:r>
      <w:r>
        <w:rPr>
          <w:rFonts w:hint="eastAsia"/>
          <w:bCs/>
          <w:kern w:val="2"/>
          <w:highlight w:val="none"/>
          <w:lang w:eastAsia="zh-CN"/>
        </w:rPr>
        <w:t>；</w:t>
      </w:r>
      <w:r>
        <w:rPr>
          <w:rFonts w:hint="eastAsia"/>
          <w:bCs/>
          <w:kern w:val="2"/>
          <w:highlight w:val="none"/>
        </w:rPr>
        <w:t>（5）完成本项目验收移交所需的全部监测及检测、配合完成商户进场前的施工工作、所有的开孔和装饰面收边收口工作、各专业面拆除恢复工作。具体工作内容以施工图纸、工程量清单为准。</w:t>
      </w:r>
    </w:p>
    <w:p>
      <w:pPr>
        <w:keepNext/>
        <w:keepLines/>
        <w:pageBreakBefore w:val="0"/>
        <w:widowControl w:val="0"/>
        <w:kinsoku/>
        <w:wordWrap/>
        <w:overflowPunct/>
        <w:topLinePunct w:val="0"/>
        <w:autoSpaceDE w:val="0"/>
        <w:autoSpaceDN w:val="0"/>
        <w:bidi w:val="0"/>
        <w:adjustRightInd w:val="0"/>
        <w:snapToGrid w:val="0"/>
        <w:spacing w:line="360" w:lineRule="auto"/>
        <w:jc w:val="left"/>
        <w:textAlignment w:val="auto"/>
        <w:outlineLvl w:val="3"/>
        <w:rPr>
          <w:rFonts w:hint="eastAsia" w:cs="仿宋_GB2312"/>
          <w:b/>
          <w:bCs/>
          <w:kern w:val="2"/>
        </w:rPr>
      </w:pPr>
      <w:r>
        <w:rPr>
          <w:rFonts w:hint="eastAsia"/>
          <w:bCs/>
          <w:kern w:val="2"/>
          <w:highlight w:val="none"/>
        </w:rPr>
        <w:t>承包人不能拒绝执行为完成本项工程而需执行的可能遗漏的工程项目。发包人有权力根据需要进行调整，承包人须无条件接受发包人提出的变更要求，并按要求调整施工范围及内容。</w:t>
      </w:r>
      <w:bookmarkStart w:id="599" w:name="_Toc27908"/>
    </w:p>
    <w:p>
      <w:pPr>
        <w:keepNext/>
        <w:keepLines/>
        <w:pageBreakBefore w:val="0"/>
        <w:widowControl w:val="0"/>
        <w:kinsoku/>
        <w:wordWrap/>
        <w:overflowPunct/>
        <w:topLinePunct w:val="0"/>
        <w:autoSpaceDE w:val="0"/>
        <w:autoSpaceDN w:val="0"/>
        <w:bidi w:val="0"/>
        <w:adjustRightInd w:val="0"/>
        <w:snapToGrid w:val="0"/>
        <w:spacing w:line="360" w:lineRule="auto"/>
        <w:jc w:val="left"/>
        <w:textAlignment w:val="auto"/>
        <w:outlineLvl w:val="3"/>
        <w:rPr>
          <w:rFonts w:cs="仿宋_GB2312"/>
          <w:b/>
          <w:bCs/>
          <w:kern w:val="2"/>
        </w:rPr>
      </w:pPr>
      <w:r>
        <w:rPr>
          <w:rFonts w:hint="eastAsia" w:cs="仿宋_GB2312"/>
          <w:b/>
          <w:bCs/>
          <w:kern w:val="2"/>
        </w:rPr>
        <w:t>2.2 承包范围补充说明</w:t>
      </w:r>
      <w:bookmarkEnd w:id="599"/>
    </w:p>
    <w:p>
      <w:pPr>
        <w:pageBreakBefore w:val="0"/>
        <w:widowControl/>
        <w:kinsoku/>
        <w:wordWrap/>
        <w:overflowPunct/>
        <w:topLinePunct w:val="0"/>
        <w:bidi w:val="0"/>
        <w:adjustRightInd w:val="0"/>
        <w:snapToGrid w:val="0"/>
        <w:spacing w:line="360" w:lineRule="auto"/>
        <w:ind w:firstLine="480" w:firstLineChars="200"/>
        <w:jc w:val="left"/>
        <w:textAlignment w:val="auto"/>
        <w:rPr>
          <w:rFonts w:cs="仿宋_GB2312"/>
          <w:kern w:val="2"/>
        </w:rPr>
      </w:pPr>
      <w:r>
        <w:rPr>
          <w:rFonts w:hint="eastAsia" w:cs="仿宋_GB2312"/>
          <w:kern w:val="2"/>
        </w:rPr>
        <w:t>（</w:t>
      </w:r>
      <w:r>
        <w:rPr>
          <w:rFonts w:hint="eastAsia" w:cs="仿宋_GB2312"/>
          <w:kern w:val="2"/>
          <w:lang w:val="en-US" w:eastAsia="zh-CN"/>
        </w:rPr>
        <w:t>1</w:t>
      </w:r>
      <w:r>
        <w:rPr>
          <w:rFonts w:hint="eastAsia" w:cs="仿宋_GB2312"/>
          <w:kern w:val="2"/>
        </w:rPr>
        <w:t>）</w:t>
      </w:r>
      <w:r>
        <w:rPr>
          <w:rFonts w:cs="仿宋_GB2312"/>
          <w:kern w:val="2"/>
        </w:rPr>
        <w:t>如承包人在施工期间需要使用电梯，需</w:t>
      </w:r>
      <w:r>
        <w:rPr>
          <w:rFonts w:hint="eastAsia" w:cs="仿宋_GB2312"/>
          <w:kern w:val="2"/>
          <w:lang w:val="en-US" w:eastAsia="zh-CN"/>
        </w:rPr>
        <w:t>严格按照项目物业管理方的要求进行使用</w:t>
      </w:r>
      <w:r>
        <w:rPr>
          <w:rFonts w:cs="仿宋_GB2312"/>
          <w:kern w:val="2"/>
        </w:rPr>
        <w:t>，并承担由于电梯使用造成电梯保护、开机人工、维护、安全、使用等方面的所有责任和费用。</w:t>
      </w:r>
    </w:p>
    <w:p>
      <w:pPr>
        <w:pageBreakBefore w:val="0"/>
        <w:widowControl/>
        <w:kinsoku/>
        <w:wordWrap/>
        <w:overflowPunct/>
        <w:topLinePunct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w:t>
      </w:r>
      <w:r>
        <w:rPr>
          <w:rFonts w:hint="eastAsia" w:cs="仿宋_GB2312"/>
          <w:kern w:val="2"/>
          <w:lang w:val="en-US" w:eastAsia="zh-CN"/>
        </w:rPr>
        <w:t>2</w:t>
      </w:r>
      <w:r>
        <w:rPr>
          <w:rFonts w:hint="eastAsia" w:cs="仿宋_GB2312"/>
          <w:kern w:val="2"/>
        </w:rPr>
        <w:t>）负责施工所有设备的基础，预留</w:t>
      </w:r>
      <w:r>
        <w:rPr>
          <w:rFonts w:cs="仿宋_GB2312"/>
          <w:kern w:val="2"/>
        </w:rPr>
        <w:t>(埋)所有管道穿墙、板、梁、池壁等部位的全部预留孔(洞)、预埋套管等(包括地下室、水箱间及人防区)，并负责管道与套管及套管与建筑结构间封堵（包括因变更而造成剪力墙、楼板开洞，以及前期预留多余的套管和洞口的封堵），现场已施工完成且后续因发包人发生设计变更的可以按签证办理，现场未施工且后续因发包人发生设计变更的按设计变更执行，严格按照设计和施工要求封堵，保证不渗漏。</w:t>
      </w:r>
    </w:p>
    <w:p>
      <w:pPr>
        <w:pageBreakBefore w:val="0"/>
        <w:widowControl/>
        <w:kinsoku/>
        <w:wordWrap/>
        <w:overflowPunct/>
        <w:topLinePunct w:val="0"/>
        <w:bidi w:val="0"/>
        <w:adjustRightInd w:val="0"/>
        <w:snapToGrid w:val="0"/>
        <w:spacing w:line="360" w:lineRule="auto"/>
        <w:ind w:firstLine="482"/>
        <w:jc w:val="left"/>
        <w:textAlignment w:val="auto"/>
        <w:rPr>
          <w:rFonts w:cs="仿宋_GB2312"/>
          <w:kern w:val="2"/>
        </w:rPr>
      </w:pPr>
      <w:r>
        <w:rPr>
          <w:rFonts w:hint="eastAsia" w:cs="仿宋_GB2312"/>
          <w:kern w:val="2"/>
        </w:rPr>
        <w:t>（</w:t>
      </w:r>
      <w:r>
        <w:rPr>
          <w:rFonts w:hint="eastAsia" w:cs="仿宋_GB2312"/>
          <w:kern w:val="2"/>
          <w:lang w:val="en-US" w:eastAsia="zh-CN"/>
        </w:rPr>
        <w:t>3</w:t>
      </w:r>
      <w:r>
        <w:rPr>
          <w:rFonts w:hint="eastAsia" w:cs="仿宋_GB2312"/>
          <w:kern w:val="2"/>
        </w:rPr>
        <w:t>）承包人须按发包人要求配合完成重大安全、文明活动以及上级单位检查活动等，此费用由承包人投标报价时自行考虑，费用已在合同价中综合考虑，结算时不再另行计取。</w:t>
      </w:r>
    </w:p>
    <w:p>
      <w:pPr>
        <w:pageBreakBefore w:val="0"/>
        <w:widowControl/>
        <w:kinsoku/>
        <w:wordWrap/>
        <w:overflowPunct/>
        <w:topLinePunct w:val="0"/>
        <w:bidi w:val="0"/>
        <w:adjustRightInd w:val="0"/>
        <w:snapToGrid w:val="0"/>
        <w:spacing w:line="360" w:lineRule="auto"/>
        <w:ind w:firstLine="480" w:firstLineChars="200"/>
        <w:jc w:val="left"/>
        <w:textAlignment w:val="auto"/>
        <w:rPr>
          <w:rFonts w:cs="仿宋_GB2312"/>
          <w:kern w:val="2"/>
        </w:rPr>
      </w:pPr>
      <w:r>
        <w:rPr>
          <w:rFonts w:hint="eastAsia" w:cs="仿宋_GB2312"/>
          <w:kern w:val="2"/>
        </w:rPr>
        <w:t>（</w:t>
      </w:r>
      <w:r>
        <w:rPr>
          <w:rFonts w:hint="eastAsia" w:cs="仿宋_GB2312"/>
          <w:kern w:val="2"/>
          <w:lang w:val="en-US" w:eastAsia="zh-CN"/>
        </w:rPr>
        <w:t>4</w:t>
      </w:r>
      <w:r>
        <w:rPr>
          <w:rFonts w:hint="eastAsia" w:cs="仿宋_GB2312"/>
          <w:kern w:val="2"/>
        </w:rPr>
        <w:t>）发包人有权决定工程红线范围内外</w:t>
      </w:r>
      <w:r>
        <w:rPr>
          <w:rFonts w:cs="仿宋_GB2312"/>
          <w:kern w:val="2"/>
        </w:rPr>
        <w:t>增加</w:t>
      </w:r>
      <w:r>
        <w:rPr>
          <w:rFonts w:hint="eastAsia" w:cs="仿宋_GB2312"/>
          <w:kern w:val="2"/>
        </w:rPr>
        <w:t>的</w:t>
      </w:r>
      <w:r>
        <w:rPr>
          <w:rFonts w:cs="仿宋_GB2312"/>
          <w:kern w:val="2"/>
        </w:rPr>
        <w:t>零星工程是否由承包人施工，如发包人决定将以上零星工程委托给承包人施工，承包人必须无条件接受，并充分理解发包人对该委托的要求，予以配合并按时完成，价格按照合同内同类工程和约定条款计取，如承包人拒绝配合施工或超出发包人要求的时间延时完工，承包人同意按照该项工程造价的20%支付违约金。如承包人拒绝接受发包人指令，发包人可将该项工程另行委托其他单位施工，承包人同意按照该项工程造价的20%支付违约金。</w:t>
      </w:r>
    </w:p>
    <w:p>
      <w:pPr>
        <w:pageBreakBefore w:val="0"/>
        <w:widowControl/>
        <w:kinsoku/>
        <w:wordWrap/>
        <w:overflowPunct/>
        <w:topLinePunct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w:t>
      </w:r>
      <w:r>
        <w:rPr>
          <w:rFonts w:hint="eastAsia" w:cs="仿宋_GB2312"/>
          <w:kern w:val="2"/>
          <w:lang w:val="en-US" w:eastAsia="zh-CN"/>
        </w:rPr>
        <w:t>5</w:t>
      </w:r>
      <w:r>
        <w:rPr>
          <w:rFonts w:hint="eastAsia" w:cs="仿宋_GB2312"/>
          <w:kern w:val="2"/>
        </w:rPr>
        <w:t>）施工中发生的一切安全事故，均应明确划分责任由责任方承担经济及法律责任，并立即</w:t>
      </w:r>
      <w:r>
        <w:rPr>
          <w:rFonts w:hint="eastAsia" w:cs="仿宋_GB2312"/>
          <w:kern w:val="2"/>
          <w:lang w:val="en-US" w:eastAsia="zh-CN"/>
        </w:rPr>
        <w:t>按照事故处理流程</w:t>
      </w:r>
      <w:r>
        <w:rPr>
          <w:rFonts w:hint="eastAsia" w:cs="仿宋_GB2312"/>
          <w:kern w:val="2"/>
        </w:rPr>
        <w:t>报告发包人和建设主管部门，若因此导致发包人垫付费用（发包人垫付费用由发包人及监理签字确认即可），则发包人有权从应付责任方的工程款中扣除。</w:t>
      </w:r>
    </w:p>
    <w:p>
      <w:pPr>
        <w:pageBreakBefore w:val="0"/>
        <w:widowControl/>
        <w:kinsoku/>
        <w:wordWrap/>
        <w:overflowPunct/>
        <w:topLinePunct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w:t>
      </w:r>
      <w:r>
        <w:rPr>
          <w:rFonts w:hint="eastAsia" w:cs="仿宋_GB2312"/>
          <w:kern w:val="2"/>
          <w:lang w:val="en-US" w:eastAsia="zh-CN"/>
        </w:rPr>
        <w:t>6</w:t>
      </w:r>
      <w:r>
        <w:rPr>
          <w:rFonts w:hint="eastAsia" w:cs="仿宋_GB2312"/>
          <w:kern w:val="2"/>
        </w:rPr>
        <w:t>）现场所有建筑垃圾承包人应及时清理并运走，上述建筑垃圾无论是承包人施工产生还是承包人确定的分包单位施工产生，均由承包人负责清理、外运并承担相关费用；工程竣工后五天内承包人将现场清理完毕（包括建筑材料、垃圾、生产和生活用临时设施拆除）。如承包人不负责清理，发包人另派他人清理，费用（由发包人及监理签字确认即可）从承包人工程款中扣除。</w:t>
      </w:r>
    </w:p>
    <w:p>
      <w:pPr>
        <w:pageBreakBefore w:val="0"/>
        <w:widowControl/>
        <w:kinsoku/>
        <w:wordWrap/>
        <w:overflowPunct/>
        <w:topLinePunct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w:t>
      </w:r>
      <w:r>
        <w:rPr>
          <w:rFonts w:hint="eastAsia" w:cs="仿宋_GB2312"/>
          <w:kern w:val="2"/>
          <w:lang w:val="en-US" w:eastAsia="zh-CN"/>
        </w:rPr>
        <w:t>7</w:t>
      </w:r>
      <w:r>
        <w:rPr>
          <w:rFonts w:hint="eastAsia" w:cs="仿宋_GB2312"/>
          <w:kern w:val="2"/>
        </w:rPr>
        <w:t>）承包人应遵守地方政府和有关部门对施工场地交通、施工噪声、施工现场粉尘等环境卫生和场外污染管理规定并办理有关手续，因承包人责任造成的罚款（含对发包人的罚款）由承包人负责支付。</w:t>
      </w:r>
    </w:p>
    <w:p>
      <w:pPr>
        <w:pageBreakBefore w:val="0"/>
        <w:widowControl/>
        <w:kinsoku/>
        <w:wordWrap/>
        <w:overflowPunct/>
        <w:topLinePunct w:val="0"/>
        <w:bidi w:val="0"/>
        <w:adjustRightInd w:val="0"/>
        <w:snapToGrid w:val="0"/>
        <w:spacing w:line="360" w:lineRule="auto"/>
        <w:ind w:firstLine="480" w:firstLineChars="200"/>
        <w:jc w:val="left"/>
        <w:textAlignment w:val="auto"/>
        <w:rPr>
          <w:rFonts w:cs="仿宋_GB2312"/>
          <w:kern w:val="2"/>
        </w:rPr>
      </w:pPr>
      <w:r>
        <w:rPr>
          <w:rFonts w:hint="eastAsia" w:cs="仿宋_GB2312"/>
          <w:kern w:val="2"/>
        </w:rPr>
        <w:t>（</w:t>
      </w:r>
      <w:r>
        <w:rPr>
          <w:rFonts w:hint="eastAsia" w:cs="仿宋_GB2312"/>
          <w:kern w:val="2"/>
          <w:lang w:val="en-US" w:eastAsia="zh-CN"/>
        </w:rPr>
        <w:t>8</w:t>
      </w:r>
      <w:r>
        <w:rPr>
          <w:rFonts w:hint="eastAsia" w:cs="仿宋_GB2312"/>
          <w:kern w:val="2"/>
        </w:rPr>
        <w:t>）承包人负责</w:t>
      </w:r>
      <w:r>
        <w:rPr>
          <w:rFonts w:hint="eastAsia" w:cs="仿宋_GB2312"/>
          <w:kern w:val="2"/>
          <w:lang w:val="en-US" w:eastAsia="zh-CN"/>
        </w:rPr>
        <w:t>处理环境保护、</w:t>
      </w:r>
      <w:r>
        <w:rPr>
          <w:rFonts w:hint="eastAsia" w:cs="仿宋_GB2312"/>
          <w:kern w:val="2"/>
        </w:rPr>
        <w:t>解决施工扰民或民扰的问题。</w:t>
      </w:r>
    </w:p>
    <w:p>
      <w:pPr>
        <w:keepNext/>
        <w:keepLines/>
        <w:pageBreakBefore w:val="0"/>
        <w:widowControl/>
        <w:kinsoku/>
        <w:wordWrap/>
        <w:overflowPunct/>
        <w:topLinePunct w:val="0"/>
        <w:bidi w:val="0"/>
        <w:adjustRightInd w:val="0"/>
        <w:snapToGrid w:val="0"/>
        <w:spacing w:line="360" w:lineRule="auto"/>
        <w:jc w:val="left"/>
        <w:textAlignment w:val="auto"/>
        <w:outlineLvl w:val="2"/>
        <w:rPr>
          <w:b/>
          <w:bCs/>
          <w:kern w:val="2"/>
        </w:rPr>
      </w:pPr>
      <w:bookmarkStart w:id="600" w:name="_Toc29152"/>
      <w:bookmarkStart w:id="601" w:name="_Toc1515"/>
      <w:bookmarkStart w:id="602" w:name="_Toc4325"/>
      <w:bookmarkStart w:id="603" w:name="_Toc26647"/>
      <w:bookmarkStart w:id="604" w:name="_Toc12262"/>
      <w:bookmarkStart w:id="605" w:name="_Toc5276"/>
      <w:bookmarkStart w:id="606" w:name="_Toc30583"/>
      <w:bookmarkStart w:id="607" w:name="_Toc10774"/>
      <w:bookmarkStart w:id="608" w:name="_Toc67"/>
      <w:bookmarkStart w:id="609" w:name="_Toc8158"/>
      <w:bookmarkStart w:id="610" w:name="_Toc22779"/>
      <w:bookmarkStart w:id="611" w:name="_Toc19256"/>
      <w:r>
        <w:rPr>
          <w:rFonts w:hint="eastAsia"/>
          <w:b/>
          <w:bCs/>
          <w:kern w:val="2"/>
        </w:rPr>
        <w:t>3. 工程整体建设目标</w:t>
      </w:r>
      <w:bookmarkEnd w:id="600"/>
      <w:bookmarkEnd w:id="601"/>
      <w:bookmarkEnd w:id="602"/>
      <w:bookmarkEnd w:id="603"/>
      <w:bookmarkEnd w:id="604"/>
      <w:bookmarkEnd w:id="605"/>
      <w:bookmarkEnd w:id="606"/>
      <w:bookmarkEnd w:id="607"/>
      <w:bookmarkEnd w:id="608"/>
      <w:bookmarkEnd w:id="609"/>
      <w:bookmarkEnd w:id="610"/>
      <w:bookmarkEnd w:id="611"/>
    </w:p>
    <w:p>
      <w:pPr>
        <w:keepNext/>
        <w:keepLines/>
        <w:pageBreakBefore w:val="0"/>
        <w:widowControl w:val="0"/>
        <w:kinsoku/>
        <w:wordWrap/>
        <w:overflowPunct/>
        <w:topLinePunct w:val="0"/>
        <w:autoSpaceDE w:val="0"/>
        <w:autoSpaceDN w:val="0"/>
        <w:bidi w:val="0"/>
        <w:adjustRightInd w:val="0"/>
        <w:snapToGrid w:val="0"/>
        <w:spacing w:line="360" w:lineRule="auto"/>
        <w:jc w:val="left"/>
        <w:textAlignment w:val="auto"/>
        <w:outlineLvl w:val="3"/>
        <w:rPr>
          <w:b/>
          <w:bCs/>
          <w:kern w:val="2"/>
        </w:rPr>
      </w:pPr>
      <w:bookmarkStart w:id="612" w:name="_Toc5821"/>
      <w:bookmarkStart w:id="613" w:name="_Toc3756"/>
      <w:bookmarkStart w:id="614" w:name="_Toc21625"/>
      <w:bookmarkStart w:id="615" w:name="_Toc9743"/>
      <w:bookmarkStart w:id="616" w:name="_Toc4755"/>
      <w:bookmarkStart w:id="617" w:name="_Toc32155"/>
      <w:bookmarkStart w:id="618" w:name="_Toc6071"/>
      <w:bookmarkStart w:id="619" w:name="_Toc23038"/>
      <w:bookmarkStart w:id="620" w:name="_Toc22257"/>
      <w:bookmarkStart w:id="621" w:name="_Toc847"/>
      <w:r>
        <w:rPr>
          <w:rFonts w:hint="eastAsia"/>
          <w:b/>
          <w:bCs/>
          <w:kern w:val="2"/>
        </w:rPr>
        <w:t>3.1 工期目标</w:t>
      </w:r>
      <w:bookmarkEnd w:id="612"/>
      <w:bookmarkEnd w:id="613"/>
      <w:bookmarkEnd w:id="614"/>
      <w:bookmarkEnd w:id="615"/>
      <w:bookmarkEnd w:id="616"/>
      <w:bookmarkEnd w:id="617"/>
      <w:bookmarkEnd w:id="618"/>
      <w:bookmarkEnd w:id="619"/>
      <w:bookmarkEnd w:id="620"/>
      <w:bookmarkEnd w:id="621"/>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kern w:val="2"/>
        </w:rPr>
      </w:pPr>
      <w:r>
        <w:rPr>
          <w:rFonts w:hint="eastAsia"/>
          <w:kern w:val="2"/>
        </w:rPr>
        <w:t>（1）承包人应在总工期内完工并完成竣工</w:t>
      </w:r>
      <w:r>
        <w:rPr>
          <w:rFonts w:hint="eastAsia"/>
          <w:kern w:val="2"/>
          <w:lang w:val="en-US" w:eastAsia="zh-CN"/>
        </w:rPr>
        <w:t>验收</w:t>
      </w:r>
      <w:r>
        <w:rPr>
          <w:rFonts w:hint="eastAsia"/>
          <w:kern w:val="2"/>
        </w:rPr>
        <w:t>：总工期</w:t>
      </w:r>
      <w:r>
        <w:rPr>
          <w:rFonts w:hint="eastAsia"/>
          <w:kern w:val="2"/>
          <w:lang w:val="en-US" w:eastAsia="zh-CN"/>
        </w:rPr>
        <w:t>91</w:t>
      </w:r>
      <w:r>
        <w:rPr>
          <w:rFonts w:hint="eastAsia"/>
          <w:kern w:val="2"/>
        </w:rPr>
        <w:t>日历天；</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kern w:val="2"/>
        </w:rPr>
      </w:pPr>
      <w:r>
        <w:rPr>
          <w:rFonts w:hint="eastAsia"/>
          <w:kern w:val="2"/>
        </w:rPr>
        <w:t>（2）计划开工日期：202</w:t>
      </w:r>
      <w:r>
        <w:rPr>
          <w:kern w:val="2"/>
        </w:rPr>
        <w:t>4</w:t>
      </w:r>
      <w:r>
        <w:rPr>
          <w:rFonts w:hint="eastAsia"/>
          <w:kern w:val="2"/>
        </w:rPr>
        <w:t>年</w:t>
      </w:r>
      <w:r>
        <w:rPr>
          <w:rFonts w:hint="eastAsia"/>
          <w:kern w:val="2"/>
          <w:lang w:val="en-US" w:eastAsia="zh-CN"/>
        </w:rPr>
        <w:t>5</w:t>
      </w:r>
      <w:r>
        <w:rPr>
          <w:rFonts w:hint="eastAsia"/>
          <w:kern w:val="2"/>
        </w:rPr>
        <w:t>月</w:t>
      </w:r>
      <w:r>
        <w:rPr>
          <w:rFonts w:hint="eastAsia"/>
          <w:kern w:val="2"/>
          <w:lang w:val="en-US" w:eastAsia="zh-CN"/>
        </w:rPr>
        <w:t>30</w:t>
      </w:r>
      <w:r>
        <w:rPr>
          <w:rFonts w:hint="eastAsia"/>
          <w:kern w:val="2"/>
        </w:rPr>
        <w:t>日（暂定），</w:t>
      </w:r>
      <w:r>
        <w:rPr>
          <w:rFonts w:hint="eastAsia" w:cs="仿宋_GB2312"/>
          <w:kern w:val="2"/>
        </w:rPr>
        <w:t>以发包人书面发出的进场通知为准</w:t>
      </w:r>
      <w:r>
        <w:rPr>
          <w:rFonts w:hint="eastAsia"/>
          <w:kern w:val="2"/>
        </w:rPr>
        <w:t>。</w:t>
      </w:r>
    </w:p>
    <w:bookmarkEnd w:id="574"/>
    <w:p>
      <w:pPr>
        <w:pageBreakBefore w:val="0"/>
        <w:widowControl w:val="0"/>
        <w:kinsoku/>
        <w:wordWrap/>
        <w:overflowPunct/>
        <w:topLinePunct w:val="0"/>
        <w:autoSpaceDE w:val="0"/>
        <w:autoSpaceDN w:val="0"/>
        <w:bidi w:val="0"/>
        <w:adjustRightInd w:val="0"/>
        <w:snapToGrid w:val="0"/>
        <w:spacing w:line="360" w:lineRule="auto"/>
        <w:ind w:firstLine="482" w:firstLineChars="200"/>
        <w:jc w:val="both"/>
        <w:textAlignment w:val="auto"/>
        <w:rPr>
          <w:rFonts w:cs="仿宋_GB2312"/>
          <w:b/>
          <w:bCs/>
          <w:kern w:val="2"/>
        </w:rPr>
      </w:pPr>
      <w:r>
        <w:rPr>
          <w:rFonts w:hint="eastAsia" w:cs="仿宋_GB2312"/>
          <w:b/>
          <w:bCs/>
          <w:kern w:val="2"/>
          <w:lang w:val="en-US" w:eastAsia="zh-CN"/>
        </w:rPr>
        <w:t>竣工</w:t>
      </w:r>
      <w:r>
        <w:rPr>
          <w:rFonts w:hint="eastAsia" w:cs="仿宋_GB2312"/>
          <w:b/>
          <w:bCs/>
          <w:kern w:val="2"/>
        </w:rPr>
        <w:t>目标延期完成的，罚款</w:t>
      </w:r>
      <w:r>
        <w:rPr>
          <w:rFonts w:hint="eastAsia" w:cs="仿宋_GB2312"/>
          <w:b/>
          <w:bCs/>
          <w:kern w:val="2"/>
          <w:lang w:val="en-US" w:eastAsia="zh-CN"/>
        </w:rPr>
        <w:t>5000/天</w:t>
      </w:r>
      <w:r>
        <w:rPr>
          <w:rFonts w:cs="仿宋_GB2312"/>
          <w:b/>
          <w:bCs/>
          <w:kern w:val="2"/>
        </w:rPr>
        <w:t>。</w:t>
      </w:r>
      <w:r>
        <w:rPr>
          <w:rFonts w:hint="eastAsia" w:cs="仿宋_GB2312"/>
          <w:b/>
          <w:bCs/>
          <w:kern w:val="2"/>
        </w:rPr>
        <w:t>罚款金额从</w:t>
      </w:r>
      <w:r>
        <w:rPr>
          <w:rFonts w:hint="eastAsia" w:cs="仿宋_GB2312"/>
          <w:b/>
          <w:bCs/>
          <w:kern w:val="2"/>
          <w:lang w:val="en-US" w:eastAsia="zh-CN"/>
        </w:rPr>
        <w:t>结算金额中</w:t>
      </w:r>
      <w:r>
        <w:rPr>
          <w:rFonts w:hint="eastAsia" w:cs="仿宋_GB2312"/>
          <w:b/>
          <w:bCs/>
          <w:kern w:val="2"/>
        </w:rPr>
        <w:t>扣除。</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kern w:val="2"/>
        </w:rPr>
      </w:pPr>
      <w:bookmarkStart w:id="622" w:name="_Toc28567"/>
      <w:r>
        <w:rPr>
          <w:rFonts w:hint="eastAsia"/>
          <w:kern w:val="2"/>
        </w:rPr>
        <w:t>（</w:t>
      </w:r>
      <w:r>
        <w:rPr>
          <w:rFonts w:hint="eastAsia" w:cs="仿宋_GB2312"/>
          <w:b w:val="0"/>
          <w:bCs w:val="0"/>
          <w:kern w:val="2"/>
          <w:lang w:val="en-US" w:eastAsia="zh-CN"/>
        </w:rPr>
        <w:t>3</w:t>
      </w:r>
      <w:r>
        <w:rPr>
          <w:rFonts w:hint="eastAsia"/>
          <w:kern w:val="2"/>
        </w:rPr>
        <w:t>）工期说明：</w:t>
      </w:r>
      <w:bookmarkEnd w:id="622"/>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①发承包双方在确定竣工日期以及各</w:t>
      </w:r>
      <w:bookmarkStart w:id="1157" w:name="_GoBack"/>
      <w:bookmarkEnd w:id="1157"/>
      <w:r>
        <w:rPr>
          <w:rFonts w:hint="eastAsia" w:cs="仿宋_GB2312"/>
          <w:kern w:val="2"/>
        </w:rPr>
        <w:t>项控制工期时，已充分考虑：</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A.可能出现的下雨、停水、停电、节假日等因素；</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B.发包人分包、施工合同、供货合同等工程的工期及其影响；</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C.政府重大接待活动等产生的道路交通或施工管制影响；</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D.工程设计变更的影响；</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E.其他因素。</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②如最后承包人能按期完成竣工验收，则本合同上表规定的工期违约金全部返还。</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③所有违约金单独计算，与当期进度款同时兑现。</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④本条款解释权归发包人所有。</w:t>
      </w:r>
    </w:p>
    <w:p>
      <w:pPr>
        <w:keepNext/>
        <w:keepLines/>
        <w:pageBreakBefore w:val="0"/>
        <w:widowControl w:val="0"/>
        <w:kinsoku/>
        <w:wordWrap/>
        <w:overflowPunct/>
        <w:topLinePunct w:val="0"/>
        <w:autoSpaceDE w:val="0"/>
        <w:autoSpaceDN w:val="0"/>
        <w:bidi w:val="0"/>
        <w:adjustRightInd w:val="0"/>
        <w:snapToGrid w:val="0"/>
        <w:spacing w:line="360" w:lineRule="auto"/>
        <w:jc w:val="both"/>
        <w:textAlignment w:val="auto"/>
        <w:outlineLvl w:val="3"/>
        <w:rPr>
          <w:rFonts w:cs="仿宋_GB2312"/>
          <w:b/>
          <w:bCs/>
          <w:kern w:val="2"/>
        </w:rPr>
      </w:pPr>
      <w:bookmarkStart w:id="623" w:name="_Toc21276"/>
      <w:bookmarkStart w:id="624" w:name="_Toc30939"/>
      <w:bookmarkStart w:id="625" w:name="_Toc698"/>
      <w:bookmarkStart w:id="626" w:name="_Toc17082"/>
      <w:bookmarkStart w:id="627" w:name="_Toc3724"/>
      <w:bookmarkStart w:id="628" w:name="_Toc5590"/>
      <w:bookmarkStart w:id="629" w:name="_Toc12131"/>
      <w:bookmarkStart w:id="630" w:name="_Toc17207"/>
      <w:bookmarkStart w:id="631" w:name="_Toc24471"/>
      <w:bookmarkStart w:id="632" w:name="_Toc32153"/>
      <w:r>
        <w:rPr>
          <w:rFonts w:hint="eastAsia" w:cs="仿宋_GB2312"/>
          <w:b/>
          <w:bCs/>
          <w:kern w:val="2"/>
        </w:rPr>
        <w:t>3.2 质量目标</w:t>
      </w:r>
      <w:bookmarkEnd w:id="623"/>
      <w:bookmarkEnd w:id="624"/>
      <w:bookmarkEnd w:id="625"/>
      <w:bookmarkEnd w:id="626"/>
      <w:bookmarkEnd w:id="627"/>
      <w:bookmarkEnd w:id="628"/>
      <w:bookmarkEnd w:id="629"/>
      <w:bookmarkEnd w:id="630"/>
      <w:bookmarkEnd w:id="631"/>
      <w:bookmarkEnd w:id="632"/>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工程质量合格，工程质量必须符合设计要求和现行国家及地方有关规范、标准规定及甲方相关要求、规定。当合同约定的质量要求与相关法律、法规、规范和技术标准矛盾时，以较高要求为准。各单位工程确保一次验收合格，确保无渗漏、工程达到用户满意工程。</w:t>
      </w:r>
    </w:p>
    <w:p>
      <w:pPr>
        <w:keepNext/>
        <w:keepLines/>
        <w:pageBreakBefore w:val="0"/>
        <w:widowControl w:val="0"/>
        <w:kinsoku/>
        <w:wordWrap/>
        <w:overflowPunct/>
        <w:topLinePunct w:val="0"/>
        <w:autoSpaceDE w:val="0"/>
        <w:autoSpaceDN w:val="0"/>
        <w:bidi w:val="0"/>
        <w:adjustRightInd w:val="0"/>
        <w:snapToGrid w:val="0"/>
        <w:spacing w:line="360" w:lineRule="auto"/>
        <w:jc w:val="both"/>
        <w:textAlignment w:val="auto"/>
        <w:outlineLvl w:val="3"/>
        <w:rPr>
          <w:rFonts w:cs="仿宋_GB2312"/>
          <w:b/>
          <w:bCs/>
          <w:kern w:val="2"/>
        </w:rPr>
      </w:pPr>
      <w:bookmarkStart w:id="633" w:name="_Toc20006"/>
      <w:bookmarkStart w:id="634" w:name="_Toc20470"/>
      <w:bookmarkStart w:id="635" w:name="_Toc12042"/>
      <w:bookmarkStart w:id="636" w:name="_Toc6269"/>
      <w:bookmarkStart w:id="637" w:name="_Toc18044"/>
      <w:bookmarkStart w:id="638" w:name="_Toc31070"/>
      <w:bookmarkStart w:id="639" w:name="_Toc7395"/>
      <w:bookmarkStart w:id="640" w:name="_Toc1192"/>
      <w:bookmarkStart w:id="641" w:name="_Toc14049"/>
      <w:bookmarkStart w:id="642" w:name="_Toc12540"/>
      <w:r>
        <w:rPr>
          <w:rFonts w:hint="eastAsia" w:cs="仿宋_GB2312"/>
          <w:b/>
          <w:bCs/>
          <w:kern w:val="2"/>
        </w:rPr>
        <w:t>3.3 安全文明施工目标</w:t>
      </w:r>
      <w:bookmarkEnd w:id="633"/>
      <w:bookmarkEnd w:id="634"/>
      <w:bookmarkEnd w:id="635"/>
      <w:bookmarkEnd w:id="636"/>
      <w:bookmarkEnd w:id="637"/>
      <w:bookmarkEnd w:id="638"/>
      <w:bookmarkEnd w:id="639"/>
      <w:bookmarkEnd w:id="640"/>
      <w:bookmarkEnd w:id="641"/>
      <w:bookmarkEnd w:id="642"/>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bCs/>
          <w:kern w:val="2"/>
        </w:rPr>
      </w:pPr>
      <w:r>
        <w:rPr>
          <w:rFonts w:hint="eastAsia"/>
          <w:bCs/>
          <w:kern w:val="2"/>
        </w:rPr>
        <w:t>（1）确保无重大伤亡事故，施工现场按照国家、地方安全文明施工要求进行管理，工伤频率控制在建筑施工安全管理法规的指标要求范围内，工地无扬尘，泥浆不外流，排污符合环保要求。</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2）同时需满足甲方CI形象宣传需求，对于施工现场标识的设置和管理，承包方必须严格按照甲方《承包商施工现场管理制度》、《深圳市龙华建设发展有限公司安全生产标准化图集（印发版）》以及政府部门的相关要求执行，相关费用包含在合同报价内，施工现场严禁出现未经甲方许可的私立广告标识。</w:t>
      </w:r>
    </w:p>
    <w:p>
      <w:pPr>
        <w:keepNext/>
        <w:keepLines/>
        <w:pageBreakBefore w:val="0"/>
        <w:widowControl w:val="0"/>
        <w:kinsoku/>
        <w:wordWrap/>
        <w:overflowPunct/>
        <w:topLinePunct w:val="0"/>
        <w:autoSpaceDE w:val="0"/>
        <w:autoSpaceDN w:val="0"/>
        <w:bidi w:val="0"/>
        <w:adjustRightInd w:val="0"/>
        <w:snapToGrid w:val="0"/>
        <w:spacing w:line="360" w:lineRule="auto"/>
        <w:jc w:val="both"/>
        <w:textAlignment w:val="auto"/>
        <w:outlineLvl w:val="3"/>
        <w:rPr>
          <w:rFonts w:cs="仿宋_GB2312"/>
          <w:b/>
          <w:bCs/>
          <w:kern w:val="2"/>
        </w:rPr>
      </w:pPr>
      <w:bookmarkStart w:id="643" w:name="_Toc25482"/>
      <w:bookmarkStart w:id="644" w:name="_Toc2916"/>
      <w:bookmarkStart w:id="645" w:name="_Toc9337"/>
      <w:bookmarkStart w:id="646" w:name="_Toc30905"/>
      <w:bookmarkStart w:id="647" w:name="_Toc6631"/>
      <w:bookmarkStart w:id="648" w:name="_Toc19865"/>
      <w:bookmarkStart w:id="649" w:name="_Toc18368"/>
      <w:bookmarkStart w:id="650" w:name="_Toc12389"/>
      <w:bookmarkStart w:id="651" w:name="_Toc22258"/>
      <w:bookmarkStart w:id="652" w:name="_Toc2651"/>
      <w:r>
        <w:rPr>
          <w:rFonts w:hint="eastAsia" w:cs="仿宋_GB2312"/>
          <w:b/>
          <w:bCs/>
          <w:kern w:val="2"/>
        </w:rPr>
        <w:t>3.4 绿色建筑标准</w:t>
      </w:r>
      <w:bookmarkEnd w:id="643"/>
      <w:bookmarkEnd w:id="644"/>
      <w:bookmarkEnd w:id="645"/>
      <w:bookmarkEnd w:id="646"/>
      <w:bookmarkEnd w:id="647"/>
      <w:bookmarkEnd w:id="648"/>
      <w:bookmarkEnd w:id="649"/>
      <w:bookmarkEnd w:id="650"/>
      <w:bookmarkEnd w:id="651"/>
      <w:bookmarkEnd w:id="652"/>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bCs/>
          <w:kern w:val="2"/>
        </w:rPr>
      </w:pPr>
      <w:r>
        <w:rPr>
          <w:rFonts w:hint="eastAsia" w:cs="仿宋_GB2312"/>
          <w:bCs/>
          <w:kern w:val="2"/>
        </w:rPr>
        <w:t>按设计文件要求执行。</w:t>
      </w:r>
    </w:p>
    <w:p>
      <w:pPr>
        <w:pageBreakBefore w:val="0"/>
        <w:widowControl/>
        <w:kinsoku/>
        <w:wordWrap/>
        <w:overflowPunct/>
        <w:topLinePunct w:val="0"/>
        <w:bidi w:val="0"/>
        <w:adjustRightInd w:val="0"/>
        <w:snapToGrid w:val="0"/>
        <w:spacing w:line="360" w:lineRule="auto"/>
        <w:jc w:val="both"/>
        <w:textAlignment w:val="auto"/>
        <w:outlineLvl w:val="2"/>
        <w:rPr>
          <w:rFonts w:cs="仿宋_GB2312"/>
          <w:b/>
          <w:bCs/>
          <w:kern w:val="2"/>
        </w:rPr>
      </w:pPr>
      <w:bookmarkStart w:id="653" w:name="_Toc20919"/>
      <w:bookmarkStart w:id="654" w:name="_Toc8902"/>
      <w:bookmarkStart w:id="655" w:name="_Toc7455"/>
      <w:bookmarkStart w:id="656" w:name="_Toc19853"/>
      <w:bookmarkStart w:id="657" w:name="_Toc18792"/>
      <w:bookmarkStart w:id="658" w:name="_Toc12881"/>
      <w:bookmarkStart w:id="659" w:name="_Toc10110"/>
      <w:bookmarkStart w:id="660" w:name="_Toc21743"/>
      <w:bookmarkStart w:id="661" w:name="_Toc9133"/>
      <w:bookmarkStart w:id="662" w:name="_Toc11033"/>
      <w:bookmarkStart w:id="663" w:name="_Toc12249"/>
      <w:bookmarkStart w:id="664" w:name="_Toc32336"/>
      <w:bookmarkStart w:id="665" w:name="_Toc9302"/>
      <w:bookmarkStart w:id="666" w:name="_Toc21067"/>
      <w:bookmarkStart w:id="667" w:name="_Toc30552"/>
      <w:bookmarkStart w:id="668" w:name="_Toc32260"/>
      <w:bookmarkStart w:id="669" w:name="_Toc13424"/>
      <w:bookmarkStart w:id="670" w:name="_Toc13162"/>
      <w:bookmarkStart w:id="671" w:name="_Toc12396"/>
      <w:bookmarkStart w:id="672" w:name="_Toc14991"/>
      <w:bookmarkStart w:id="673" w:name="_Toc6819"/>
      <w:bookmarkStart w:id="674" w:name="_Toc14830"/>
      <w:bookmarkStart w:id="675" w:name="_Toc22072"/>
      <w:bookmarkStart w:id="676" w:name="_Toc20145"/>
      <w:r>
        <w:rPr>
          <w:rFonts w:hint="eastAsia" w:cs="仿宋_GB2312"/>
          <w:b/>
          <w:bCs/>
          <w:kern w:val="2"/>
        </w:rPr>
        <w:t>4. 技术管理规范</w:t>
      </w:r>
      <w:bookmarkEnd w:id="653"/>
      <w:bookmarkEnd w:id="654"/>
      <w:bookmarkEnd w:id="655"/>
      <w:bookmarkEnd w:id="656"/>
      <w:bookmarkEnd w:id="657"/>
      <w:bookmarkEnd w:id="658"/>
      <w:bookmarkEnd w:id="659"/>
      <w:bookmarkEnd w:id="660"/>
      <w:bookmarkEnd w:id="661"/>
      <w:bookmarkEnd w:id="662"/>
      <w:bookmarkEnd w:id="663"/>
      <w:bookmarkEnd w:id="664"/>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 xml:space="preserve">本工程的设计、施工验收及管理规范包括但不限于： </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《混凝土强度检验评定标准》（</w:t>
      </w:r>
      <w:r>
        <w:rPr>
          <w:rFonts w:cs="仿宋_GB2312"/>
          <w:kern w:val="2"/>
        </w:rPr>
        <w:t>GB/T50107-201</w:t>
      </w:r>
      <w:r>
        <w:rPr>
          <w:rFonts w:hint="eastAsia" w:cs="仿宋_GB2312"/>
          <w:kern w:val="2"/>
        </w:rPr>
        <w:t>9</w:t>
      </w:r>
      <w:r>
        <w:rPr>
          <w:rFonts w:cs="仿宋_GB2312"/>
          <w:kern w:val="2"/>
        </w:rPr>
        <w:t>）</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《混凝土外加剂应用技术规范》（</w:t>
      </w:r>
      <w:r>
        <w:rPr>
          <w:rFonts w:cs="仿宋_GB2312"/>
          <w:kern w:val="2"/>
        </w:rPr>
        <w:t>GB50119-2013）</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《混凝土质量控制标准》（</w:t>
      </w:r>
      <w:r>
        <w:rPr>
          <w:rFonts w:cs="仿宋_GB2312"/>
          <w:kern w:val="2"/>
        </w:rPr>
        <w:t>GB50164-2011）</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《混凝土结构工程施工质量验收规范》（</w:t>
      </w:r>
      <w:r>
        <w:rPr>
          <w:rFonts w:cs="仿宋_GB2312"/>
          <w:kern w:val="2"/>
        </w:rPr>
        <w:t>GB50204-2015）</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《混凝土结构工程施工规范》（</w:t>
      </w:r>
      <w:r>
        <w:rPr>
          <w:rFonts w:cs="仿宋_GB2312"/>
          <w:kern w:val="2"/>
        </w:rPr>
        <w:t>GB50666-2011）</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《建筑工程施工质量验收统一标准》（</w:t>
      </w:r>
      <w:r>
        <w:rPr>
          <w:rFonts w:cs="仿宋_GB2312"/>
          <w:kern w:val="2"/>
        </w:rPr>
        <w:t>GB50300-2013）</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《建筑基坑工程监测技术规范》（</w:t>
      </w:r>
      <w:r>
        <w:rPr>
          <w:rFonts w:cs="仿宋_GB2312"/>
          <w:kern w:val="2"/>
        </w:rPr>
        <w:t>GB50497-2019）</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《建筑变形测量规范》（</w:t>
      </w:r>
      <w:r>
        <w:rPr>
          <w:rFonts w:cs="仿宋_GB2312"/>
          <w:kern w:val="2"/>
        </w:rPr>
        <w:t>JGJ8-201</w:t>
      </w:r>
      <w:r>
        <w:rPr>
          <w:rFonts w:hint="eastAsia" w:cs="仿宋_GB2312"/>
          <w:kern w:val="2"/>
        </w:rPr>
        <w:t>9</w:t>
      </w:r>
      <w:r>
        <w:rPr>
          <w:rFonts w:cs="仿宋_GB2312"/>
          <w:kern w:val="2"/>
        </w:rPr>
        <w:t>）</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《建筑机械使用安全技术规程》（</w:t>
      </w:r>
      <w:r>
        <w:rPr>
          <w:rFonts w:cs="仿宋_GB2312"/>
          <w:kern w:val="2"/>
        </w:rPr>
        <w:t>JGJ33-201</w:t>
      </w:r>
      <w:r>
        <w:rPr>
          <w:rFonts w:hint="eastAsia" w:cs="仿宋_GB2312"/>
          <w:kern w:val="2"/>
        </w:rPr>
        <w:t>9</w:t>
      </w:r>
      <w:r>
        <w:rPr>
          <w:rFonts w:cs="仿宋_GB2312"/>
          <w:kern w:val="2"/>
        </w:rPr>
        <w:t>）</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《施工企业安全生产评价标准》（</w:t>
      </w:r>
      <w:r>
        <w:rPr>
          <w:rFonts w:cs="仿宋_GB2312"/>
          <w:kern w:val="2"/>
        </w:rPr>
        <w:t>JGJ/T77-2010）</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《建筑地基处理技术规范》（</w:t>
      </w:r>
      <w:r>
        <w:rPr>
          <w:rFonts w:cs="仿宋_GB2312"/>
          <w:kern w:val="2"/>
        </w:rPr>
        <w:t>JGJ79-20</w:t>
      </w:r>
      <w:r>
        <w:rPr>
          <w:rFonts w:hint="eastAsia" w:cs="仿宋_GB2312"/>
          <w:kern w:val="2"/>
        </w:rPr>
        <w:t>2</w:t>
      </w:r>
      <w:r>
        <w:rPr>
          <w:rFonts w:cs="仿宋_GB2312"/>
          <w:kern w:val="2"/>
        </w:rPr>
        <w:t>2）</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《建筑设计防火规范》（</w:t>
      </w:r>
      <w:r>
        <w:rPr>
          <w:rFonts w:cs="仿宋_GB2312"/>
          <w:kern w:val="2"/>
        </w:rPr>
        <w:t>GB50016-20</w:t>
      </w:r>
      <w:r>
        <w:rPr>
          <w:rFonts w:hint="eastAsia" w:cs="仿宋_GB2312"/>
          <w:kern w:val="2"/>
        </w:rPr>
        <w:t>22</w:t>
      </w:r>
      <w:r>
        <w:rPr>
          <w:rFonts w:cs="仿宋_GB2312"/>
          <w:kern w:val="2"/>
        </w:rPr>
        <w:t>）</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项目模块化设计、施工、验收需符合《混凝土模块化建筑技术规程》（SJG 130 – 2023）和《模块化装配整体式建筑设计规程》(T/CECS 575-2019)等规范，并满足深圳绿色建筑二星级认证、深圳市装配式建筑示范项目有关要求。</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《装配整体式叠合混凝土结构施工及质量验收规程》</w:t>
      </w:r>
    </w:p>
    <w:p>
      <w:pPr>
        <w:pageBreakBefore w:val="0"/>
        <w:widowControl w:val="0"/>
        <w:kinsoku/>
        <w:wordWrap/>
        <w:overflowPunct/>
        <w:topLinePunct w:val="0"/>
        <w:bidi w:val="0"/>
        <w:adjustRightInd w:val="0"/>
        <w:snapToGrid w:val="0"/>
        <w:spacing w:line="360" w:lineRule="auto"/>
        <w:ind w:firstLine="480" w:firstLineChars="200"/>
        <w:jc w:val="left"/>
        <w:textAlignment w:val="auto"/>
        <w:rPr>
          <w:rFonts w:cs="仿宋_GB2312"/>
          <w:kern w:val="2"/>
        </w:rPr>
      </w:pPr>
      <w:r>
        <w:rPr>
          <w:rFonts w:hint="eastAsia" w:cs="仿宋_GB2312"/>
          <w:kern w:val="2"/>
        </w:rPr>
        <w:t>《装配整体式钢筋焊接网叠合混凝土结构技术规程》</w:t>
      </w:r>
    </w:p>
    <w:p>
      <w:pPr>
        <w:pageBreakBefore w:val="0"/>
        <w:widowControl w:val="0"/>
        <w:kinsoku/>
        <w:wordWrap/>
        <w:overflowPunct/>
        <w:topLinePunct w:val="0"/>
        <w:autoSpaceDE w:val="0"/>
        <w:autoSpaceDN w:val="0"/>
        <w:bidi w:val="0"/>
        <w:adjustRightInd w:val="0"/>
        <w:snapToGrid w:val="0"/>
        <w:spacing w:line="360" w:lineRule="auto"/>
        <w:ind w:firstLine="482" w:firstLineChars="200"/>
        <w:jc w:val="both"/>
        <w:textAlignment w:val="auto"/>
        <w:rPr>
          <w:rFonts w:cs="仿宋_GB2312"/>
          <w:b/>
          <w:bCs/>
          <w:kern w:val="2"/>
        </w:rPr>
      </w:pPr>
      <w:r>
        <w:rPr>
          <w:rFonts w:hint="eastAsia" w:cs="仿宋_GB2312"/>
          <w:b/>
          <w:bCs/>
          <w:kern w:val="2"/>
        </w:rPr>
        <w:t>以上规范如有最新版本，按最新版本执行。本次招标内容不限于上述所列规范，同时还应满足项目所在地的地方性规范。如遇设计或施工规范和标准对同一事项的要求不一致时，以要求高者为准。</w:t>
      </w:r>
    </w:p>
    <w:p>
      <w:pPr>
        <w:pageBreakBefore w:val="0"/>
        <w:widowControl/>
        <w:kinsoku/>
        <w:wordWrap/>
        <w:overflowPunct/>
        <w:topLinePunct w:val="0"/>
        <w:bidi w:val="0"/>
        <w:adjustRightInd w:val="0"/>
        <w:snapToGrid w:val="0"/>
        <w:spacing w:line="360" w:lineRule="auto"/>
        <w:jc w:val="both"/>
        <w:textAlignment w:val="auto"/>
        <w:outlineLvl w:val="2"/>
        <w:rPr>
          <w:rFonts w:cs="仿宋_GB2312"/>
          <w:b/>
          <w:bCs/>
          <w:kern w:val="2"/>
        </w:rPr>
      </w:pPr>
      <w:r>
        <w:rPr>
          <w:rFonts w:hint="eastAsia" w:cs="仿宋_GB2312"/>
          <w:b/>
          <w:bCs/>
          <w:kern w:val="2"/>
        </w:rPr>
        <w:t>5. 项目组织架构</w:t>
      </w:r>
      <w:bookmarkEnd w:id="665"/>
      <w:bookmarkEnd w:id="666"/>
      <w:bookmarkEnd w:id="667"/>
      <w:bookmarkEnd w:id="668"/>
      <w:bookmarkEnd w:id="669"/>
      <w:bookmarkEnd w:id="670"/>
      <w:bookmarkEnd w:id="671"/>
      <w:bookmarkEnd w:id="672"/>
      <w:bookmarkEnd w:id="673"/>
      <w:bookmarkEnd w:id="674"/>
      <w:bookmarkEnd w:id="675"/>
      <w:bookmarkEnd w:id="676"/>
    </w:p>
    <w:p>
      <w:pPr>
        <w:keepNext/>
        <w:keepLines/>
        <w:pageBreakBefore w:val="0"/>
        <w:widowControl w:val="0"/>
        <w:kinsoku/>
        <w:wordWrap/>
        <w:overflowPunct/>
        <w:topLinePunct w:val="0"/>
        <w:autoSpaceDE w:val="0"/>
        <w:autoSpaceDN w:val="0"/>
        <w:bidi w:val="0"/>
        <w:adjustRightInd w:val="0"/>
        <w:snapToGrid w:val="0"/>
        <w:spacing w:line="360" w:lineRule="auto"/>
        <w:jc w:val="both"/>
        <w:textAlignment w:val="auto"/>
        <w:outlineLvl w:val="3"/>
        <w:rPr>
          <w:rFonts w:cs="仿宋_GB2312"/>
          <w:b/>
          <w:bCs/>
          <w:kern w:val="2"/>
        </w:rPr>
      </w:pPr>
      <w:bookmarkStart w:id="677" w:name="_Toc9759"/>
      <w:bookmarkStart w:id="678" w:name="_Toc7937"/>
      <w:bookmarkStart w:id="679" w:name="_Toc31274"/>
      <w:bookmarkStart w:id="680" w:name="_Toc11703"/>
      <w:bookmarkStart w:id="681" w:name="_Toc2514"/>
      <w:bookmarkStart w:id="682" w:name="_Toc19808"/>
      <w:bookmarkStart w:id="683" w:name="_Toc455"/>
      <w:bookmarkStart w:id="684" w:name="_Toc29069"/>
      <w:bookmarkStart w:id="685" w:name="_Toc21048"/>
      <w:bookmarkStart w:id="686" w:name="_Toc29780"/>
      <w:r>
        <w:rPr>
          <w:rFonts w:hint="eastAsia" w:cs="仿宋_GB2312"/>
          <w:b/>
          <w:bCs/>
          <w:kern w:val="2"/>
        </w:rPr>
        <w:t>5.1 基本要求</w:t>
      </w:r>
      <w:bookmarkEnd w:id="677"/>
      <w:bookmarkEnd w:id="678"/>
      <w:bookmarkEnd w:id="679"/>
      <w:bookmarkEnd w:id="680"/>
      <w:bookmarkEnd w:id="681"/>
      <w:bookmarkEnd w:id="682"/>
      <w:bookmarkEnd w:id="683"/>
      <w:bookmarkEnd w:id="684"/>
      <w:bookmarkEnd w:id="685"/>
      <w:bookmarkEnd w:id="686"/>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（1）总承包商应建立符合工程特点的项目组织架构。</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2）总承包商应需配置项目经理、生产经理、技术负责人、质量负责人、安全负责人等专业技术人员，提供与商务标一致的《项目管理班子配备情况表》，并附上述人员的任职资格材料（相关执业资格证、工程类职称证书等）。</w:t>
      </w:r>
    </w:p>
    <w:p>
      <w:pPr>
        <w:keepNext/>
        <w:keepLines/>
        <w:pageBreakBefore w:val="0"/>
        <w:widowControl w:val="0"/>
        <w:kinsoku/>
        <w:wordWrap/>
        <w:overflowPunct/>
        <w:topLinePunct w:val="0"/>
        <w:autoSpaceDE w:val="0"/>
        <w:autoSpaceDN w:val="0"/>
        <w:bidi w:val="0"/>
        <w:adjustRightInd w:val="0"/>
        <w:snapToGrid w:val="0"/>
        <w:spacing w:line="360" w:lineRule="auto"/>
        <w:jc w:val="both"/>
        <w:textAlignment w:val="auto"/>
        <w:outlineLvl w:val="3"/>
        <w:rPr>
          <w:rFonts w:cs="仿宋_GB2312"/>
          <w:b/>
          <w:bCs/>
          <w:kern w:val="2"/>
        </w:rPr>
      </w:pPr>
      <w:bookmarkStart w:id="687" w:name="_Toc29381"/>
      <w:bookmarkStart w:id="688" w:name="_Toc31360"/>
      <w:bookmarkStart w:id="689" w:name="_Toc7347"/>
      <w:bookmarkStart w:id="690" w:name="_Toc1457"/>
      <w:bookmarkStart w:id="691" w:name="_Toc20723"/>
      <w:bookmarkStart w:id="692" w:name="_Toc10125"/>
      <w:bookmarkStart w:id="693" w:name="_Toc10852"/>
      <w:bookmarkStart w:id="694" w:name="_Toc25455"/>
      <w:bookmarkStart w:id="695" w:name="_Toc19570"/>
      <w:bookmarkStart w:id="696" w:name="_Toc15844"/>
      <w:r>
        <w:rPr>
          <w:rFonts w:hint="eastAsia" w:cs="仿宋_GB2312"/>
          <w:b/>
          <w:bCs/>
          <w:kern w:val="2"/>
        </w:rPr>
        <w:t>5.2 主要管理人员要求</w:t>
      </w:r>
      <w:bookmarkEnd w:id="687"/>
      <w:bookmarkEnd w:id="688"/>
      <w:bookmarkEnd w:id="689"/>
      <w:bookmarkEnd w:id="690"/>
      <w:bookmarkEnd w:id="691"/>
      <w:bookmarkEnd w:id="692"/>
      <w:bookmarkEnd w:id="693"/>
      <w:bookmarkEnd w:id="694"/>
      <w:bookmarkEnd w:id="695"/>
      <w:bookmarkEnd w:id="696"/>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outlineLvl w:val="9"/>
        <w:rPr>
          <w:rFonts w:cs="仿宋_GB2312"/>
          <w:kern w:val="2"/>
        </w:rPr>
      </w:pPr>
      <w:bookmarkStart w:id="697" w:name="_Toc13416"/>
      <w:r>
        <w:rPr>
          <w:rFonts w:hint="eastAsia" w:cs="仿宋_GB2312"/>
          <w:kern w:val="2"/>
        </w:rPr>
        <w:t>（1）公司分管领导</w:t>
      </w:r>
      <w:bookmarkEnd w:id="697"/>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kern w:val="2"/>
        </w:rPr>
      </w:pPr>
      <w:r>
        <w:rPr>
          <w:rFonts w:hint="eastAsia"/>
          <w:kern w:val="2"/>
        </w:rPr>
        <w:t>①总承包商应指定公司总部 1 名决策层或董事会成员作为本项目分管领导。</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kern w:val="2"/>
        </w:rPr>
      </w:pPr>
      <w:r>
        <w:rPr>
          <w:rFonts w:hint="eastAsia"/>
          <w:kern w:val="2"/>
        </w:rPr>
        <w:t>②项目分管领导须每季度与甲方高层会面，接受投诉、提供建议、协调公司资源。</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outlineLvl w:val="9"/>
        <w:rPr>
          <w:rFonts w:cs="仿宋_GB2312"/>
          <w:kern w:val="2"/>
        </w:rPr>
      </w:pPr>
      <w:bookmarkStart w:id="698" w:name="_Toc19682"/>
      <w:r>
        <w:rPr>
          <w:rFonts w:hint="eastAsia" w:cs="仿宋_GB2312"/>
          <w:kern w:val="2"/>
        </w:rPr>
        <w:t>（2）项目经理</w:t>
      </w:r>
      <w:bookmarkEnd w:id="698"/>
    </w:p>
    <w:p>
      <w:pPr>
        <w:pageBreakBefore w:val="0"/>
        <w:widowControl/>
        <w:kinsoku/>
        <w:wordWrap/>
        <w:overflowPunct/>
        <w:topLinePunct w:val="0"/>
        <w:bidi w:val="0"/>
        <w:adjustRightInd w:val="0"/>
        <w:snapToGrid w:val="0"/>
        <w:spacing w:line="360" w:lineRule="auto"/>
        <w:ind w:firstLine="480" w:firstLineChars="200"/>
        <w:jc w:val="both"/>
        <w:textAlignment w:val="auto"/>
        <w:rPr>
          <w:rFonts w:cs="仿宋_GB2312"/>
          <w:bCs/>
          <w:kern w:val="2"/>
        </w:rPr>
      </w:pPr>
      <w:r>
        <w:rPr>
          <w:rFonts w:hint="eastAsia" w:cs="仿宋_GB2312"/>
          <w:bCs/>
          <w:kern w:val="2"/>
        </w:rPr>
        <w:t>项目经理应提供近5年（自截标之日起倒算，以竣工验收报告或建设单位出具完工证明时间为准）完成的自认为最具代表性的同类工程业绩。</w:t>
      </w:r>
    </w:p>
    <w:p>
      <w:pPr>
        <w:pageBreakBefore w:val="0"/>
        <w:widowControl/>
        <w:kinsoku/>
        <w:wordWrap/>
        <w:overflowPunct/>
        <w:topLinePunct w:val="0"/>
        <w:bidi w:val="0"/>
        <w:adjustRightInd w:val="0"/>
        <w:snapToGrid w:val="0"/>
        <w:spacing w:line="360" w:lineRule="auto"/>
        <w:jc w:val="both"/>
        <w:textAlignment w:val="auto"/>
        <w:outlineLvl w:val="2"/>
        <w:rPr>
          <w:rFonts w:cs="仿宋_GB2312"/>
          <w:b/>
          <w:bCs/>
          <w:kern w:val="2"/>
        </w:rPr>
      </w:pPr>
      <w:bookmarkStart w:id="699" w:name="_Toc6550"/>
      <w:bookmarkStart w:id="700" w:name="_Toc3383"/>
      <w:bookmarkStart w:id="701" w:name="_Toc15451"/>
      <w:bookmarkStart w:id="702" w:name="_Toc28343"/>
      <w:bookmarkStart w:id="703" w:name="_Toc5776"/>
      <w:bookmarkStart w:id="704" w:name="_Toc26549"/>
      <w:bookmarkStart w:id="705" w:name="_Toc22374"/>
      <w:bookmarkStart w:id="706" w:name="_Toc26325"/>
      <w:bookmarkStart w:id="707" w:name="_Toc14285"/>
      <w:bookmarkStart w:id="708" w:name="_Toc3173"/>
      <w:bookmarkStart w:id="709" w:name="_Toc17743"/>
      <w:bookmarkStart w:id="710" w:name="_Toc3386"/>
      <w:r>
        <w:rPr>
          <w:rFonts w:hint="eastAsia" w:cs="仿宋_GB2312"/>
          <w:b/>
          <w:bCs/>
          <w:kern w:val="2"/>
        </w:rPr>
        <w:t>6. 计划管理</w:t>
      </w:r>
      <w:bookmarkEnd w:id="699"/>
      <w:bookmarkEnd w:id="700"/>
      <w:bookmarkEnd w:id="701"/>
      <w:bookmarkEnd w:id="702"/>
      <w:bookmarkEnd w:id="703"/>
      <w:bookmarkEnd w:id="704"/>
      <w:bookmarkEnd w:id="705"/>
      <w:bookmarkEnd w:id="706"/>
      <w:bookmarkEnd w:id="707"/>
      <w:bookmarkEnd w:id="708"/>
      <w:bookmarkEnd w:id="709"/>
      <w:bookmarkEnd w:id="710"/>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（1）施工总进度计划中应详细说明整个工程进度计划、劳动力计划、机械设备进场计划、材料计划、发包人供应材料设备采购计划。</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2）工程进度计划应按照关键线路网络图和主要工作横道图两种形式分别编绘，并应包括每月预计完成的工作量和形象进度，在需要时每个月修正一次。承包人必须按监理人确认的进度计划组织施工，接受监理人对进度的检查、监督。工程实际进度对于在竣工时间内完工过于迟缓或与经确认的进度计划不符时，承包人应按监理人的要求和建议进行整改并提交修订的进度计划，经监理人确认后执行。</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（3）总承包商进场后，应建立进度报告制度，严把关键线路施工进度。并按以下节点及要求编制并上报进度计划：</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①按甲方确定的工期目标编制控制性总体施工进度计划；</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②开工时提供</w:t>
      </w:r>
      <w:r>
        <w:rPr>
          <w:rFonts w:hint="eastAsia" w:cs="仿宋_GB2312"/>
          <w:kern w:val="2"/>
          <w:lang w:val="en-US" w:eastAsia="zh-CN"/>
        </w:rPr>
        <w:t>本项目的进度</w:t>
      </w:r>
      <w:r>
        <w:rPr>
          <w:rFonts w:hint="eastAsia" w:cs="仿宋_GB2312"/>
          <w:kern w:val="2"/>
        </w:rPr>
        <w:t>计划；</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③每月25日前完成提供下月的工程进度计划及本月进度统计报表的时间；</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④每周监理例会前提供下周的工程进度计划及本周进度统计报表的时间；</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⑤以上各阶段的进度计划编制内容必须包括下周月施工重点、难点及采取的措施；本周月进度计划的符合性，进度延后的说明及后续采取的措施；各专业分包、材料进场计划节点及管理要求；各阶段进度计划在编制后报监理审核后在要求时间前交发包人确认后，方可执行。</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highlight w:val="yellow"/>
        </w:rPr>
      </w:pPr>
      <w:r>
        <w:rPr>
          <w:rFonts w:hint="eastAsia" w:cs="仿宋_GB2312"/>
          <w:kern w:val="2"/>
        </w:rPr>
        <w:t>（4）总承包商在施工过程中按期（周、月、季）比较进度计划和实际进度，若发现进度计划和实际进度出现偏差，则要及时查找原因、找到对策，并根据延迟的情况调整后续工序，保证总工期，如果需要调整施工总进度计划，修订的施工总进度计划按程序报监理、甲方审批后执行。</w:t>
      </w:r>
    </w:p>
    <w:p>
      <w:pPr>
        <w:keepNext/>
        <w:keepLines/>
        <w:pageBreakBefore w:val="0"/>
        <w:widowControl/>
        <w:kinsoku/>
        <w:wordWrap/>
        <w:overflowPunct/>
        <w:topLinePunct w:val="0"/>
        <w:bidi w:val="0"/>
        <w:adjustRightInd w:val="0"/>
        <w:snapToGrid w:val="0"/>
        <w:spacing w:line="360" w:lineRule="auto"/>
        <w:jc w:val="both"/>
        <w:textAlignment w:val="auto"/>
        <w:outlineLvl w:val="2"/>
        <w:rPr>
          <w:rFonts w:cs="仿宋_GB2312"/>
          <w:b/>
          <w:bCs/>
          <w:kern w:val="2"/>
        </w:rPr>
      </w:pPr>
      <w:bookmarkStart w:id="711" w:name="_Toc15951"/>
      <w:bookmarkStart w:id="712" w:name="_Toc717"/>
      <w:bookmarkStart w:id="713" w:name="_Toc18973"/>
      <w:bookmarkStart w:id="714" w:name="_Toc22885"/>
      <w:bookmarkStart w:id="715" w:name="_Toc4747"/>
      <w:bookmarkStart w:id="716" w:name="_Toc25180"/>
      <w:bookmarkStart w:id="717" w:name="_Toc8246"/>
      <w:bookmarkStart w:id="718" w:name="_Toc3745"/>
      <w:bookmarkStart w:id="719" w:name="_Toc25426"/>
      <w:bookmarkStart w:id="720" w:name="_Toc25460"/>
      <w:bookmarkStart w:id="721" w:name="_Toc15193"/>
      <w:bookmarkStart w:id="722" w:name="_Toc6868"/>
      <w:r>
        <w:rPr>
          <w:rFonts w:hint="eastAsia" w:cs="仿宋_GB2312"/>
          <w:b/>
          <w:bCs/>
          <w:kern w:val="2"/>
          <w:lang w:val="en-US" w:eastAsia="zh-CN"/>
        </w:rPr>
        <w:t>7</w:t>
      </w:r>
      <w:r>
        <w:rPr>
          <w:rFonts w:hint="eastAsia" w:cs="仿宋_GB2312"/>
          <w:b/>
          <w:bCs/>
          <w:kern w:val="2"/>
        </w:rPr>
        <w:t>. 质量管理</w:t>
      </w:r>
      <w:bookmarkEnd w:id="711"/>
      <w:bookmarkEnd w:id="712"/>
      <w:bookmarkEnd w:id="713"/>
      <w:bookmarkEnd w:id="714"/>
      <w:bookmarkEnd w:id="715"/>
      <w:bookmarkEnd w:id="716"/>
      <w:bookmarkEnd w:id="717"/>
      <w:bookmarkEnd w:id="718"/>
      <w:bookmarkEnd w:id="719"/>
      <w:bookmarkEnd w:id="720"/>
      <w:bookmarkEnd w:id="721"/>
      <w:bookmarkEnd w:id="722"/>
    </w:p>
    <w:p>
      <w:pPr>
        <w:keepNext/>
        <w:keepLines/>
        <w:pageBreakBefore w:val="0"/>
        <w:widowControl w:val="0"/>
        <w:kinsoku/>
        <w:wordWrap/>
        <w:overflowPunct/>
        <w:topLinePunct w:val="0"/>
        <w:autoSpaceDE w:val="0"/>
        <w:autoSpaceDN w:val="0"/>
        <w:bidi w:val="0"/>
        <w:adjustRightInd w:val="0"/>
        <w:snapToGrid w:val="0"/>
        <w:spacing w:line="360" w:lineRule="auto"/>
        <w:jc w:val="both"/>
        <w:textAlignment w:val="auto"/>
        <w:outlineLvl w:val="3"/>
        <w:rPr>
          <w:rFonts w:cs="仿宋_GB2312"/>
          <w:b/>
          <w:bCs/>
          <w:kern w:val="2"/>
        </w:rPr>
      </w:pPr>
      <w:bookmarkStart w:id="723" w:name="_Toc17269"/>
      <w:bookmarkStart w:id="724" w:name="_Toc31576"/>
      <w:bookmarkStart w:id="725" w:name="_Toc17377"/>
      <w:bookmarkStart w:id="726" w:name="_Toc26721"/>
      <w:bookmarkStart w:id="727" w:name="_Toc25085"/>
      <w:bookmarkStart w:id="728" w:name="_Toc21431"/>
      <w:bookmarkStart w:id="729" w:name="_Toc16167"/>
      <w:bookmarkStart w:id="730" w:name="_Toc25213"/>
      <w:bookmarkStart w:id="731" w:name="_Toc25170"/>
      <w:bookmarkStart w:id="732" w:name="_Toc11576"/>
      <w:r>
        <w:rPr>
          <w:rFonts w:hint="eastAsia" w:cs="仿宋_GB2312"/>
          <w:b/>
          <w:bCs/>
          <w:kern w:val="2"/>
          <w:lang w:val="en-US" w:eastAsia="zh-CN"/>
        </w:rPr>
        <w:t>7</w:t>
      </w:r>
      <w:r>
        <w:rPr>
          <w:rFonts w:hint="eastAsia" w:cs="仿宋_GB2312"/>
          <w:b/>
          <w:bCs/>
          <w:kern w:val="2"/>
        </w:rPr>
        <w:t>.1 质量管理内容</w:t>
      </w:r>
      <w:bookmarkEnd w:id="723"/>
      <w:bookmarkEnd w:id="724"/>
      <w:bookmarkEnd w:id="725"/>
      <w:bookmarkEnd w:id="726"/>
      <w:bookmarkEnd w:id="727"/>
      <w:bookmarkEnd w:id="728"/>
      <w:bookmarkEnd w:id="729"/>
      <w:bookmarkEnd w:id="730"/>
      <w:bookmarkEnd w:id="731"/>
      <w:bookmarkEnd w:id="732"/>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（1）总承包商应建立完善工程质量管理体系，保证工程整体质量达到质量目标。</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（2）总承包商主持质量控制工作会议，解决项目的质量问题。</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（3）负责检查现场质检人员到岗、特殊工种人员持证上岗及施工机械、建筑材料的准备情况。</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（4）核查进场建筑材料、设备、构件、配件质量，组织对进场材料、设备进行检验和复验。</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（5）组织监督或检查关键部位、关键工序的施工质量，确保施工方案及工程建设强制性条规的落实。</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（6）建立定期全面质量检查制度，每周或每双周对项目进行全面质量检查，并形成质量检查记录，向监理、甲方报告。通过培训及专题讨论等活动，倡导全员质量管理。</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（7）总承包商应负责协调各施工连接交界面/线的施工计划及工序安排，对其交界面线整体工程质量负责。</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（8）负责收集、保管并汇总各类成品及施工中形成的质保书、标准文件和相关资料。</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（9）完成甲方交办的其它工作。</w:t>
      </w:r>
    </w:p>
    <w:p>
      <w:pPr>
        <w:keepNext/>
        <w:keepLines/>
        <w:pageBreakBefore w:val="0"/>
        <w:widowControl w:val="0"/>
        <w:kinsoku/>
        <w:wordWrap/>
        <w:overflowPunct/>
        <w:topLinePunct w:val="0"/>
        <w:autoSpaceDE w:val="0"/>
        <w:autoSpaceDN w:val="0"/>
        <w:bidi w:val="0"/>
        <w:adjustRightInd w:val="0"/>
        <w:snapToGrid w:val="0"/>
        <w:spacing w:line="360" w:lineRule="auto"/>
        <w:jc w:val="both"/>
        <w:textAlignment w:val="auto"/>
        <w:outlineLvl w:val="3"/>
        <w:rPr>
          <w:rFonts w:cs="仿宋_GB2312"/>
          <w:b/>
          <w:bCs/>
          <w:kern w:val="2"/>
        </w:rPr>
      </w:pPr>
      <w:bookmarkStart w:id="733" w:name="_Toc15992"/>
      <w:bookmarkStart w:id="734" w:name="_Toc1848"/>
      <w:bookmarkStart w:id="735" w:name="_Toc5427"/>
      <w:bookmarkStart w:id="736" w:name="_Toc10638"/>
      <w:bookmarkStart w:id="737" w:name="_Toc24081"/>
      <w:bookmarkStart w:id="738" w:name="_Toc15191"/>
      <w:bookmarkStart w:id="739" w:name="_Toc16795"/>
      <w:bookmarkStart w:id="740" w:name="_Toc16629"/>
      <w:bookmarkStart w:id="741" w:name="_Toc27143"/>
      <w:r>
        <w:rPr>
          <w:rFonts w:hint="eastAsia" w:cs="仿宋_GB2312"/>
          <w:b/>
          <w:bCs/>
          <w:kern w:val="2"/>
          <w:lang w:val="en-US" w:eastAsia="zh-CN"/>
        </w:rPr>
        <w:t>7</w:t>
      </w:r>
      <w:r>
        <w:rPr>
          <w:rFonts w:hint="eastAsia" w:cs="仿宋_GB2312"/>
          <w:b/>
          <w:bCs/>
          <w:kern w:val="2"/>
        </w:rPr>
        <w:t>.2 总承包商承担的质量责任</w:t>
      </w:r>
      <w:bookmarkEnd w:id="733"/>
      <w:bookmarkEnd w:id="734"/>
      <w:bookmarkEnd w:id="735"/>
      <w:bookmarkEnd w:id="736"/>
      <w:bookmarkEnd w:id="737"/>
      <w:bookmarkEnd w:id="738"/>
      <w:bookmarkEnd w:id="739"/>
      <w:bookmarkEnd w:id="740"/>
      <w:bookmarkEnd w:id="741"/>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（1）总承包商对合同约定总承包商管理范围的全</w:t>
      </w:r>
      <w:r>
        <w:rPr>
          <w:rFonts w:hint="eastAsia" w:cs="仿宋_GB2312"/>
          <w:kern w:val="2"/>
          <w:lang w:val="en-US" w:eastAsia="zh-CN"/>
        </w:rPr>
        <w:t>部</w:t>
      </w:r>
      <w:r>
        <w:rPr>
          <w:rFonts w:hint="eastAsia" w:cs="仿宋_GB2312"/>
          <w:kern w:val="2"/>
        </w:rPr>
        <w:t>工程承担整体质量责任。</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（2）总承包商对自行组织施工的工程承担质量责任。</w:t>
      </w:r>
    </w:p>
    <w:p>
      <w:pPr>
        <w:keepNext/>
        <w:keepLines/>
        <w:pageBreakBefore w:val="0"/>
        <w:widowControl w:val="0"/>
        <w:kinsoku/>
        <w:wordWrap/>
        <w:overflowPunct/>
        <w:topLinePunct w:val="0"/>
        <w:autoSpaceDE w:val="0"/>
        <w:autoSpaceDN w:val="0"/>
        <w:bidi w:val="0"/>
        <w:adjustRightInd w:val="0"/>
        <w:snapToGrid w:val="0"/>
        <w:spacing w:line="360" w:lineRule="auto"/>
        <w:jc w:val="both"/>
        <w:textAlignment w:val="auto"/>
        <w:outlineLvl w:val="3"/>
        <w:rPr>
          <w:rFonts w:cs="仿宋_GB2312"/>
          <w:b/>
          <w:bCs/>
          <w:kern w:val="2"/>
        </w:rPr>
      </w:pPr>
      <w:bookmarkStart w:id="742" w:name="_Toc12680"/>
      <w:bookmarkStart w:id="743" w:name="_Toc21613"/>
      <w:bookmarkStart w:id="744" w:name="_Toc25323"/>
      <w:bookmarkStart w:id="745" w:name="_Toc5481"/>
      <w:bookmarkStart w:id="746" w:name="_Toc17001"/>
      <w:bookmarkStart w:id="747" w:name="_Toc15980"/>
      <w:bookmarkStart w:id="748" w:name="_Toc28961"/>
      <w:bookmarkStart w:id="749" w:name="_Toc6671"/>
      <w:bookmarkStart w:id="750" w:name="_Toc27562"/>
      <w:bookmarkStart w:id="751" w:name="_Toc16666"/>
      <w:r>
        <w:rPr>
          <w:rFonts w:hint="eastAsia" w:cs="仿宋_GB2312"/>
          <w:b/>
          <w:bCs/>
          <w:kern w:val="2"/>
          <w:lang w:val="en-US" w:eastAsia="zh-CN"/>
        </w:rPr>
        <w:t>7</w:t>
      </w:r>
      <w:r>
        <w:rPr>
          <w:rFonts w:hint="eastAsia" w:cs="仿宋_GB2312"/>
          <w:b/>
          <w:bCs/>
          <w:kern w:val="2"/>
        </w:rPr>
        <w:t>.3 总承包商质量管理制度</w:t>
      </w:r>
      <w:bookmarkEnd w:id="742"/>
      <w:bookmarkEnd w:id="743"/>
      <w:bookmarkEnd w:id="744"/>
      <w:bookmarkEnd w:id="745"/>
      <w:bookmarkEnd w:id="746"/>
      <w:bookmarkEnd w:id="747"/>
      <w:bookmarkEnd w:id="748"/>
      <w:bookmarkEnd w:id="749"/>
      <w:bookmarkEnd w:id="750"/>
      <w:bookmarkEnd w:id="751"/>
    </w:p>
    <w:p>
      <w:pPr>
        <w:pageBreakBefore w:val="0"/>
        <w:widowControl w:val="0"/>
        <w:kinsoku/>
        <w:wordWrap/>
        <w:overflowPunct/>
        <w:topLinePunct w:val="0"/>
        <w:autoSpaceDE w:val="0"/>
        <w:autoSpaceDN w:val="0"/>
        <w:bidi w:val="0"/>
        <w:adjustRightInd w:val="0"/>
        <w:snapToGrid w:val="0"/>
        <w:spacing w:line="360" w:lineRule="auto"/>
        <w:ind w:firstLine="482" w:firstLineChars="200"/>
        <w:jc w:val="both"/>
        <w:textAlignment w:val="auto"/>
        <w:rPr>
          <w:rFonts w:cs="仿宋_GB2312"/>
          <w:b/>
          <w:bCs/>
          <w:kern w:val="2"/>
        </w:rPr>
      </w:pPr>
      <w:r>
        <w:rPr>
          <w:rFonts w:hint="eastAsia" w:cs="仿宋_GB2312"/>
          <w:b/>
          <w:bCs/>
          <w:kern w:val="2"/>
        </w:rPr>
        <w:t>总承包商的质量管理制度包括但不限于以下：</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（1）质量管理目标分解制度</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（2）施工图纸会审制度</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（3）设计交底制度</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（4）原材料、设备跟踪制度</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（5）原材料、设备、构配件进场验收制度</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（6）取样送检制度</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（7）工艺交底制度</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（8）质量控制点策划制度</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（9）施工组织设计/施工方案审批制度</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（10）施工机械设备状态检查制度</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（11）测量及计量器具性能精度检查制度</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（12）质量通病防止专项措施</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（13）施工环境保证制度</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（14）</w:t>
      </w:r>
      <w:r>
        <w:rPr>
          <w:rFonts w:hint="eastAsia" w:cs="仿宋_GB2312"/>
          <w:kern w:val="2"/>
          <w:lang w:val="en-US" w:eastAsia="zh-CN"/>
        </w:rPr>
        <w:t>设备选型</w:t>
      </w:r>
      <w:r>
        <w:rPr>
          <w:rFonts w:hint="eastAsia" w:cs="仿宋_GB2312"/>
          <w:kern w:val="2"/>
        </w:rPr>
        <w:t>制度</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（15）工序交接验收见证制度</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（16）特种作业人员持证上岗制度</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（17）工程质量三检、多检及联检制度</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cs="仿宋_GB2312"/>
          <w:kern w:val="2"/>
        </w:rPr>
      </w:pPr>
      <w:r>
        <w:rPr>
          <w:rFonts w:hint="eastAsia" w:cs="仿宋_GB2312"/>
          <w:kern w:val="2"/>
        </w:rPr>
        <w:t>（18）成品保护制度</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cs="仿宋_GB2312"/>
          <w:kern w:val="2"/>
        </w:rPr>
      </w:pPr>
      <w:r>
        <w:rPr>
          <w:rFonts w:hint="eastAsia" w:cs="仿宋_GB2312"/>
          <w:kern w:val="2"/>
        </w:rPr>
        <w:t>（19）质量信息统计与反馈机制</w:t>
      </w:r>
    </w:p>
    <w:p>
      <w:pPr>
        <w:keepNext/>
        <w:keepLines/>
        <w:widowControl/>
        <w:spacing w:line="360" w:lineRule="auto"/>
        <w:jc w:val="left"/>
        <w:outlineLvl w:val="2"/>
        <w:rPr>
          <w:rFonts w:cs="仿宋_GB2312"/>
          <w:b/>
          <w:bCs/>
          <w:kern w:val="2"/>
        </w:rPr>
      </w:pPr>
      <w:bookmarkStart w:id="752" w:name="_Toc28585"/>
      <w:bookmarkStart w:id="753" w:name="_Toc10026"/>
      <w:bookmarkStart w:id="754" w:name="_Toc1543"/>
      <w:bookmarkStart w:id="755" w:name="_Toc3975"/>
      <w:bookmarkStart w:id="756" w:name="_Toc5144"/>
      <w:bookmarkStart w:id="757" w:name="_Toc14014"/>
      <w:bookmarkStart w:id="758" w:name="_Toc18014"/>
      <w:bookmarkStart w:id="759" w:name="_Toc14624"/>
      <w:bookmarkStart w:id="760" w:name="_Toc5996"/>
      <w:bookmarkStart w:id="761" w:name="_Toc15599"/>
      <w:bookmarkStart w:id="762" w:name="_Toc27906"/>
      <w:bookmarkStart w:id="763" w:name="_Toc11756"/>
      <w:bookmarkStart w:id="764" w:name="_Toc1766"/>
      <w:r>
        <w:rPr>
          <w:rFonts w:hint="eastAsia" w:cs="仿宋_GB2312"/>
          <w:b/>
          <w:bCs/>
          <w:kern w:val="2"/>
          <w:lang w:val="en-US" w:eastAsia="zh-CN"/>
        </w:rPr>
        <w:t>8</w:t>
      </w:r>
      <w:r>
        <w:rPr>
          <w:rFonts w:hint="eastAsia" w:cs="仿宋_GB2312"/>
          <w:b/>
          <w:bCs/>
          <w:kern w:val="2"/>
        </w:rPr>
        <w:t>. 测量管理</w:t>
      </w:r>
      <w:bookmarkEnd w:id="752"/>
      <w:bookmarkEnd w:id="753"/>
      <w:bookmarkEnd w:id="754"/>
      <w:bookmarkEnd w:id="755"/>
      <w:bookmarkEnd w:id="756"/>
      <w:bookmarkEnd w:id="757"/>
      <w:bookmarkEnd w:id="758"/>
      <w:bookmarkEnd w:id="759"/>
      <w:bookmarkEnd w:id="760"/>
      <w:bookmarkEnd w:id="761"/>
      <w:bookmarkEnd w:id="762"/>
      <w:bookmarkEnd w:id="763"/>
      <w:bookmarkEnd w:id="764"/>
    </w:p>
    <w:p>
      <w:pPr>
        <w:keepNext/>
        <w:keepLines/>
        <w:widowControl w:val="0"/>
        <w:autoSpaceDE w:val="0"/>
        <w:autoSpaceDN w:val="0"/>
        <w:spacing w:line="360" w:lineRule="auto"/>
        <w:jc w:val="left"/>
        <w:outlineLvl w:val="3"/>
        <w:rPr>
          <w:rFonts w:cs="仿宋_GB2312"/>
          <w:b/>
          <w:bCs/>
          <w:kern w:val="2"/>
        </w:rPr>
      </w:pPr>
      <w:bookmarkStart w:id="765" w:name="_Toc20867"/>
      <w:bookmarkStart w:id="766" w:name="_Toc15868"/>
      <w:bookmarkStart w:id="767" w:name="_Toc2806"/>
      <w:bookmarkStart w:id="768" w:name="_Toc5150"/>
      <w:bookmarkStart w:id="769" w:name="_Toc19667"/>
      <w:bookmarkStart w:id="770" w:name="_Toc32415"/>
      <w:bookmarkStart w:id="771" w:name="_Toc32181"/>
      <w:bookmarkStart w:id="772" w:name="_Toc26443"/>
      <w:bookmarkStart w:id="773" w:name="_Toc15612"/>
      <w:bookmarkStart w:id="774" w:name="_Toc23563"/>
      <w:r>
        <w:rPr>
          <w:rFonts w:hint="eastAsia" w:cs="仿宋_GB2312"/>
          <w:b/>
          <w:bCs/>
          <w:kern w:val="2"/>
          <w:lang w:val="en-US" w:eastAsia="zh-CN"/>
        </w:rPr>
        <w:t>8</w:t>
      </w:r>
      <w:r>
        <w:rPr>
          <w:rFonts w:hint="eastAsia" w:cs="仿宋_GB2312"/>
          <w:b/>
          <w:bCs/>
          <w:kern w:val="2"/>
        </w:rPr>
        <w:t>.1 基本要求</w:t>
      </w:r>
      <w:bookmarkEnd w:id="765"/>
      <w:bookmarkEnd w:id="766"/>
      <w:bookmarkEnd w:id="767"/>
      <w:bookmarkEnd w:id="768"/>
      <w:bookmarkEnd w:id="769"/>
      <w:bookmarkEnd w:id="770"/>
      <w:bookmarkEnd w:id="771"/>
      <w:bookmarkEnd w:id="772"/>
      <w:bookmarkEnd w:id="773"/>
      <w:bookmarkEnd w:id="774"/>
    </w:p>
    <w:p>
      <w:pPr>
        <w:widowControl w:val="0"/>
        <w:autoSpaceDE w:val="0"/>
        <w:autoSpaceDN w:val="0"/>
        <w:spacing w:line="360" w:lineRule="auto"/>
        <w:ind w:firstLine="480" w:firstLineChars="200"/>
        <w:jc w:val="both"/>
        <w:rPr>
          <w:rFonts w:cs="仿宋_GB2312"/>
          <w:kern w:val="2"/>
        </w:rPr>
      </w:pPr>
      <w:r>
        <w:rPr>
          <w:rFonts w:hint="eastAsia" w:cs="仿宋_GB2312"/>
          <w:kern w:val="2"/>
        </w:rPr>
        <w:t>（1）本项目建立一个稳定可靠的测量控制网是本工程测量工作的重点。</w:t>
      </w:r>
    </w:p>
    <w:p>
      <w:pPr>
        <w:widowControl w:val="0"/>
        <w:autoSpaceDE w:val="0"/>
        <w:autoSpaceDN w:val="0"/>
        <w:spacing w:line="360" w:lineRule="auto"/>
        <w:ind w:firstLine="480" w:firstLineChars="200"/>
        <w:jc w:val="both"/>
        <w:rPr>
          <w:rFonts w:cs="仿宋_GB2312"/>
          <w:kern w:val="2"/>
        </w:rPr>
      </w:pPr>
      <w:r>
        <w:rPr>
          <w:rFonts w:hint="eastAsia" w:cs="仿宋_GB2312"/>
          <w:kern w:val="2"/>
        </w:rPr>
        <w:t>（2）总承包商应特别重视本工程的定位和放线的相互校核和闭合检查工作，如果发现任何超出规范和技术要求允许的偏差，总承包商应立即查明原因，提出切实整改措施，报监理和甲方审批后，进行纠偏整改；</w:t>
      </w:r>
    </w:p>
    <w:p>
      <w:pPr>
        <w:widowControl w:val="0"/>
        <w:autoSpaceDE w:val="0"/>
        <w:autoSpaceDN w:val="0"/>
        <w:spacing w:line="360" w:lineRule="auto"/>
        <w:ind w:firstLine="480" w:firstLineChars="200"/>
        <w:jc w:val="both"/>
        <w:rPr>
          <w:rFonts w:cs="仿宋_GB2312"/>
          <w:kern w:val="2"/>
        </w:rPr>
      </w:pPr>
      <w:r>
        <w:rPr>
          <w:rFonts w:hint="eastAsia" w:cs="仿宋_GB2312"/>
          <w:kern w:val="2"/>
        </w:rPr>
        <w:t>（3）测量专业人员和测量团队应具备相应专业资质。</w:t>
      </w:r>
    </w:p>
    <w:p>
      <w:pPr>
        <w:widowControl w:val="0"/>
        <w:autoSpaceDE w:val="0"/>
        <w:autoSpaceDN w:val="0"/>
        <w:spacing w:line="360" w:lineRule="auto"/>
        <w:ind w:firstLine="480" w:firstLineChars="200"/>
        <w:jc w:val="both"/>
        <w:rPr>
          <w:rFonts w:cs="仿宋_GB2312"/>
          <w:kern w:val="2"/>
        </w:rPr>
      </w:pPr>
      <w:r>
        <w:rPr>
          <w:rFonts w:hint="eastAsia" w:cs="仿宋_GB2312"/>
          <w:kern w:val="2"/>
        </w:rPr>
        <w:t>（4）测量仪器设备应符合本工程要求的测量精度，且经专门机构鉴定合格，并定期进行检测。</w:t>
      </w:r>
    </w:p>
    <w:p>
      <w:pPr>
        <w:keepNext/>
        <w:keepLines/>
        <w:widowControl w:val="0"/>
        <w:autoSpaceDE w:val="0"/>
        <w:autoSpaceDN w:val="0"/>
        <w:spacing w:line="360" w:lineRule="auto"/>
        <w:jc w:val="left"/>
        <w:outlineLvl w:val="3"/>
        <w:rPr>
          <w:rFonts w:cs="仿宋_GB2312"/>
          <w:b/>
          <w:bCs/>
          <w:kern w:val="2"/>
        </w:rPr>
      </w:pPr>
      <w:bookmarkStart w:id="775" w:name="_Toc8779"/>
      <w:bookmarkStart w:id="776" w:name="_Toc22338"/>
      <w:bookmarkStart w:id="777" w:name="_Toc20701"/>
      <w:bookmarkStart w:id="778" w:name="_Toc14747"/>
      <w:bookmarkStart w:id="779" w:name="_Toc25427"/>
      <w:bookmarkStart w:id="780" w:name="_Toc4563"/>
      <w:bookmarkStart w:id="781" w:name="_Toc2439"/>
      <w:bookmarkStart w:id="782" w:name="_Toc8555"/>
      <w:bookmarkStart w:id="783" w:name="_Toc29962"/>
      <w:bookmarkStart w:id="784" w:name="_Toc23314"/>
      <w:r>
        <w:rPr>
          <w:rFonts w:hint="eastAsia" w:cs="仿宋_GB2312"/>
          <w:b/>
          <w:bCs/>
          <w:kern w:val="2"/>
          <w:lang w:val="en-US" w:eastAsia="zh-CN"/>
        </w:rPr>
        <w:t>8</w:t>
      </w:r>
      <w:r>
        <w:rPr>
          <w:rFonts w:hint="eastAsia" w:cs="仿宋_GB2312"/>
          <w:b/>
          <w:bCs/>
          <w:kern w:val="2"/>
        </w:rPr>
        <w:t>.2 总承包商的测量责任</w:t>
      </w:r>
      <w:bookmarkEnd w:id="775"/>
      <w:bookmarkEnd w:id="776"/>
      <w:bookmarkEnd w:id="777"/>
      <w:bookmarkEnd w:id="778"/>
      <w:bookmarkEnd w:id="779"/>
      <w:bookmarkEnd w:id="780"/>
      <w:bookmarkEnd w:id="781"/>
      <w:bookmarkEnd w:id="782"/>
      <w:bookmarkEnd w:id="783"/>
      <w:bookmarkEnd w:id="784"/>
    </w:p>
    <w:p>
      <w:pPr>
        <w:widowControl w:val="0"/>
        <w:autoSpaceDE w:val="0"/>
        <w:autoSpaceDN w:val="0"/>
        <w:spacing w:line="360" w:lineRule="auto"/>
        <w:ind w:firstLine="480" w:firstLineChars="200"/>
        <w:jc w:val="both"/>
        <w:rPr>
          <w:rFonts w:cs="仿宋_GB2312"/>
          <w:kern w:val="2"/>
        </w:rPr>
      </w:pPr>
      <w:r>
        <w:rPr>
          <w:rFonts w:hint="eastAsia" w:cs="仿宋_GB2312"/>
          <w:kern w:val="2"/>
        </w:rPr>
        <w:t>（1）总承包商是本项目测量管理的第一责任人，必须设立专人、专门机构负责本项目所有测量工作的具体实施和管理，建立专业工程测量管理体系。</w:t>
      </w:r>
    </w:p>
    <w:p>
      <w:pPr>
        <w:widowControl w:val="0"/>
        <w:autoSpaceDE w:val="0"/>
        <w:autoSpaceDN w:val="0"/>
        <w:spacing w:line="360" w:lineRule="auto"/>
        <w:ind w:firstLine="480" w:firstLineChars="200"/>
        <w:jc w:val="both"/>
        <w:rPr>
          <w:rFonts w:cs="仿宋_GB2312"/>
          <w:kern w:val="2"/>
        </w:rPr>
      </w:pPr>
      <w:r>
        <w:rPr>
          <w:rFonts w:hint="eastAsia" w:cs="仿宋_GB2312"/>
          <w:kern w:val="2"/>
        </w:rPr>
        <w:t>（2）与测绘单位做好本工程平面控制点和高程控制点的移交工作，并做好控制点的复测和保护工作。根据测绘单位提供的本工程测量控制点建立首级场区控制网。</w:t>
      </w:r>
    </w:p>
    <w:p>
      <w:pPr>
        <w:widowControl w:val="0"/>
        <w:autoSpaceDE w:val="0"/>
        <w:autoSpaceDN w:val="0"/>
        <w:spacing w:line="360" w:lineRule="auto"/>
        <w:ind w:firstLine="480" w:firstLineChars="200"/>
        <w:jc w:val="both"/>
        <w:rPr>
          <w:rFonts w:cs="仿宋_GB2312"/>
          <w:kern w:val="2"/>
        </w:rPr>
      </w:pPr>
      <w:r>
        <w:rPr>
          <w:rFonts w:hint="eastAsia" w:cs="仿宋_GB2312"/>
          <w:kern w:val="2"/>
        </w:rPr>
        <w:t>（3）编制本项目总体测量施工方案，按方案实施本项目的测量定位和复核工作。包括但不限于平面控制（各级平面控制网、点的选择）、竖向测量、高程控制、沉降观测、压缩变形、标高偏差、垂直度偏差等。</w:t>
      </w:r>
    </w:p>
    <w:p>
      <w:pPr>
        <w:widowControl w:val="0"/>
        <w:autoSpaceDE w:val="0"/>
        <w:autoSpaceDN w:val="0"/>
        <w:spacing w:line="360" w:lineRule="auto"/>
        <w:ind w:firstLine="480" w:firstLineChars="200"/>
        <w:jc w:val="both"/>
        <w:rPr>
          <w:rFonts w:cs="仿宋_GB2312"/>
          <w:kern w:val="2"/>
        </w:rPr>
      </w:pPr>
      <w:r>
        <w:rPr>
          <w:rFonts w:hint="eastAsia" w:cs="仿宋_GB2312"/>
          <w:kern w:val="2"/>
        </w:rPr>
        <w:t>（4）负责测设场地内的合同范围内的各级平面和高程场区控制网和建筑物测量控制网，在工作面结构体上作好醒目的标识，必要时按规范要求进行控制点埋石工作，把符合要求的成果上报监理复查，并做好控制网点的保护工作，及时恢复。</w:t>
      </w:r>
    </w:p>
    <w:p>
      <w:pPr>
        <w:widowControl w:val="0"/>
        <w:autoSpaceDE w:val="0"/>
        <w:autoSpaceDN w:val="0"/>
        <w:spacing w:line="360" w:lineRule="auto"/>
        <w:ind w:firstLine="480" w:firstLineChars="200"/>
        <w:jc w:val="both"/>
        <w:rPr>
          <w:rFonts w:cs="仿宋_GB2312"/>
          <w:kern w:val="2"/>
        </w:rPr>
      </w:pPr>
      <w:r>
        <w:rPr>
          <w:rFonts w:hint="eastAsia" w:cs="仿宋_GB2312"/>
          <w:kern w:val="2"/>
        </w:rPr>
        <w:t>（5）负责定期对各级测量控制网进行复测，维护各级控制网测量成果。</w:t>
      </w:r>
    </w:p>
    <w:p>
      <w:pPr>
        <w:widowControl w:val="0"/>
        <w:autoSpaceDE w:val="0"/>
        <w:autoSpaceDN w:val="0"/>
        <w:spacing w:line="360" w:lineRule="auto"/>
        <w:ind w:firstLine="480" w:firstLineChars="200"/>
        <w:jc w:val="both"/>
        <w:rPr>
          <w:rFonts w:cs="仿宋_GB2312"/>
          <w:kern w:val="2"/>
        </w:rPr>
      </w:pPr>
      <w:r>
        <w:rPr>
          <w:rFonts w:hint="eastAsia" w:cs="仿宋_GB2312"/>
          <w:kern w:val="2"/>
        </w:rPr>
        <w:t>（6）负责本工程全过程变形监测，包括但不仅限于基坑变形总承包商自监测、建筑物沉降监测和其它需要变形控制的监测等。并负责做好与相应监测有关的温度、湿度、风力、空气质量等因素的监测工作。</w:t>
      </w:r>
    </w:p>
    <w:p>
      <w:pPr>
        <w:widowControl w:val="0"/>
        <w:autoSpaceDE w:val="0"/>
        <w:autoSpaceDN w:val="0"/>
        <w:spacing w:line="360" w:lineRule="auto"/>
        <w:ind w:firstLine="480" w:firstLineChars="200"/>
        <w:jc w:val="both"/>
        <w:rPr>
          <w:rFonts w:cs="仿宋_GB2312"/>
          <w:kern w:val="2"/>
        </w:rPr>
      </w:pPr>
      <w:r>
        <w:rPr>
          <w:rFonts w:hint="eastAsia" w:cs="仿宋_GB2312"/>
          <w:kern w:val="2"/>
        </w:rPr>
        <w:t>（7）总承包商测量专职人员做好测量放线成果、预埋件定位、支护结构限界等进行检查和复测工作。</w:t>
      </w:r>
    </w:p>
    <w:p>
      <w:pPr>
        <w:widowControl w:val="0"/>
        <w:autoSpaceDE w:val="0"/>
        <w:autoSpaceDN w:val="0"/>
        <w:spacing w:line="360" w:lineRule="auto"/>
        <w:ind w:firstLine="480" w:firstLineChars="200"/>
        <w:jc w:val="both"/>
        <w:rPr>
          <w:rFonts w:cs="仿宋_GB2312"/>
          <w:kern w:val="2"/>
        </w:rPr>
      </w:pPr>
      <w:r>
        <w:rPr>
          <w:rFonts w:hint="eastAsia" w:cs="仿宋_GB2312"/>
          <w:kern w:val="2"/>
        </w:rPr>
        <w:t>（8）总承包商确保投入的各种测量仪器精度符合规范要求，并且年检合格。</w:t>
      </w:r>
    </w:p>
    <w:p>
      <w:pPr>
        <w:widowControl w:val="0"/>
        <w:autoSpaceDE w:val="0"/>
        <w:autoSpaceDN w:val="0"/>
        <w:spacing w:line="360" w:lineRule="auto"/>
        <w:ind w:firstLine="480" w:firstLineChars="200"/>
        <w:jc w:val="both"/>
        <w:rPr>
          <w:rFonts w:cs="仿宋_GB2312"/>
          <w:kern w:val="2"/>
        </w:rPr>
      </w:pPr>
      <w:r>
        <w:rPr>
          <w:rFonts w:hint="eastAsia" w:cs="仿宋_GB2312"/>
          <w:kern w:val="2"/>
        </w:rPr>
        <w:t>（9）负责做好竣工验收的各项测量工作，负责工程档案要求的测量资料整理归档工作。</w:t>
      </w:r>
    </w:p>
    <w:p>
      <w:pPr>
        <w:keepNext/>
        <w:keepLines/>
        <w:widowControl/>
        <w:spacing w:line="360" w:lineRule="auto"/>
        <w:jc w:val="left"/>
        <w:outlineLvl w:val="2"/>
        <w:rPr>
          <w:rFonts w:cs="仿宋_GB2312"/>
          <w:b/>
          <w:bCs/>
          <w:kern w:val="2"/>
        </w:rPr>
      </w:pPr>
      <w:bookmarkStart w:id="785" w:name="_Toc24023"/>
      <w:bookmarkStart w:id="786" w:name="_Toc28827"/>
      <w:bookmarkStart w:id="787" w:name="_Toc12673"/>
      <w:bookmarkStart w:id="788" w:name="_Toc14837"/>
      <w:bookmarkStart w:id="789" w:name="_Toc5698"/>
      <w:bookmarkStart w:id="790" w:name="_Toc16755"/>
      <w:bookmarkStart w:id="791" w:name="_Toc12989"/>
      <w:bookmarkStart w:id="792" w:name="_Toc12766"/>
      <w:bookmarkStart w:id="793" w:name="_Toc15632"/>
      <w:bookmarkStart w:id="794" w:name="_Toc16972"/>
      <w:bookmarkStart w:id="795" w:name="_Toc15358"/>
      <w:bookmarkStart w:id="796" w:name="_Toc8963"/>
      <w:bookmarkStart w:id="797" w:name="_Toc15662"/>
      <w:r>
        <w:rPr>
          <w:rFonts w:hint="eastAsia" w:cs="仿宋_GB2312"/>
          <w:b/>
          <w:bCs/>
          <w:kern w:val="2"/>
          <w:lang w:val="en-US" w:eastAsia="zh-CN"/>
        </w:rPr>
        <w:t>9</w:t>
      </w:r>
      <w:r>
        <w:rPr>
          <w:rFonts w:hint="eastAsia" w:cs="仿宋_GB2312"/>
          <w:b/>
          <w:bCs/>
          <w:kern w:val="2"/>
        </w:rPr>
        <w:t>. 安全文明施工管理</w:t>
      </w:r>
      <w:bookmarkEnd w:id="785"/>
      <w:bookmarkEnd w:id="786"/>
      <w:bookmarkEnd w:id="787"/>
      <w:bookmarkEnd w:id="788"/>
      <w:bookmarkEnd w:id="789"/>
      <w:bookmarkEnd w:id="790"/>
      <w:bookmarkEnd w:id="791"/>
      <w:bookmarkEnd w:id="792"/>
      <w:bookmarkEnd w:id="793"/>
      <w:bookmarkEnd w:id="794"/>
      <w:bookmarkEnd w:id="795"/>
      <w:bookmarkEnd w:id="796"/>
      <w:bookmarkEnd w:id="797"/>
    </w:p>
    <w:p>
      <w:pPr>
        <w:keepNext/>
        <w:keepLines/>
        <w:widowControl w:val="0"/>
        <w:autoSpaceDE w:val="0"/>
        <w:autoSpaceDN w:val="0"/>
        <w:spacing w:line="360" w:lineRule="auto"/>
        <w:jc w:val="left"/>
        <w:outlineLvl w:val="3"/>
        <w:rPr>
          <w:rFonts w:cs="仿宋_GB2312"/>
          <w:b/>
          <w:bCs/>
          <w:kern w:val="2"/>
        </w:rPr>
      </w:pPr>
      <w:bookmarkStart w:id="798" w:name="_Toc25102"/>
      <w:bookmarkStart w:id="799" w:name="_Toc1005"/>
      <w:bookmarkStart w:id="800" w:name="_Toc10139"/>
      <w:bookmarkStart w:id="801" w:name="_Toc8836"/>
      <w:bookmarkStart w:id="802" w:name="_Toc10571"/>
      <w:bookmarkStart w:id="803" w:name="_Toc1672"/>
      <w:bookmarkStart w:id="804" w:name="_Toc14657"/>
      <w:bookmarkStart w:id="805" w:name="_Toc4130"/>
      <w:bookmarkStart w:id="806" w:name="_Toc5353"/>
      <w:bookmarkStart w:id="807" w:name="_Toc9131"/>
      <w:r>
        <w:rPr>
          <w:rFonts w:hint="eastAsia" w:cs="仿宋_GB2312"/>
          <w:b/>
          <w:bCs/>
          <w:kern w:val="2"/>
          <w:lang w:val="en-US" w:eastAsia="zh-CN"/>
        </w:rPr>
        <w:t>9</w:t>
      </w:r>
      <w:r>
        <w:rPr>
          <w:rFonts w:hint="eastAsia" w:cs="仿宋_GB2312"/>
          <w:b/>
          <w:bCs/>
          <w:kern w:val="2"/>
        </w:rPr>
        <w:t>.1 总则</w:t>
      </w:r>
      <w:bookmarkEnd w:id="798"/>
      <w:bookmarkEnd w:id="799"/>
      <w:bookmarkEnd w:id="800"/>
      <w:bookmarkEnd w:id="801"/>
      <w:bookmarkEnd w:id="802"/>
      <w:bookmarkEnd w:id="803"/>
      <w:bookmarkEnd w:id="804"/>
      <w:bookmarkEnd w:id="805"/>
      <w:bookmarkEnd w:id="806"/>
      <w:bookmarkEnd w:id="807"/>
    </w:p>
    <w:p>
      <w:pPr>
        <w:widowControl w:val="0"/>
        <w:autoSpaceDE w:val="0"/>
        <w:autoSpaceDN w:val="0"/>
        <w:spacing w:line="360" w:lineRule="auto"/>
        <w:ind w:firstLine="480" w:firstLineChars="200"/>
        <w:jc w:val="both"/>
        <w:rPr>
          <w:rFonts w:cs="仿宋_GB2312"/>
          <w:kern w:val="2"/>
        </w:rPr>
      </w:pPr>
      <w:r>
        <w:rPr>
          <w:rFonts w:hint="eastAsia" w:cs="仿宋_GB2312"/>
          <w:kern w:val="2"/>
        </w:rPr>
        <w:t>（1）总承包商必须严格遵守《中华人民共和国安全生产法》、《建设工程安全生产管理条例》（中华人民共和国国务院令第393号）、《生产安全事故报告和调查处理条例》（国务院令第493号）、《关于进一步规范房屋建筑和市政工程生产安全事故报告和调查处理工作的若干意见》（建质〔2007〕257号）、《关于加强建设工程安全文明施工标准化管理的若干规定》（深建规【2018】5号）、《深圳市建设工程现场文明施工管理办法》、 《深圳市建设工程安全文明施工标准(SJG-46-2018)》、《〈关于严厉惩处建设工程安全生产违法违规行为的若干措施（试行）〉的实施细则》，施工现场满足“7个100%”扬尘控制和地下管线、设施保护“6个100%”措施深圳市当地其它有关安全生产的法律、法规、规定，加强安全生产管理，认真开展建设工程施工现场安全生产和文明施工管理工作。</w:t>
      </w:r>
    </w:p>
    <w:p>
      <w:pPr>
        <w:widowControl w:val="0"/>
        <w:autoSpaceDE w:val="0"/>
        <w:autoSpaceDN w:val="0"/>
        <w:spacing w:line="360" w:lineRule="auto"/>
        <w:ind w:firstLine="480" w:firstLineChars="200"/>
        <w:jc w:val="both"/>
        <w:rPr>
          <w:rFonts w:cs="仿宋_GB2312"/>
          <w:kern w:val="2"/>
        </w:rPr>
      </w:pPr>
      <w:r>
        <w:rPr>
          <w:rFonts w:hint="eastAsia" w:cs="仿宋_GB2312"/>
          <w:kern w:val="2"/>
        </w:rPr>
        <w:t>（2）总承包商必须坚持“安全第一、预防为主、综合治理” 的安全生产方针，实施建设工程安全生产管理，并以该方针作为该工程合同期内安全生产管理的核心，加强安全生产管理，建立、健全安全生产责任制度，完善安全生产条件，确保安全生产。</w:t>
      </w:r>
    </w:p>
    <w:p>
      <w:pPr>
        <w:widowControl w:val="0"/>
        <w:autoSpaceDE w:val="0"/>
        <w:autoSpaceDN w:val="0"/>
        <w:spacing w:line="360" w:lineRule="auto"/>
        <w:ind w:firstLine="480" w:firstLineChars="200"/>
        <w:jc w:val="both"/>
        <w:rPr>
          <w:rFonts w:cs="仿宋_GB2312"/>
          <w:kern w:val="2"/>
        </w:rPr>
      </w:pPr>
      <w:r>
        <w:rPr>
          <w:rFonts w:hint="eastAsia" w:cs="仿宋_GB2312"/>
          <w:kern w:val="2"/>
        </w:rPr>
        <w:t>（3）总承包商在该工程合同期内实现安全文明目标。</w:t>
      </w:r>
    </w:p>
    <w:p>
      <w:pPr>
        <w:widowControl w:val="0"/>
        <w:autoSpaceDE w:val="0"/>
        <w:autoSpaceDN w:val="0"/>
        <w:spacing w:line="360" w:lineRule="auto"/>
        <w:ind w:firstLine="480" w:firstLineChars="200"/>
        <w:jc w:val="both"/>
        <w:rPr>
          <w:rFonts w:cs="仿宋_GB2312"/>
          <w:kern w:val="2"/>
        </w:rPr>
      </w:pPr>
      <w:r>
        <w:rPr>
          <w:rFonts w:hint="eastAsia" w:cs="仿宋_GB2312"/>
          <w:kern w:val="2"/>
        </w:rPr>
        <w:t>（4）总承包商必须对该工程施工现场的安全生产与文明施工负总责。明确安全责任、义务、权利以及工作界面的划定等方面的内容。</w:t>
      </w:r>
    </w:p>
    <w:p>
      <w:pPr>
        <w:widowControl w:val="0"/>
        <w:autoSpaceDE w:val="0"/>
        <w:autoSpaceDN w:val="0"/>
        <w:spacing w:line="360" w:lineRule="auto"/>
        <w:ind w:firstLine="480" w:firstLineChars="200"/>
        <w:jc w:val="both"/>
        <w:rPr>
          <w:rFonts w:cs="仿宋_GB2312"/>
          <w:kern w:val="2"/>
        </w:rPr>
      </w:pPr>
      <w:r>
        <w:rPr>
          <w:rFonts w:hint="eastAsia" w:cs="仿宋_GB2312"/>
          <w:kern w:val="2"/>
        </w:rPr>
        <w:t>（5）总承包商在该工程合同期内的所有施工工作及与施工有关的活动必须严格遵守国家、地区、行业颁发制订的各类建设工程相关的法律法规、标准规范、操作规程等管理规定。</w:t>
      </w:r>
    </w:p>
    <w:p>
      <w:pPr>
        <w:widowControl w:val="0"/>
        <w:autoSpaceDE w:val="0"/>
        <w:autoSpaceDN w:val="0"/>
        <w:spacing w:line="360" w:lineRule="auto"/>
        <w:ind w:firstLine="480" w:firstLineChars="200"/>
        <w:jc w:val="both"/>
        <w:rPr>
          <w:rFonts w:cs="仿宋_GB2312"/>
          <w:kern w:val="2"/>
        </w:rPr>
      </w:pPr>
      <w:r>
        <w:rPr>
          <w:rFonts w:hint="eastAsia" w:cs="仿宋_GB2312"/>
          <w:kern w:val="2"/>
        </w:rPr>
        <w:t>（6）总承包商在该工程合同期内必须按照《企业安全风险分级管控和隐患排查治理双重预防机制建设通则》（DB4403/T 52019）开展项目双重预防机制工作，按照《建筑施工安全检查标准》（JGJ59-2011）和当地相关要求规定的内容，定期对施工现场进行安全生产与文明施工综合检查，对检查出的事故隐患必须立即整改，并将整改记录报送监理和甲方备案。同时，总承包商应定期（每月一次）对项目部开展公司级的安全生产与文明施工监督、检查活动。</w:t>
      </w:r>
    </w:p>
    <w:p>
      <w:pPr>
        <w:widowControl w:val="0"/>
        <w:autoSpaceDE w:val="0"/>
        <w:autoSpaceDN w:val="0"/>
        <w:spacing w:line="360" w:lineRule="auto"/>
        <w:ind w:firstLine="480" w:firstLineChars="200"/>
        <w:jc w:val="both"/>
        <w:rPr>
          <w:rFonts w:cs="仿宋_GB2312"/>
          <w:kern w:val="2"/>
        </w:rPr>
      </w:pPr>
      <w:r>
        <w:rPr>
          <w:rFonts w:hint="eastAsia" w:cs="仿宋_GB2312"/>
          <w:kern w:val="2"/>
        </w:rPr>
        <w:t>（7）总承包商应当为总承包商施工现场从事危险作业的人员办理意外伤害保险，同时按照安全生产法的规定投保项目安全生产责任保险。</w:t>
      </w:r>
    </w:p>
    <w:p>
      <w:pPr>
        <w:widowControl w:val="0"/>
        <w:autoSpaceDE w:val="0"/>
        <w:autoSpaceDN w:val="0"/>
        <w:spacing w:line="360" w:lineRule="auto"/>
        <w:ind w:firstLine="480" w:firstLineChars="200"/>
        <w:jc w:val="both"/>
        <w:rPr>
          <w:rFonts w:cs="仿宋_GB2312"/>
          <w:kern w:val="2"/>
        </w:rPr>
      </w:pPr>
      <w:r>
        <w:rPr>
          <w:rFonts w:hint="eastAsia" w:cs="仿宋_GB2312"/>
          <w:kern w:val="2"/>
        </w:rPr>
        <w:t>（8）总承包商制定并落实整个工程的文明施工（包括水土保持、绿色施工垃圾清运、卫生设施、安全围护、成品保护、安全保卫、消防安全、公共照明、施工扰民、防尘降噪、污水排放、周边交通、材料堆放等等）措施与方案，提供文明施工设施，监督及管理施工现场文明施工情况，不断完善文明施工管理措施，使整个施工现场处于安全有序合法的施工状态。</w:t>
      </w:r>
    </w:p>
    <w:p>
      <w:pPr>
        <w:keepNext/>
        <w:keepLines/>
        <w:widowControl w:val="0"/>
        <w:autoSpaceDE w:val="0"/>
        <w:autoSpaceDN w:val="0"/>
        <w:spacing w:line="360" w:lineRule="auto"/>
        <w:jc w:val="left"/>
        <w:outlineLvl w:val="3"/>
        <w:rPr>
          <w:rFonts w:hint="eastAsia" w:cs="仿宋_GB2312"/>
          <w:b/>
          <w:bCs/>
          <w:kern w:val="2"/>
        </w:rPr>
      </w:pPr>
      <w:bookmarkStart w:id="808" w:name="_Toc4568"/>
      <w:bookmarkStart w:id="809" w:name="_Toc32605"/>
      <w:bookmarkStart w:id="810" w:name="_Toc3689"/>
      <w:bookmarkStart w:id="811" w:name="_Toc21759"/>
      <w:bookmarkStart w:id="812" w:name="_Toc10440"/>
      <w:bookmarkStart w:id="813" w:name="_Toc3208"/>
      <w:bookmarkStart w:id="814" w:name="_Toc27878"/>
      <w:bookmarkStart w:id="815" w:name="_Toc6276"/>
      <w:bookmarkStart w:id="816" w:name="_Toc2601"/>
      <w:bookmarkStart w:id="817" w:name="_Toc18787"/>
      <w:r>
        <w:rPr>
          <w:rFonts w:hint="eastAsia" w:cs="仿宋_GB2312"/>
          <w:b/>
          <w:bCs/>
          <w:kern w:val="2"/>
          <w:lang w:val="en-US" w:eastAsia="zh-CN"/>
        </w:rPr>
        <w:t>9</w:t>
      </w:r>
      <w:r>
        <w:rPr>
          <w:rFonts w:hint="eastAsia" w:cs="仿宋_GB2312"/>
          <w:b/>
          <w:bCs/>
          <w:kern w:val="2"/>
        </w:rPr>
        <w:t>.2 一般规定</w:t>
      </w:r>
      <w:bookmarkEnd w:id="808"/>
      <w:bookmarkEnd w:id="809"/>
      <w:bookmarkEnd w:id="810"/>
      <w:bookmarkEnd w:id="811"/>
      <w:bookmarkEnd w:id="812"/>
      <w:bookmarkEnd w:id="813"/>
      <w:bookmarkEnd w:id="814"/>
      <w:bookmarkEnd w:id="815"/>
      <w:bookmarkEnd w:id="816"/>
      <w:bookmarkEnd w:id="817"/>
    </w:p>
    <w:p>
      <w:pPr>
        <w:widowControl w:val="0"/>
        <w:autoSpaceDE w:val="0"/>
        <w:autoSpaceDN w:val="0"/>
        <w:spacing w:line="360" w:lineRule="auto"/>
        <w:ind w:firstLine="480" w:firstLineChars="200"/>
        <w:jc w:val="both"/>
        <w:rPr>
          <w:rFonts w:cs="仿宋_GB2312"/>
          <w:kern w:val="2"/>
        </w:rPr>
      </w:pPr>
      <w:r>
        <w:rPr>
          <w:rFonts w:hint="eastAsia" w:cs="仿宋_GB2312"/>
          <w:kern w:val="2"/>
        </w:rPr>
        <w:t>（1）总承包商资质需符合该工程招投标的要求，安全生产许可证必须真实、有效，且投标期内未受到政府相关处罚措施。</w:t>
      </w:r>
    </w:p>
    <w:p>
      <w:pPr>
        <w:widowControl w:val="0"/>
        <w:autoSpaceDE w:val="0"/>
        <w:autoSpaceDN w:val="0"/>
        <w:spacing w:line="360" w:lineRule="auto"/>
        <w:ind w:firstLine="480" w:firstLineChars="200"/>
        <w:jc w:val="both"/>
        <w:rPr>
          <w:rFonts w:cs="仿宋_GB2312"/>
          <w:kern w:val="2"/>
        </w:rPr>
      </w:pPr>
      <w:r>
        <w:rPr>
          <w:rFonts w:hint="eastAsia" w:cs="仿宋_GB2312"/>
          <w:kern w:val="2"/>
        </w:rPr>
        <w:t>（2）总承包商的投标总价中必须按要求单独列支安全文明施工措施费，该项费用应当用于按照国家、省、市建筑施工安全、施工现场环境与卫生标准和有关规定，购置和更新施工安全防护用具及设施、改善安全生产条件和作业环境所需要的费用，具体包括安全施工费、文明施工费、环境保护费以及临时设施费等。该笔费用不得挪作它用，具体金额及使用办法需满足深圳市相关管理要求。</w:t>
      </w:r>
    </w:p>
    <w:p>
      <w:pPr>
        <w:widowControl w:val="0"/>
        <w:autoSpaceDE w:val="0"/>
        <w:autoSpaceDN w:val="0"/>
        <w:spacing w:line="360" w:lineRule="auto"/>
        <w:ind w:firstLine="480" w:firstLineChars="200"/>
        <w:jc w:val="both"/>
        <w:rPr>
          <w:rFonts w:cs="仿宋_GB2312"/>
          <w:kern w:val="2"/>
        </w:rPr>
      </w:pPr>
      <w:r>
        <w:rPr>
          <w:rFonts w:hint="eastAsia" w:cs="仿宋_GB2312"/>
          <w:kern w:val="2"/>
        </w:rPr>
        <w:t>（3）总承包商必须编制项目建设周期安全文明施工措施费使用计划，经监理审核后报送甲方备案。该项费用必须严格按照使用计划执行专款专用，并提供相关票据接受甲方的监督检查。</w:t>
      </w:r>
    </w:p>
    <w:p>
      <w:pPr>
        <w:widowControl w:val="0"/>
        <w:autoSpaceDE w:val="0"/>
        <w:autoSpaceDN w:val="0"/>
        <w:spacing w:line="360" w:lineRule="auto"/>
        <w:ind w:firstLine="480" w:firstLineChars="200"/>
        <w:jc w:val="both"/>
        <w:rPr>
          <w:rFonts w:cs="仿宋_GB2312"/>
          <w:kern w:val="2"/>
        </w:rPr>
      </w:pPr>
      <w:r>
        <w:rPr>
          <w:rFonts w:hint="eastAsia" w:cs="仿宋_GB2312"/>
          <w:kern w:val="2"/>
        </w:rPr>
        <w:t>（4）总承包商项目经理必须需持证上岗，除了取得相应执业资格外，还必须持有相应级别的专职安全生产管理人员有效证书。项目经理对建设工程项目的安全施工负责，落实安全生产规章制度和操作规程，确保安全生产费用的有效使用，并根据工程的特点组织制定安全施工措施，消除安全事故隐患，及时、如实报告生产安全事故。</w:t>
      </w:r>
    </w:p>
    <w:p>
      <w:pPr>
        <w:widowControl w:val="0"/>
        <w:autoSpaceDE w:val="0"/>
        <w:autoSpaceDN w:val="0"/>
        <w:spacing w:line="360" w:lineRule="auto"/>
        <w:ind w:firstLine="480" w:firstLineChars="200"/>
        <w:jc w:val="both"/>
        <w:rPr>
          <w:rFonts w:cs="仿宋_GB2312"/>
          <w:kern w:val="2"/>
        </w:rPr>
      </w:pPr>
      <w:r>
        <w:rPr>
          <w:rFonts w:hint="eastAsia" w:cs="仿宋_GB2312"/>
          <w:kern w:val="2"/>
        </w:rPr>
        <w:t>（5）总承包商应建立以企业法人为第一责任人、项目经理为直接责任人的项目安全生产管理体系，制定目标与建立、健全和落实安全生产责任制、安全检查、教育培训、安全资金保障、设备进场报验和点检维修、特种设备及危险性设备管理、高危作业申报审批、应急预案、事故调查处理及安全考核奖惩等安全管理规章制度和安全操作规程。安全管理规章制度报监理单位审批，法律法规、规章制度学习记录真实、完整。</w:t>
      </w:r>
    </w:p>
    <w:p>
      <w:pPr>
        <w:widowControl w:val="0"/>
        <w:autoSpaceDE w:val="0"/>
        <w:autoSpaceDN w:val="0"/>
        <w:spacing w:line="360" w:lineRule="auto"/>
        <w:ind w:firstLine="480" w:firstLineChars="200"/>
        <w:jc w:val="both"/>
        <w:rPr>
          <w:rFonts w:cs="仿宋_GB2312"/>
          <w:kern w:val="2"/>
        </w:rPr>
      </w:pPr>
      <w:r>
        <w:rPr>
          <w:rFonts w:hint="eastAsia" w:cs="仿宋_GB2312"/>
          <w:kern w:val="2"/>
        </w:rPr>
        <w:t>（6）总承包商必须设立该工程安全生产管理机构，配置专职安全主任和专职安全管理人员（其任职资格需满足省、市行政主管部门要求），专职安全管理人员数量、资格必须符合《建筑施工企业安全生产管理机构设置及专职安全生产管理人员配备办法》等国家和省市的有关规定，且必须按建筑和安装专业配置。以上人员必须现场履行管理责任，不得挂名。专职安全生产管理人员负责对安全生产进行现场监督检查。发现安全事故隐患，应当及时向项目负责人和安全生产管理机构报告；对违章指挥、违章操作的，应当立即制止。</w:t>
      </w:r>
    </w:p>
    <w:p>
      <w:pPr>
        <w:widowControl w:val="0"/>
        <w:autoSpaceDE w:val="0"/>
        <w:autoSpaceDN w:val="0"/>
        <w:spacing w:line="360" w:lineRule="auto"/>
        <w:ind w:firstLine="480" w:firstLineChars="200"/>
        <w:jc w:val="both"/>
        <w:rPr>
          <w:rFonts w:cs="仿宋_GB2312"/>
          <w:kern w:val="2"/>
        </w:rPr>
      </w:pPr>
      <w:r>
        <w:rPr>
          <w:rFonts w:hint="eastAsia" w:cs="仿宋_GB2312"/>
          <w:kern w:val="2"/>
        </w:rPr>
        <w:t>（7）承包商的安全管理人员需接受甲方核查、考评，对不符合要求的安全管理人员甲方有权要求更换，承包商必须无条件予以更换，更换人员资格不得低于同类总承包商资格，且必须满足甲方的要求。对不符合甲方要求的人员，需在接到书面通知后1周内离场，更换人员必须同时到岗。</w:t>
      </w:r>
    </w:p>
    <w:p>
      <w:pPr>
        <w:widowControl w:val="0"/>
        <w:autoSpaceDE w:val="0"/>
        <w:autoSpaceDN w:val="0"/>
        <w:spacing w:line="360" w:lineRule="auto"/>
        <w:ind w:firstLine="480" w:firstLineChars="200"/>
        <w:jc w:val="both"/>
        <w:rPr>
          <w:rFonts w:cs="仿宋_GB2312"/>
          <w:kern w:val="2"/>
        </w:rPr>
      </w:pPr>
      <w:r>
        <w:rPr>
          <w:rFonts w:hint="eastAsia" w:cs="仿宋_GB2312"/>
          <w:kern w:val="2"/>
        </w:rPr>
        <w:t>（8）总承包商必须按照合同约定的履行应负的责任和义务，严禁违法分包转包和挂靠资质的行为，严禁将其承包的全部工程或者将其承包的全部工程肢解后以分包的名义分别转给其他单位或个人施工的行为，保证遵守《建设项目工程总承包管理规范》（GBT 50358-2017 ）有关规定。</w:t>
      </w:r>
    </w:p>
    <w:p>
      <w:pPr>
        <w:widowControl w:val="0"/>
        <w:autoSpaceDE w:val="0"/>
        <w:autoSpaceDN w:val="0"/>
        <w:spacing w:line="360" w:lineRule="auto"/>
        <w:ind w:firstLine="480" w:firstLineChars="200"/>
        <w:jc w:val="both"/>
        <w:rPr>
          <w:rFonts w:cs="仿宋_GB2312"/>
          <w:kern w:val="2"/>
        </w:rPr>
      </w:pPr>
      <w:r>
        <w:rPr>
          <w:rFonts w:hint="eastAsia" w:cs="仿宋_GB2312"/>
          <w:kern w:val="2"/>
        </w:rPr>
        <w:t>（9）总承包商必须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pPr>
        <w:widowControl w:val="0"/>
        <w:autoSpaceDE w:val="0"/>
        <w:autoSpaceDN w:val="0"/>
        <w:spacing w:line="360" w:lineRule="auto"/>
        <w:ind w:firstLine="480" w:firstLineChars="200"/>
        <w:jc w:val="both"/>
        <w:rPr>
          <w:rFonts w:cs="仿宋_GB2312"/>
          <w:kern w:val="2"/>
        </w:rPr>
      </w:pPr>
      <w:r>
        <w:rPr>
          <w:rFonts w:hint="eastAsia" w:cs="仿宋_GB2312"/>
          <w:kern w:val="2"/>
        </w:rPr>
        <w:t>（10）总承包商现场安全生产与文明施工管理工作必须服从甲方、监理/环境监理的监督管理，对以上单位提出的合理化建议及要求必须严格遵守执行。</w:t>
      </w:r>
    </w:p>
    <w:p>
      <w:pPr>
        <w:widowControl w:val="0"/>
        <w:autoSpaceDE w:val="0"/>
        <w:autoSpaceDN w:val="0"/>
        <w:spacing w:line="360" w:lineRule="auto"/>
        <w:ind w:firstLine="480" w:firstLineChars="200"/>
        <w:jc w:val="both"/>
        <w:rPr>
          <w:rFonts w:cs="仿宋_GB2312"/>
          <w:kern w:val="2"/>
        </w:rPr>
      </w:pPr>
      <w:r>
        <w:rPr>
          <w:rFonts w:hint="eastAsia" w:cs="仿宋_GB2312"/>
          <w:kern w:val="2"/>
        </w:rPr>
        <w:t>（11）施工现场任何与安全生产有关的重要事宜承包商必须提前报告监理和甲方，包括但不限于以下活动：政府各级职能部门检查、本单位安全检查、年度安全生产月活动等。</w:t>
      </w:r>
    </w:p>
    <w:p>
      <w:pPr>
        <w:widowControl w:val="0"/>
        <w:autoSpaceDE w:val="0"/>
        <w:autoSpaceDN w:val="0"/>
        <w:spacing w:line="360" w:lineRule="auto"/>
        <w:ind w:firstLine="480" w:firstLineChars="200"/>
        <w:jc w:val="both"/>
        <w:rPr>
          <w:rFonts w:cs="仿宋_GB2312"/>
          <w:kern w:val="2"/>
        </w:rPr>
      </w:pPr>
      <w:r>
        <w:rPr>
          <w:rFonts w:hint="eastAsia" w:cs="仿宋_GB2312"/>
          <w:kern w:val="2"/>
        </w:rPr>
        <w:t>（12）施工活动中，承包商不得使用国家、地区、行业明令禁止使用或必须淘汰的机械设备、建筑材料、施工工艺。</w:t>
      </w:r>
    </w:p>
    <w:p>
      <w:pPr>
        <w:widowControl w:val="0"/>
        <w:autoSpaceDE w:val="0"/>
        <w:autoSpaceDN w:val="0"/>
        <w:spacing w:line="360" w:lineRule="auto"/>
        <w:ind w:firstLine="480" w:firstLineChars="200"/>
        <w:jc w:val="both"/>
        <w:rPr>
          <w:rFonts w:cs="仿宋_GB2312"/>
          <w:kern w:val="2"/>
        </w:rPr>
      </w:pPr>
      <w:r>
        <w:rPr>
          <w:rFonts w:hint="eastAsia" w:cs="仿宋_GB2312"/>
          <w:kern w:val="2"/>
        </w:rPr>
        <w:t>（13）总承包商在合同期内有义务采取一切必需的安全防护及事故预防措施保护公众及公共设施的安全，使之不受损害，同时承担所采取措施的相应费用。上述费用应包含于合同总价中。</w:t>
      </w:r>
    </w:p>
    <w:p>
      <w:pPr>
        <w:widowControl w:val="0"/>
        <w:autoSpaceDE w:val="0"/>
        <w:autoSpaceDN w:val="0"/>
        <w:spacing w:line="360" w:lineRule="auto"/>
        <w:ind w:firstLine="480" w:firstLineChars="200"/>
        <w:jc w:val="both"/>
        <w:rPr>
          <w:rFonts w:cs="仿宋_GB2312"/>
          <w:kern w:val="2"/>
        </w:rPr>
      </w:pPr>
      <w:r>
        <w:rPr>
          <w:rFonts w:hint="eastAsia" w:cs="仿宋_GB2312"/>
          <w:kern w:val="2"/>
        </w:rPr>
        <w:t>（14）总承包商项目部安全总监（安全主任）应具有工程师及以上职称，且有8年以上建设工程安全管理工作经验。安全管理人员若发生变动或安全总监（安全主任）请假应及时报告监理单位和建设单位，但必须确保在国家法定节假日期间，有专职安全人员在现场跟班监控。</w:t>
      </w:r>
    </w:p>
    <w:p>
      <w:pPr>
        <w:widowControl w:val="0"/>
        <w:autoSpaceDE w:val="0"/>
        <w:autoSpaceDN w:val="0"/>
        <w:spacing w:line="360" w:lineRule="auto"/>
        <w:ind w:firstLine="480" w:firstLineChars="200"/>
        <w:jc w:val="both"/>
        <w:rPr>
          <w:rFonts w:cs="仿宋_GB2312"/>
          <w:kern w:val="2"/>
        </w:rPr>
      </w:pPr>
      <w:r>
        <w:rPr>
          <w:rFonts w:hint="eastAsia" w:cs="仿宋_GB2312"/>
          <w:kern w:val="2"/>
        </w:rPr>
        <w:t>（15）总承包商施工管理人员、专职安全员每年度应进行安全教育培训和考核，培训考核记录报监理单位审查备案。</w:t>
      </w:r>
    </w:p>
    <w:p>
      <w:pPr>
        <w:widowControl w:val="0"/>
        <w:autoSpaceDE w:val="0"/>
        <w:autoSpaceDN w:val="0"/>
        <w:spacing w:line="360" w:lineRule="auto"/>
        <w:ind w:firstLine="480" w:firstLineChars="200"/>
        <w:jc w:val="both"/>
        <w:rPr>
          <w:rFonts w:cs="仿宋_GB2312"/>
          <w:kern w:val="2"/>
        </w:rPr>
      </w:pPr>
      <w:r>
        <w:rPr>
          <w:rFonts w:hint="eastAsia" w:cs="仿宋_GB2312"/>
          <w:kern w:val="2"/>
        </w:rPr>
        <w:t>（16）承包商应按照《危险性较大的分部分项工程安全管理办法》有关规定，对危险性较大的分部分项工程编制专项施工方案，报监理单位审批。</w:t>
      </w:r>
    </w:p>
    <w:p>
      <w:pPr>
        <w:widowControl w:val="0"/>
        <w:autoSpaceDE w:val="0"/>
        <w:autoSpaceDN w:val="0"/>
        <w:spacing w:line="360" w:lineRule="auto"/>
        <w:ind w:firstLine="480" w:firstLineChars="200"/>
        <w:jc w:val="both"/>
        <w:rPr>
          <w:rFonts w:cs="仿宋_GB2312"/>
          <w:kern w:val="2"/>
        </w:rPr>
      </w:pPr>
      <w:r>
        <w:rPr>
          <w:rFonts w:hint="eastAsia" w:cs="仿宋_GB2312"/>
          <w:kern w:val="2"/>
        </w:rPr>
        <w:t>（17）承包商对超过一定规模的危险性较大的分部分项工程应组织专家论证，并严格按照论证方案组织施工。</w:t>
      </w:r>
    </w:p>
    <w:p>
      <w:pPr>
        <w:widowControl w:val="0"/>
        <w:autoSpaceDE w:val="0"/>
        <w:autoSpaceDN w:val="0"/>
        <w:spacing w:line="360" w:lineRule="auto"/>
        <w:ind w:firstLine="480" w:firstLineChars="200"/>
        <w:jc w:val="both"/>
        <w:rPr>
          <w:rFonts w:cs="仿宋_GB2312"/>
          <w:kern w:val="2"/>
        </w:rPr>
      </w:pPr>
      <w:r>
        <w:rPr>
          <w:rFonts w:hint="eastAsia" w:cs="仿宋_GB2312"/>
          <w:kern w:val="2"/>
        </w:rPr>
        <w:t>（18）总承包商应加强对重大危险源的控制与管理，制定重大危险源的管理制度，对施工现场的重大危险源进行辨识、登记、公示、控制。</w:t>
      </w:r>
    </w:p>
    <w:p>
      <w:pPr>
        <w:widowControl w:val="0"/>
        <w:autoSpaceDE w:val="0"/>
        <w:autoSpaceDN w:val="0"/>
        <w:spacing w:line="360" w:lineRule="auto"/>
        <w:ind w:firstLine="480" w:firstLineChars="200"/>
        <w:jc w:val="both"/>
        <w:rPr>
          <w:rFonts w:cs="仿宋_GB2312"/>
          <w:kern w:val="2"/>
        </w:rPr>
      </w:pPr>
      <w:r>
        <w:rPr>
          <w:rFonts w:hint="eastAsia" w:cs="仿宋_GB2312"/>
          <w:kern w:val="2"/>
        </w:rPr>
        <w:t>（19）承包商应定期召开安全会议，分析安全形势，在计划、布置、检查、总结和评比生产工作的同时，计划、布置、检查、总结和评比安全工作。积极宣传党和国家关于建设工程安全生产工作的方针政策，及时传达上级关于安全工作的通知和会议精神。</w:t>
      </w:r>
    </w:p>
    <w:p>
      <w:pPr>
        <w:widowControl w:val="0"/>
        <w:autoSpaceDE w:val="0"/>
        <w:autoSpaceDN w:val="0"/>
        <w:spacing w:line="360" w:lineRule="auto"/>
        <w:ind w:firstLine="480" w:firstLineChars="200"/>
        <w:jc w:val="both"/>
        <w:rPr>
          <w:rFonts w:cs="仿宋_GB2312"/>
          <w:kern w:val="2"/>
        </w:rPr>
      </w:pPr>
      <w:r>
        <w:rPr>
          <w:rFonts w:hint="eastAsia" w:cs="仿宋_GB2312"/>
          <w:kern w:val="2"/>
        </w:rPr>
        <w:t>（20）承包商应参加监理单位组织的项目定期安全检查和项目安全生产专题会议，对检查发现的各项安全隐患按照“三定”原则进行整改。</w:t>
      </w:r>
    </w:p>
    <w:p>
      <w:pPr>
        <w:widowControl w:val="0"/>
        <w:autoSpaceDE w:val="0"/>
        <w:autoSpaceDN w:val="0"/>
        <w:spacing w:line="360" w:lineRule="auto"/>
        <w:ind w:firstLine="480" w:firstLineChars="200"/>
        <w:jc w:val="both"/>
        <w:rPr>
          <w:rFonts w:cs="仿宋_GB2312"/>
          <w:kern w:val="2"/>
        </w:rPr>
      </w:pPr>
      <w:r>
        <w:rPr>
          <w:rFonts w:hint="eastAsia" w:cs="仿宋_GB2312"/>
          <w:kern w:val="2"/>
        </w:rPr>
        <w:t>（21）承包商应对分包单位进行资质、安全生产许可证和相关人员安全生产资格的审查，并报监理单位审核。</w:t>
      </w:r>
    </w:p>
    <w:p>
      <w:pPr>
        <w:widowControl w:val="0"/>
        <w:autoSpaceDE w:val="0"/>
        <w:autoSpaceDN w:val="0"/>
        <w:spacing w:line="360" w:lineRule="auto"/>
        <w:ind w:firstLine="480" w:firstLineChars="200"/>
        <w:jc w:val="both"/>
        <w:rPr>
          <w:rFonts w:cs="仿宋_GB2312"/>
          <w:kern w:val="2"/>
        </w:rPr>
      </w:pPr>
      <w:r>
        <w:rPr>
          <w:rFonts w:hint="eastAsia" w:cs="仿宋_GB2312"/>
          <w:kern w:val="2"/>
        </w:rPr>
        <w:t>（22）承包商应与分包单位（含甲方专业分包）签订安全生产协议、消防协议，并报建设单位备案，并负责分包单位（含甲方专业分包）统一协调、管理。</w:t>
      </w:r>
    </w:p>
    <w:p>
      <w:pPr>
        <w:widowControl w:val="0"/>
        <w:autoSpaceDE w:val="0"/>
        <w:autoSpaceDN w:val="0"/>
        <w:spacing w:line="360" w:lineRule="auto"/>
        <w:ind w:firstLine="480" w:firstLineChars="200"/>
        <w:jc w:val="both"/>
        <w:rPr>
          <w:rFonts w:cs="仿宋_GB2312"/>
          <w:kern w:val="2"/>
        </w:rPr>
      </w:pPr>
      <w:r>
        <w:rPr>
          <w:rFonts w:hint="eastAsia" w:cs="仿宋_GB2312"/>
          <w:kern w:val="2"/>
        </w:rPr>
        <w:t>（23）承包商分包单位应按规定建立安全管理机构，配备项目经理和专职安全员，项目经理和专职安全员应具有B证、C证。</w:t>
      </w:r>
    </w:p>
    <w:p>
      <w:pPr>
        <w:widowControl w:val="0"/>
        <w:autoSpaceDE w:val="0"/>
        <w:autoSpaceDN w:val="0"/>
        <w:spacing w:line="360" w:lineRule="auto"/>
        <w:ind w:firstLine="480" w:firstLineChars="200"/>
        <w:jc w:val="both"/>
        <w:rPr>
          <w:rFonts w:cs="仿宋_GB2312"/>
          <w:kern w:val="2"/>
        </w:rPr>
      </w:pPr>
      <w:r>
        <w:rPr>
          <w:rFonts w:hint="eastAsia" w:cs="仿宋_GB2312"/>
          <w:kern w:val="2"/>
        </w:rPr>
        <w:t>（24）承包商应关心项目管理人员和操作工人的身体、心理健康，定期组织身体、心理健康状态筛查。严禁患有心脏病、癫痫、高血压、恐高、肢体残疾、心理扭曲、思想极端、狂躁易怒或其它疾病的工人从事高空、临边、操作施工机械等高危工作，对不适应工地工作环境的带病人员给予劝退。</w:t>
      </w:r>
    </w:p>
    <w:p>
      <w:pPr>
        <w:widowControl w:val="0"/>
        <w:autoSpaceDE w:val="0"/>
        <w:autoSpaceDN w:val="0"/>
        <w:spacing w:line="360" w:lineRule="auto"/>
        <w:ind w:firstLine="480" w:firstLineChars="200"/>
        <w:jc w:val="both"/>
        <w:rPr>
          <w:rFonts w:cs="仿宋_GB2312"/>
          <w:kern w:val="2"/>
        </w:rPr>
      </w:pPr>
      <w:r>
        <w:rPr>
          <w:rFonts w:hint="eastAsia" w:cs="仿宋_GB2312"/>
          <w:kern w:val="2"/>
        </w:rPr>
        <w:t>（25）承包商应严格执行深圳市关于劳务工实名制和分账制的有关规定和要求，建立劳务工实名制和分账制，设立工人工资支付专用账户，配备劳资管理员，建立劳动用工管理台账，确保劳务工工资按时按月足额拨付到工人工资专户，并按月将工人工资支付明细表报甲方备案。</w:t>
      </w:r>
    </w:p>
    <w:p>
      <w:pPr>
        <w:widowControl w:val="0"/>
        <w:autoSpaceDE w:val="0"/>
        <w:autoSpaceDN w:val="0"/>
        <w:spacing w:line="360" w:lineRule="auto"/>
        <w:ind w:firstLine="480" w:firstLineChars="200"/>
        <w:jc w:val="both"/>
        <w:rPr>
          <w:rFonts w:cs="仿宋_GB2312"/>
          <w:kern w:val="2"/>
        </w:rPr>
      </w:pPr>
      <w:r>
        <w:rPr>
          <w:rFonts w:hint="eastAsia" w:cs="仿宋_GB2312"/>
          <w:kern w:val="2"/>
        </w:rPr>
        <w:t>（26）承包商应按规定设置劳务工维权信息牌，关心工人、加强沟通交流，保障工人的基本生活条件。时刻保持维稳工作的敏感性，发现不稳定因素密切跟踪，出现不稳定苗头及时制止，防止矛盾激化或不稳的因素扩大。</w:t>
      </w:r>
    </w:p>
    <w:p>
      <w:pPr>
        <w:widowControl w:val="0"/>
        <w:autoSpaceDE w:val="0"/>
        <w:autoSpaceDN w:val="0"/>
        <w:spacing w:line="360" w:lineRule="auto"/>
        <w:ind w:firstLine="480" w:firstLineChars="200"/>
        <w:jc w:val="both"/>
        <w:rPr>
          <w:rFonts w:cs="仿宋_GB2312"/>
          <w:kern w:val="2"/>
        </w:rPr>
      </w:pPr>
      <w:r>
        <w:rPr>
          <w:rFonts w:hint="eastAsia" w:cs="仿宋_GB2312"/>
          <w:kern w:val="2"/>
        </w:rPr>
        <w:t>（27）承包商应针对工程特点，制定防触电、防坍塌、防高处坠落、防起重及机械伤害、防火灾、防物体打击等主要内容的专项应急救援预案。</w:t>
      </w:r>
    </w:p>
    <w:p>
      <w:pPr>
        <w:widowControl w:val="0"/>
        <w:autoSpaceDE w:val="0"/>
        <w:autoSpaceDN w:val="0"/>
        <w:spacing w:line="360" w:lineRule="auto"/>
        <w:ind w:firstLine="480" w:firstLineChars="200"/>
        <w:jc w:val="both"/>
        <w:rPr>
          <w:rFonts w:cs="仿宋_GB2312"/>
          <w:kern w:val="2"/>
        </w:rPr>
      </w:pPr>
      <w:r>
        <w:rPr>
          <w:rFonts w:hint="eastAsia" w:cs="仿宋_GB2312"/>
          <w:kern w:val="2"/>
        </w:rPr>
        <w:t>（28）承包商应建立应急救援组织，培训、配备应急救援人员，定期组织员工进行应急救援演练，并做好演练记录。</w:t>
      </w:r>
    </w:p>
    <w:p>
      <w:pPr>
        <w:widowControl w:val="0"/>
        <w:autoSpaceDE w:val="0"/>
        <w:autoSpaceDN w:val="0"/>
        <w:spacing w:line="360" w:lineRule="auto"/>
        <w:ind w:firstLine="480" w:firstLineChars="200"/>
        <w:jc w:val="both"/>
        <w:rPr>
          <w:rFonts w:cs="仿宋_GB2312"/>
          <w:kern w:val="2"/>
        </w:rPr>
      </w:pPr>
      <w:r>
        <w:rPr>
          <w:rFonts w:hint="eastAsia" w:cs="仿宋_GB2312"/>
          <w:kern w:val="2"/>
        </w:rPr>
        <w:t>（29）承包商应按应急救援预案要求，配备应急救援器材和设备。</w:t>
      </w:r>
    </w:p>
    <w:p>
      <w:pPr>
        <w:widowControl w:val="0"/>
        <w:autoSpaceDE w:val="0"/>
        <w:autoSpaceDN w:val="0"/>
        <w:spacing w:line="360" w:lineRule="auto"/>
        <w:ind w:firstLine="480" w:firstLineChars="200"/>
        <w:jc w:val="both"/>
        <w:rPr>
          <w:rFonts w:cs="仿宋_GB2312"/>
          <w:kern w:val="2"/>
        </w:rPr>
      </w:pPr>
      <w:r>
        <w:rPr>
          <w:rFonts w:hint="eastAsia" w:cs="仿宋_GB2312"/>
          <w:kern w:val="2"/>
        </w:rPr>
        <w:t>（30）事故发生后，承包商应全力开展应急抢险救援，及时将事故原因、抢险措施上报政府有关部门和甲方，按“四不放过”原则做好事故调查处理工作。</w:t>
      </w:r>
    </w:p>
    <w:p>
      <w:pPr>
        <w:keepNext/>
        <w:keepLines/>
        <w:widowControl w:val="0"/>
        <w:autoSpaceDE w:val="0"/>
        <w:autoSpaceDN w:val="0"/>
        <w:spacing w:line="360" w:lineRule="auto"/>
        <w:jc w:val="left"/>
        <w:outlineLvl w:val="3"/>
        <w:rPr>
          <w:rFonts w:cs="仿宋_GB2312"/>
          <w:b/>
          <w:bCs/>
          <w:kern w:val="2"/>
        </w:rPr>
      </w:pPr>
      <w:bookmarkStart w:id="818" w:name="_Toc215"/>
      <w:bookmarkStart w:id="819" w:name="_Toc28591"/>
      <w:bookmarkStart w:id="820" w:name="_Toc16558"/>
      <w:bookmarkStart w:id="821" w:name="_Toc26306"/>
      <w:bookmarkStart w:id="822" w:name="_Toc13393"/>
      <w:bookmarkStart w:id="823" w:name="_Toc11999"/>
      <w:bookmarkStart w:id="824" w:name="_Toc2478"/>
      <w:bookmarkStart w:id="825" w:name="_Toc13835"/>
      <w:bookmarkStart w:id="826" w:name="_Toc6894"/>
      <w:bookmarkStart w:id="827" w:name="_Toc29454"/>
      <w:r>
        <w:rPr>
          <w:rFonts w:hint="eastAsia" w:cs="仿宋_GB2312"/>
          <w:b/>
          <w:bCs/>
          <w:kern w:val="2"/>
          <w:lang w:val="en-US" w:eastAsia="zh-CN"/>
        </w:rPr>
        <w:t>9</w:t>
      </w:r>
      <w:r>
        <w:rPr>
          <w:rFonts w:hint="eastAsia" w:cs="仿宋_GB2312"/>
          <w:b/>
          <w:bCs/>
          <w:kern w:val="2"/>
        </w:rPr>
        <w:t>.3 安全生产和消防管理要求</w:t>
      </w:r>
      <w:bookmarkEnd w:id="818"/>
      <w:bookmarkEnd w:id="819"/>
      <w:bookmarkEnd w:id="820"/>
      <w:bookmarkEnd w:id="821"/>
      <w:bookmarkEnd w:id="822"/>
      <w:bookmarkEnd w:id="823"/>
      <w:bookmarkEnd w:id="824"/>
      <w:bookmarkEnd w:id="825"/>
      <w:bookmarkEnd w:id="826"/>
      <w:bookmarkEnd w:id="827"/>
    </w:p>
    <w:p>
      <w:pPr>
        <w:widowControl w:val="0"/>
        <w:autoSpaceDE w:val="0"/>
        <w:autoSpaceDN w:val="0"/>
        <w:spacing w:line="360" w:lineRule="auto"/>
        <w:ind w:firstLine="480" w:firstLineChars="200"/>
        <w:jc w:val="both"/>
        <w:rPr>
          <w:rFonts w:cs="仿宋_GB2312"/>
          <w:kern w:val="2"/>
        </w:rPr>
      </w:pPr>
      <w:r>
        <w:rPr>
          <w:rFonts w:hint="eastAsia" w:cs="仿宋_GB2312"/>
          <w:kern w:val="2"/>
        </w:rPr>
        <w:t>（1）为了提高施工现场安全生产和文明施工的管理水平，总承包商必须按规定建立该项目的安全生产、文明施工管理体系，制定安全管理方针和目标，建立项目安全管理组织架构，明确各级安全管理职责，落实安全责任。</w:t>
      </w:r>
    </w:p>
    <w:p>
      <w:pPr>
        <w:widowControl w:val="0"/>
        <w:autoSpaceDE w:val="0"/>
        <w:autoSpaceDN w:val="0"/>
        <w:spacing w:line="360" w:lineRule="auto"/>
        <w:ind w:firstLine="480" w:firstLineChars="200"/>
        <w:jc w:val="both"/>
        <w:rPr>
          <w:rFonts w:cs="仿宋_GB2312"/>
          <w:kern w:val="2"/>
        </w:rPr>
      </w:pPr>
      <w:r>
        <w:rPr>
          <w:rFonts w:hint="eastAsia" w:cs="仿宋_GB2312"/>
          <w:kern w:val="2"/>
        </w:rPr>
        <w:t>（2）总承包商必须建立安全生产制度，包括但不限于各级安全生产责任制、安全教育制度、安全例会制度、安全检查制度、施工机械设施验收制度等，按照《广东省建筑施工安全管理资料统一用表（2021版）》规范内业资料管理。</w:t>
      </w:r>
    </w:p>
    <w:p>
      <w:pPr>
        <w:widowControl w:val="0"/>
        <w:autoSpaceDE w:val="0"/>
        <w:autoSpaceDN w:val="0"/>
        <w:spacing w:line="360" w:lineRule="auto"/>
        <w:ind w:firstLine="480" w:firstLineChars="200"/>
        <w:jc w:val="both"/>
        <w:rPr>
          <w:rFonts w:cs="仿宋_GB2312"/>
          <w:kern w:val="2"/>
        </w:rPr>
      </w:pPr>
      <w:r>
        <w:rPr>
          <w:rFonts w:hint="eastAsia" w:cs="仿宋_GB2312"/>
          <w:kern w:val="2"/>
        </w:rPr>
        <w:t>（3）承包商必须严格遵循施工作业防护在先，作业在后的顺序，禁止先作业，后补防护或无防护冒险施工的情况发生。</w:t>
      </w:r>
    </w:p>
    <w:p>
      <w:pPr>
        <w:widowControl w:val="0"/>
        <w:autoSpaceDE w:val="0"/>
        <w:autoSpaceDN w:val="0"/>
        <w:spacing w:line="360" w:lineRule="auto"/>
        <w:ind w:firstLine="480" w:firstLineChars="200"/>
        <w:jc w:val="both"/>
        <w:rPr>
          <w:rFonts w:cs="仿宋_GB2312"/>
          <w:kern w:val="2"/>
        </w:rPr>
      </w:pPr>
      <w:r>
        <w:rPr>
          <w:rFonts w:hint="eastAsia" w:cs="仿宋_GB2312"/>
          <w:kern w:val="2"/>
        </w:rPr>
        <w:t>（4）承包商应在监理单位见证下及时将脚手架钢管、扣件、安全网、安全帽、安全带等安全用具送检，经检验合格后方可投入使用。</w:t>
      </w:r>
    </w:p>
    <w:p>
      <w:pPr>
        <w:widowControl w:val="0"/>
        <w:autoSpaceDE w:val="0"/>
        <w:autoSpaceDN w:val="0"/>
        <w:spacing w:line="360" w:lineRule="auto"/>
        <w:ind w:firstLine="480" w:firstLineChars="200"/>
        <w:jc w:val="both"/>
        <w:rPr>
          <w:rFonts w:cs="仿宋_GB2312"/>
          <w:kern w:val="2"/>
        </w:rPr>
      </w:pPr>
      <w:r>
        <w:rPr>
          <w:rFonts w:hint="eastAsia" w:cs="仿宋_GB2312"/>
          <w:kern w:val="2"/>
        </w:rPr>
        <w:t>（5）承包商进场的施工机具、设施设备投入使用前，应报监理单位验收。</w:t>
      </w:r>
    </w:p>
    <w:p>
      <w:pPr>
        <w:widowControl w:val="0"/>
        <w:autoSpaceDE w:val="0"/>
        <w:autoSpaceDN w:val="0"/>
        <w:spacing w:line="360" w:lineRule="auto"/>
        <w:ind w:firstLine="480" w:firstLineChars="200"/>
        <w:jc w:val="both"/>
        <w:rPr>
          <w:rFonts w:cs="仿宋_GB2312"/>
          <w:kern w:val="2"/>
        </w:rPr>
      </w:pPr>
      <w:r>
        <w:rPr>
          <w:rFonts w:hint="eastAsia" w:cs="仿宋_GB2312"/>
          <w:kern w:val="2"/>
        </w:rPr>
        <w:t>（6）承包商应加强安全生产教育培训，对所有新进场、转岗工人进行三级安全教育，购买工伤保险，并按照《深圳市住房和建设局关于试行建筑从业人员安全教育数字化教材强化实名制安全教育培训的通知》，落实实名制安全教育培训工作。</w:t>
      </w:r>
    </w:p>
    <w:p>
      <w:pPr>
        <w:widowControl w:val="0"/>
        <w:autoSpaceDE w:val="0"/>
        <w:autoSpaceDN w:val="0"/>
        <w:spacing w:line="360" w:lineRule="auto"/>
        <w:ind w:firstLine="480" w:firstLineChars="200"/>
        <w:jc w:val="both"/>
        <w:rPr>
          <w:rFonts w:cs="仿宋_GB2312"/>
          <w:kern w:val="2"/>
        </w:rPr>
      </w:pPr>
      <w:r>
        <w:rPr>
          <w:rFonts w:hint="eastAsia" w:cs="仿宋_GB2312"/>
          <w:kern w:val="2"/>
        </w:rPr>
        <w:t>（7）承包商每天应开展班前安全交底，每月开展岗位操作规程培训，监理旁站见证。</w:t>
      </w:r>
    </w:p>
    <w:p>
      <w:pPr>
        <w:widowControl w:val="0"/>
        <w:autoSpaceDE w:val="0"/>
        <w:autoSpaceDN w:val="0"/>
        <w:spacing w:line="360" w:lineRule="auto"/>
        <w:ind w:firstLine="480" w:firstLineChars="200"/>
        <w:jc w:val="both"/>
        <w:rPr>
          <w:rFonts w:cs="仿宋_GB2312"/>
          <w:kern w:val="2"/>
        </w:rPr>
      </w:pPr>
      <w:r>
        <w:rPr>
          <w:rFonts w:hint="eastAsia" w:cs="仿宋_GB2312"/>
          <w:kern w:val="2"/>
        </w:rPr>
        <w:t>（8）承包商专项方案实施前，编制人员或项目技术负责人应当向现场管理人员和作业人员进行安全技术交底，需监理旁站见证。</w:t>
      </w:r>
    </w:p>
    <w:p>
      <w:pPr>
        <w:widowControl w:val="0"/>
        <w:autoSpaceDE w:val="0"/>
        <w:autoSpaceDN w:val="0"/>
        <w:spacing w:line="360" w:lineRule="auto"/>
        <w:ind w:firstLine="480" w:firstLineChars="200"/>
        <w:jc w:val="both"/>
        <w:rPr>
          <w:rFonts w:cs="仿宋_GB2312"/>
          <w:kern w:val="2"/>
        </w:rPr>
      </w:pPr>
      <w:r>
        <w:rPr>
          <w:rFonts w:hint="eastAsia" w:cs="仿宋_GB2312"/>
          <w:kern w:val="2"/>
        </w:rPr>
        <w:t>（9）承包商特种作业人员应持证上岗，证件需有效并定期复审，上岗前应对其进行安全技术交底，每月对其进行安全教育培训。</w:t>
      </w:r>
    </w:p>
    <w:p>
      <w:pPr>
        <w:widowControl w:val="0"/>
        <w:autoSpaceDE w:val="0"/>
        <w:autoSpaceDN w:val="0"/>
        <w:spacing w:line="360" w:lineRule="auto"/>
        <w:ind w:firstLine="480" w:firstLineChars="200"/>
        <w:jc w:val="both"/>
        <w:rPr>
          <w:rFonts w:cs="仿宋_GB2312"/>
          <w:kern w:val="2"/>
        </w:rPr>
      </w:pPr>
      <w:r>
        <w:rPr>
          <w:rFonts w:hint="eastAsia" w:cs="仿宋_GB2312"/>
          <w:kern w:val="2"/>
        </w:rPr>
        <w:t>（10）承包商安全员应每日对现场进行安全巡查，并填写安全巡查日志。</w:t>
      </w:r>
    </w:p>
    <w:p>
      <w:pPr>
        <w:widowControl w:val="0"/>
        <w:autoSpaceDE w:val="0"/>
        <w:autoSpaceDN w:val="0"/>
        <w:spacing w:line="360" w:lineRule="auto"/>
        <w:ind w:firstLine="480" w:firstLineChars="200"/>
        <w:jc w:val="both"/>
        <w:rPr>
          <w:rFonts w:cs="仿宋_GB2312"/>
          <w:kern w:val="2"/>
        </w:rPr>
      </w:pPr>
      <w:r>
        <w:rPr>
          <w:rFonts w:hint="eastAsia" w:cs="仿宋_GB2312"/>
          <w:kern w:val="2"/>
        </w:rPr>
        <w:t>（11）承包商项目部应每周开展安全检查，每月开展安全自评。</w:t>
      </w:r>
    </w:p>
    <w:p>
      <w:pPr>
        <w:widowControl w:val="0"/>
        <w:autoSpaceDE w:val="0"/>
        <w:autoSpaceDN w:val="0"/>
        <w:spacing w:line="360" w:lineRule="auto"/>
        <w:ind w:firstLine="480" w:firstLineChars="200"/>
        <w:jc w:val="both"/>
        <w:rPr>
          <w:rFonts w:cs="仿宋_GB2312"/>
          <w:kern w:val="2"/>
        </w:rPr>
      </w:pPr>
      <w:r>
        <w:rPr>
          <w:rFonts w:hint="eastAsia" w:cs="仿宋_GB2312"/>
          <w:kern w:val="2"/>
        </w:rPr>
        <w:t>（12）承包商对于施工现场的外脚手架、塔吊、施工电梯、模板支撑系统、施工机具、临时用电等进行安全自检，并做好检查记录。</w:t>
      </w:r>
    </w:p>
    <w:p>
      <w:pPr>
        <w:widowControl w:val="0"/>
        <w:autoSpaceDE w:val="0"/>
        <w:autoSpaceDN w:val="0"/>
        <w:spacing w:line="360" w:lineRule="auto"/>
        <w:ind w:firstLine="480" w:firstLineChars="200"/>
        <w:jc w:val="both"/>
        <w:rPr>
          <w:rFonts w:cs="仿宋_GB2312"/>
          <w:kern w:val="2"/>
        </w:rPr>
      </w:pPr>
      <w:r>
        <w:rPr>
          <w:rFonts w:hint="eastAsia" w:cs="仿宋_GB2312"/>
          <w:kern w:val="2"/>
        </w:rPr>
        <w:t>（13）总承包商施工活动中各项施工程序、措施、方式均应严格遵守“方案先行”原则，施工前编制施工方案，经有关人员审批后报送监理审核、甲方备案。</w:t>
      </w:r>
    </w:p>
    <w:p>
      <w:pPr>
        <w:widowControl w:val="0"/>
        <w:autoSpaceDE w:val="0"/>
        <w:autoSpaceDN w:val="0"/>
        <w:spacing w:line="360" w:lineRule="auto"/>
        <w:ind w:firstLine="480" w:firstLineChars="200"/>
        <w:jc w:val="both"/>
        <w:rPr>
          <w:rFonts w:cs="仿宋_GB2312"/>
          <w:kern w:val="2"/>
        </w:rPr>
      </w:pPr>
      <w:r>
        <w:rPr>
          <w:rFonts w:hint="eastAsia" w:cs="仿宋_GB2312"/>
          <w:kern w:val="2"/>
        </w:rPr>
        <w:t>（14）总承包商必须制定和落实建设工程重大危险源管理办法，严格按照国家《建设工程重大危险源管理办法》的要求，项目要制定危大工程施工盘站监督管理制度，涉及危大工程施工的，必须有项目管理人员全程盘站监督。</w:t>
      </w:r>
    </w:p>
    <w:p>
      <w:pPr>
        <w:widowControl w:val="0"/>
        <w:autoSpaceDE w:val="0"/>
        <w:autoSpaceDN w:val="0"/>
        <w:spacing w:line="360" w:lineRule="auto"/>
        <w:ind w:firstLine="480" w:firstLineChars="200"/>
        <w:jc w:val="both"/>
        <w:rPr>
          <w:rFonts w:cs="仿宋_GB2312"/>
          <w:kern w:val="2"/>
        </w:rPr>
      </w:pPr>
      <w:r>
        <w:rPr>
          <w:rFonts w:hint="eastAsia" w:cs="仿宋_GB2312"/>
          <w:kern w:val="2"/>
        </w:rPr>
        <w:t>（15）建设工程施工前，总承包商负责项目管理的各专业技术人员应当对本专业施工作业中有关安全的技术要求向施工班组的作业人员作出详细说明，并由双方签字确认，完成安全交底。交底过程中，专职安全管理人员须在场监督。</w:t>
      </w:r>
    </w:p>
    <w:p>
      <w:pPr>
        <w:widowControl w:val="0"/>
        <w:autoSpaceDE w:val="0"/>
        <w:autoSpaceDN w:val="0"/>
        <w:spacing w:line="360" w:lineRule="auto"/>
        <w:ind w:firstLine="480" w:firstLineChars="200"/>
        <w:jc w:val="both"/>
        <w:rPr>
          <w:rFonts w:cs="仿宋_GB2312"/>
          <w:kern w:val="2"/>
        </w:rPr>
      </w:pPr>
      <w:r>
        <w:rPr>
          <w:rFonts w:hint="eastAsia" w:cs="仿宋_GB2312"/>
          <w:kern w:val="2"/>
        </w:rPr>
        <w:t>（16）总承包商应当在施工现场入口处、施工起重机械、临时用电设施、脚手架、出入通道口、基坑边沿、有害危险气体和液体存放处等危险部位，设置明显的安全警示标志，安全警示标志必须符合国家标准。</w:t>
      </w:r>
    </w:p>
    <w:p>
      <w:pPr>
        <w:widowControl w:val="0"/>
        <w:autoSpaceDE w:val="0"/>
        <w:autoSpaceDN w:val="0"/>
        <w:spacing w:line="360" w:lineRule="auto"/>
        <w:ind w:firstLine="480" w:firstLineChars="200"/>
        <w:jc w:val="both"/>
        <w:rPr>
          <w:rFonts w:cs="仿宋_GB2312"/>
          <w:kern w:val="2"/>
        </w:rPr>
      </w:pPr>
      <w:r>
        <w:rPr>
          <w:rFonts w:hint="eastAsia" w:cs="仿宋_GB2312"/>
          <w:kern w:val="2"/>
        </w:rPr>
        <w:t>（17）总承包商有责任对施工现场所有的临边、洞口等作业面进行必要的防护，防护措施应满足行业规范的要求。同时，应指派专人定期巡查，对已经破损或被移动的防护措施进行恢复。临边包括但不限于基坑临边、道路临边、围挡临边、基坑临边。</w:t>
      </w:r>
    </w:p>
    <w:p>
      <w:pPr>
        <w:widowControl w:val="0"/>
        <w:autoSpaceDE w:val="0"/>
        <w:autoSpaceDN w:val="0"/>
        <w:spacing w:line="360" w:lineRule="auto"/>
        <w:ind w:firstLine="480" w:firstLineChars="200"/>
        <w:jc w:val="both"/>
        <w:rPr>
          <w:rFonts w:cs="仿宋_GB2312"/>
          <w:kern w:val="2"/>
        </w:rPr>
      </w:pPr>
      <w:r>
        <w:rPr>
          <w:rFonts w:hint="eastAsia" w:cs="仿宋_GB2312"/>
          <w:kern w:val="2"/>
        </w:rPr>
        <w:t>（18）总承包商施工活动中所使用的运输设备、机械设备及小型电动工具等必须为正规厂家生产的合格产品。现场使用必须严格按照省、市的相关规定执行。</w:t>
      </w:r>
    </w:p>
    <w:p>
      <w:pPr>
        <w:widowControl w:val="0"/>
        <w:autoSpaceDE w:val="0"/>
        <w:autoSpaceDN w:val="0"/>
        <w:spacing w:line="360" w:lineRule="auto"/>
        <w:ind w:firstLine="480" w:firstLineChars="200"/>
        <w:jc w:val="both"/>
        <w:rPr>
          <w:rFonts w:cs="仿宋_GB2312"/>
          <w:kern w:val="2"/>
        </w:rPr>
      </w:pPr>
      <w:r>
        <w:rPr>
          <w:rFonts w:hint="eastAsia" w:cs="仿宋_GB2312"/>
          <w:kern w:val="2"/>
        </w:rPr>
        <w:t>（19）建筑如涉及到外立面脚手架必须满挂安全网，且安全网保持干净整洁，无破损，架体下部结构的所有临边必须设置固定式防护栏杆并满挂安全网。</w:t>
      </w:r>
    </w:p>
    <w:p>
      <w:pPr>
        <w:widowControl w:val="0"/>
        <w:autoSpaceDE w:val="0"/>
        <w:autoSpaceDN w:val="0"/>
        <w:spacing w:line="360" w:lineRule="auto"/>
        <w:ind w:firstLine="480" w:firstLineChars="200"/>
        <w:jc w:val="both"/>
        <w:rPr>
          <w:rFonts w:cs="仿宋_GB2312"/>
          <w:kern w:val="2"/>
        </w:rPr>
      </w:pPr>
      <w:r>
        <w:rPr>
          <w:rFonts w:hint="eastAsia" w:cs="仿宋_GB2312"/>
          <w:kern w:val="2"/>
        </w:rPr>
        <w:t>（20）总承包商在使用施工起重机械前，应当组织有关单位进行验收，也可以委托具有相应资质的检验检测机构进行验收；使用承租的机械设备和施工机具及配件的，由施工总承包商、出租单位和安装单位共同进行验收。验收合格的方可使用。《特种设备安全监察条例》规定的施工起重机械，在验收前应当经有相应资质的检验检测机构监督检验合格。</w:t>
      </w:r>
    </w:p>
    <w:p>
      <w:pPr>
        <w:widowControl w:val="0"/>
        <w:autoSpaceDE w:val="0"/>
        <w:autoSpaceDN w:val="0"/>
        <w:spacing w:line="360" w:lineRule="auto"/>
        <w:ind w:firstLine="480" w:firstLineChars="200"/>
        <w:jc w:val="both"/>
        <w:rPr>
          <w:rFonts w:cs="仿宋_GB2312"/>
          <w:kern w:val="2"/>
        </w:rPr>
      </w:pPr>
      <w:r>
        <w:rPr>
          <w:rFonts w:hint="eastAsia" w:cs="仿宋_GB2312"/>
          <w:kern w:val="2"/>
        </w:rPr>
        <w:t>（21）在施工现场安装、拆卸施工起重机械，必须由具有相应资质的单位承担。安装、拆卸施工起重机械和整体模板体系，应当编制拆装方案、制定安全施工措施，并由专业技术人员现场监督。</w:t>
      </w:r>
    </w:p>
    <w:p>
      <w:pPr>
        <w:widowControl w:val="0"/>
        <w:autoSpaceDE w:val="0"/>
        <w:autoSpaceDN w:val="0"/>
        <w:spacing w:line="360" w:lineRule="auto"/>
        <w:ind w:firstLine="480" w:firstLineChars="200"/>
        <w:jc w:val="both"/>
        <w:rPr>
          <w:rFonts w:cs="仿宋_GB2312"/>
          <w:kern w:val="2"/>
        </w:rPr>
      </w:pPr>
      <w:r>
        <w:rPr>
          <w:rFonts w:hint="eastAsia" w:cs="仿宋_GB2312"/>
          <w:kern w:val="2"/>
        </w:rPr>
        <w:t>（22）施工起重机械安装完毕后，安装单位应当自检，出具自检合格证明，并向总承包商进行安全使用说明交底，办理验收手续并签字。</w:t>
      </w:r>
    </w:p>
    <w:p>
      <w:pPr>
        <w:widowControl w:val="0"/>
        <w:autoSpaceDE w:val="0"/>
        <w:autoSpaceDN w:val="0"/>
        <w:spacing w:line="360" w:lineRule="auto"/>
        <w:ind w:firstLine="480" w:firstLineChars="200"/>
        <w:jc w:val="both"/>
        <w:rPr>
          <w:rFonts w:cs="仿宋_GB2312"/>
          <w:kern w:val="2"/>
        </w:rPr>
      </w:pPr>
      <w:r>
        <w:rPr>
          <w:rFonts w:hint="eastAsia" w:cs="仿宋_GB2312"/>
          <w:kern w:val="2"/>
        </w:rPr>
        <w:t>（23）总承包商</w:t>
      </w:r>
      <w:r>
        <w:rPr>
          <w:rFonts w:hint="eastAsia" w:cs="仿宋_GB2312"/>
          <w:kern w:val="2"/>
          <w:lang w:val="en-US" w:eastAsia="zh-CN"/>
        </w:rPr>
        <w:t>土方及垃圾</w:t>
      </w:r>
      <w:r>
        <w:rPr>
          <w:rFonts w:hint="eastAsia" w:cs="仿宋_GB2312"/>
          <w:kern w:val="2"/>
        </w:rPr>
        <w:t>外运过程中，需和政府批准的专业公司签订合同。所有车辆需证照齐全，严禁超载运输，司机不得疲劳驾驶，严禁在规定区域外随意倾泻。总承包商负责维护和清理施工出入道路和人行通道道上的清洁，保证符合甲方及政府相关部门的要求。</w:t>
      </w:r>
    </w:p>
    <w:p>
      <w:pPr>
        <w:widowControl w:val="0"/>
        <w:autoSpaceDE w:val="0"/>
        <w:autoSpaceDN w:val="0"/>
        <w:spacing w:line="360" w:lineRule="auto"/>
        <w:ind w:firstLine="480" w:firstLineChars="200"/>
        <w:jc w:val="both"/>
        <w:rPr>
          <w:rFonts w:cs="仿宋_GB2312"/>
          <w:kern w:val="2"/>
        </w:rPr>
      </w:pPr>
      <w:r>
        <w:rPr>
          <w:rFonts w:hint="eastAsia" w:cs="仿宋_GB2312"/>
          <w:kern w:val="2"/>
        </w:rPr>
        <w:t>（24）总承包商应当根据不同施工阶段和周围环境及季节、气候的变化，在施工现场采取相应的安全施工措施。施工现场暂时停止施工的，总承包商应当做好现场防护，所需费用由责任方承担，或者按照合同约定执行。</w:t>
      </w:r>
    </w:p>
    <w:p>
      <w:pPr>
        <w:widowControl w:val="0"/>
        <w:autoSpaceDE w:val="0"/>
        <w:autoSpaceDN w:val="0"/>
        <w:spacing w:line="360" w:lineRule="auto"/>
        <w:ind w:firstLine="480" w:firstLineChars="200"/>
        <w:jc w:val="both"/>
        <w:rPr>
          <w:rFonts w:cs="仿宋_GB2312"/>
          <w:kern w:val="2"/>
        </w:rPr>
      </w:pPr>
      <w:r>
        <w:rPr>
          <w:rFonts w:hint="eastAsia" w:cs="仿宋_GB2312"/>
          <w:kern w:val="2"/>
        </w:rPr>
        <w:t>（25）开工前，总承包商向监理人提交安全生产(含消防安全)计划；落实安全、消防和保安措施，以及文明施工管理措施。总承包商有责任制定消防专项方案、消防安全管理措施、消防责任追究办法及消防事故应急处理办法。同时，建立项目义务消防队，以项目经理为第一责任人。义务消防队成员需通过政府授权部门所规定的培训，并取得相关证书。现场应严格执行动火审批程序，动火点必须有专人看守并配置消防器材。</w:t>
      </w:r>
    </w:p>
    <w:p>
      <w:pPr>
        <w:widowControl w:val="0"/>
        <w:autoSpaceDE w:val="0"/>
        <w:autoSpaceDN w:val="0"/>
        <w:spacing w:line="360" w:lineRule="auto"/>
        <w:ind w:firstLine="480" w:firstLineChars="200"/>
        <w:jc w:val="both"/>
        <w:rPr>
          <w:rFonts w:cs="仿宋_GB2312"/>
          <w:kern w:val="2"/>
        </w:rPr>
      </w:pPr>
      <w:r>
        <w:rPr>
          <w:rFonts w:hint="eastAsia" w:cs="仿宋_GB2312"/>
          <w:kern w:val="2"/>
        </w:rPr>
        <w:t>（26）总承包商应在施工现场及临建设施的规定位置设置灭火器，定期进行检查，确保灭火器数量充足、灭火器应标注检查日期和是否有效。</w:t>
      </w:r>
    </w:p>
    <w:p>
      <w:pPr>
        <w:widowControl w:val="0"/>
        <w:autoSpaceDE w:val="0"/>
        <w:autoSpaceDN w:val="0"/>
        <w:spacing w:line="360" w:lineRule="auto"/>
        <w:ind w:firstLine="480" w:firstLineChars="200"/>
        <w:jc w:val="both"/>
        <w:rPr>
          <w:rFonts w:cs="仿宋_GB2312"/>
          <w:kern w:val="2"/>
        </w:rPr>
      </w:pPr>
      <w:r>
        <w:rPr>
          <w:rFonts w:hint="eastAsia" w:cs="仿宋_GB2312"/>
          <w:kern w:val="2"/>
        </w:rPr>
        <w:t>（27）为了保证施工期间火灾发生时人员的及时疏散，通道并设置必要的标识和照明设施，通道要保持畅通，任何人员不得随意占用。</w:t>
      </w:r>
    </w:p>
    <w:p>
      <w:pPr>
        <w:widowControl w:val="0"/>
        <w:autoSpaceDE w:val="0"/>
        <w:autoSpaceDN w:val="0"/>
        <w:spacing w:line="360" w:lineRule="auto"/>
        <w:ind w:firstLine="480" w:firstLineChars="200"/>
        <w:jc w:val="both"/>
        <w:rPr>
          <w:rFonts w:cs="仿宋_GB2312"/>
          <w:kern w:val="2"/>
        </w:rPr>
      </w:pPr>
      <w:r>
        <w:rPr>
          <w:rFonts w:hint="eastAsia" w:cs="仿宋_GB2312"/>
          <w:kern w:val="2"/>
        </w:rPr>
        <w:t>（28）危险品仓库、油漆间、木工间，有专人管理，上述区域严禁吸烟及动用明火，设立明显的危险警告标志；焊、割作业应严格执行“十不烧”及压力容器使用规定；施工现场，非电工严禁擅自装接用电器具、拉设电线，禁止使用非生产性电加热器和煤油炉等明火器具。生活用火不得有隐患。</w:t>
      </w:r>
    </w:p>
    <w:p>
      <w:pPr>
        <w:widowControl w:val="0"/>
        <w:autoSpaceDE w:val="0"/>
        <w:autoSpaceDN w:val="0"/>
        <w:spacing w:line="360" w:lineRule="auto"/>
        <w:ind w:firstLine="480" w:firstLineChars="200"/>
        <w:jc w:val="both"/>
        <w:rPr>
          <w:rFonts w:cs="仿宋_GB2312"/>
          <w:kern w:val="2"/>
        </w:rPr>
      </w:pPr>
      <w:r>
        <w:rPr>
          <w:rFonts w:hint="eastAsia" w:cs="仿宋_GB2312"/>
          <w:kern w:val="2"/>
        </w:rPr>
        <w:t>（29）总承包商必须在防火等级不同的区域配置符合要求的消防器材，各类消防产品必须符合国家标准；没有国家标准的，必须符合行业标准。禁止使用不合格的消防产品以及国家明令淘汰的消防产品。项目部应定期组织消防检查，消除火灾事故隐患。消防器材应按规定布置齐全、合理，任何人不得挪作它用，周围不准堆物，并应保持道路畅通，灭火器按时调换药剂。</w:t>
      </w:r>
    </w:p>
    <w:p>
      <w:pPr>
        <w:widowControl w:val="0"/>
        <w:autoSpaceDE w:val="0"/>
        <w:autoSpaceDN w:val="0"/>
        <w:spacing w:line="360" w:lineRule="auto"/>
        <w:ind w:firstLine="480" w:firstLineChars="200"/>
        <w:jc w:val="both"/>
        <w:rPr>
          <w:rFonts w:cs="仿宋_GB2312"/>
          <w:kern w:val="2"/>
        </w:rPr>
      </w:pPr>
      <w:r>
        <w:rPr>
          <w:rFonts w:hint="eastAsia" w:cs="仿宋_GB2312"/>
          <w:kern w:val="2"/>
        </w:rPr>
        <w:t>（30）总承包商需根据项目施工进度建立项目驻地的临时消防系统（如喷淋系统）。实施前应根据法规要求及本单位成熟经验编制专项方案，并经相关单位的审批后实施。施工过程中，定期对管道、阀门、加压设备进行检查，保证项目驻地使用过程中的消防需要，与固定消防器材配合形成整体消防系统。</w:t>
      </w:r>
    </w:p>
    <w:p>
      <w:pPr>
        <w:widowControl w:val="0"/>
        <w:autoSpaceDE w:val="0"/>
        <w:autoSpaceDN w:val="0"/>
        <w:spacing w:line="360" w:lineRule="auto"/>
        <w:ind w:firstLine="480" w:firstLineChars="200"/>
        <w:jc w:val="both"/>
        <w:rPr>
          <w:rFonts w:cs="仿宋_GB2312"/>
          <w:kern w:val="2"/>
        </w:rPr>
      </w:pPr>
      <w:r>
        <w:rPr>
          <w:rFonts w:hint="eastAsia" w:cs="仿宋_GB2312"/>
          <w:kern w:val="2"/>
        </w:rPr>
        <w:t>（31）总承包商应将施工现场的办公区与作业区分开设置，并保持安全距离；生活区的选址应当符合安全性要求，员工的膳食、饮水、休息场所等应当符合卫生标准。总承包商不得在尚未竣工的建筑物内设置员工集体宿舍。</w:t>
      </w:r>
    </w:p>
    <w:p>
      <w:pPr>
        <w:widowControl w:val="0"/>
        <w:autoSpaceDE w:val="0"/>
        <w:autoSpaceDN w:val="0"/>
        <w:spacing w:line="360" w:lineRule="auto"/>
        <w:ind w:firstLine="480" w:firstLineChars="200"/>
        <w:jc w:val="both"/>
        <w:rPr>
          <w:rFonts w:cs="仿宋_GB2312"/>
          <w:kern w:val="2"/>
        </w:rPr>
      </w:pPr>
      <w:r>
        <w:rPr>
          <w:rFonts w:hint="eastAsia" w:cs="仿宋_GB2312"/>
          <w:kern w:val="2"/>
        </w:rPr>
        <w:t>（32）总承包商在施工现场临时搭建的建筑物应当符合安全使用要求。施工现场使用的装配式活动房屋应当具有产品合格证。</w:t>
      </w:r>
    </w:p>
    <w:p>
      <w:pPr>
        <w:widowControl w:val="0"/>
        <w:autoSpaceDE w:val="0"/>
        <w:autoSpaceDN w:val="0"/>
        <w:spacing w:line="360" w:lineRule="auto"/>
        <w:ind w:firstLine="480" w:firstLineChars="200"/>
        <w:jc w:val="both"/>
        <w:rPr>
          <w:rFonts w:cs="仿宋_GB2312"/>
          <w:kern w:val="2"/>
        </w:rPr>
      </w:pPr>
      <w:r>
        <w:rPr>
          <w:rFonts w:hint="eastAsia" w:cs="仿宋_GB2312"/>
          <w:kern w:val="2"/>
        </w:rPr>
        <w:t>（33）总承包商应编制项目应急演练总计划，编制专项应急演练方案并实施。根据项目施工的不同阶段预先安排有针对性的专项应急演练，演练项目应包含但不限于高坠、坍塌、触电、火灾、爆炸、中毒、中暑、灾害性天气等。总承包商须按照应急救援预案，建立应急救援组织或者配备应急救援人员，配备救援器材、设备，并定期组织演练。</w:t>
      </w:r>
    </w:p>
    <w:p>
      <w:pPr>
        <w:widowControl w:val="0"/>
        <w:autoSpaceDE w:val="0"/>
        <w:autoSpaceDN w:val="0"/>
        <w:spacing w:line="360" w:lineRule="auto"/>
        <w:ind w:firstLine="480" w:firstLineChars="200"/>
        <w:jc w:val="both"/>
        <w:rPr>
          <w:rFonts w:cs="仿宋_GB2312"/>
          <w:kern w:val="2"/>
        </w:rPr>
      </w:pPr>
      <w:r>
        <w:rPr>
          <w:rFonts w:hint="eastAsia" w:cs="仿宋_GB2312"/>
          <w:kern w:val="2"/>
        </w:rPr>
        <w:t>（34）总承包商在施工过程中所使用的危险化学品和易燃易爆物体必须按照深圳市相关规定落实购买、储存、使用、回收等环节的管理工作，同时做好相关记录。由于总承包商未采取适当有效的防护措施而引致的一切损失均由总承包商负责。</w:t>
      </w:r>
    </w:p>
    <w:p>
      <w:pPr>
        <w:widowControl w:val="0"/>
        <w:autoSpaceDE w:val="0"/>
        <w:autoSpaceDN w:val="0"/>
        <w:spacing w:line="360" w:lineRule="auto"/>
        <w:ind w:firstLine="480" w:firstLineChars="200"/>
        <w:jc w:val="both"/>
        <w:rPr>
          <w:rFonts w:cs="仿宋_GB2312"/>
          <w:kern w:val="2"/>
        </w:rPr>
      </w:pPr>
      <w:r>
        <w:rPr>
          <w:rFonts w:hint="eastAsia" w:cs="仿宋_GB2312"/>
          <w:kern w:val="2"/>
        </w:rPr>
        <w:t>（35）总承包商应当遵守有关环境保护法律、法规的规定，在施工现场采取措施，防止或者减少粉尘、废气、废水、固体废物、噪声、振动和施工照明对人和环境的危害和污染。</w:t>
      </w:r>
    </w:p>
    <w:p>
      <w:pPr>
        <w:widowControl w:val="0"/>
        <w:autoSpaceDE w:val="0"/>
        <w:autoSpaceDN w:val="0"/>
        <w:spacing w:line="360" w:lineRule="auto"/>
        <w:ind w:firstLine="480" w:firstLineChars="200"/>
        <w:jc w:val="both"/>
        <w:rPr>
          <w:rFonts w:cs="仿宋_GB2312"/>
          <w:kern w:val="2"/>
        </w:rPr>
      </w:pPr>
      <w:r>
        <w:rPr>
          <w:rFonts w:hint="eastAsia" w:cs="仿宋_GB2312"/>
          <w:kern w:val="2"/>
        </w:rPr>
        <w:t>（36）总承包商应根据本单位类似项目的成熟施工经验制定切实有效的基坑防坠落、防坍塌以及土方开挖过程中的施工方案，宜采取分层、分段的相结合开挖方式，并按要求设置项目周边道路的防护棚。</w:t>
      </w:r>
    </w:p>
    <w:p>
      <w:pPr>
        <w:widowControl w:val="0"/>
        <w:autoSpaceDE w:val="0"/>
        <w:autoSpaceDN w:val="0"/>
        <w:spacing w:line="360" w:lineRule="auto"/>
        <w:ind w:firstLine="480" w:firstLineChars="200"/>
        <w:jc w:val="both"/>
        <w:rPr>
          <w:rFonts w:cs="仿宋_GB2312"/>
          <w:kern w:val="2"/>
        </w:rPr>
      </w:pPr>
      <w:r>
        <w:rPr>
          <w:rFonts w:hint="eastAsia" w:cs="仿宋_GB2312"/>
          <w:kern w:val="2"/>
        </w:rPr>
        <w:t>（37）总承包商应对因建设工程施工可能造成损害的毗邻建筑物、构筑物和地下管线等，应当采取专项防护措施。</w:t>
      </w:r>
    </w:p>
    <w:p>
      <w:pPr>
        <w:widowControl w:val="0"/>
        <w:autoSpaceDE w:val="0"/>
        <w:autoSpaceDN w:val="0"/>
        <w:spacing w:line="360" w:lineRule="auto"/>
        <w:ind w:firstLine="480" w:firstLineChars="200"/>
        <w:jc w:val="both"/>
        <w:rPr>
          <w:rFonts w:cs="仿宋_GB2312"/>
          <w:kern w:val="2"/>
        </w:rPr>
      </w:pPr>
      <w:r>
        <w:rPr>
          <w:rFonts w:hint="eastAsia" w:cs="仿宋_GB2312"/>
          <w:kern w:val="2"/>
        </w:rPr>
        <w:t>（38）总承包商应充分考虑合同期内的现场交通组织，根据现场周边道路及场地情况制定专项方案，设置交通警示标志，确保不发生交通意外伤害事故。</w:t>
      </w:r>
    </w:p>
    <w:p>
      <w:pPr>
        <w:widowControl w:val="0"/>
        <w:autoSpaceDE w:val="0"/>
        <w:autoSpaceDN w:val="0"/>
        <w:spacing w:line="360" w:lineRule="auto"/>
        <w:ind w:firstLine="480" w:firstLineChars="200"/>
        <w:jc w:val="both"/>
        <w:rPr>
          <w:rFonts w:cs="仿宋_GB2312"/>
          <w:kern w:val="2"/>
        </w:rPr>
      </w:pPr>
      <w:r>
        <w:rPr>
          <w:rFonts w:hint="eastAsia" w:cs="仿宋_GB2312"/>
          <w:kern w:val="2"/>
        </w:rPr>
        <w:t>（39）总承包商必须无条件配合监理、甲方、政府相关部门组织的与项目有关的各类安全活动。包括但不限于样板工地展示、领导现场视察、工程影视拍摄等活动。</w:t>
      </w:r>
    </w:p>
    <w:p>
      <w:pPr>
        <w:widowControl w:val="0"/>
        <w:autoSpaceDE w:val="0"/>
        <w:autoSpaceDN w:val="0"/>
        <w:spacing w:line="360" w:lineRule="auto"/>
        <w:ind w:firstLine="480" w:firstLineChars="200"/>
        <w:jc w:val="both"/>
        <w:rPr>
          <w:rFonts w:cs="仿宋_GB2312"/>
          <w:kern w:val="2"/>
        </w:rPr>
      </w:pPr>
      <w:r>
        <w:rPr>
          <w:rFonts w:hint="eastAsia" w:cs="仿宋_GB2312"/>
          <w:kern w:val="2"/>
        </w:rPr>
        <w:t>（40）发生安全事故事件后，总承包商需第一时间将事故情况通报监理及甲方，不得隐瞒不报或推迟汇报，执行甲方的事故事件报送要求。应立即组织人员和设备进行紧急抢救和抢修，减少人员伤亡和财产损失，防止事故扩大，并保护事故现场。需要移动现场物品时，应做出标记和书面或视频影像记录，妥善保管有关证据。</w:t>
      </w:r>
    </w:p>
    <w:p>
      <w:pPr>
        <w:widowControl w:val="0"/>
        <w:autoSpaceDE w:val="0"/>
        <w:autoSpaceDN w:val="0"/>
        <w:spacing w:line="360" w:lineRule="auto"/>
        <w:ind w:firstLine="480" w:firstLineChars="200"/>
        <w:jc w:val="both"/>
        <w:rPr>
          <w:rFonts w:cs="仿宋_GB2312"/>
          <w:kern w:val="2"/>
        </w:rPr>
      </w:pPr>
      <w:r>
        <w:rPr>
          <w:rFonts w:hint="eastAsia" w:cs="仿宋_GB2312"/>
          <w:kern w:val="2"/>
        </w:rPr>
        <w:t>（41）发生安全事故事件后，总承包商应当按照国家有关伤亡事故报告和调查处理的规定，及时、如实地向负责安全生产监督管理的部门、建设行政主管部门及其它有关部门报告，特种设备发生事故的，还应当同时向特种设备安全监督管理部门报告，并报告正在采取的紧急措施等，协助政府部门事故调查组进行事故调查。</w:t>
      </w:r>
    </w:p>
    <w:p>
      <w:pPr>
        <w:widowControl w:val="0"/>
        <w:autoSpaceDE w:val="0"/>
        <w:autoSpaceDN w:val="0"/>
        <w:spacing w:line="360" w:lineRule="auto"/>
        <w:ind w:firstLine="480" w:firstLineChars="200"/>
        <w:jc w:val="both"/>
        <w:rPr>
          <w:rFonts w:cs="仿宋_GB2312"/>
          <w:kern w:val="2"/>
        </w:rPr>
      </w:pPr>
      <w:r>
        <w:rPr>
          <w:rFonts w:hint="eastAsia" w:cs="仿宋_GB2312"/>
          <w:kern w:val="2"/>
        </w:rPr>
        <w:t>（42）发生安全事故事件后，按照事故处理权限组成调查组，查明事故原因，确定主要责任者、提出事故处理意见和防范措施的建议，编制事故调查报告并提交甲方备案。</w:t>
      </w:r>
    </w:p>
    <w:p>
      <w:pPr>
        <w:widowControl w:val="0"/>
        <w:autoSpaceDE w:val="0"/>
        <w:autoSpaceDN w:val="0"/>
        <w:spacing w:line="360" w:lineRule="auto"/>
        <w:ind w:firstLine="480" w:firstLineChars="200"/>
        <w:jc w:val="both"/>
        <w:rPr>
          <w:rFonts w:cs="仿宋_GB2312"/>
          <w:kern w:val="2"/>
        </w:rPr>
      </w:pPr>
      <w:r>
        <w:rPr>
          <w:rFonts w:hint="eastAsia" w:cs="仿宋_GB2312"/>
          <w:kern w:val="2"/>
        </w:rPr>
        <w:t>（43）因承包商的过错，造成甲方或他人财产或人身损害或甲方被处罚，乙方应负赔偿责任。</w:t>
      </w:r>
    </w:p>
    <w:p>
      <w:pPr>
        <w:keepNext/>
        <w:keepLines/>
        <w:widowControl w:val="0"/>
        <w:autoSpaceDE w:val="0"/>
        <w:autoSpaceDN w:val="0"/>
        <w:spacing w:line="360" w:lineRule="auto"/>
        <w:jc w:val="left"/>
        <w:outlineLvl w:val="3"/>
        <w:rPr>
          <w:rFonts w:cs="仿宋_GB2312"/>
          <w:b/>
          <w:bCs/>
          <w:kern w:val="2"/>
        </w:rPr>
      </w:pPr>
      <w:bookmarkStart w:id="828" w:name="_Toc8323"/>
      <w:bookmarkStart w:id="829" w:name="_Toc6235"/>
      <w:bookmarkStart w:id="830" w:name="_Toc14941"/>
      <w:bookmarkStart w:id="831" w:name="_Toc803"/>
      <w:bookmarkStart w:id="832" w:name="_Toc294"/>
      <w:bookmarkStart w:id="833" w:name="_Toc23957"/>
      <w:bookmarkStart w:id="834" w:name="_Toc24714"/>
      <w:bookmarkStart w:id="835" w:name="_Toc32414"/>
      <w:bookmarkStart w:id="836" w:name="_Toc26375"/>
      <w:bookmarkStart w:id="837" w:name="_Toc13110"/>
      <w:r>
        <w:rPr>
          <w:rFonts w:hint="eastAsia" w:cs="仿宋_GB2312"/>
          <w:b/>
          <w:bCs/>
          <w:kern w:val="2"/>
          <w:lang w:val="en-US" w:eastAsia="zh-CN"/>
        </w:rPr>
        <w:t>9</w:t>
      </w:r>
      <w:r>
        <w:rPr>
          <w:rFonts w:hint="eastAsia" w:cs="仿宋_GB2312"/>
          <w:b/>
          <w:bCs/>
          <w:kern w:val="2"/>
        </w:rPr>
        <w:t>.4 文明施工管理要求</w:t>
      </w:r>
      <w:bookmarkEnd w:id="828"/>
      <w:bookmarkEnd w:id="829"/>
      <w:bookmarkEnd w:id="830"/>
      <w:bookmarkEnd w:id="831"/>
      <w:bookmarkEnd w:id="832"/>
      <w:bookmarkEnd w:id="833"/>
      <w:bookmarkEnd w:id="834"/>
      <w:bookmarkEnd w:id="835"/>
      <w:bookmarkEnd w:id="836"/>
      <w:bookmarkEnd w:id="837"/>
    </w:p>
    <w:p>
      <w:pPr>
        <w:widowControl w:val="0"/>
        <w:autoSpaceDE w:val="0"/>
        <w:autoSpaceDN w:val="0"/>
        <w:spacing w:line="360" w:lineRule="auto"/>
        <w:ind w:firstLine="480" w:firstLineChars="200"/>
        <w:jc w:val="both"/>
        <w:rPr>
          <w:rFonts w:cs="仿宋_GB2312"/>
          <w:kern w:val="2"/>
        </w:rPr>
      </w:pPr>
      <w:r>
        <w:rPr>
          <w:rFonts w:hint="eastAsia" w:cs="仿宋_GB2312"/>
          <w:kern w:val="2"/>
        </w:rPr>
        <w:t>（1）总承包商必须严格执行深圳市及龙华区房屋建筑和市政基础设施工程施工现场文明施工管理要求，保证整个现场施工区域、临时办公和临时宿舍区域的文明施工符合国家级当地规范要求。</w:t>
      </w:r>
    </w:p>
    <w:p>
      <w:pPr>
        <w:widowControl w:val="0"/>
        <w:autoSpaceDE w:val="0"/>
        <w:autoSpaceDN w:val="0"/>
        <w:spacing w:line="360" w:lineRule="auto"/>
        <w:ind w:firstLine="480" w:firstLineChars="200"/>
        <w:jc w:val="both"/>
        <w:rPr>
          <w:rFonts w:cs="仿宋_GB2312"/>
          <w:kern w:val="2"/>
        </w:rPr>
      </w:pPr>
      <w:r>
        <w:rPr>
          <w:rFonts w:hint="eastAsia" w:cs="仿宋_GB2312"/>
          <w:kern w:val="2"/>
        </w:rPr>
        <w:t>（2）在编制施工组织设计时，对文明施工必须进行设计，并上报监理、甲方审查。</w:t>
      </w:r>
    </w:p>
    <w:p>
      <w:pPr>
        <w:widowControl w:val="0"/>
        <w:autoSpaceDE w:val="0"/>
        <w:autoSpaceDN w:val="0"/>
        <w:spacing w:line="360" w:lineRule="auto"/>
        <w:ind w:firstLine="480" w:firstLineChars="200"/>
        <w:jc w:val="both"/>
        <w:rPr>
          <w:rFonts w:cs="仿宋_GB2312"/>
          <w:kern w:val="2"/>
        </w:rPr>
      </w:pPr>
      <w:r>
        <w:rPr>
          <w:rFonts w:hint="eastAsia" w:cs="仿宋_GB2312"/>
          <w:kern w:val="2"/>
        </w:rPr>
        <w:t>（3）总承包商应建立文明施工管理制度，包括但不限于场容场貌管理制度、门卫制度、工人宿舍管理制度、食堂管理制度、厕所、浴室卫生制度、治安管理制度等。明确现场文明施工管理组织机构及责任人。</w:t>
      </w:r>
    </w:p>
    <w:p>
      <w:pPr>
        <w:widowControl w:val="0"/>
        <w:autoSpaceDE w:val="0"/>
        <w:autoSpaceDN w:val="0"/>
        <w:spacing w:line="360" w:lineRule="auto"/>
        <w:ind w:firstLine="480" w:firstLineChars="200"/>
        <w:jc w:val="both"/>
        <w:rPr>
          <w:rFonts w:cs="仿宋_GB2312"/>
          <w:kern w:val="2"/>
        </w:rPr>
      </w:pPr>
      <w:r>
        <w:rPr>
          <w:rFonts w:hint="eastAsia" w:cs="仿宋_GB2312"/>
          <w:kern w:val="2"/>
        </w:rPr>
        <w:t>（4）乙方应根据《深圳市建设工程扬尘污染防治专项方案》的要求，做到施工围挡及外架100%全封闭，出入口及车行道100%硬底化，出入口100%安装冲洗设施，易起尘作业面100%湿法施工，裸露土及易起尘物料100%覆盖，出入口100%安装TSP在线监测和视频监控系统。</w:t>
      </w:r>
    </w:p>
    <w:p>
      <w:pPr>
        <w:widowControl w:val="0"/>
        <w:autoSpaceDE w:val="0"/>
        <w:autoSpaceDN w:val="0"/>
        <w:spacing w:line="360" w:lineRule="auto"/>
        <w:ind w:firstLine="480" w:firstLineChars="200"/>
        <w:jc w:val="both"/>
        <w:rPr>
          <w:rFonts w:cs="仿宋_GB2312"/>
          <w:kern w:val="2"/>
        </w:rPr>
      </w:pPr>
      <w:r>
        <w:rPr>
          <w:rFonts w:hint="eastAsia" w:cs="仿宋_GB2312"/>
          <w:kern w:val="2"/>
        </w:rPr>
        <w:t>（5）由于其它原因而未做到的硬地化部位，要定期压实地面和洒水，减少灰尘对周围环境的污染；禁止在施工现场焚烧有毒、有害和有恶臭气味的物质；装卸有粉尘的材料时，应洒水湿润和在仓库内进行；严禁向建筑物外抛掷垃圾；每天安排专人清洗施工设备及施工用具，保持施工现场的清洁，确保产生的灰尘等污染到最低限度。</w:t>
      </w:r>
    </w:p>
    <w:p>
      <w:pPr>
        <w:widowControl w:val="0"/>
        <w:autoSpaceDE w:val="0"/>
        <w:autoSpaceDN w:val="0"/>
        <w:spacing w:line="360" w:lineRule="auto"/>
        <w:ind w:firstLine="480" w:firstLineChars="200"/>
        <w:jc w:val="both"/>
        <w:rPr>
          <w:rFonts w:cs="仿宋_GB2312"/>
          <w:kern w:val="2"/>
        </w:rPr>
      </w:pPr>
      <w:r>
        <w:rPr>
          <w:rFonts w:hint="eastAsia" w:cs="仿宋_GB2312"/>
          <w:kern w:val="2"/>
        </w:rPr>
        <w:t>（6）乙方生活区应明确责任人。食堂应办理卫生许可证，炊事人员应办理健康证，食物留样。宿舍应干净整洁，严禁存放易燃易爆物品。</w:t>
      </w:r>
    </w:p>
    <w:p>
      <w:pPr>
        <w:widowControl w:val="0"/>
        <w:autoSpaceDE w:val="0"/>
        <w:autoSpaceDN w:val="0"/>
        <w:spacing w:line="360" w:lineRule="auto"/>
        <w:ind w:firstLine="480" w:firstLineChars="200"/>
        <w:jc w:val="both"/>
        <w:rPr>
          <w:rFonts w:cs="仿宋_GB2312"/>
          <w:kern w:val="2"/>
        </w:rPr>
      </w:pPr>
      <w:r>
        <w:rPr>
          <w:rFonts w:hint="eastAsia" w:cs="仿宋_GB2312"/>
          <w:kern w:val="2"/>
        </w:rPr>
        <w:t>（7）乙方办公、生活区应绿化，并与施工区隔离，在塔吊回转半径内或外脚手架坠落半径内应搭设双层防护棚。</w:t>
      </w:r>
    </w:p>
    <w:p>
      <w:pPr>
        <w:widowControl w:val="0"/>
        <w:autoSpaceDE w:val="0"/>
        <w:autoSpaceDN w:val="0"/>
        <w:spacing w:line="360" w:lineRule="auto"/>
        <w:ind w:firstLine="480" w:firstLineChars="200"/>
        <w:jc w:val="both"/>
        <w:rPr>
          <w:rFonts w:cs="仿宋_GB2312"/>
          <w:kern w:val="2"/>
        </w:rPr>
      </w:pPr>
      <w:r>
        <w:rPr>
          <w:rFonts w:hint="eastAsia" w:cs="仿宋_GB2312"/>
          <w:kern w:val="2"/>
        </w:rPr>
        <w:t>（8）工地周围要设置连续围挡，所用材料要坚固、稳定、整洁。防止在施工中可能产生的环境噪声和粉尘给周围居民带来影响；机械设备、材料堆放、场内道路、临时给排水、施工用电等根据现场条件进行合理布置，做到场容整洁，交通通畅。</w:t>
      </w:r>
    </w:p>
    <w:p>
      <w:pPr>
        <w:widowControl w:val="0"/>
        <w:autoSpaceDE w:val="0"/>
        <w:autoSpaceDN w:val="0"/>
        <w:spacing w:line="360" w:lineRule="auto"/>
        <w:ind w:firstLine="480" w:firstLineChars="200"/>
        <w:jc w:val="both"/>
        <w:rPr>
          <w:rFonts w:cs="仿宋_GB2312"/>
          <w:kern w:val="2"/>
        </w:rPr>
      </w:pPr>
      <w:r>
        <w:rPr>
          <w:rFonts w:hint="eastAsia" w:cs="仿宋_GB2312"/>
          <w:kern w:val="2"/>
        </w:rPr>
        <w:t>（9）总承包商在工地范围内设置的所有安全防护实体必须满足当地的规范要求。</w:t>
      </w:r>
    </w:p>
    <w:p>
      <w:pPr>
        <w:widowControl w:val="0"/>
        <w:autoSpaceDE w:val="0"/>
        <w:autoSpaceDN w:val="0"/>
        <w:spacing w:line="360" w:lineRule="auto"/>
        <w:ind w:firstLine="480" w:firstLineChars="200"/>
        <w:jc w:val="both"/>
        <w:rPr>
          <w:rFonts w:cs="仿宋_GB2312"/>
          <w:kern w:val="2"/>
        </w:rPr>
      </w:pPr>
      <w:r>
        <w:rPr>
          <w:rFonts w:hint="eastAsia" w:cs="仿宋_GB2312"/>
          <w:kern w:val="2"/>
        </w:rPr>
        <w:t>（10）总承包商必须在施工现场醒目位置应设置九牌一图。工程概况牌设置在工地围栅的醒目位置上，载明项目名称、规模、开竣工日期、施工许可证号、建设单位、设计单位、质量、安全监督单位、监理单位和联系电话等。</w:t>
      </w:r>
    </w:p>
    <w:p>
      <w:pPr>
        <w:widowControl w:val="0"/>
        <w:autoSpaceDE w:val="0"/>
        <w:autoSpaceDN w:val="0"/>
        <w:spacing w:line="360" w:lineRule="auto"/>
        <w:ind w:firstLine="480" w:firstLineChars="200"/>
        <w:jc w:val="both"/>
        <w:rPr>
          <w:rFonts w:cs="仿宋_GB2312"/>
          <w:kern w:val="2"/>
        </w:rPr>
      </w:pPr>
      <w:r>
        <w:rPr>
          <w:rFonts w:hint="eastAsia" w:cs="仿宋_GB2312"/>
          <w:kern w:val="2"/>
        </w:rPr>
        <w:t>（11）总承包商需分阶段编制现场安全警示标志汇总表（含平面配置图），经监理审批后实施并报送甲方备案。现场安全警示标志应严格按照平面布置图设置，并定期更新。大型机械应在醒目位置悬挂使用登记牌、定人定机责任牌、安全操作规程等标志。</w:t>
      </w:r>
    </w:p>
    <w:p>
      <w:pPr>
        <w:widowControl w:val="0"/>
        <w:autoSpaceDE w:val="0"/>
        <w:autoSpaceDN w:val="0"/>
        <w:spacing w:line="360" w:lineRule="auto"/>
        <w:ind w:firstLine="480" w:firstLineChars="200"/>
        <w:jc w:val="both"/>
        <w:rPr>
          <w:rFonts w:cs="仿宋_GB2312"/>
          <w:kern w:val="2"/>
        </w:rPr>
      </w:pPr>
      <w:r>
        <w:rPr>
          <w:rFonts w:hint="eastAsia" w:cs="仿宋_GB2312"/>
          <w:kern w:val="2"/>
        </w:rPr>
        <w:t>（12）总承包商应当设置各项临时设施，达到下列要求：施工区域与非施工区域严格分隔；施工区域或者危险区域有醒目的警示标志，并采取安全保护措施；建筑材料在固定场地整齐堆放；施工现场道路畅通，场地平整，无大面积积水。</w:t>
      </w:r>
    </w:p>
    <w:p>
      <w:pPr>
        <w:widowControl w:val="0"/>
        <w:autoSpaceDE w:val="0"/>
        <w:autoSpaceDN w:val="0"/>
        <w:spacing w:line="360" w:lineRule="auto"/>
        <w:ind w:firstLine="480" w:firstLineChars="200"/>
        <w:jc w:val="both"/>
        <w:rPr>
          <w:rFonts w:cs="仿宋_GB2312"/>
          <w:kern w:val="2"/>
        </w:rPr>
      </w:pPr>
      <w:r>
        <w:rPr>
          <w:rFonts w:hint="eastAsia" w:cs="仿宋_GB2312"/>
          <w:kern w:val="2"/>
        </w:rPr>
        <w:t>（13）总承包商应当在工地内设置醒目的环境卫生宣传标牌和责任区包干图，并按下列规定设置相应的设施：按照卫生标准和环境卫生作业要求设置相应的厕所和生活垃圾容器，并落实专人管理，按规定时间清除；按照卫生、通风和照明要求，设置茶亭、更衣室和其它必要的职工生活设施，并建立定期清扫制度；落实各项除四害措施，控制四害孳生；自行落实除四害措施有困难的，可委托有关服务机构代为处理。</w:t>
      </w:r>
    </w:p>
    <w:p>
      <w:pPr>
        <w:widowControl w:val="0"/>
        <w:autoSpaceDE w:val="0"/>
        <w:autoSpaceDN w:val="0"/>
        <w:spacing w:line="360" w:lineRule="auto"/>
        <w:ind w:firstLine="480" w:firstLineChars="200"/>
        <w:jc w:val="both"/>
        <w:rPr>
          <w:rFonts w:cs="仿宋_GB2312"/>
          <w:kern w:val="2"/>
        </w:rPr>
      </w:pPr>
      <w:r>
        <w:rPr>
          <w:rFonts w:hint="eastAsia" w:cs="仿宋_GB2312"/>
          <w:kern w:val="2"/>
        </w:rPr>
        <w:t>（14）总承包商设置的临时建筑物、构筑物（办公用房、宿舍、食堂、仓库、卫生间、淋浴室及消防用的砂、水池等），要求稳固、安全、整洁，并满足消防要求，禁止使用竹棚、石棉瓦、油毡搭建。</w:t>
      </w:r>
    </w:p>
    <w:p>
      <w:pPr>
        <w:widowControl w:val="0"/>
        <w:autoSpaceDE w:val="0"/>
        <w:autoSpaceDN w:val="0"/>
        <w:spacing w:line="360" w:lineRule="auto"/>
        <w:ind w:firstLine="480" w:firstLineChars="200"/>
        <w:jc w:val="both"/>
        <w:rPr>
          <w:rFonts w:cs="仿宋_GB2312"/>
          <w:kern w:val="2"/>
        </w:rPr>
      </w:pPr>
      <w:r>
        <w:rPr>
          <w:rFonts w:hint="eastAsia" w:cs="仿宋_GB2312"/>
          <w:kern w:val="2"/>
        </w:rPr>
        <w:t>（15）总承包商应严格按施工组织设计中的平面布置图划定的位置堆放成品、半成品和原材料，所有材料应堆放整齐，不得侵占市政道路及公用设施。确需临时占用的，应由建设单位提出申请，由建设行政主管部门签署意见，经有关部门批准，并将批准号的标志悬挂在现场，所需费用由总承包商承担。</w:t>
      </w:r>
    </w:p>
    <w:p>
      <w:pPr>
        <w:widowControl w:val="0"/>
        <w:autoSpaceDE w:val="0"/>
        <w:autoSpaceDN w:val="0"/>
        <w:spacing w:line="360" w:lineRule="auto"/>
        <w:ind w:firstLine="480" w:firstLineChars="200"/>
        <w:jc w:val="both"/>
        <w:rPr>
          <w:rFonts w:cs="仿宋_GB2312"/>
          <w:kern w:val="2"/>
        </w:rPr>
      </w:pPr>
      <w:r>
        <w:rPr>
          <w:rFonts w:hint="eastAsia" w:cs="仿宋_GB2312"/>
          <w:kern w:val="2"/>
        </w:rPr>
        <w:t>（16）总承包商生产和生活污水排放应严格执行国家《污水综合排放标准》（GB8978-1996）和当地污水排放的规范、规定，加强对污水处理和排放的管理，并办理相关许可证件。场地内应设化粪池、沉淀池和冲洗池，并做到：所有的生活或其它污水必须分别处理后方能经排水渠排入市政排水管网或河流。严禁乱倒垃圾、脏水，严禁随地大小便。采用钻孔或其它施工产生的泥浆，未经沉淀不得排入市政排水管网或河流。处理后的泥浆水、污水、废水不得外流到人行道和车行道上，以免影响道路整洁。废浆和淤泥应使用封闭的专用车辆进行运输。</w:t>
      </w:r>
    </w:p>
    <w:p>
      <w:pPr>
        <w:widowControl w:val="0"/>
        <w:autoSpaceDE w:val="0"/>
        <w:autoSpaceDN w:val="0"/>
        <w:spacing w:line="360" w:lineRule="auto"/>
        <w:ind w:firstLine="480" w:firstLineChars="200"/>
        <w:jc w:val="both"/>
        <w:rPr>
          <w:rFonts w:cs="仿宋_GB2312"/>
          <w:kern w:val="2"/>
        </w:rPr>
      </w:pPr>
      <w:r>
        <w:rPr>
          <w:rFonts w:hint="eastAsia" w:cs="仿宋_GB2312"/>
          <w:kern w:val="2"/>
        </w:rPr>
        <w:t>（17）总承包商应严格执行深圳市当地对动土作业管理办法的要求，严格落实地下管线、设施保护“6个100%”：100%签署地下管线保护协议,100%查明地下管线分布情况，100%制定地下管线保护方案，100%配备管线工程师，100%实施《动土令》制度，100%做好作业技术交底。</w:t>
      </w:r>
    </w:p>
    <w:p>
      <w:pPr>
        <w:widowControl w:val="0"/>
        <w:autoSpaceDE w:val="0"/>
        <w:autoSpaceDN w:val="0"/>
        <w:spacing w:line="360" w:lineRule="auto"/>
        <w:ind w:firstLine="480" w:firstLineChars="200"/>
        <w:jc w:val="both"/>
        <w:rPr>
          <w:rFonts w:cs="仿宋_GB2312"/>
          <w:kern w:val="2"/>
        </w:rPr>
      </w:pPr>
      <w:r>
        <w:rPr>
          <w:rFonts w:hint="eastAsia" w:cs="仿宋_GB2312"/>
          <w:kern w:val="2"/>
        </w:rPr>
        <w:t>（18）总承包商必须严格执行国家规范标准和市政府部门的规定：运输车辆必须冲洗干净后方能离场上路行驶；在工地应设有铁制双开大门、洗车台、冲洗池、喷枪等设施，装运建筑材料、土石方、建筑垃圾及工程渣土的车辆，应采取有效措施，保证行驶途中不污染道路和环境，定期对场内和周边主要道路洒水降尘。</w:t>
      </w:r>
    </w:p>
    <w:p>
      <w:pPr>
        <w:widowControl w:val="0"/>
        <w:autoSpaceDE w:val="0"/>
        <w:autoSpaceDN w:val="0"/>
        <w:spacing w:line="360" w:lineRule="auto"/>
        <w:ind w:firstLine="480" w:firstLineChars="200"/>
        <w:jc w:val="both"/>
        <w:rPr>
          <w:rFonts w:cs="仿宋_GB2312"/>
          <w:kern w:val="2"/>
        </w:rPr>
      </w:pPr>
      <w:r>
        <w:rPr>
          <w:rFonts w:hint="eastAsia" w:cs="仿宋_GB2312"/>
          <w:kern w:val="2"/>
        </w:rPr>
        <w:t>（19）总承包商应严格按照《建筑施工场界环境噪声排放标准》（GB12523-2011）和政府主管部门的要求严格控制施工噪音。施工阶段不得发生有效的噪声投诉。如采用低噪音的施工工艺、施工方法和施工机械；建筑施工作业的噪声可能超过建筑施工现场的噪声限值时，总承包商应在开工前向建设行政主管部门和环保部门申报，核准后方能开工；在城市建成区内，合理安排施工作业时间，减少或避免噪声、振动扰民，禁止中午和夜间进行产生噪音的建筑施工作业。由于施工不能中断的技术原因和其它特殊情况，确需中午或夜间连续施工作业的，应向建设行政主管部门和环保部门申请。</w:t>
      </w:r>
    </w:p>
    <w:p>
      <w:pPr>
        <w:widowControl w:val="0"/>
        <w:autoSpaceDE w:val="0"/>
        <w:autoSpaceDN w:val="0"/>
        <w:spacing w:line="360" w:lineRule="auto"/>
        <w:ind w:firstLine="480" w:firstLineChars="200"/>
        <w:jc w:val="both"/>
        <w:rPr>
          <w:rFonts w:cs="仿宋_GB2312"/>
          <w:kern w:val="2"/>
        </w:rPr>
      </w:pPr>
      <w:r>
        <w:rPr>
          <w:rFonts w:hint="eastAsia" w:cs="仿宋_GB2312"/>
          <w:kern w:val="2"/>
        </w:rPr>
        <w:t>（20）总承包商应加强对现场卫生的管理，明确施工现场各区域的卫生责任人，采取有效措施预防传染病，保证施工人员的健康，并定期对施工现场、施工人员生活基地和工程进行防疫和卫生的专业检查和处理, 施工现场应设置卫生间，并有水源供冲洗，同时设简易化粪池或集粪池，加盖并定期喷药，每日有专人负责清洁；设置足够的垃圾池和垃圾桶，定期搞好环境卫生、清理垃圾，施药除“四害”；生活垃圾及时清理后装入容器，由环卫部门装上垃圾车运走，并要有专人负责，严禁在围挡外倾倒垃圾；建筑垃圾必须集中堆放并及时清运。做到工完场清；工地应设茶水亭和茶水桶，做到有盖、加锁和有标志。夏季施工应有防暑降温措施。</w:t>
      </w:r>
    </w:p>
    <w:p>
      <w:pPr>
        <w:widowControl w:val="0"/>
        <w:autoSpaceDE w:val="0"/>
        <w:autoSpaceDN w:val="0"/>
        <w:spacing w:line="360" w:lineRule="auto"/>
        <w:ind w:firstLine="480" w:firstLineChars="200"/>
        <w:jc w:val="both"/>
        <w:rPr>
          <w:rFonts w:cs="仿宋_GB2312"/>
          <w:kern w:val="2"/>
        </w:rPr>
      </w:pPr>
      <w:r>
        <w:rPr>
          <w:rFonts w:hint="eastAsia" w:cs="仿宋_GB2312"/>
          <w:kern w:val="2"/>
        </w:rPr>
        <w:t>（21）总承包商应加强对现场安全、保卫的管理：建立健全安全、保卫制度，落实治安、防火、计划生育管理责任人；施工现场的管理人员、作业人员必须配佩工作卡。工作卡由总承包商制作，工作卡有本人相片、姓名、所属单位、工种或职务，管理人员和作业人员的标卡应分颜色区别；建立来访登记制度，不准留宿闲杂人员；经常对工人进行法纪和文明教育， 严禁在施工现场打架斗殴及进行黄、赌、毒等非法活动。</w:t>
      </w:r>
    </w:p>
    <w:p>
      <w:pPr>
        <w:widowControl w:val="0"/>
        <w:autoSpaceDE w:val="0"/>
        <w:autoSpaceDN w:val="0"/>
        <w:spacing w:line="360" w:lineRule="auto"/>
        <w:ind w:firstLine="480" w:firstLineChars="200"/>
        <w:jc w:val="both"/>
        <w:rPr>
          <w:rFonts w:cs="仿宋_GB2312"/>
          <w:kern w:val="2"/>
        </w:rPr>
      </w:pPr>
      <w:r>
        <w:rPr>
          <w:rFonts w:hint="eastAsia" w:cs="仿宋_GB2312"/>
          <w:kern w:val="2"/>
        </w:rPr>
        <w:t>（22）总承包商应保证夜间施工有足够的照明设施，除大型照明灯具外，通道处的照明必须采用安全电压供电，危险地段应设置明显的常亮警示灯具。</w:t>
      </w:r>
    </w:p>
    <w:p>
      <w:pPr>
        <w:widowControl w:val="0"/>
        <w:autoSpaceDE w:val="0"/>
        <w:autoSpaceDN w:val="0"/>
        <w:spacing w:line="360" w:lineRule="auto"/>
        <w:ind w:firstLine="480" w:firstLineChars="200"/>
        <w:jc w:val="both"/>
        <w:rPr>
          <w:rFonts w:cs="仿宋_GB2312"/>
          <w:kern w:val="2"/>
        </w:rPr>
      </w:pPr>
      <w:r>
        <w:rPr>
          <w:rFonts w:hint="eastAsia" w:cs="仿宋_GB2312"/>
          <w:kern w:val="2"/>
        </w:rPr>
        <w:t>（23）总承包商所承担的施工任务必须严格履行“工完场清”的要求，保持现场干净整洁。同时，总承包商有责任在现场合理设置建筑垃圾回收点，做好建筑垃圾清理及建筑材料堆放的相关工作。</w:t>
      </w:r>
    </w:p>
    <w:p>
      <w:pPr>
        <w:widowControl w:val="0"/>
        <w:autoSpaceDE w:val="0"/>
        <w:autoSpaceDN w:val="0"/>
        <w:spacing w:line="360" w:lineRule="auto"/>
        <w:ind w:firstLine="480" w:firstLineChars="200"/>
        <w:jc w:val="both"/>
        <w:rPr>
          <w:rFonts w:cs="仿宋_GB2312"/>
          <w:kern w:val="2"/>
        </w:rPr>
      </w:pPr>
      <w:r>
        <w:rPr>
          <w:rFonts w:hint="eastAsia" w:cs="仿宋_GB2312"/>
          <w:kern w:val="2"/>
        </w:rPr>
        <w:t>（24）总承包商应建立健全项目安保制度及执勤制度，组织成立安保团队或委托专业保安公司负责项目整体安全保卫工作。同时，对到现场参观的人员，总承包商有义务配备安全防护用品，做好参观记录及进行必要的安全教育和说明。</w:t>
      </w:r>
    </w:p>
    <w:p>
      <w:pPr>
        <w:keepNext/>
        <w:keepLines/>
        <w:widowControl w:val="0"/>
        <w:autoSpaceDE w:val="0"/>
        <w:autoSpaceDN w:val="0"/>
        <w:spacing w:line="360" w:lineRule="auto"/>
        <w:jc w:val="left"/>
        <w:outlineLvl w:val="3"/>
        <w:rPr>
          <w:rFonts w:cs="仿宋_GB2312"/>
          <w:b/>
          <w:bCs/>
          <w:kern w:val="2"/>
        </w:rPr>
      </w:pPr>
      <w:bookmarkStart w:id="838" w:name="_Toc14887"/>
      <w:bookmarkStart w:id="839" w:name="_Toc9700"/>
      <w:bookmarkStart w:id="840" w:name="_Toc5710"/>
      <w:bookmarkStart w:id="841" w:name="_Toc14713"/>
      <w:bookmarkStart w:id="842" w:name="_Toc29837"/>
      <w:bookmarkStart w:id="843" w:name="_Toc23817"/>
      <w:bookmarkStart w:id="844" w:name="_Toc15867"/>
      <w:bookmarkStart w:id="845" w:name="_Toc19417"/>
      <w:bookmarkStart w:id="846" w:name="_Toc11822"/>
      <w:bookmarkStart w:id="847" w:name="_Toc7448"/>
      <w:r>
        <w:rPr>
          <w:rFonts w:hint="eastAsia" w:cs="仿宋_GB2312"/>
          <w:b/>
          <w:bCs/>
          <w:kern w:val="2"/>
          <w:lang w:val="en-US" w:eastAsia="zh-CN"/>
        </w:rPr>
        <w:t>9</w:t>
      </w:r>
      <w:r>
        <w:rPr>
          <w:rFonts w:hint="eastAsia" w:cs="仿宋_GB2312"/>
          <w:b/>
          <w:bCs/>
          <w:kern w:val="2"/>
        </w:rPr>
        <w:t>.5 施工标准化管理要求</w:t>
      </w:r>
      <w:bookmarkEnd w:id="838"/>
      <w:bookmarkEnd w:id="839"/>
      <w:bookmarkEnd w:id="840"/>
      <w:bookmarkEnd w:id="841"/>
      <w:bookmarkEnd w:id="842"/>
      <w:bookmarkEnd w:id="843"/>
      <w:bookmarkEnd w:id="844"/>
      <w:bookmarkEnd w:id="845"/>
      <w:bookmarkEnd w:id="846"/>
      <w:bookmarkEnd w:id="847"/>
    </w:p>
    <w:p>
      <w:pPr>
        <w:widowControl w:val="0"/>
        <w:autoSpaceDE w:val="0"/>
        <w:autoSpaceDN w:val="0"/>
        <w:spacing w:line="360" w:lineRule="auto"/>
        <w:ind w:firstLine="480" w:firstLineChars="200"/>
        <w:jc w:val="both"/>
        <w:outlineLvl w:val="9"/>
        <w:rPr>
          <w:rFonts w:hint="eastAsia" w:eastAsia="宋体" w:cs="仿宋_GB2312"/>
          <w:kern w:val="2"/>
          <w:lang w:eastAsia="zh-CN"/>
        </w:rPr>
      </w:pPr>
      <w:r>
        <w:rPr>
          <w:rFonts w:hint="eastAsia" w:cs="仿宋_GB2312"/>
          <w:kern w:val="2"/>
        </w:rPr>
        <w:t>为提升现场标准化管理，根据《龙华区住房和建设局关于印发《关于进一步加强建筑工地安全文明施工管理的规定（试行）》的通知》深龙华住建【2017】12号文件、《深圳市建设工程安全文明施工标准(SJG-46-2018)》等相关规定和深圳市龙华建设发展集团有限公司安全生产标准化图集（印发版）相关文件要求，开展现场标准化工作</w:t>
      </w:r>
      <w:bookmarkStart w:id="848" w:name="_Toc16621"/>
      <w:r>
        <w:rPr>
          <w:rFonts w:hint="eastAsia" w:cs="仿宋_GB2312"/>
          <w:kern w:val="2"/>
          <w:lang w:eastAsia="zh-CN"/>
        </w:rPr>
        <w:t>。</w:t>
      </w:r>
    </w:p>
    <w:bookmarkEnd w:id="848"/>
    <w:p>
      <w:pPr>
        <w:keepNext/>
        <w:keepLines/>
        <w:widowControl/>
        <w:spacing w:line="360" w:lineRule="auto"/>
        <w:jc w:val="left"/>
        <w:outlineLvl w:val="2"/>
        <w:rPr>
          <w:rFonts w:cs="仿宋_GB2312"/>
          <w:b/>
          <w:bCs/>
          <w:kern w:val="2"/>
        </w:rPr>
      </w:pPr>
      <w:bookmarkStart w:id="849" w:name="_Toc15214"/>
      <w:bookmarkStart w:id="850" w:name="_Toc15970"/>
      <w:bookmarkStart w:id="851" w:name="_Toc12401"/>
      <w:bookmarkStart w:id="852" w:name="_Toc2225"/>
      <w:bookmarkStart w:id="853" w:name="_Toc18923"/>
      <w:bookmarkStart w:id="854" w:name="_Toc13482"/>
      <w:bookmarkStart w:id="855" w:name="_Toc296"/>
      <w:bookmarkStart w:id="856" w:name="_Toc2778"/>
      <w:bookmarkStart w:id="857" w:name="_Toc18700"/>
      <w:bookmarkStart w:id="858" w:name="_Toc19509"/>
      <w:bookmarkStart w:id="859" w:name="_Toc18262"/>
      <w:bookmarkStart w:id="860" w:name="_Toc8407"/>
      <w:bookmarkStart w:id="861" w:name="_Toc11138"/>
      <w:r>
        <w:rPr>
          <w:rFonts w:hint="eastAsia" w:cs="仿宋_GB2312"/>
          <w:b/>
          <w:bCs/>
          <w:kern w:val="2"/>
        </w:rPr>
        <w:t>1</w:t>
      </w:r>
      <w:r>
        <w:rPr>
          <w:rFonts w:hint="eastAsia" w:cs="仿宋_GB2312"/>
          <w:b/>
          <w:bCs/>
          <w:kern w:val="2"/>
          <w:lang w:val="en-US" w:eastAsia="zh-CN"/>
        </w:rPr>
        <w:t>0</w:t>
      </w:r>
      <w:r>
        <w:rPr>
          <w:rFonts w:hint="eastAsia" w:cs="仿宋_GB2312"/>
          <w:b/>
          <w:bCs/>
          <w:kern w:val="2"/>
        </w:rPr>
        <w:t>. 工地管理要求</w:t>
      </w:r>
      <w:bookmarkEnd w:id="849"/>
      <w:bookmarkEnd w:id="850"/>
      <w:bookmarkEnd w:id="851"/>
      <w:bookmarkEnd w:id="852"/>
      <w:bookmarkEnd w:id="853"/>
      <w:bookmarkEnd w:id="854"/>
      <w:bookmarkEnd w:id="855"/>
      <w:bookmarkEnd w:id="856"/>
      <w:bookmarkEnd w:id="857"/>
      <w:bookmarkEnd w:id="858"/>
      <w:bookmarkEnd w:id="859"/>
      <w:bookmarkEnd w:id="860"/>
      <w:bookmarkEnd w:id="861"/>
    </w:p>
    <w:p>
      <w:pPr>
        <w:keepNext/>
        <w:keepLines/>
        <w:widowControl w:val="0"/>
        <w:autoSpaceDE w:val="0"/>
        <w:autoSpaceDN w:val="0"/>
        <w:spacing w:line="360" w:lineRule="auto"/>
        <w:jc w:val="left"/>
        <w:outlineLvl w:val="3"/>
        <w:rPr>
          <w:rFonts w:cs="仿宋_GB2312"/>
          <w:b/>
          <w:bCs/>
          <w:kern w:val="2"/>
        </w:rPr>
      </w:pPr>
      <w:bookmarkStart w:id="862" w:name="_Toc3679"/>
      <w:bookmarkStart w:id="863" w:name="_Toc2776"/>
      <w:bookmarkStart w:id="864" w:name="_Toc11111"/>
      <w:bookmarkStart w:id="865" w:name="_Toc12367"/>
      <w:bookmarkStart w:id="866" w:name="_Toc18606"/>
      <w:bookmarkStart w:id="867" w:name="_Toc7302"/>
      <w:bookmarkStart w:id="868" w:name="_Toc26134"/>
      <w:bookmarkStart w:id="869" w:name="_Toc247"/>
      <w:bookmarkStart w:id="870" w:name="_Toc5117"/>
      <w:bookmarkStart w:id="871" w:name="_Toc25400"/>
      <w:r>
        <w:rPr>
          <w:rFonts w:hint="eastAsia" w:cs="仿宋_GB2312"/>
          <w:b/>
          <w:bCs/>
          <w:kern w:val="2"/>
          <w:lang w:val="en-US" w:eastAsia="zh-CN"/>
        </w:rPr>
        <w:t>10</w:t>
      </w:r>
      <w:r>
        <w:rPr>
          <w:rFonts w:hint="eastAsia" w:cs="仿宋_GB2312"/>
          <w:b/>
          <w:bCs/>
          <w:kern w:val="2"/>
        </w:rPr>
        <w:t>.1 一般要求</w:t>
      </w:r>
      <w:bookmarkEnd w:id="862"/>
      <w:bookmarkEnd w:id="863"/>
      <w:bookmarkEnd w:id="864"/>
      <w:bookmarkEnd w:id="865"/>
      <w:bookmarkEnd w:id="866"/>
      <w:bookmarkEnd w:id="867"/>
      <w:bookmarkEnd w:id="868"/>
      <w:bookmarkEnd w:id="869"/>
      <w:bookmarkEnd w:id="870"/>
      <w:bookmarkEnd w:id="871"/>
    </w:p>
    <w:p>
      <w:pPr>
        <w:widowControl w:val="0"/>
        <w:autoSpaceDE w:val="0"/>
        <w:autoSpaceDN w:val="0"/>
        <w:spacing w:line="360" w:lineRule="auto"/>
        <w:ind w:firstLine="480" w:firstLineChars="200"/>
        <w:jc w:val="both"/>
        <w:rPr>
          <w:rFonts w:cs="仿宋_GB2312"/>
          <w:kern w:val="2"/>
        </w:rPr>
      </w:pPr>
      <w:r>
        <w:rPr>
          <w:rFonts w:hint="eastAsia" w:cs="仿宋_GB2312"/>
          <w:kern w:val="2"/>
        </w:rPr>
        <w:t>（1）超过合同工期没有完工按照逾期竣工违约金进行处罚。</w:t>
      </w:r>
    </w:p>
    <w:p>
      <w:pPr>
        <w:widowControl w:val="0"/>
        <w:autoSpaceDE w:val="0"/>
        <w:autoSpaceDN w:val="0"/>
        <w:spacing w:line="360" w:lineRule="auto"/>
        <w:ind w:firstLine="480" w:firstLineChars="200"/>
        <w:jc w:val="both"/>
        <w:rPr>
          <w:rFonts w:cs="仿宋_GB2312"/>
          <w:kern w:val="2"/>
        </w:rPr>
      </w:pPr>
      <w:r>
        <w:rPr>
          <w:rFonts w:hint="eastAsia" w:cs="仿宋_GB2312"/>
          <w:kern w:val="2"/>
        </w:rPr>
        <w:t>（2）总承包商接管场地后应采取措施保障周边建筑物和地下管线的安全。</w:t>
      </w:r>
    </w:p>
    <w:p>
      <w:pPr>
        <w:widowControl w:val="0"/>
        <w:autoSpaceDE w:val="0"/>
        <w:autoSpaceDN w:val="0"/>
        <w:spacing w:line="360" w:lineRule="auto"/>
        <w:ind w:firstLine="480" w:firstLineChars="200"/>
        <w:jc w:val="both"/>
        <w:rPr>
          <w:rFonts w:cs="仿宋_GB2312"/>
          <w:kern w:val="2"/>
        </w:rPr>
      </w:pPr>
      <w:r>
        <w:rPr>
          <w:rFonts w:hint="eastAsia" w:cs="仿宋_GB2312"/>
          <w:kern w:val="2"/>
        </w:rPr>
        <w:t>（3）总承包商应保障施工场地始终处于对外封闭状态，总承包商应建立人员进出工地专门通道，所有物料、人员进出大门需</w:t>
      </w:r>
      <w:r>
        <w:rPr>
          <w:rFonts w:hint="eastAsia" w:cs="仿宋_GB2312"/>
          <w:kern w:val="2"/>
          <w:lang w:val="en-US" w:eastAsia="zh-CN"/>
        </w:rPr>
        <w:t>服从项目物业管理人员的安排</w:t>
      </w:r>
      <w:r>
        <w:rPr>
          <w:rFonts w:hint="eastAsia" w:cs="仿宋_GB2312"/>
          <w:kern w:val="2"/>
        </w:rPr>
        <w:t>。</w:t>
      </w:r>
    </w:p>
    <w:p>
      <w:pPr>
        <w:widowControl w:val="0"/>
        <w:autoSpaceDE w:val="0"/>
        <w:autoSpaceDN w:val="0"/>
        <w:spacing w:line="360" w:lineRule="auto"/>
        <w:ind w:firstLine="480" w:firstLineChars="200"/>
        <w:jc w:val="both"/>
        <w:rPr>
          <w:rFonts w:cs="仿宋_GB2312"/>
          <w:kern w:val="2"/>
        </w:rPr>
      </w:pPr>
      <w:r>
        <w:rPr>
          <w:rFonts w:hint="eastAsia" w:cs="仿宋_GB2312"/>
          <w:kern w:val="2"/>
        </w:rPr>
        <w:t>（4）总承包商应安排现场保安24小时巡逻检查工地，保安应保障工地避免受到人为恶意破坏、被盗窃、被抢劫等恶性事件发生。</w:t>
      </w:r>
    </w:p>
    <w:p>
      <w:pPr>
        <w:widowControl w:val="0"/>
        <w:autoSpaceDE w:val="0"/>
        <w:autoSpaceDN w:val="0"/>
        <w:spacing w:line="360" w:lineRule="auto"/>
        <w:ind w:firstLine="480" w:firstLineChars="200"/>
        <w:jc w:val="both"/>
        <w:rPr>
          <w:rFonts w:cs="仿宋_GB2312"/>
          <w:kern w:val="2"/>
        </w:rPr>
      </w:pPr>
      <w:r>
        <w:rPr>
          <w:rFonts w:hint="eastAsia" w:cs="仿宋_GB2312"/>
          <w:kern w:val="2"/>
        </w:rPr>
        <w:t>（</w:t>
      </w:r>
      <w:r>
        <w:rPr>
          <w:rFonts w:hint="eastAsia" w:cs="仿宋_GB2312"/>
          <w:kern w:val="2"/>
          <w:lang w:val="en-US" w:eastAsia="zh-CN"/>
        </w:rPr>
        <w:t>5</w:t>
      </w:r>
      <w:r>
        <w:rPr>
          <w:rFonts w:hint="eastAsia" w:cs="仿宋_GB2312"/>
          <w:kern w:val="2"/>
        </w:rPr>
        <w:t>）工作面管理：总承包商负责组织工序转换各相关方的场地协调工作，总承包商负责管理工作面场地内一切设施物料、半成品及成品。</w:t>
      </w:r>
    </w:p>
    <w:p>
      <w:pPr>
        <w:widowControl w:val="0"/>
        <w:autoSpaceDE w:val="0"/>
        <w:autoSpaceDN w:val="0"/>
        <w:spacing w:line="360" w:lineRule="auto"/>
        <w:ind w:firstLine="480" w:firstLineChars="200"/>
        <w:jc w:val="both"/>
        <w:rPr>
          <w:rFonts w:cs="仿宋_GB2312"/>
          <w:kern w:val="2"/>
        </w:rPr>
      </w:pPr>
      <w:r>
        <w:rPr>
          <w:rFonts w:hint="eastAsia" w:cs="仿宋_GB2312"/>
          <w:kern w:val="2"/>
        </w:rPr>
        <w:t>（</w:t>
      </w:r>
      <w:r>
        <w:rPr>
          <w:rFonts w:hint="eastAsia" w:cs="仿宋_GB2312"/>
          <w:kern w:val="2"/>
          <w:lang w:val="en-US" w:eastAsia="zh-CN"/>
        </w:rPr>
        <w:t>6</w:t>
      </w:r>
      <w:r>
        <w:rPr>
          <w:rFonts w:hint="eastAsia" w:cs="仿宋_GB2312"/>
          <w:kern w:val="2"/>
        </w:rPr>
        <w:t>）完工清理：总承包商在向</w:t>
      </w:r>
      <w:r>
        <w:rPr>
          <w:rFonts w:hint="eastAsia" w:cs="仿宋_GB2312"/>
          <w:kern w:val="2"/>
          <w:lang w:val="en-US" w:eastAsia="zh-CN"/>
        </w:rPr>
        <w:t>甲方及物业</w:t>
      </w:r>
      <w:r>
        <w:rPr>
          <w:rFonts w:hint="eastAsia" w:cs="仿宋_GB2312"/>
          <w:kern w:val="2"/>
        </w:rPr>
        <w:t>移交已完成工程和场地前，应负责打扫和清理场地内范围内的尘土、施工遗留垃圾、工具设备物品等，清理打扫费用视为含在总报价中。</w:t>
      </w:r>
    </w:p>
    <w:p>
      <w:pPr>
        <w:keepNext/>
        <w:keepLines/>
        <w:widowControl w:val="0"/>
        <w:autoSpaceDE w:val="0"/>
        <w:autoSpaceDN w:val="0"/>
        <w:spacing w:line="360" w:lineRule="auto"/>
        <w:jc w:val="left"/>
        <w:outlineLvl w:val="3"/>
        <w:rPr>
          <w:rFonts w:cs="仿宋_GB2312"/>
          <w:b/>
          <w:bCs/>
          <w:kern w:val="2"/>
        </w:rPr>
      </w:pPr>
      <w:bookmarkStart w:id="872" w:name="_Toc12316"/>
      <w:bookmarkStart w:id="873" w:name="_Toc4533"/>
      <w:bookmarkStart w:id="874" w:name="_Toc5262"/>
      <w:bookmarkStart w:id="875" w:name="_Toc23547"/>
      <w:bookmarkStart w:id="876" w:name="_Toc22252"/>
      <w:bookmarkStart w:id="877" w:name="_Toc20685"/>
      <w:bookmarkStart w:id="878" w:name="_Toc32082"/>
      <w:bookmarkStart w:id="879" w:name="_Toc3842"/>
      <w:bookmarkStart w:id="880" w:name="_Toc15385"/>
      <w:bookmarkStart w:id="881" w:name="_Toc29839"/>
      <w:r>
        <w:rPr>
          <w:rFonts w:hint="eastAsia" w:cs="仿宋_GB2312"/>
          <w:b/>
          <w:bCs/>
          <w:kern w:val="2"/>
        </w:rPr>
        <w:t>1</w:t>
      </w:r>
      <w:r>
        <w:rPr>
          <w:rFonts w:hint="eastAsia" w:cs="仿宋_GB2312"/>
          <w:b/>
          <w:bCs/>
          <w:kern w:val="2"/>
          <w:lang w:val="en-US" w:eastAsia="zh-CN"/>
        </w:rPr>
        <w:t>0</w:t>
      </w:r>
      <w:r>
        <w:rPr>
          <w:rFonts w:hint="eastAsia" w:cs="仿宋_GB2312"/>
          <w:b/>
          <w:bCs/>
          <w:kern w:val="2"/>
        </w:rPr>
        <w:t>.2 临时办公区</w:t>
      </w:r>
      <w:bookmarkEnd w:id="872"/>
      <w:bookmarkEnd w:id="873"/>
      <w:bookmarkEnd w:id="874"/>
      <w:bookmarkEnd w:id="875"/>
      <w:bookmarkEnd w:id="876"/>
      <w:bookmarkEnd w:id="877"/>
      <w:bookmarkEnd w:id="878"/>
      <w:bookmarkEnd w:id="879"/>
      <w:bookmarkEnd w:id="880"/>
      <w:bookmarkEnd w:id="881"/>
    </w:p>
    <w:p>
      <w:pPr>
        <w:widowControl w:val="0"/>
        <w:autoSpaceDE w:val="0"/>
        <w:autoSpaceDN w:val="0"/>
        <w:spacing w:line="360" w:lineRule="auto"/>
        <w:ind w:firstLine="480" w:firstLineChars="200"/>
        <w:jc w:val="both"/>
        <w:rPr>
          <w:rFonts w:cs="仿宋_GB2312"/>
          <w:kern w:val="2"/>
        </w:rPr>
      </w:pPr>
      <w:r>
        <w:rPr>
          <w:rFonts w:hint="eastAsia" w:cs="仿宋_GB2312"/>
          <w:kern w:val="2"/>
        </w:rPr>
        <w:t>（1）总承包商要自行解决项目的办公、生活等设施，甲方不提供临时用地，因此产生的一切费用均由总承包商自行承担。</w:t>
      </w:r>
    </w:p>
    <w:p>
      <w:pPr>
        <w:widowControl w:val="0"/>
        <w:autoSpaceDE w:val="0"/>
        <w:autoSpaceDN w:val="0"/>
        <w:spacing w:line="360" w:lineRule="auto"/>
        <w:ind w:firstLine="480" w:firstLineChars="200"/>
        <w:jc w:val="both"/>
        <w:rPr>
          <w:rFonts w:cs="仿宋_GB2312"/>
          <w:kern w:val="2"/>
        </w:rPr>
      </w:pPr>
      <w:r>
        <w:rPr>
          <w:rFonts w:hint="eastAsia" w:cs="仿宋_GB2312"/>
          <w:kern w:val="2"/>
        </w:rPr>
        <w:t>（2）工地区域内所有卫生间等公共生活设施，由总承包商搭建，免费提供给全体参建人员使用。</w:t>
      </w:r>
    </w:p>
    <w:p>
      <w:pPr>
        <w:widowControl w:val="0"/>
        <w:autoSpaceDE w:val="0"/>
        <w:autoSpaceDN w:val="0"/>
        <w:spacing w:line="360" w:lineRule="auto"/>
        <w:ind w:firstLine="480" w:firstLineChars="200"/>
        <w:jc w:val="both"/>
        <w:rPr>
          <w:rFonts w:cs="仿宋_GB2312"/>
          <w:kern w:val="2"/>
        </w:rPr>
      </w:pPr>
      <w:r>
        <w:rPr>
          <w:rFonts w:hint="eastAsia" w:cs="仿宋_GB2312"/>
          <w:kern w:val="2"/>
        </w:rPr>
        <w:t>（3）总承包商负责各类场地的(包括生活区场地)清洁保洁及临建管理。</w:t>
      </w:r>
    </w:p>
    <w:p>
      <w:pPr>
        <w:keepNext/>
        <w:keepLines/>
        <w:widowControl w:val="0"/>
        <w:autoSpaceDE w:val="0"/>
        <w:autoSpaceDN w:val="0"/>
        <w:spacing w:line="360" w:lineRule="auto"/>
        <w:jc w:val="left"/>
        <w:outlineLvl w:val="3"/>
        <w:rPr>
          <w:rFonts w:cs="仿宋_GB2312"/>
          <w:b/>
          <w:bCs/>
          <w:kern w:val="2"/>
        </w:rPr>
      </w:pPr>
      <w:bookmarkStart w:id="882" w:name="_Toc24591"/>
      <w:bookmarkStart w:id="883" w:name="_Toc21271"/>
      <w:bookmarkStart w:id="884" w:name="_Toc28644"/>
      <w:bookmarkStart w:id="885" w:name="_Toc10389"/>
      <w:bookmarkStart w:id="886" w:name="_Toc14208"/>
      <w:bookmarkStart w:id="887" w:name="_Toc10186"/>
      <w:bookmarkStart w:id="888" w:name="_Toc20847"/>
      <w:bookmarkStart w:id="889" w:name="_Toc15093"/>
      <w:bookmarkStart w:id="890" w:name="_Toc29441"/>
      <w:bookmarkStart w:id="891" w:name="_Toc1314"/>
      <w:r>
        <w:rPr>
          <w:rFonts w:hint="eastAsia" w:cs="仿宋_GB2312"/>
          <w:b/>
          <w:bCs/>
          <w:kern w:val="2"/>
        </w:rPr>
        <w:t>1</w:t>
      </w:r>
      <w:r>
        <w:rPr>
          <w:rFonts w:hint="eastAsia" w:cs="仿宋_GB2312"/>
          <w:b/>
          <w:bCs/>
          <w:kern w:val="2"/>
          <w:lang w:val="en-US" w:eastAsia="zh-CN"/>
        </w:rPr>
        <w:t>0</w:t>
      </w:r>
      <w:r>
        <w:rPr>
          <w:rFonts w:hint="eastAsia" w:cs="仿宋_GB2312"/>
          <w:b/>
          <w:bCs/>
          <w:kern w:val="2"/>
        </w:rPr>
        <w:t>.</w:t>
      </w:r>
      <w:r>
        <w:rPr>
          <w:rFonts w:hint="eastAsia" w:cs="仿宋_GB2312"/>
          <w:b/>
          <w:bCs/>
          <w:kern w:val="2"/>
          <w:lang w:val="en-US" w:eastAsia="zh-CN"/>
        </w:rPr>
        <w:t>3</w:t>
      </w:r>
      <w:r>
        <w:rPr>
          <w:rFonts w:hint="eastAsia" w:cs="仿宋_GB2312"/>
          <w:b/>
          <w:bCs/>
          <w:kern w:val="2"/>
        </w:rPr>
        <w:t xml:space="preserve"> 临时水电、临时照明</w:t>
      </w:r>
      <w:bookmarkEnd w:id="882"/>
      <w:bookmarkEnd w:id="883"/>
      <w:bookmarkEnd w:id="884"/>
      <w:bookmarkEnd w:id="885"/>
      <w:bookmarkEnd w:id="886"/>
      <w:bookmarkEnd w:id="887"/>
      <w:bookmarkEnd w:id="888"/>
      <w:bookmarkEnd w:id="889"/>
      <w:bookmarkEnd w:id="890"/>
      <w:bookmarkEnd w:id="891"/>
    </w:p>
    <w:p>
      <w:pPr>
        <w:widowControl w:val="0"/>
        <w:autoSpaceDE w:val="0"/>
        <w:autoSpaceDN w:val="0"/>
        <w:spacing w:line="360" w:lineRule="auto"/>
        <w:ind w:firstLine="480" w:firstLineChars="200"/>
        <w:jc w:val="both"/>
        <w:rPr>
          <w:rFonts w:cs="仿宋_GB2312"/>
          <w:kern w:val="2"/>
        </w:rPr>
      </w:pPr>
      <w:r>
        <w:rPr>
          <w:rFonts w:hint="eastAsia" w:cs="仿宋_GB2312"/>
          <w:kern w:val="2"/>
        </w:rPr>
        <w:t>（1）总承包商应在现场配置柴油发电机，满足人员疏散和工地临时消防系统，临时照明、临时成品保护等应急需要。</w:t>
      </w:r>
    </w:p>
    <w:p>
      <w:pPr>
        <w:widowControl w:val="0"/>
        <w:autoSpaceDE w:val="0"/>
        <w:autoSpaceDN w:val="0"/>
        <w:spacing w:line="360" w:lineRule="auto"/>
        <w:ind w:firstLine="480" w:firstLineChars="200"/>
        <w:jc w:val="both"/>
        <w:rPr>
          <w:rFonts w:cs="仿宋_GB2312"/>
          <w:kern w:val="2"/>
        </w:rPr>
      </w:pPr>
      <w:r>
        <w:rPr>
          <w:rFonts w:hint="eastAsia" w:cs="仿宋_GB2312"/>
          <w:kern w:val="2"/>
        </w:rPr>
        <w:t>（2）总承包商应全面了解和测算使用用水用电负荷及排水需求，提前规划好临时用水、用电、排水点布置，负责缴纳整个工地施工用水用电费用。</w:t>
      </w:r>
    </w:p>
    <w:p>
      <w:pPr>
        <w:widowControl w:val="0"/>
        <w:autoSpaceDE w:val="0"/>
        <w:autoSpaceDN w:val="0"/>
        <w:spacing w:line="360" w:lineRule="auto"/>
        <w:ind w:firstLine="480" w:firstLineChars="200"/>
        <w:jc w:val="both"/>
        <w:rPr>
          <w:rFonts w:cs="仿宋_GB2312"/>
          <w:kern w:val="2"/>
        </w:rPr>
      </w:pPr>
      <w:r>
        <w:rPr>
          <w:rFonts w:hint="eastAsia" w:cs="仿宋_GB2312"/>
          <w:kern w:val="2"/>
        </w:rPr>
        <w:t>（3）总承包商负责</w:t>
      </w:r>
      <w:r>
        <w:rPr>
          <w:rFonts w:hint="eastAsia" w:cs="仿宋_GB2312"/>
          <w:kern w:val="2"/>
          <w:lang w:val="en-US" w:eastAsia="zh-CN"/>
        </w:rPr>
        <w:t>项目范围</w:t>
      </w:r>
      <w:r>
        <w:rPr>
          <w:rFonts w:hint="eastAsia" w:cs="仿宋_GB2312"/>
          <w:kern w:val="2"/>
        </w:rPr>
        <w:t>内的</w:t>
      </w:r>
      <w:r>
        <w:rPr>
          <w:rFonts w:hint="eastAsia" w:cs="仿宋_GB2312"/>
          <w:kern w:val="2"/>
          <w:lang w:val="en-US" w:eastAsia="zh-CN"/>
        </w:rPr>
        <w:t>地下室</w:t>
      </w:r>
      <w:r>
        <w:rPr>
          <w:rFonts w:hint="eastAsia" w:cs="仿宋_GB2312"/>
          <w:kern w:val="2"/>
        </w:rPr>
        <w:t>及地面排水。</w:t>
      </w:r>
    </w:p>
    <w:p>
      <w:pPr>
        <w:widowControl w:val="0"/>
        <w:autoSpaceDE w:val="0"/>
        <w:autoSpaceDN w:val="0"/>
        <w:spacing w:line="360" w:lineRule="auto"/>
        <w:ind w:firstLine="480" w:firstLineChars="200"/>
        <w:jc w:val="both"/>
        <w:rPr>
          <w:rFonts w:cs="仿宋_GB2312"/>
          <w:kern w:val="2"/>
        </w:rPr>
      </w:pPr>
      <w:r>
        <w:rPr>
          <w:rFonts w:hint="eastAsia" w:cs="仿宋_GB2312"/>
          <w:kern w:val="2"/>
        </w:rPr>
        <w:t>（4）总承包商负责根据工程安全施工需要安装现场临时照明系统，总承包商对工程进展引起的照明条件变化应有充分预计，应根据工程进度对临时用电和照明系统进行不少于三次的多次安拆改装。</w:t>
      </w:r>
    </w:p>
    <w:p>
      <w:pPr>
        <w:widowControl w:val="0"/>
        <w:autoSpaceDE w:val="0"/>
        <w:autoSpaceDN w:val="0"/>
        <w:spacing w:line="360" w:lineRule="auto"/>
        <w:ind w:firstLine="480" w:firstLineChars="200"/>
        <w:jc w:val="both"/>
        <w:rPr>
          <w:rFonts w:cs="仿宋_GB2312"/>
          <w:kern w:val="2"/>
        </w:rPr>
      </w:pPr>
      <w:r>
        <w:rPr>
          <w:rFonts w:hint="eastAsia" w:cs="仿宋_GB2312"/>
          <w:kern w:val="2"/>
        </w:rPr>
        <w:t>（5）总承包商负责工地范围内的消防系统建设维护。</w:t>
      </w:r>
    </w:p>
    <w:p>
      <w:pPr>
        <w:widowControl w:val="0"/>
        <w:autoSpaceDE w:val="0"/>
        <w:autoSpaceDN w:val="0"/>
        <w:spacing w:line="360" w:lineRule="auto"/>
        <w:ind w:firstLine="480" w:firstLineChars="200"/>
        <w:jc w:val="both"/>
        <w:rPr>
          <w:rFonts w:cs="仿宋_GB2312"/>
          <w:kern w:val="2"/>
        </w:rPr>
      </w:pPr>
      <w:r>
        <w:rPr>
          <w:rFonts w:hint="eastAsia" w:cs="仿宋_GB2312"/>
          <w:kern w:val="2"/>
        </w:rPr>
        <w:t>（6）从总承包商进场之日起，所有水电费用及设备管理均由总承包商负责，直至临时水电拆除。</w:t>
      </w:r>
    </w:p>
    <w:p>
      <w:pPr>
        <w:widowControl w:val="0"/>
        <w:autoSpaceDE w:val="0"/>
        <w:autoSpaceDN w:val="0"/>
        <w:spacing w:line="360" w:lineRule="auto"/>
        <w:ind w:firstLine="480" w:firstLineChars="200"/>
        <w:jc w:val="both"/>
        <w:rPr>
          <w:rFonts w:cs="仿宋_GB2312"/>
          <w:kern w:val="2"/>
        </w:rPr>
      </w:pPr>
      <w:r>
        <w:rPr>
          <w:rFonts w:hint="eastAsia" w:cs="仿宋_GB2312"/>
          <w:kern w:val="2"/>
        </w:rPr>
        <w:t>（7）总承包商水电费承担期限截止时间以“本工程招标范围内所有工作完成后及场地移交给</w:t>
      </w:r>
      <w:r>
        <w:rPr>
          <w:rFonts w:hint="eastAsia" w:cs="仿宋_GB2312"/>
          <w:kern w:val="2"/>
          <w:lang w:val="en-US" w:eastAsia="zh-CN"/>
        </w:rPr>
        <w:t>甲方及物业</w:t>
      </w:r>
      <w:r>
        <w:rPr>
          <w:rFonts w:hint="eastAsia" w:cs="仿宋_GB2312"/>
          <w:kern w:val="2"/>
        </w:rPr>
        <w:t>后的施工收尾、发包人验收发现的问题整改完成”这两个时间的后到时间为准。</w:t>
      </w:r>
    </w:p>
    <w:p>
      <w:pPr>
        <w:widowControl w:val="0"/>
        <w:autoSpaceDE w:val="0"/>
        <w:autoSpaceDN w:val="0"/>
        <w:spacing w:line="360" w:lineRule="auto"/>
        <w:ind w:firstLine="480" w:firstLineChars="200"/>
        <w:jc w:val="both"/>
        <w:rPr>
          <w:rFonts w:cs="仿宋_GB2312"/>
          <w:kern w:val="2"/>
        </w:rPr>
      </w:pPr>
      <w:r>
        <w:rPr>
          <w:rFonts w:hint="eastAsia" w:cs="仿宋_GB2312"/>
          <w:kern w:val="2"/>
        </w:rPr>
        <w:t>（8）总承包商负责办理</w:t>
      </w:r>
      <w:r>
        <w:rPr>
          <w:rFonts w:hint="eastAsia" w:cs="仿宋_GB2312"/>
          <w:kern w:val="2"/>
          <w:lang w:val="en-US" w:eastAsia="zh-CN"/>
        </w:rPr>
        <w:t>土方、垃圾外运和</w:t>
      </w:r>
      <w:r>
        <w:rPr>
          <w:rFonts w:hint="eastAsia" w:cs="仿宋_GB2312"/>
          <w:kern w:val="2"/>
        </w:rPr>
        <w:t>排污</w:t>
      </w:r>
      <w:r>
        <w:rPr>
          <w:rFonts w:hint="eastAsia" w:cs="仿宋_GB2312"/>
          <w:kern w:val="2"/>
          <w:lang w:val="en-US" w:eastAsia="zh-CN"/>
        </w:rPr>
        <w:t>等</w:t>
      </w:r>
      <w:r>
        <w:rPr>
          <w:rFonts w:hint="eastAsia" w:cs="仿宋_GB2312"/>
          <w:kern w:val="2"/>
        </w:rPr>
        <w:t>许可证，产生的相关费用视为包含在合同内。</w:t>
      </w:r>
    </w:p>
    <w:p>
      <w:pPr>
        <w:keepNext/>
        <w:keepLines/>
        <w:widowControl w:val="0"/>
        <w:autoSpaceDE w:val="0"/>
        <w:autoSpaceDN w:val="0"/>
        <w:spacing w:line="360" w:lineRule="auto"/>
        <w:jc w:val="left"/>
        <w:outlineLvl w:val="3"/>
        <w:rPr>
          <w:rFonts w:cs="仿宋_GB2312"/>
          <w:b/>
          <w:bCs/>
          <w:kern w:val="2"/>
        </w:rPr>
      </w:pPr>
      <w:bookmarkStart w:id="892" w:name="_Toc29602"/>
      <w:bookmarkStart w:id="893" w:name="_Toc32665"/>
      <w:bookmarkStart w:id="894" w:name="_Toc18896"/>
      <w:bookmarkStart w:id="895" w:name="_Toc22250"/>
      <w:bookmarkStart w:id="896" w:name="_Toc30904"/>
      <w:bookmarkStart w:id="897" w:name="_Toc14796"/>
      <w:bookmarkStart w:id="898" w:name="_Toc16871"/>
      <w:bookmarkStart w:id="899" w:name="_Toc29250"/>
      <w:bookmarkStart w:id="900" w:name="_Toc27514"/>
      <w:bookmarkStart w:id="901" w:name="_Toc637"/>
      <w:r>
        <w:rPr>
          <w:rFonts w:hint="eastAsia" w:cs="仿宋_GB2312"/>
          <w:b/>
          <w:bCs/>
          <w:kern w:val="2"/>
        </w:rPr>
        <w:t>1</w:t>
      </w:r>
      <w:r>
        <w:rPr>
          <w:rFonts w:hint="eastAsia" w:cs="仿宋_GB2312"/>
          <w:b/>
          <w:bCs/>
          <w:kern w:val="2"/>
          <w:lang w:val="en-US" w:eastAsia="zh-CN"/>
        </w:rPr>
        <w:t>0</w:t>
      </w:r>
      <w:r>
        <w:rPr>
          <w:rFonts w:hint="eastAsia" w:cs="仿宋_GB2312"/>
          <w:b/>
          <w:bCs/>
          <w:kern w:val="2"/>
        </w:rPr>
        <w:t>.</w:t>
      </w:r>
      <w:r>
        <w:rPr>
          <w:rFonts w:hint="eastAsia" w:cs="仿宋_GB2312"/>
          <w:b/>
          <w:bCs/>
          <w:kern w:val="2"/>
          <w:lang w:val="en-US" w:eastAsia="zh-CN"/>
        </w:rPr>
        <w:t>4</w:t>
      </w:r>
      <w:r>
        <w:rPr>
          <w:rFonts w:hint="eastAsia" w:cs="仿宋_GB2312"/>
          <w:b/>
          <w:bCs/>
          <w:kern w:val="2"/>
        </w:rPr>
        <w:t xml:space="preserve"> 建筑垃圾清运</w:t>
      </w:r>
      <w:bookmarkEnd w:id="892"/>
      <w:bookmarkEnd w:id="893"/>
      <w:bookmarkEnd w:id="894"/>
      <w:bookmarkEnd w:id="895"/>
      <w:bookmarkEnd w:id="896"/>
      <w:bookmarkEnd w:id="897"/>
      <w:bookmarkEnd w:id="898"/>
      <w:bookmarkEnd w:id="899"/>
      <w:bookmarkEnd w:id="900"/>
      <w:bookmarkEnd w:id="901"/>
    </w:p>
    <w:p>
      <w:pPr>
        <w:widowControl w:val="0"/>
        <w:autoSpaceDE w:val="0"/>
        <w:autoSpaceDN w:val="0"/>
        <w:spacing w:line="360" w:lineRule="auto"/>
        <w:ind w:firstLine="480" w:firstLineChars="200"/>
        <w:jc w:val="both"/>
        <w:rPr>
          <w:rFonts w:cs="仿宋_GB2312"/>
          <w:kern w:val="2"/>
        </w:rPr>
      </w:pPr>
      <w:r>
        <w:rPr>
          <w:rFonts w:hint="eastAsia" w:cs="仿宋_GB2312"/>
          <w:kern w:val="2"/>
        </w:rPr>
        <w:t>（1）总承包商负责工程全过程所有建筑垃圾（含材料设备外包装）由垃圾集中堆放点清理外运至合法建筑垃圾处理场。</w:t>
      </w:r>
    </w:p>
    <w:p>
      <w:pPr>
        <w:widowControl w:val="0"/>
        <w:autoSpaceDE w:val="0"/>
        <w:autoSpaceDN w:val="0"/>
        <w:spacing w:line="360" w:lineRule="auto"/>
        <w:ind w:firstLine="480" w:firstLineChars="200"/>
        <w:jc w:val="both"/>
        <w:rPr>
          <w:rFonts w:cs="仿宋_GB2312"/>
          <w:kern w:val="2"/>
        </w:rPr>
      </w:pPr>
      <w:r>
        <w:rPr>
          <w:rFonts w:hint="eastAsia" w:cs="仿宋_GB2312"/>
          <w:kern w:val="2"/>
        </w:rPr>
        <w:t>（2）总承包商应在总平面布置中规划和修建临时垃圾集中堆放点，并负责按施工要求迁移或恢复。</w:t>
      </w:r>
    </w:p>
    <w:p>
      <w:pPr>
        <w:widowControl w:val="0"/>
        <w:autoSpaceDE w:val="0"/>
        <w:autoSpaceDN w:val="0"/>
        <w:spacing w:line="360" w:lineRule="auto"/>
        <w:ind w:firstLine="480" w:firstLineChars="200"/>
        <w:jc w:val="both"/>
        <w:rPr>
          <w:rFonts w:cs="仿宋_GB2312"/>
          <w:kern w:val="2"/>
        </w:rPr>
      </w:pPr>
      <w:r>
        <w:rPr>
          <w:rFonts w:hint="eastAsia" w:cs="仿宋_GB2312"/>
          <w:kern w:val="2"/>
        </w:rPr>
        <w:t>（3）总承包商负责垃圾集中堆放点内垃圾清理外运；负责清理所有工作面、加工场、堆场内的建筑垃圾。</w:t>
      </w:r>
    </w:p>
    <w:p>
      <w:pPr>
        <w:widowControl w:val="0"/>
        <w:autoSpaceDE w:val="0"/>
        <w:autoSpaceDN w:val="0"/>
        <w:spacing w:line="360" w:lineRule="auto"/>
        <w:ind w:firstLine="480" w:firstLineChars="200"/>
        <w:jc w:val="both"/>
        <w:rPr>
          <w:rFonts w:cs="仿宋_GB2312"/>
          <w:b/>
          <w:bCs/>
          <w:kern w:val="2"/>
        </w:rPr>
      </w:pPr>
      <w:r>
        <w:rPr>
          <w:rFonts w:hint="eastAsia" w:cs="仿宋_GB2312"/>
          <w:kern w:val="2"/>
        </w:rPr>
        <w:t>（4）在施工现场及办公、生活区应同时配备足够的清理垃圾人员及轻型车辆设备，必须及时清除当天发生的建筑垃圾、生活垃圾等，始终保持周边场所整洁，保证现场不脏，相应清理费用由承包人自行考虑。</w:t>
      </w:r>
      <w:r>
        <w:rPr>
          <w:rFonts w:hint="eastAsia" w:cs="仿宋_GB2312"/>
          <w:b/>
          <w:bCs/>
          <w:kern w:val="2"/>
        </w:rPr>
        <w:tab/>
      </w:r>
      <w:r>
        <w:rPr>
          <w:rFonts w:hint="eastAsia" w:cs="仿宋_GB2312"/>
          <w:b/>
          <w:bCs/>
          <w:kern w:val="2"/>
        </w:rPr>
        <w:tab/>
      </w:r>
    </w:p>
    <w:p>
      <w:pPr>
        <w:keepNext/>
        <w:keepLines/>
        <w:widowControl/>
        <w:spacing w:line="360" w:lineRule="auto"/>
        <w:jc w:val="left"/>
        <w:outlineLvl w:val="2"/>
        <w:rPr>
          <w:rFonts w:cs="仿宋_GB2312"/>
          <w:b/>
          <w:bCs/>
          <w:kern w:val="2"/>
        </w:rPr>
      </w:pPr>
      <w:bookmarkStart w:id="902" w:name="_Toc16919"/>
      <w:bookmarkStart w:id="903" w:name="_Toc3033"/>
      <w:bookmarkStart w:id="904" w:name="_Toc19085"/>
      <w:bookmarkStart w:id="905" w:name="_Toc20577"/>
      <w:bookmarkStart w:id="906" w:name="_Toc8282"/>
      <w:bookmarkStart w:id="907" w:name="_Toc28550"/>
      <w:bookmarkStart w:id="908" w:name="_Toc26446"/>
      <w:bookmarkStart w:id="909" w:name="_Toc1007"/>
      <w:bookmarkStart w:id="910" w:name="_Toc11536"/>
      <w:bookmarkStart w:id="911" w:name="_Toc24125"/>
      <w:bookmarkStart w:id="912" w:name="_Toc29321"/>
      <w:bookmarkStart w:id="913" w:name="_Toc31837"/>
      <w:bookmarkStart w:id="914" w:name="_Toc24853"/>
      <w:r>
        <w:rPr>
          <w:rFonts w:hint="eastAsia" w:cs="仿宋_GB2312"/>
          <w:b/>
          <w:bCs/>
          <w:kern w:val="2"/>
        </w:rPr>
        <w:t>1</w:t>
      </w:r>
      <w:r>
        <w:rPr>
          <w:rFonts w:hint="eastAsia" w:cs="仿宋_GB2312"/>
          <w:b/>
          <w:bCs/>
          <w:kern w:val="2"/>
          <w:lang w:val="en-US" w:eastAsia="zh-CN"/>
        </w:rPr>
        <w:t>1</w:t>
      </w:r>
      <w:r>
        <w:rPr>
          <w:rFonts w:hint="eastAsia" w:cs="仿宋_GB2312"/>
          <w:b/>
          <w:bCs/>
          <w:kern w:val="2"/>
        </w:rPr>
        <w:t>. 施工技术管理</w:t>
      </w:r>
      <w:bookmarkEnd w:id="902"/>
      <w:bookmarkEnd w:id="903"/>
      <w:bookmarkEnd w:id="904"/>
      <w:bookmarkEnd w:id="905"/>
      <w:bookmarkEnd w:id="906"/>
      <w:bookmarkEnd w:id="907"/>
      <w:bookmarkEnd w:id="908"/>
      <w:bookmarkEnd w:id="909"/>
      <w:bookmarkEnd w:id="910"/>
      <w:bookmarkEnd w:id="911"/>
      <w:bookmarkEnd w:id="912"/>
      <w:bookmarkEnd w:id="913"/>
      <w:bookmarkEnd w:id="914"/>
    </w:p>
    <w:p>
      <w:pPr>
        <w:keepNext/>
        <w:keepLines/>
        <w:widowControl w:val="0"/>
        <w:autoSpaceDE w:val="0"/>
        <w:autoSpaceDN w:val="0"/>
        <w:spacing w:line="360" w:lineRule="auto"/>
        <w:jc w:val="left"/>
        <w:outlineLvl w:val="3"/>
        <w:rPr>
          <w:rFonts w:cs="仿宋_GB2312"/>
          <w:b/>
          <w:bCs/>
          <w:kern w:val="2"/>
        </w:rPr>
      </w:pPr>
      <w:bookmarkStart w:id="915" w:name="_Toc16945"/>
      <w:bookmarkStart w:id="916" w:name="_Toc30970"/>
      <w:bookmarkStart w:id="917" w:name="_Toc13464"/>
      <w:bookmarkStart w:id="918" w:name="_Toc6340"/>
      <w:bookmarkStart w:id="919" w:name="_Toc24743"/>
      <w:bookmarkStart w:id="920" w:name="_Toc8869"/>
      <w:bookmarkStart w:id="921" w:name="_Toc4942"/>
      <w:bookmarkStart w:id="922" w:name="_Toc9991"/>
      <w:bookmarkStart w:id="923" w:name="_Toc27661"/>
      <w:bookmarkStart w:id="924" w:name="_Toc30009"/>
      <w:r>
        <w:rPr>
          <w:rFonts w:hint="eastAsia" w:cs="仿宋_GB2312"/>
          <w:b/>
          <w:bCs/>
          <w:kern w:val="2"/>
          <w:lang w:val="en-US" w:eastAsia="zh-CN"/>
        </w:rPr>
        <w:t>11</w:t>
      </w:r>
      <w:r>
        <w:rPr>
          <w:rFonts w:hint="eastAsia" w:cs="仿宋_GB2312"/>
          <w:b/>
          <w:bCs/>
          <w:kern w:val="2"/>
        </w:rPr>
        <w:t>.1 基本要求</w:t>
      </w:r>
      <w:bookmarkEnd w:id="915"/>
      <w:bookmarkEnd w:id="916"/>
      <w:bookmarkEnd w:id="917"/>
      <w:bookmarkEnd w:id="918"/>
      <w:bookmarkEnd w:id="919"/>
      <w:bookmarkEnd w:id="920"/>
      <w:bookmarkEnd w:id="921"/>
      <w:bookmarkEnd w:id="922"/>
      <w:bookmarkEnd w:id="923"/>
      <w:bookmarkEnd w:id="924"/>
    </w:p>
    <w:p>
      <w:pPr>
        <w:widowControl w:val="0"/>
        <w:autoSpaceDE w:val="0"/>
        <w:autoSpaceDN w:val="0"/>
        <w:spacing w:line="360" w:lineRule="auto"/>
        <w:ind w:firstLine="480" w:firstLineChars="200"/>
        <w:jc w:val="both"/>
        <w:rPr>
          <w:rFonts w:cs="仿宋_GB2312"/>
          <w:kern w:val="2"/>
        </w:rPr>
      </w:pPr>
      <w:r>
        <w:rPr>
          <w:rFonts w:hint="eastAsia" w:cs="仿宋_GB2312"/>
          <w:kern w:val="2"/>
        </w:rPr>
        <w:t>（1）总承包商应遵照执行国家的规范、规程和标准，包括适用的地方性标准，都指它们的最新版本。施工组织设计、施工方案与工艺工法都应依照相关规范、规程和标准的最新版本编制，相关规范、规程和标准的最新版本与本招标文件有冲突时，以要求高的标准执行。</w:t>
      </w:r>
    </w:p>
    <w:p>
      <w:pPr>
        <w:widowControl w:val="0"/>
        <w:autoSpaceDE w:val="0"/>
        <w:autoSpaceDN w:val="0"/>
        <w:spacing w:line="360" w:lineRule="auto"/>
        <w:ind w:firstLine="480" w:firstLineChars="200"/>
        <w:jc w:val="both"/>
        <w:rPr>
          <w:rFonts w:cs="仿宋_GB2312"/>
          <w:kern w:val="2"/>
        </w:rPr>
      </w:pPr>
      <w:r>
        <w:rPr>
          <w:rFonts w:hint="eastAsia" w:cs="仿宋_GB2312"/>
          <w:kern w:val="2"/>
        </w:rPr>
        <w:t>（2）总承包商应在收到中标通知书后7天内提交一份符合工程实际的施工组织设计、项目质量保证计划和主要工序施工方案的报审计划给总监理工程师批准。</w:t>
      </w:r>
    </w:p>
    <w:p>
      <w:pPr>
        <w:widowControl w:val="0"/>
        <w:autoSpaceDE w:val="0"/>
        <w:autoSpaceDN w:val="0"/>
        <w:spacing w:line="360" w:lineRule="auto"/>
        <w:ind w:firstLine="480" w:firstLineChars="200"/>
        <w:jc w:val="both"/>
        <w:rPr>
          <w:rFonts w:cs="仿宋_GB2312"/>
          <w:kern w:val="2"/>
        </w:rPr>
      </w:pPr>
      <w:r>
        <w:rPr>
          <w:rFonts w:hint="eastAsia" w:cs="仿宋_GB2312"/>
          <w:kern w:val="2"/>
        </w:rPr>
        <w:t>（3）总承包商施工组织设计、施工方案应经监理、甲方审批同意后方可执行，报审要求细则遵照监理工作规程。</w:t>
      </w:r>
    </w:p>
    <w:p>
      <w:pPr>
        <w:widowControl w:val="0"/>
        <w:autoSpaceDE w:val="0"/>
        <w:autoSpaceDN w:val="0"/>
        <w:spacing w:line="360" w:lineRule="auto"/>
        <w:ind w:firstLine="480" w:firstLineChars="200"/>
        <w:jc w:val="both"/>
        <w:rPr>
          <w:rFonts w:cs="仿宋_GB2312"/>
          <w:kern w:val="2"/>
        </w:rPr>
      </w:pPr>
      <w:r>
        <w:rPr>
          <w:rFonts w:hint="eastAsia" w:cs="仿宋_GB2312"/>
          <w:kern w:val="2"/>
        </w:rPr>
        <w:t>（4）总监理工程师、甲方有权要求总承包商随时提交其认为必要的关于施工方案的任何说明或文件，对此类指示，总承包商应遵照执行。总监理工程师、甲方对任何施工组织设计和施工方案的批准不应解除总承包商对其应负的责任。</w:t>
      </w:r>
    </w:p>
    <w:p>
      <w:pPr>
        <w:widowControl w:val="0"/>
        <w:autoSpaceDE w:val="0"/>
        <w:autoSpaceDN w:val="0"/>
        <w:spacing w:line="360" w:lineRule="auto"/>
        <w:ind w:firstLine="480" w:firstLineChars="200"/>
        <w:jc w:val="both"/>
        <w:rPr>
          <w:rFonts w:cs="仿宋_GB2312"/>
          <w:kern w:val="2"/>
        </w:rPr>
      </w:pPr>
      <w:r>
        <w:rPr>
          <w:rFonts w:hint="eastAsia" w:cs="仿宋_GB2312"/>
          <w:kern w:val="2"/>
        </w:rPr>
        <w:t>（5）对于危险性较大的分项工程，总承包商应根据国家、广东省、深圳市要求的相关规定，按其所承包的范围负责编制危险性较大的工程专项安全施工方案，并按照相关规定组织专家组进行论证审查，总承包商应根据专家论证意见进行施工方案完善，并通过总监理工程师、甲方的批准后方能实施。</w:t>
      </w:r>
    </w:p>
    <w:p>
      <w:pPr>
        <w:widowControl w:val="0"/>
        <w:autoSpaceDE w:val="0"/>
        <w:autoSpaceDN w:val="0"/>
        <w:spacing w:line="360" w:lineRule="auto"/>
        <w:ind w:firstLine="480" w:firstLineChars="200"/>
        <w:jc w:val="both"/>
        <w:rPr>
          <w:rFonts w:cs="仿宋_GB2312"/>
          <w:kern w:val="2"/>
        </w:rPr>
      </w:pPr>
      <w:r>
        <w:rPr>
          <w:rFonts w:hint="eastAsia" w:cs="仿宋_GB2312"/>
          <w:kern w:val="2"/>
        </w:rPr>
        <w:t>（6）施工组织设计及施工方案中对于新技术、新材料、新工艺工法的应用应由国家权威部门认定，并由推荐的部门提出所执行的施工规范及质量检验评定标准，经总监理工程师、甲方同意后方可使用。</w:t>
      </w:r>
    </w:p>
    <w:p>
      <w:pPr>
        <w:widowControl w:val="0"/>
        <w:autoSpaceDE w:val="0"/>
        <w:autoSpaceDN w:val="0"/>
        <w:spacing w:line="360" w:lineRule="auto"/>
        <w:ind w:firstLine="480" w:firstLineChars="200"/>
        <w:jc w:val="both"/>
        <w:rPr>
          <w:rFonts w:cs="仿宋_GB2312"/>
          <w:kern w:val="2"/>
        </w:rPr>
      </w:pPr>
      <w:r>
        <w:rPr>
          <w:rFonts w:hint="eastAsia" w:cs="仿宋_GB2312"/>
          <w:kern w:val="2"/>
        </w:rPr>
        <w:t>（7）总承包商编制整个工程施工项目管理实施规划书（施工组织总设计），内容应包含总体工程施工组织部署、项目管理团队组织架构、总承包商管理方案、总控进度计划、主要技术措施方案、安全技术措施等，其主要内容原则上不应违反投标文件提交的施工组织设计和施工方案，如特殊需要变更施工方案，应征得监理、甲方的书面同意。</w:t>
      </w:r>
    </w:p>
    <w:p>
      <w:pPr>
        <w:widowControl w:val="0"/>
        <w:autoSpaceDE w:val="0"/>
        <w:autoSpaceDN w:val="0"/>
        <w:spacing w:line="360" w:lineRule="auto"/>
        <w:ind w:firstLine="480" w:firstLineChars="200"/>
        <w:jc w:val="both"/>
        <w:rPr>
          <w:rFonts w:cs="仿宋_GB2312"/>
          <w:kern w:val="2"/>
        </w:rPr>
      </w:pPr>
      <w:r>
        <w:rPr>
          <w:rFonts w:hint="eastAsia" w:cs="仿宋_GB2312"/>
          <w:kern w:val="2"/>
        </w:rPr>
        <w:t>（8）总承包商应在施工过程中编制专项施工方案，包括但不限于下列内容：工地消防方案；临时用水用电方案；测量及监测方案；施工难点（如垂直度控制）分析及应对措施；不间断施工方案措施（如遇断水断电或特殊情况）；成品保护方案；质量保证措施；文明施工及环保措施；工期计划保证措施；重要部位施工措施；周边建筑物及管线保护方案；火灾应急响应预案；雨季施工技术保证措施；夜间施工保证措施；紧急情况处理措施；预案及抵抗风险的措施等。</w:t>
      </w:r>
    </w:p>
    <w:p>
      <w:pPr>
        <w:widowControl w:val="0"/>
        <w:autoSpaceDE w:val="0"/>
        <w:autoSpaceDN w:val="0"/>
        <w:spacing w:line="360" w:lineRule="auto"/>
        <w:ind w:firstLine="480" w:firstLineChars="200"/>
        <w:jc w:val="both"/>
        <w:rPr>
          <w:rFonts w:cs="仿宋_GB2312"/>
          <w:kern w:val="2"/>
        </w:rPr>
      </w:pPr>
      <w:r>
        <w:rPr>
          <w:rFonts w:hint="eastAsia" w:cs="仿宋_GB2312"/>
          <w:kern w:val="2"/>
        </w:rPr>
        <w:t>（9）总承包商应当及时制定、修改或补充相关施工方案，并履行审核、审批程序。总承包商应依据施工组织总设计编制分项工程施工组织设计，包含但不限于：施工方案简介、分项工程施工进度计划、主要技术措施方案、质量保证措施、安全保证措施、材料设备进场计划、劳动力进场计划等。</w:t>
      </w:r>
    </w:p>
    <w:p>
      <w:pPr>
        <w:widowControl w:val="0"/>
        <w:autoSpaceDE w:val="0"/>
        <w:autoSpaceDN w:val="0"/>
        <w:spacing w:line="360" w:lineRule="auto"/>
        <w:ind w:firstLine="480" w:firstLineChars="200"/>
        <w:jc w:val="both"/>
        <w:rPr>
          <w:rFonts w:cs="仿宋_GB2312"/>
          <w:kern w:val="2"/>
        </w:rPr>
      </w:pPr>
      <w:r>
        <w:rPr>
          <w:rFonts w:hint="eastAsia" w:cs="仿宋_GB2312"/>
          <w:kern w:val="2"/>
        </w:rPr>
        <w:t>（10）总承包商的各项施工方案在实施前需组织相关人员进行会签审批，在上报监理审核前要完成会签审批手续。总承包商在技术交底时应要求所有相关人员参加，技术交底要有文字资料。</w:t>
      </w:r>
    </w:p>
    <w:p>
      <w:pPr>
        <w:keepNext/>
        <w:keepLines/>
        <w:widowControl w:val="0"/>
        <w:autoSpaceDE w:val="0"/>
        <w:autoSpaceDN w:val="0"/>
        <w:spacing w:line="360" w:lineRule="auto"/>
        <w:jc w:val="left"/>
        <w:outlineLvl w:val="3"/>
        <w:rPr>
          <w:rFonts w:cs="仿宋_GB2312"/>
          <w:b/>
          <w:bCs/>
          <w:kern w:val="2"/>
        </w:rPr>
      </w:pPr>
      <w:bookmarkStart w:id="925" w:name="_Toc29087"/>
      <w:bookmarkStart w:id="926" w:name="_Toc27718"/>
      <w:bookmarkStart w:id="927" w:name="_Toc24045"/>
      <w:bookmarkStart w:id="928" w:name="_Toc26641"/>
      <w:bookmarkStart w:id="929" w:name="_Toc4497"/>
      <w:bookmarkStart w:id="930" w:name="_Toc8061"/>
      <w:bookmarkStart w:id="931" w:name="_Toc14727"/>
      <w:bookmarkStart w:id="932" w:name="_Toc10857"/>
      <w:bookmarkStart w:id="933" w:name="_Toc20066"/>
      <w:bookmarkStart w:id="934" w:name="_Toc22172"/>
      <w:r>
        <w:rPr>
          <w:rFonts w:hint="eastAsia" w:cs="仿宋_GB2312"/>
          <w:b/>
          <w:bCs/>
          <w:kern w:val="2"/>
        </w:rPr>
        <w:t>1</w:t>
      </w:r>
      <w:r>
        <w:rPr>
          <w:rFonts w:hint="eastAsia" w:cs="仿宋_GB2312"/>
          <w:b/>
          <w:bCs/>
          <w:kern w:val="2"/>
          <w:lang w:val="en-US" w:eastAsia="zh-CN"/>
        </w:rPr>
        <w:t>1</w:t>
      </w:r>
      <w:r>
        <w:rPr>
          <w:rFonts w:hint="eastAsia" w:cs="仿宋_GB2312"/>
          <w:b/>
          <w:bCs/>
          <w:kern w:val="2"/>
        </w:rPr>
        <w:t>.2 施工方案审批管理</w:t>
      </w:r>
      <w:bookmarkEnd w:id="925"/>
      <w:bookmarkEnd w:id="926"/>
      <w:bookmarkEnd w:id="927"/>
      <w:bookmarkEnd w:id="928"/>
      <w:bookmarkEnd w:id="929"/>
      <w:bookmarkEnd w:id="930"/>
      <w:bookmarkEnd w:id="931"/>
      <w:bookmarkEnd w:id="932"/>
      <w:bookmarkEnd w:id="933"/>
      <w:bookmarkEnd w:id="934"/>
    </w:p>
    <w:p>
      <w:pPr>
        <w:widowControl w:val="0"/>
        <w:autoSpaceDE w:val="0"/>
        <w:autoSpaceDN w:val="0"/>
        <w:spacing w:line="360" w:lineRule="auto"/>
        <w:ind w:firstLine="480" w:firstLineChars="200"/>
        <w:jc w:val="both"/>
        <w:rPr>
          <w:rFonts w:cs="仿宋_GB2312"/>
          <w:kern w:val="2"/>
        </w:rPr>
      </w:pPr>
      <w:r>
        <w:rPr>
          <w:rFonts w:hint="eastAsia" w:cs="仿宋_GB2312"/>
          <w:kern w:val="2"/>
        </w:rPr>
        <w:t>总承包商施工方案的审批流程为：施工方案编制→施工方案内部审核→施工方案内部审批（总承包商公司总工审批）→监理审核→甲方审批→施工方案交底→组织实施→资料归档。</w:t>
      </w:r>
    </w:p>
    <w:p>
      <w:pPr>
        <w:keepNext/>
        <w:keepLines/>
        <w:widowControl/>
        <w:spacing w:line="360" w:lineRule="auto"/>
        <w:jc w:val="left"/>
        <w:outlineLvl w:val="2"/>
        <w:rPr>
          <w:rFonts w:cs="仿宋_GB2312"/>
          <w:b/>
          <w:bCs/>
          <w:kern w:val="2"/>
        </w:rPr>
      </w:pPr>
      <w:bookmarkStart w:id="935" w:name="_Toc17134"/>
      <w:bookmarkStart w:id="936" w:name="_Toc16658"/>
      <w:bookmarkStart w:id="937" w:name="_Toc14846"/>
      <w:bookmarkStart w:id="938" w:name="_Toc21939"/>
      <w:bookmarkStart w:id="939" w:name="_Toc3451"/>
      <w:bookmarkStart w:id="940" w:name="_Toc13132"/>
      <w:bookmarkStart w:id="941" w:name="_Toc14076"/>
      <w:bookmarkStart w:id="942" w:name="_Toc25997"/>
      <w:bookmarkStart w:id="943" w:name="_Toc15493"/>
      <w:bookmarkStart w:id="944" w:name="_Toc16561"/>
      <w:bookmarkStart w:id="945" w:name="_Toc19241"/>
      <w:bookmarkStart w:id="946" w:name="_Toc31916"/>
      <w:bookmarkStart w:id="947" w:name="_Toc8737"/>
      <w:r>
        <w:rPr>
          <w:rFonts w:hint="eastAsia" w:cs="仿宋_GB2312"/>
          <w:b/>
          <w:bCs/>
          <w:kern w:val="2"/>
        </w:rPr>
        <w:t>1</w:t>
      </w:r>
      <w:r>
        <w:rPr>
          <w:rFonts w:hint="eastAsia" w:cs="仿宋_GB2312"/>
          <w:b/>
          <w:bCs/>
          <w:kern w:val="2"/>
          <w:lang w:val="en-US" w:eastAsia="zh-CN"/>
        </w:rPr>
        <w:t>2</w:t>
      </w:r>
      <w:r>
        <w:rPr>
          <w:rFonts w:hint="eastAsia" w:cs="仿宋_GB2312"/>
          <w:b/>
          <w:bCs/>
          <w:kern w:val="2"/>
        </w:rPr>
        <w:t>. 成品保护要求</w:t>
      </w:r>
      <w:bookmarkEnd w:id="935"/>
      <w:bookmarkEnd w:id="936"/>
      <w:bookmarkEnd w:id="937"/>
      <w:bookmarkEnd w:id="938"/>
      <w:bookmarkEnd w:id="939"/>
      <w:bookmarkEnd w:id="940"/>
      <w:bookmarkEnd w:id="941"/>
      <w:bookmarkEnd w:id="942"/>
      <w:bookmarkEnd w:id="943"/>
      <w:bookmarkEnd w:id="944"/>
      <w:bookmarkEnd w:id="945"/>
      <w:bookmarkEnd w:id="946"/>
      <w:bookmarkEnd w:id="947"/>
    </w:p>
    <w:p>
      <w:pPr>
        <w:keepNext/>
        <w:keepLines/>
        <w:widowControl w:val="0"/>
        <w:autoSpaceDE w:val="0"/>
        <w:autoSpaceDN w:val="0"/>
        <w:spacing w:line="360" w:lineRule="auto"/>
        <w:jc w:val="left"/>
        <w:outlineLvl w:val="9"/>
        <w:rPr>
          <w:rFonts w:cs="仿宋_GB2312"/>
          <w:b/>
          <w:bCs/>
          <w:kern w:val="2"/>
        </w:rPr>
      </w:pPr>
      <w:bookmarkStart w:id="948" w:name="_Toc18161"/>
      <w:bookmarkStart w:id="949" w:name="_Toc19364"/>
      <w:bookmarkStart w:id="950" w:name="_Toc10599"/>
      <w:bookmarkStart w:id="951" w:name="_Toc27410"/>
      <w:bookmarkStart w:id="952" w:name="_Toc24687"/>
      <w:bookmarkStart w:id="953" w:name="_Toc21153"/>
      <w:bookmarkStart w:id="954" w:name="_Toc7437"/>
      <w:bookmarkStart w:id="955" w:name="_Toc24026"/>
      <w:bookmarkStart w:id="956" w:name="_Toc12658"/>
      <w:bookmarkStart w:id="957" w:name="_Toc29911"/>
      <w:r>
        <w:rPr>
          <w:rFonts w:hint="eastAsia" w:cs="仿宋_GB2312"/>
          <w:b/>
          <w:bCs/>
          <w:kern w:val="2"/>
        </w:rPr>
        <w:t>1</w:t>
      </w:r>
      <w:r>
        <w:rPr>
          <w:rFonts w:hint="eastAsia" w:cs="仿宋_GB2312"/>
          <w:b/>
          <w:bCs/>
          <w:kern w:val="2"/>
          <w:lang w:val="en-US" w:eastAsia="zh-CN"/>
        </w:rPr>
        <w:t>2</w:t>
      </w:r>
      <w:r>
        <w:rPr>
          <w:rFonts w:hint="eastAsia" w:cs="仿宋_GB2312"/>
          <w:b/>
          <w:bCs/>
          <w:kern w:val="2"/>
        </w:rPr>
        <w:t>.1 基本要求</w:t>
      </w:r>
      <w:bookmarkEnd w:id="948"/>
      <w:bookmarkEnd w:id="949"/>
      <w:bookmarkEnd w:id="950"/>
      <w:bookmarkEnd w:id="951"/>
      <w:bookmarkEnd w:id="952"/>
      <w:bookmarkEnd w:id="953"/>
      <w:bookmarkEnd w:id="954"/>
      <w:bookmarkEnd w:id="955"/>
      <w:bookmarkEnd w:id="956"/>
      <w:bookmarkEnd w:id="957"/>
    </w:p>
    <w:p>
      <w:pPr>
        <w:widowControl w:val="0"/>
        <w:autoSpaceDE w:val="0"/>
        <w:autoSpaceDN w:val="0"/>
        <w:spacing w:line="360" w:lineRule="auto"/>
        <w:ind w:firstLine="480" w:firstLineChars="200"/>
        <w:jc w:val="both"/>
        <w:rPr>
          <w:rFonts w:cs="仿宋_GB2312"/>
          <w:kern w:val="2"/>
        </w:rPr>
      </w:pPr>
      <w:r>
        <w:rPr>
          <w:rFonts w:hint="eastAsia" w:cs="仿宋_GB2312"/>
          <w:kern w:val="2"/>
        </w:rPr>
        <w:t>（1）明确成品保护责任，必须依照“谁施工谁保护”的原则落实成品保护工作。</w:t>
      </w:r>
      <w:r>
        <w:rPr>
          <w:rFonts w:hint="eastAsia" w:cs="仿宋_GB2312"/>
          <w:kern w:val="2"/>
          <w:lang w:val="en-US" w:eastAsia="zh-CN"/>
        </w:rPr>
        <w:t>原龙馨家园EPC项目竣工验收后，各项设施均为验收合格且使用功能正常，后期</w:t>
      </w:r>
      <w:r>
        <w:rPr>
          <w:rFonts w:hint="eastAsia" w:cs="仿宋_GB2312"/>
          <w:kern w:val="2"/>
        </w:rPr>
        <w:t>总承包商合同管理范围内的</w:t>
      </w:r>
      <w:r>
        <w:rPr>
          <w:rFonts w:hint="eastAsia" w:cs="仿宋_GB2312"/>
          <w:kern w:val="2"/>
          <w:lang w:val="en-US" w:eastAsia="zh-CN"/>
        </w:rPr>
        <w:t>施工界面外临近设施的</w:t>
      </w:r>
      <w:r>
        <w:rPr>
          <w:rFonts w:hint="eastAsia" w:cs="仿宋_GB2312"/>
          <w:kern w:val="2"/>
        </w:rPr>
        <w:t>成品保护由总承包商负责实施</w:t>
      </w:r>
      <w:r>
        <w:rPr>
          <w:rFonts w:hint="eastAsia" w:cs="仿宋_GB2312"/>
          <w:kern w:val="2"/>
          <w:lang w:eastAsia="zh-CN"/>
        </w:rPr>
        <w:t>，</w:t>
      </w:r>
      <w:r>
        <w:rPr>
          <w:rFonts w:hint="eastAsia" w:cs="仿宋_GB2312"/>
          <w:kern w:val="2"/>
          <w:lang w:val="en-US" w:eastAsia="zh-CN"/>
        </w:rPr>
        <w:t>如损坏由本项目总承包商负责维修和更换，</w:t>
      </w:r>
      <w:r>
        <w:rPr>
          <w:rFonts w:hint="eastAsia" w:cs="仿宋_GB2312"/>
          <w:b/>
          <w:bCs/>
          <w:kern w:val="2"/>
        </w:rPr>
        <w:t>费用已在合同价中综合考虑，结算时不再另行计取</w:t>
      </w:r>
      <w:r>
        <w:rPr>
          <w:rFonts w:hint="eastAsia" w:cs="仿宋_GB2312"/>
          <w:kern w:val="2"/>
        </w:rPr>
        <w:t>。</w:t>
      </w:r>
    </w:p>
    <w:p>
      <w:pPr>
        <w:widowControl w:val="0"/>
        <w:autoSpaceDE w:val="0"/>
        <w:autoSpaceDN w:val="0"/>
        <w:spacing w:line="360" w:lineRule="auto"/>
        <w:ind w:firstLine="480" w:firstLineChars="200"/>
        <w:jc w:val="both"/>
        <w:rPr>
          <w:rFonts w:cs="仿宋_GB2312"/>
          <w:kern w:val="2"/>
        </w:rPr>
      </w:pPr>
      <w:r>
        <w:rPr>
          <w:rFonts w:hint="eastAsia" w:cs="仿宋_GB2312"/>
          <w:kern w:val="2"/>
        </w:rPr>
        <w:t>（2）总承包商应根据不同的施工阶段、工艺特点、现场条件及管理要求采取针对性成品保护措施，前一工序施工方应负责采取保护措施保障本工序产品移交后不受后一工序正常施工破坏，后一工序施工方接收后应负责采取措施保障施工时前一工序成品不受破坏。</w:t>
      </w:r>
    </w:p>
    <w:p>
      <w:pPr>
        <w:widowControl w:val="0"/>
        <w:autoSpaceDE w:val="0"/>
        <w:autoSpaceDN w:val="0"/>
        <w:spacing w:line="360" w:lineRule="auto"/>
        <w:ind w:firstLine="480" w:firstLineChars="200"/>
        <w:jc w:val="both"/>
        <w:rPr>
          <w:rFonts w:cs="仿宋_GB2312"/>
          <w:kern w:val="2"/>
        </w:rPr>
      </w:pPr>
      <w:r>
        <w:rPr>
          <w:rFonts w:hint="eastAsia" w:cs="仿宋_GB2312"/>
          <w:kern w:val="2"/>
        </w:rPr>
        <w:t>（3）制定成品保护的检查制度、交叉施工管理制度、交接制度、考核制度、奖罚责任制度等。</w:t>
      </w:r>
    </w:p>
    <w:p>
      <w:pPr>
        <w:widowControl w:val="0"/>
        <w:autoSpaceDE w:val="0"/>
        <w:autoSpaceDN w:val="0"/>
        <w:spacing w:line="360" w:lineRule="auto"/>
        <w:ind w:firstLine="480" w:firstLineChars="200"/>
        <w:jc w:val="both"/>
        <w:rPr>
          <w:rFonts w:cs="仿宋_GB2312"/>
          <w:kern w:val="2"/>
        </w:rPr>
      </w:pPr>
      <w:r>
        <w:rPr>
          <w:rFonts w:hint="eastAsia" w:cs="仿宋_GB2312"/>
          <w:kern w:val="2"/>
        </w:rPr>
        <w:t>（4）总承包商应做好施工工艺顺序协调工作，预见工艺顺序对工程成品保护影响，做好成品保护措施落实，防止因工艺顺序引起成品保护损坏，对因工艺顺序不可避免引起的成品损坏修复费用，应在报价中充分考虑，原则上甲方不予补偿，由损坏责任单位负责赔偿，被损坏方负责修复。</w:t>
      </w:r>
    </w:p>
    <w:p>
      <w:pPr>
        <w:widowControl w:val="0"/>
        <w:autoSpaceDE w:val="0"/>
        <w:autoSpaceDN w:val="0"/>
        <w:spacing w:line="360" w:lineRule="auto"/>
        <w:ind w:firstLine="480" w:firstLineChars="200"/>
        <w:jc w:val="both"/>
        <w:rPr>
          <w:rFonts w:cs="仿宋_GB2312"/>
          <w:kern w:val="2"/>
        </w:rPr>
      </w:pPr>
      <w:r>
        <w:rPr>
          <w:rFonts w:hint="eastAsia" w:cs="仿宋_GB2312"/>
          <w:kern w:val="2"/>
        </w:rPr>
        <w:t>（5）各工序间交接时，必须进行交接验收，交接验收应包括检查成品保护措施是否落实。工程成品施工方必须保证在交接和验收时，其产品移交时的质量和数量、防护措施符合设计、规范及合同的要求。</w:t>
      </w:r>
    </w:p>
    <w:p>
      <w:pPr>
        <w:widowControl w:val="0"/>
        <w:autoSpaceDE w:val="0"/>
        <w:autoSpaceDN w:val="0"/>
        <w:spacing w:line="360" w:lineRule="auto"/>
        <w:ind w:firstLine="480" w:firstLineChars="200"/>
        <w:jc w:val="both"/>
        <w:rPr>
          <w:rFonts w:cs="仿宋_GB2312"/>
          <w:kern w:val="2"/>
        </w:rPr>
      </w:pPr>
      <w:r>
        <w:rPr>
          <w:rFonts w:hint="eastAsia" w:cs="仿宋_GB2312"/>
          <w:kern w:val="2"/>
        </w:rPr>
        <w:t>（6）采取“护、包、盖、封”的保护措施，对成品和半成品进行防护，形成工具化、制度化，并由专门负责人经常巡视检查。发现现有保护措施损坏的，要及时恢复。</w:t>
      </w:r>
    </w:p>
    <w:p>
      <w:pPr>
        <w:widowControl w:val="0"/>
        <w:autoSpaceDE w:val="0"/>
        <w:autoSpaceDN w:val="0"/>
        <w:spacing w:line="360" w:lineRule="auto"/>
        <w:ind w:firstLine="480" w:firstLineChars="200"/>
        <w:jc w:val="both"/>
        <w:rPr>
          <w:rFonts w:cs="仿宋_GB2312"/>
          <w:kern w:val="2"/>
        </w:rPr>
      </w:pPr>
      <w:r>
        <w:rPr>
          <w:rFonts w:hint="eastAsia" w:cs="仿宋_GB2312"/>
          <w:kern w:val="2"/>
        </w:rPr>
        <w:t>（7）成品保护措施须确保持续有效，不论工作面交接与否，均不免除各相关施工方成品保护的责任。</w:t>
      </w:r>
    </w:p>
    <w:p>
      <w:pPr>
        <w:widowControl w:val="0"/>
        <w:autoSpaceDE w:val="0"/>
        <w:autoSpaceDN w:val="0"/>
        <w:spacing w:line="360" w:lineRule="auto"/>
        <w:ind w:firstLine="480" w:firstLineChars="200"/>
        <w:jc w:val="both"/>
        <w:rPr>
          <w:rFonts w:cs="仿宋_GB2312"/>
          <w:kern w:val="2"/>
        </w:rPr>
      </w:pPr>
      <w:r>
        <w:rPr>
          <w:rFonts w:hint="eastAsia" w:cs="仿宋_GB2312"/>
          <w:kern w:val="2"/>
        </w:rPr>
        <w:t>（8）因没有采取成品保护措施，造成工程成品损坏，由损坏责任方承担所有损失赔偿。</w:t>
      </w:r>
    </w:p>
    <w:p>
      <w:pPr>
        <w:widowControl w:val="0"/>
        <w:autoSpaceDE w:val="0"/>
        <w:autoSpaceDN w:val="0"/>
        <w:spacing w:line="360" w:lineRule="auto"/>
        <w:ind w:firstLine="480" w:firstLineChars="200"/>
        <w:jc w:val="both"/>
        <w:rPr>
          <w:rFonts w:cs="仿宋_GB2312"/>
          <w:kern w:val="2"/>
        </w:rPr>
      </w:pPr>
      <w:r>
        <w:rPr>
          <w:rFonts w:hint="eastAsia" w:cs="仿宋_GB2312"/>
          <w:kern w:val="2"/>
        </w:rPr>
        <w:t>（9）对各类成品损坏，原工程成品施工方应对成品损坏及时返修，各承包商不得应因成品受损为由，延长工期。</w:t>
      </w:r>
    </w:p>
    <w:p>
      <w:pPr>
        <w:widowControl w:val="0"/>
        <w:autoSpaceDE w:val="0"/>
        <w:autoSpaceDN w:val="0"/>
        <w:spacing w:line="360" w:lineRule="auto"/>
        <w:ind w:firstLine="480" w:firstLineChars="200"/>
        <w:jc w:val="both"/>
        <w:rPr>
          <w:rFonts w:cs="仿宋_GB2312"/>
          <w:kern w:val="2"/>
        </w:rPr>
      </w:pPr>
      <w:r>
        <w:rPr>
          <w:rFonts w:hint="eastAsia" w:cs="仿宋_GB2312"/>
          <w:kern w:val="2"/>
        </w:rPr>
        <w:t>（10）总承包商应根据合同要求和施工管理技术条件、工程特点、合理损耗，在投标时制定明确的成品保护方案（措施），成品保护措施费视为包含在总报价中。</w:t>
      </w:r>
    </w:p>
    <w:p>
      <w:pPr>
        <w:keepNext/>
        <w:keepLines/>
        <w:widowControl w:val="0"/>
        <w:autoSpaceDE w:val="0"/>
        <w:autoSpaceDN w:val="0"/>
        <w:spacing w:line="360" w:lineRule="auto"/>
        <w:jc w:val="left"/>
        <w:outlineLvl w:val="9"/>
        <w:rPr>
          <w:rFonts w:cs="仿宋_GB2312"/>
          <w:b/>
          <w:bCs/>
          <w:kern w:val="2"/>
        </w:rPr>
      </w:pPr>
      <w:bookmarkStart w:id="958" w:name="_Toc27563"/>
      <w:bookmarkStart w:id="959" w:name="_Toc2750"/>
      <w:bookmarkStart w:id="960" w:name="_Toc17512"/>
      <w:bookmarkStart w:id="961" w:name="_Toc2288"/>
      <w:bookmarkStart w:id="962" w:name="_Toc13432"/>
      <w:bookmarkStart w:id="963" w:name="_Toc20028"/>
      <w:bookmarkStart w:id="964" w:name="_Toc18569"/>
      <w:bookmarkStart w:id="965" w:name="_Toc24511"/>
      <w:bookmarkStart w:id="966" w:name="_Toc12388"/>
      <w:r>
        <w:rPr>
          <w:rFonts w:hint="eastAsia" w:cs="仿宋_GB2312"/>
          <w:b/>
          <w:bCs/>
          <w:kern w:val="2"/>
        </w:rPr>
        <w:t>1</w:t>
      </w:r>
      <w:r>
        <w:rPr>
          <w:rFonts w:hint="eastAsia" w:cs="仿宋_GB2312"/>
          <w:b/>
          <w:bCs/>
          <w:kern w:val="2"/>
          <w:lang w:val="en-US" w:eastAsia="zh-CN"/>
        </w:rPr>
        <w:t>2</w:t>
      </w:r>
      <w:r>
        <w:rPr>
          <w:rFonts w:hint="eastAsia" w:cs="仿宋_GB2312"/>
          <w:b/>
          <w:bCs/>
          <w:kern w:val="2"/>
        </w:rPr>
        <w:t>.2 总承包商的成品保护要求</w:t>
      </w:r>
      <w:bookmarkEnd w:id="958"/>
      <w:bookmarkEnd w:id="959"/>
      <w:bookmarkEnd w:id="960"/>
      <w:bookmarkEnd w:id="961"/>
      <w:bookmarkEnd w:id="962"/>
      <w:bookmarkEnd w:id="963"/>
      <w:bookmarkEnd w:id="964"/>
      <w:bookmarkEnd w:id="965"/>
      <w:bookmarkEnd w:id="966"/>
    </w:p>
    <w:p>
      <w:pPr>
        <w:widowControl w:val="0"/>
        <w:autoSpaceDE w:val="0"/>
        <w:autoSpaceDN w:val="0"/>
        <w:spacing w:line="360" w:lineRule="auto"/>
        <w:ind w:firstLine="480" w:firstLineChars="200"/>
        <w:jc w:val="both"/>
        <w:rPr>
          <w:rFonts w:cs="仿宋_GB2312"/>
          <w:kern w:val="2"/>
        </w:rPr>
      </w:pPr>
      <w:r>
        <w:rPr>
          <w:rFonts w:hint="eastAsia" w:cs="仿宋_GB2312"/>
          <w:kern w:val="2"/>
        </w:rPr>
        <w:t>（1）总承包商须建立成品保护领导小组，落实承担总承包商工程的成品保护的资源配备。</w:t>
      </w:r>
    </w:p>
    <w:p>
      <w:pPr>
        <w:widowControl w:val="0"/>
        <w:autoSpaceDE w:val="0"/>
        <w:autoSpaceDN w:val="0"/>
        <w:spacing w:line="360" w:lineRule="auto"/>
        <w:ind w:firstLine="480" w:firstLineChars="200"/>
        <w:jc w:val="both"/>
        <w:rPr>
          <w:rFonts w:cs="仿宋_GB2312"/>
          <w:kern w:val="2"/>
        </w:rPr>
      </w:pPr>
      <w:r>
        <w:rPr>
          <w:rFonts w:hint="eastAsia" w:cs="仿宋_GB2312"/>
          <w:kern w:val="2"/>
        </w:rPr>
        <w:t>（2）总承包商必须充分发挥总管理、总负责的作用，组织落实成品保护措施。</w:t>
      </w:r>
    </w:p>
    <w:p>
      <w:pPr>
        <w:widowControl w:val="0"/>
        <w:autoSpaceDE w:val="0"/>
        <w:autoSpaceDN w:val="0"/>
        <w:spacing w:line="360" w:lineRule="auto"/>
        <w:ind w:firstLine="480" w:firstLineChars="200"/>
        <w:jc w:val="both"/>
        <w:rPr>
          <w:rFonts w:cs="仿宋_GB2312"/>
          <w:kern w:val="2"/>
        </w:rPr>
      </w:pPr>
      <w:r>
        <w:rPr>
          <w:rFonts w:hint="eastAsia" w:cs="仿宋_GB2312"/>
          <w:kern w:val="2"/>
        </w:rPr>
        <w:t>（3）总承包商须编制“建筑工程成品保护方案”，此方案须包含但不限于各分部分项工程成品保护的主要内容。</w:t>
      </w:r>
    </w:p>
    <w:p>
      <w:pPr>
        <w:widowControl w:val="0"/>
        <w:autoSpaceDE w:val="0"/>
        <w:autoSpaceDN w:val="0"/>
        <w:spacing w:line="360" w:lineRule="auto"/>
        <w:ind w:firstLine="480" w:firstLineChars="200"/>
        <w:jc w:val="both"/>
        <w:rPr>
          <w:rFonts w:cs="仿宋_GB2312"/>
          <w:kern w:val="2"/>
        </w:rPr>
      </w:pPr>
      <w:r>
        <w:rPr>
          <w:rFonts w:hint="eastAsia" w:cs="仿宋_GB2312"/>
          <w:kern w:val="2"/>
        </w:rPr>
        <w:t>（4）总承包商应在施工的全过程中做好成品保护的巡视检查工作，并在必要情况下采取二次保护措施。</w:t>
      </w:r>
    </w:p>
    <w:p>
      <w:pPr>
        <w:keepNext/>
        <w:keepLines/>
        <w:widowControl w:val="0"/>
        <w:autoSpaceDE w:val="0"/>
        <w:autoSpaceDN w:val="0"/>
        <w:spacing w:line="360" w:lineRule="auto"/>
        <w:jc w:val="left"/>
        <w:outlineLvl w:val="9"/>
        <w:rPr>
          <w:rFonts w:cs="仿宋_GB2312"/>
          <w:b/>
          <w:bCs/>
          <w:kern w:val="2"/>
        </w:rPr>
      </w:pPr>
      <w:bookmarkStart w:id="967" w:name="_Toc12778"/>
      <w:bookmarkStart w:id="968" w:name="_Toc13848"/>
      <w:bookmarkStart w:id="969" w:name="_Toc15432"/>
      <w:bookmarkStart w:id="970" w:name="_Toc15145"/>
      <w:bookmarkStart w:id="971" w:name="_Toc5975"/>
      <w:bookmarkStart w:id="972" w:name="_Toc26175"/>
      <w:bookmarkStart w:id="973" w:name="_Toc4037"/>
      <w:bookmarkStart w:id="974" w:name="_Toc5296"/>
      <w:bookmarkStart w:id="975" w:name="_Toc16375"/>
      <w:bookmarkStart w:id="976" w:name="_Toc3646"/>
      <w:r>
        <w:rPr>
          <w:rFonts w:hint="eastAsia" w:cs="仿宋_GB2312"/>
          <w:b/>
          <w:bCs/>
          <w:kern w:val="2"/>
        </w:rPr>
        <w:t>1</w:t>
      </w:r>
      <w:r>
        <w:rPr>
          <w:rFonts w:hint="eastAsia" w:cs="仿宋_GB2312"/>
          <w:b/>
          <w:bCs/>
          <w:kern w:val="2"/>
          <w:lang w:val="en-US" w:eastAsia="zh-CN"/>
        </w:rPr>
        <w:t>2</w:t>
      </w:r>
      <w:r>
        <w:rPr>
          <w:rFonts w:hint="eastAsia" w:cs="仿宋_GB2312"/>
          <w:b/>
          <w:bCs/>
          <w:kern w:val="2"/>
        </w:rPr>
        <w:t>.3 成品保护措施要求</w:t>
      </w:r>
      <w:bookmarkEnd w:id="967"/>
      <w:bookmarkEnd w:id="968"/>
      <w:bookmarkEnd w:id="969"/>
      <w:bookmarkEnd w:id="970"/>
      <w:bookmarkEnd w:id="971"/>
      <w:bookmarkEnd w:id="972"/>
      <w:bookmarkEnd w:id="973"/>
      <w:bookmarkEnd w:id="974"/>
      <w:bookmarkEnd w:id="975"/>
      <w:bookmarkEnd w:id="976"/>
    </w:p>
    <w:tbl>
      <w:tblPr>
        <w:tblStyle w:val="17"/>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215"/>
        <w:gridCol w:w="6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blHeader/>
          <w:jc w:val="center"/>
        </w:trPr>
        <w:tc>
          <w:tcPr>
            <w:tcW w:w="812" w:type="dxa"/>
            <w:vAlign w:val="center"/>
          </w:tcPr>
          <w:p>
            <w:pPr>
              <w:widowControl/>
              <w:autoSpaceDE w:val="0"/>
              <w:autoSpaceDN w:val="0"/>
              <w:spacing w:line="240" w:lineRule="atLeast"/>
              <w:jc w:val="center"/>
              <w:rPr>
                <w:rFonts w:cs="仿宋_GB2312"/>
                <w:b/>
                <w:bCs/>
                <w:kern w:val="2"/>
                <w:szCs w:val="20"/>
                <w:lang w:val="zh-CN"/>
              </w:rPr>
            </w:pPr>
            <w:bookmarkStart w:id="977" w:name="_Toc30480"/>
            <w:bookmarkStart w:id="978" w:name="_Toc32694"/>
            <w:bookmarkStart w:id="979" w:name="_Toc18882"/>
            <w:bookmarkStart w:id="980" w:name="_Toc8641"/>
            <w:bookmarkStart w:id="981" w:name="_Toc23799"/>
            <w:bookmarkStart w:id="982" w:name="_Toc31892"/>
            <w:bookmarkStart w:id="983" w:name="_Toc25358"/>
            <w:bookmarkStart w:id="984" w:name="_Toc12297"/>
            <w:bookmarkStart w:id="985" w:name="_Toc22593"/>
            <w:r>
              <w:rPr>
                <w:rFonts w:hint="eastAsia" w:cs="仿宋_GB2312"/>
                <w:b/>
                <w:bCs/>
                <w:kern w:val="2"/>
                <w:szCs w:val="20"/>
                <w:lang w:val="zh-CN"/>
              </w:rPr>
              <w:t>序号</w:t>
            </w:r>
          </w:p>
        </w:tc>
        <w:tc>
          <w:tcPr>
            <w:tcW w:w="1215" w:type="dxa"/>
            <w:vAlign w:val="center"/>
          </w:tcPr>
          <w:p>
            <w:pPr>
              <w:widowControl/>
              <w:autoSpaceDE w:val="0"/>
              <w:autoSpaceDN w:val="0"/>
              <w:spacing w:line="240" w:lineRule="atLeast"/>
              <w:jc w:val="center"/>
              <w:rPr>
                <w:rFonts w:cs="仿宋_GB2312"/>
                <w:b/>
                <w:bCs/>
                <w:kern w:val="2"/>
                <w:szCs w:val="20"/>
                <w:lang w:val="zh-CN"/>
              </w:rPr>
            </w:pPr>
            <w:r>
              <w:rPr>
                <w:rFonts w:hint="eastAsia" w:cs="仿宋_GB2312"/>
                <w:b/>
                <w:bCs/>
                <w:kern w:val="2"/>
                <w:szCs w:val="20"/>
                <w:lang w:val="zh-CN"/>
              </w:rPr>
              <w:t>措施</w:t>
            </w:r>
          </w:p>
        </w:tc>
        <w:tc>
          <w:tcPr>
            <w:tcW w:w="6690" w:type="dxa"/>
            <w:vAlign w:val="center"/>
          </w:tcPr>
          <w:p>
            <w:pPr>
              <w:widowControl/>
              <w:autoSpaceDE w:val="0"/>
              <w:autoSpaceDN w:val="0"/>
              <w:spacing w:line="240" w:lineRule="atLeast"/>
              <w:jc w:val="center"/>
              <w:rPr>
                <w:rFonts w:cs="仿宋_GB2312"/>
                <w:b/>
                <w:bCs/>
                <w:kern w:val="2"/>
                <w:szCs w:val="20"/>
                <w:lang w:val="zh-CN"/>
              </w:rPr>
            </w:pPr>
            <w:r>
              <w:rPr>
                <w:rFonts w:hint="eastAsia" w:cs="仿宋_GB2312"/>
                <w:b/>
                <w:bCs/>
                <w:kern w:val="2"/>
                <w:szCs w:val="20"/>
                <w:lang w:val="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812" w:type="dxa"/>
            <w:vAlign w:val="center"/>
          </w:tcPr>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1</w:t>
            </w:r>
          </w:p>
        </w:tc>
        <w:tc>
          <w:tcPr>
            <w:tcW w:w="1215" w:type="dxa"/>
            <w:vAlign w:val="center"/>
          </w:tcPr>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防 护</w:t>
            </w:r>
          </w:p>
        </w:tc>
        <w:tc>
          <w:tcPr>
            <w:tcW w:w="6690" w:type="dxa"/>
            <w:vAlign w:val="center"/>
          </w:tcPr>
          <w:p>
            <w:pPr>
              <w:widowControl/>
              <w:autoSpaceDE w:val="0"/>
              <w:autoSpaceDN w:val="0"/>
              <w:spacing w:line="240" w:lineRule="atLeast"/>
              <w:jc w:val="left"/>
              <w:rPr>
                <w:rFonts w:cs="仿宋_GB2312"/>
                <w:kern w:val="2"/>
                <w:szCs w:val="20"/>
                <w:lang w:val="zh-CN"/>
              </w:rPr>
            </w:pPr>
            <w:r>
              <w:rPr>
                <w:rFonts w:hint="eastAsia" w:cs="仿宋_GB2312"/>
                <w:kern w:val="2"/>
                <w:szCs w:val="20"/>
                <w:lang w:val="zh-CN"/>
              </w:rPr>
              <w:t>针对被保护对象的特点采取各种防护措施。例如在玻璃幕墙龙骨表面贴塑料薄膜；对于进出口台阶可垫砖或方木搭脚手板供人通过的方法来保护台阶；对于门口易碰部位，可以钉上防护条或槽型盖铁保护；门扇安装后可加楔固定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jc w:val="center"/>
        </w:trPr>
        <w:tc>
          <w:tcPr>
            <w:tcW w:w="812" w:type="dxa"/>
            <w:vAlign w:val="center"/>
          </w:tcPr>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2</w:t>
            </w:r>
          </w:p>
        </w:tc>
        <w:tc>
          <w:tcPr>
            <w:tcW w:w="1215" w:type="dxa"/>
            <w:vAlign w:val="center"/>
          </w:tcPr>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包裹</w:t>
            </w:r>
          </w:p>
        </w:tc>
        <w:tc>
          <w:tcPr>
            <w:tcW w:w="6690" w:type="dxa"/>
            <w:vAlign w:val="center"/>
          </w:tcPr>
          <w:p>
            <w:pPr>
              <w:widowControl/>
              <w:autoSpaceDE w:val="0"/>
              <w:autoSpaceDN w:val="0"/>
              <w:spacing w:line="240" w:lineRule="atLeast"/>
              <w:jc w:val="left"/>
              <w:rPr>
                <w:rFonts w:cs="仿宋_GB2312"/>
                <w:kern w:val="2"/>
                <w:szCs w:val="20"/>
                <w:lang w:val="zh-CN"/>
              </w:rPr>
            </w:pPr>
            <w:r>
              <w:rPr>
                <w:rFonts w:hint="eastAsia" w:cs="仿宋_GB2312"/>
                <w:kern w:val="2"/>
                <w:szCs w:val="20"/>
                <w:lang w:val="zh-CN"/>
              </w:rPr>
              <w:t>工程成品包裹保护，主要是防止成品被损伤或污染，例如楼梯扶手易污染变色，油漆前应裹纸保护；铝合金门窗应用塑料布包扎；电气开关、插座、灯具等设备也要包裹，防止施工过程中被污染；</w:t>
            </w:r>
          </w:p>
          <w:p>
            <w:pPr>
              <w:widowControl/>
              <w:autoSpaceDE w:val="0"/>
              <w:autoSpaceDN w:val="0"/>
              <w:spacing w:line="240" w:lineRule="atLeast"/>
              <w:jc w:val="left"/>
              <w:rPr>
                <w:rFonts w:cs="仿宋_GB2312"/>
                <w:kern w:val="2"/>
                <w:szCs w:val="20"/>
                <w:lang w:val="zh-CN"/>
              </w:rPr>
            </w:pPr>
            <w:r>
              <w:rPr>
                <w:rFonts w:hint="eastAsia" w:cs="仿宋_GB2312"/>
                <w:kern w:val="2"/>
                <w:szCs w:val="20"/>
                <w:lang w:val="zh-CN"/>
              </w:rPr>
              <w:t>采购物资须包装保护，防止物资在搬运、贮存至交付过程中受碰撞等导致损伤；</w:t>
            </w:r>
          </w:p>
          <w:p>
            <w:pPr>
              <w:widowControl/>
              <w:autoSpaceDE w:val="0"/>
              <w:autoSpaceDN w:val="0"/>
              <w:spacing w:line="240" w:lineRule="atLeast"/>
              <w:jc w:val="left"/>
              <w:rPr>
                <w:rFonts w:cs="仿宋_GB2312"/>
                <w:kern w:val="2"/>
                <w:szCs w:val="20"/>
                <w:lang w:val="zh-CN"/>
              </w:rPr>
            </w:pPr>
            <w:r>
              <w:rPr>
                <w:rFonts w:hint="eastAsia" w:cs="仿宋_GB2312"/>
                <w:kern w:val="2"/>
                <w:szCs w:val="20"/>
                <w:lang w:val="zh-CN"/>
              </w:rPr>
              <w:t>对在竣工交付时才能拆除的包装，在施工过程中必须对其包装予以保护。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812" w:type="dxa"/>
            <w:vAlign w:val="center"/>
          </w:tcPr>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3</w:t>
            </w:r>
          </w:p>
        </w:tc>
        <w:tc>
          <w:tcPr>
            <w:tcW w:w="1215" w:type="dxa"/>
            <w:vAlign w:val="center"/>
          </w:tcPr>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覆盖</w:t>
            </w:r>
          </w:p>
        </w:tc>
        <w:tc>
          <w:tcPr>
            <w:tcW w:w="6690" w:type="dxa"/>
            <w:vAlign w:val="center"/>
          </w:tcPr>
          <w:p>
            <w:pPr>
              <w:widowControl/>
              <w:autoSpaceDE w:val="0"/>
              <w:autoSpaceDN w:val="0"/>
              <w:spacing w:line="240" w:lineRule="atLeast"/>
              <w:jc w:val="left"/>
              <w:rPr>
                <w:rFonts w:cs="仿宋_GB2312"/>
                <w:kern w:val="2"/>
                <w:szCs w:val="20"/>
                <w:lang w:val="zh-CN"/>
              </w:rPr>
            </w:pPr>
            <w:r>
              <w:rPr>
                <w:rFonts w:hint="eastAsia" w:cs="仿宋_GB2312"/>
                <w:kern w:val="2"/>
                <w:szCs w:val="20"/>
                <w:lang w:val="zh-CN"/>
              </w:rPr>
              <w:t>用表面覆盖的方法防止污染、堵塞或损伤。例如地面可用锯末、苫布等覆盖以防止喷浆等污染；对于地漏、落水口排水管等安装后可加以覆盖，以防止异物落入而被堵塞；其它需要防晒、防冻、保温养护等项目也应采取适当的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812" w:type="dxa"/>
            <w:vAlign w:val="center"/>
          </w:tcPr>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4</w:t>
            </w:r>
          </w:p>
        </w:tc>
        <w:tc>
          <w:tcPr>
            <w:tcW w:w="1215" w:type="dxa"/>
            <w:vAlign w:val="center"/>
          </w:tcPr>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封闭</w:t>
            </w:r>
          </w:p>
        </w:tc>
        <w:tc>
          <w:tcPr>
            <w:tcW w:w="6690" w:type="dxa"/>
            <w:vAlign w:val="center"/>
          </w:tcPr>
          <w:p>
            <w:pPr>
              <w:widowControl/>
              <w:autoSpaceDE w:val="0"/>
              <w:autoSpaceDN w:val="0"/>
              <w:spacing w:line="240" w:lineRule="atLeast"/>
              <w:jc w:val="left"/>
              <w:rPr>
                <w:rFonts w:cs="仿宋_GB2312"/>
                <w:kern w:val="2"/>
                <w:szCs w:val="20"/>
                <w:lang w:val="zh-CN"/>
              </w:rPr>
            </w:pPr>
            <w:r>
              <w:rPr>
                <w:rFonts w:hint="eastAsia" w:cs="仿宋_GB2312"/>
                <w:kern w:val="2"/>
                <w:szCs w:val="20"/>
                <w:lang w:val="zh-CN"/>
              </w:rPr>
              <w:t>采取局部封闭的方法进行保护。例如垃圾道完成后，可将其进口封闭起来，以防止建筑垃圾堵塞通道；对于楼梯地面工程，施工后可在周边或楼梯口暂时封闭，待达到可上人的强度时再开放。</w:t>
            </w:r>
          </w:p>
        </w:tc>
      </w:tr>
    </w:tbl>
    <w:p>
      <w:pPr>
        <w:keepNext/>
        <w:keepLines/>
        <w:widowControl/>
        <w:spacing w:line="360" w:lineRule="auto"/>
        <w:jc w:val="left"/>
        <w:outlineLvl w:val="2"/>
        <w:rPr>
          <w:rFonts w:cs="仿宋_GB2312"/>
          <w:b/>
          <w:bCs/>
          <w:kern w:val="2"/>
        </w:rPr>
      </w:pPr>
      <w:bookmarkStart w:id="986" w:name="_Toc28722"/>
      <w:bookmarkStart w:id="987" w:name="_Toc16316"/>
      <w:bookmarkStart w:id="988" w:name="_Toc25955"/>
      <w:bookmarkStart w:id="989" w:name="_Toc6817"/>
      <w:r>
        <w:rPr>
          <w:rFonts w:hint="eastAsia" w:cs="仿宋_GB2312"/>
          <w:b/>
          <w:bCs/>
          <w:kern w:val="2"/>
        </w:rPr>
        <w:t>1</w:t>
      </w:r>
      <w:r>
        <w:rPr>
          <w:rFonts w:hint="eastAsia" w:cs="仿宋_GB2312"/>
          <w:b/>
          <w:bCs/>
          <w:kern w:val="2"/>
          <w:lang w:val="en-US" w:eastAsia="zh-CN"/>
        </w:rPr>
        <w:t>3</w:t>
      </w:r>
      <w:r>
        <w:rPr>
          <w:rFonts w:hint="eastAsia" w:cs="仿宋_GB2312"/>
          <w:b/>
          <w:bCs/>
          <w:kern w:val="2"/>
        </w:rPr>
        <w:t>. 检验与验收</w:t>
      </w:r>
      <w:bookmarkEnd w:id="977"/>
      <w:bookmarkEnd w:id="978"/>
      <w:bookmarkEnd w:id="979"/>
      <w:bookmarkEnd w:id="980"/>
      <w:bookmarkEnd w:id="981"/>
      <w:bookmarkEnd w:id="982"/>
      <w:bookmarkEnd w:id="983"/>
      <w:bookmarkEnd w:id="984"/>
      <w:bookmarkEnd w:id="985"/>
      <w:bookmarkEnd w:id="986"/>
      <w:bookmarkEnd w:id="987"/>
      <w:bookmarkEnd w:id="988"/>
      <w:bookmarkEnd w:id="989"/>
    </w:p>
    <w:p>
      <w:pPr>
        <w:keepNext/>
        <w:keepLines/>
        <w:widowControl w:val="0"/>
        <w:autoSpaceDE w:val="0"/>
        <w:autoSpaceDN w:val="0"/>
        <w:spacing w:line="360" w:lineRule="auto"/>
        <w:jc w:val="left"/>
        <w:outlineLvl w:val="3"/>
        <w:rPr>
          <w:rFonts w:cs="仿宋_GB2312"/>
          <w:b/>
          <w:bCs/>
          <w:kern w:val="2"/>
        </w:rPr>
      </w:pPr>
      <w:bookmarkStart w:id="990" w:name="_Toc19794"/>
      <w:bookmarkStart w:id="991" w:name="_Toc23271"/>
      <w:bookmarkStart w:id="992" w:name="_Toc2045"/>
      <w:bookmarkStart w:id="993" w:name="_Toc23267"/>
      <w:bookmarkStart w:id="994" w:name="_Toc21804"/>
      <w:bookmarkStart w:id="995" w:name="_Toc6553"/>
      <w:bookmarkStart w:id="996" w:name="_Toc11168"/>
      <w:bookmarkStart w:id="997" w:name="_Toc3976"/>
      <w:bookmarkStart w:id="998" w:name="_Toc30651"/>
      <w:bookmarkStart w:id="999" w:name="_Toc19508"/>
      <w:r>
        <w:rPr>
          <w:rFonts w:hint="eastAsia" w:cs="仿宋_GB2312"/>
          <w:b/>
          <w:bCs/>
          <w:kern w:val="2"/>
        </w:rPr>
        <w:t>1</w:t>
      </w:r>
      <w:r>
        <w:rPr>
          <w:rFonts w:hint="eastAsia" w:cs="仿宋_GB2312"/>
          <w:b/>
          <w:bCs/>
          <w:kern w:val="2"/>
          <w:lang w:val="en-US" w:eastAsia="zh-CN"/>
        </w:rPr>
        <w:t>3</w:t>
      </w:r>
      <w:r>
        <w:rPr>
          <w:rFonts w:hint="eastAsia" w:cs="仿宋_GB2312"/>
          <w:b/>
          <w:bCs/>
          <w:kern w:val="2"/>
        </w:rPr>
        <w:t>.1 工程检验管理要求</w:t>
      </w:r>
      <w:bookmarkEnd w:id="990"/>
      <w:bookmarkEnd w:id="991"/>
      <w:bookmarkEnd w:id="992"/>
      <w:bookmarkEnd w:id="993"/>
      <w:bookmarkEnd w:id="994"/>
      <w:bookmarkEnd w:id="995"/>
      <w:bookmarkEnd w:id="996"/>
      <w:bookmarkEnd w:id="997"/>
      <w:bookmarkEnd w:id="998"/>
      <w:bookmarkEnd w:id="999"/>
    </w:p>
    <w:p>
      <w:pPr>
        <w:widowControl w:val="0"/>
        <w:autoSpaceDE w:val="0"/>
        <w:autoSpaceDN w:val="0"/>
        <w:spacing w:line="360" w:lineRule="auto"/>
        <w:ind w:firstLine="480" w:firstLineChars="200"/>
        <w:jc w:val="both"/>
        <w:rPr>
          <w:rFonts w:cs="仿宋_GB2312"/>
          <w:kern w:val="2"/>
        </w:rPr>
      </w:pPr>
      <w:r>
        <w:rPr>
          <w:rFonts w:hint="eastAsia" w:cs="仿宋_GB2312"/>
          <w:kern w:val="2"/>
        </w:rPr>
        <w:t>（1）施工过程中的现场检验、试验管理工作由总承包商统一进行组织，按施工区域和分部分项工程划分进行所有施工试验及进场原材料的复试。</w:t>
      </w:r>
    </w:p>
    <w:p>
      <w:pPr>
        <w:widowControl w:val="0"/>
        <w:autoSpaceDE w:val="0"/>
        <w:autoSpaceDN w:val="0"/>
        <w:spacing w:line="360" w:lineRule="auto"/>
        <w:ind w:firstLine="480" w:firstLineChars="200"/>
        <w:jc w:val="both"/>
        <w:rPr>
          <w:rFonts w:cs="仿宋_GB2312"/>
          <w:kern w:val="2"/>
        </w:rPr>
      </w:pPr>
      <w:r>
        <w:rPr>
          <w:rFonts w:hint="eastAsia" w:cs="仿宋_GB2312"/>
          <w:kern w:val="2"/>
        </w:rPr>
        <w:t>（2）总承包商需进行所有的施工试验和原材料复试工作，及时收取、汇总、整理检验和试验记录和有见证试验报告，对验、证通过的，总承包商应在检验和试验记录上签名；验证未通过的，总承包商应重新进行检验和试验，必要时进行复验。对于需要有见证取样和送样规定要求的试验项目，在取样和制样的过程中，总承包商应请监理工程师到场共同见证取样、送样。</w:t>
      </w:r>
    </w:p>
    <w:p>
      <w:pPr>
        <w:widowControl w:val="0"/>
        <w:autoSpaceDE w:val="0"/>
        <w:autoSpaceDN w:val="0"/>
        <w:spacing w:line="360" w:lineRule="auto"/>
        <w:ind w:firstLine="480" w:firstLineChars="200"/>
        <w:jc w:val="both"/>
        <w:rPr>
          <w:rFonts w:cs="仿宋_GB2312"/>
          <w:kern w:val="2"/>
        </w:rPr>
      </w:pPr>
      <w:r>
        <w:rPr>
          <w:rFonts w:hint="eastAsia" w:cs="仿宋_GB2312"/>
          <w:kern w:val="2"/>
        </w:rPr>
        <w:t>（3）总承包商需根据工程进度计划制定整个工程的施工试验和原材料复试的有见证取样和送检计划并根据各施工阶段进行细化分解。</w:t>
      </w:r>
    </w:p>
    <w:p>
      <w:pPr>
        <w:widowControl w:val="0"/>
        <w:autoSpaceDE w:val="0"/>
        <w:autoSpaceDN w:val="0"/>
        <w:spacing w:line="360" w:lineRule="auto"/>
        <w:ind w:firstLine="480" w:firstLineChars="200"/>
        <w:jc w:val="both"/>
        <w:rPr>
          <w:rFonts w:cs="仿宋_GB2312"/>
          <w:kern w:val="2"/>
        </w:rPr>
      </w:pPr>
      <w:r>
        <w:rPr>
          <w:rFonts w:hint="eastAsia" w:cs="仿宋_GB2312"/>
          <w:kern w:val="2"/>
        </w:rPr>
        <w:t>（4）检验应依照相关现行规范、规程和标准执行。</w:t>
      </w:r>
    </w:p>
    <w:p>
      <w:pPr>
        <w:keepNext/>
        <w:keepLines/>
        <w:widowControl w:val="0"/>
        <w:autoSpaceDE w:val="0"/>
        <w:autoSpaceDN w:val="0"/>
        <w:spacing w:line="360" w:lineRule="auto"/>
        <w:jc w:val="left"/>
        <w:outlineLvl w:val="3"/>
        <w:rPr>
          <w:rFonts w:cs="仿宋_GB2312"/>
          <w:b/>
          <w:bCs/>
          <w:kern w:val="2"/>
        </w:rPr>
      </w:pPr>
      <w:bookmarkStart w:id="1000" w:name="_Toc22113"/>
      <w:r>
        <w:rPr>
          <w:rFonts w:hint="eastAsia" w:cs="仿宋_GB2312"/>
          <w:b/>
          <w:bCs/>
          <w:kern w:val="2"/>
        </w:rPr>
        <w:t>1</w:t>
      </w:r>
      <w:r>
        <w:rPr>
          <w:rFonts w:hint="eastAsia" w:cs="仿宋_GB2312"/>
          <w:b/>
          <w:bCs/>
          <w:kern w:val="2"/>
          <w:lang w:val="en-US" w:eastAsia="zh-CN"/>
        </w:rPr>
        <w:t>3</w:t>
      </w:r>
      <w:r>
        <w:rPr>
          <w:rFonts w:hint="eastAsia" w:cs="仿宋_GB2312"/>
          <w:b/>
          <w:bCs/>
          <w:kern w:val="2"/>
        </w:rPr>
        <w:t>.2 材料样板及进场材料验收管理要求</w:t>
      </w:r>
      <w:bookmarkEnd w:id="1000"/>
    </w:p>
    <w:p>
      <w:pPr>
        <w:widowControl w:val="0"/>
        <w:autoSpaceDE w:val="0"/>
        <w:autoSpaceDN w:val="0"/>
        <w:spacing w:line="360" w:lineRule="auto"/>
        <w:ind w:firstLine="480" w:firstLineChars="200"/>
        <w:jc w:val="both"/>
        <w:rPr>
          <w:rFonts w:cs="仿宋_GB2312"/>
          <w:kern w:val="2"/>
        </w:rPr>
      </w:pPr>
      <w:r>
        <w:rPr>
          <w:rFonts w:hint="eastAsia" w:cs="仿宋_GB2312"/>
          <w:kern w:val="2"/>
        </w:rPr>
        <w:t>（1）需甲方定样的材料，由施工单位送样，经甲方确认后作为材料样板。材料样板清单以设计图纸中要求为准。</w:t>
      </w:r>
    </w:p>
    <w:p>
      <w:pPr>
        <w:widowControl w:val="0"/>
        <w:autoSpaceDE w:val="0"/>
        <w:autoSpaceDN w:val="0"/>
        <w:spacing w:line="360" w:lineRule="auto"/>
        <w:ind w:firstLine="480" w:firstLineChars="200"/>
        <w:jc w:val="both"/>
        <w:rPr>
          <w:rFonts w:hint="eastAsia" w:cs="仿宋_GB2312"/>
          <w:kern w:val="2"/>
        </w:rPr>
      </w:pPr>
      <w:r>
        <w:rPr>
          <w:rFonts w:hint="eastAsia" w:cs="仿宋_GB2312"/>
          <w:kern w:val="2"/>
        </w:rPr>
        <w:t>（2）所有进场材料均须报监理或甲方进行进场验收，验收通过后方可进场。若发现材料质量不合格、与材料样板不符或无出厂合格证的，一律不得进场。</w:t>
      </w:r>
    </w:p>
    <w:p>
      <w:pPr>
        <w:keepNext/>
        <w:keepLines/>
        <w:widowControl/>
        <w:spacing w:line="360" w:lineRule="auto"/>
        <w:jc w:val="left"/>
        <w:outlineLvl w:val="2"/>
        <w:rPr>
          <w:rFonts w:cs="仿宋_GB2312"/>
          <w:b/>
          <w:bCs/>
          <w:kern w:val="2"/>
        </w:rPr>
      </w:pPr>
      <w:bookmarkStart w:id="1001" w:name="_Toc18644"/>
      <w:bookmarkStart w:id="1002" w:name="_Toc29584"/>
      <w:bookmarkStart w:id="1003" w:name="_Toc6050"/>
      <w:bookmarkStart w:id="1004" w:name="_Toc31060"/>
      <w:bookmarkStart w:id="1005" w:name="_Toc3182"/>
      <w:bookmarkStart w:id="1006" w:name="_Toc25036"/>
      <w:bookmarkStart w:id="1007" w:name="_Toc15952"/>
      <w:bookmarkStart w:id="1008" w:name="_Toc25054"/>
      <w:bookmarkStart w:id="1009" w:name="_Toc5095"/>
      <w:bookmarkStart w:id="1010" w:name="_Toc7067"/>
      <w:bookmarkStart w:id="1011" w:name="_Toc15091"/>
      <w:bookmarkStart w:id="1012" w:name="_Toc25055"/>
      <w:bookmarkStart w:id="1013" w:name="_Toc26068"/>
      <w:r>
        <w:rPr>
          <w:rFonts w:hint="eastAsia" w:cs="仿宋_GB2312"/>
          <w:b/>
          <w:bCs/>
          <w:kern w:val="2"/>
        </w:rPr>
        <w:t>1</w:t>
      </w:r>
      <w:r>
        <w:rPr>
          <w:rFonts w:hint="eastAsia" w:cs="仿宋_GB2312"/>
          <w:b/>
          <w:bCs/>
          <w:kern w:val="2"/>
          <w:lang w:val="en-US" w:eastAsia="zh-CN"/>
        </w:rPr>
        <w:t>4</w:t>
      </w:r>
      <w:r>
        <w:rPr>
          <w:rFonts w:hint="eastAsia" w:cs="仿宋_GB2312"/>
          <w:b/>
          <w:bCs/>
          <w:kern w:val="2"/>
        </w:rPr>
        <w:t>. 材料设备管理</w:t>
      </w:r>
      <w:bookmarkEnd w:id="1001"/>
      <w:r>
        <w:rPr>
          <w:rFonts w:hint="eastAsia" w:cs="仿宋_GB2312"/>
          <w:b/>
          <w:bCs/>
          <w:kern w:val="2"/>
        </w:rPr>
        <w:t>要求</w:t>
      </w:r>
      <w:bookmarkEnd w:id="1002"/>
      <w:bookmarkEnd w:id="1003"/>
      <w:bookmarkEnd w:id="1004"/>
      <w:bookmarkEnd w:id="1005"/>
      <w:bookmarkEnd w:id="1006"/>
      <w:bookmarkEnd w:id="1007"/>
      <w:bookmarkEnd w:id="1008"/>
      <w:bookmarkEnd w:id="1009"/>
      <w:bookmarkEnd w:id="1010"/>
      <w:bookmarkEnd w:id="1011"/>
      <w:bookmarkEnd w:id="1012"/>
      <w:bookmarkEnd w:id="1013"/>
    </w:p>
    <w:p>
      <w:pPr>
        <w:widowControl w:val="0"/>
        <w:autoSpaceDE w:val="0"/>
        <w:autoSpaceDN w:val="0"/>
        <w:spacing w:line="360" w:lineRule="auto"/>
        <w:ind w:firstLine="480" w:firstLineChars="200"/>
        <w:jc w:val="both"/>
        <w:rPr>
          <w:rFonts w:hint="eastAsia" w:cs="仿宋_GB2312"/>
          <w:kern w:val="2"/>
        </w:rPr>
      </w:pPr>
      <w:r>
        <w:rPr>
          <w:rFonts w:hint="eastAsia" w:cs="仿宋_GB2312"/>
          <w:kern w:val="2"/>
        </w:rPr>
        <w:t>（</w:t>
      </w:r>
      <w:r>
        <w:rPr>
          <w:rFonts w:hint="eastAsia" w:cs="仿宋_GB2312"/>
          <w:kern w:val="2"/>
          <w:lang w:val="en-US" w:eastAsia="zh-CN"/>
        </w:rPr>
        <w:t>1</w:t>
      </w:r>
      <w:r>
        <w:rPr>
          <w:rFonts w:hint="eastAsia" w:cs="仿宋_GB2312"/>
          <w:kern w:val="2"/>
        </w:rPr>
        <w:t>）原则上</w:t>
      </w:r>
      <w:r>
        <w:rPr>
          <w:rFonts w:hint="eastAsia" w:cs="仿宋_GB2312"/>
          <w:kern w:val="2"/>
          <w:lang w:val="en-US" w:eastAsia="zh-CN"/>
        </w:rPr>
        <w:t>使用附件2中推荐的品牌；</w:t>
      </w:r>
      <w:r>
        <w:rPr>
          <w:rFonts w:hint="eastAsia" w:cs="仿宋_GB2312"/>
          <w:kern w:val="2"/>
        </w:rPr>
        <w:t>总承包商更换甲方指定材料品牌，必须通过商务变更流程，经甲方审批同意后方可使用，否则按不合格品处理。</w:t>
      </w:r>
    </w:p>
    <w:p>
      <w:pPr>
        <w:widowControl w:val="0"/>
        <w:autoSpaceDE w:val="0"/>
        <w:autoSpaceDN w:val="0"/>
        <w:spacing w:line="360" w:lineRule="auto"/>
        <w:ind w:firstLine="480" w:firstLineChars="200"/>
        <w:jc w:val="both"/>
        <w:rPr>
          <w:rFonts w:cs="仿宋_GB2312"/>
          <w:kern w:val="2"/>
        </w:rPr>
      </w:pPr>
      <w:r>
        <w:rPr>
          <w:rFonts w:hint="eastAsia" w:cs="仿宋_GB2312"/>
          <w:kern w:val="2"/>
        </w:rPr>
        <w:t>（2）任何材料设备在订货前，总承包商制定计划并上报监理及甲方，总承包商须提交有关材料生产商的资料证明并通过甲方认可，甲方的认可并不能免除总承包商提供瑕疵材料而应承担的责任。</w:t>
      </w:r>
    </w:p>
    <w:p>
      <w:pPr>
        <w:widowControl w:val="0"/>
        <w:autoSpaceDE w:val="0"/>
        <w:autoSpaceDN w:val="0"/>
        <w:spacing w:line="360" w:lineRule="auto"/>
        <w:ind w:firstLine="480" w:firstLineChars="200"/>
        <w:jc w:val="both"/>
        <w:rPr>
          <w:rFonts w:cs="仿宋_GB2312"/>
          <w:kern w:val="2"/>
        </w:rPr>
      </w:pPr>
      <w:r>
        <w:rPr>
          <w:rFonts w:hint="eastAsia" w:cs="仿宋_GB2312"/>
          <w:kern w:val="2"/>
        </w:rPr>
        <w:t>（</w:t>
      </w:r>
      <w:r>
        <w:rPr>
          <w:rFonts w:hint="eastAsia" w:cs="仿宋_GB2312"/>
          <w:kern w:val="2"/>
          <w:lang w:val="en-US" w:eastAsia="zh-CN"/>
        </w:rPr>
        <w:t>3</w:t>
      </w:r>
      <w:r>
        <w:rPr>
          <w:rFonts w:hint="eastAsia" w:cs="仿宋_GB2312"/>
          <w:kern w:val="2"/>
        </w:rPr>
        <w:t>）总承包商必须按规范要求组织监理进行材料进场验收，对于不符合要求的材料需立即退场，对于完成进场材料验收的需在完成后24小时内上报进场材料验收资料。</w:t>
      </w:r>
    </w:p>
    <w:p>
      <w:pPr>
        <w:widowControl w:val="0"/>
        <w:autoSpaceDE w:val="0"/>
        <w:autoSpaceDN w:val="0"/>
        <w:spacing w:line="360" w:lineRule="auto"/>
        <w:ind w:firstLine="480" w:firstLineChars="200"/>
        <w:jc w:val="both"/>
        <w:rPr>
          <w:rFonts w:cs="仿宋_GB2312"/>
          <w:kern w:val="2"/>
        </w:rPr>
      </w:pPr>
      <w:r>
        <w:rPr>
          <w:rFonts w:hint="eastAsia" w:cs="仿宋_GB2312"/>
          <w:kern w:val="2"/>
        </w:rPr>
        <w:t>（</w:t>
      </w:r>
      <w:r>
        <w:rPr>
          <w:rFonts w:hint="eastAsia" w:cs="仿宋_GB2312"/>
          <w:kern w:val="2"/>
          <w:lang w:val="en-US" w:eastAsia="zh-CN"/>
        </w:rPr>
        <w:t>4</w:t>
      </w:r>
      <w:r>
        <w:rPr>
          <w:rFonts w:hint="eastAsia" w:cs="仿宋_GB2312"/>
          <w:kern w:val="2"/>
        </w:rPr>
        <w:t>）总承包商须对产品和原材料按照规范进行检测、检验或试验，并提供合格的检测报告，由此而产生的费用应被视作已包含在合同总价中。</w:t>
      </w:r>
    </w:p>
    <w:p>
      <w:pPr>
        <w:widowControl w:val="0"/>
        <w:autoSpaceDE w:val="0"/>
        <w:autoSpaceDN w:val="0"/>
        <w:spacing w:line="360" w:lineRule="auto"/>
        <w:ind w:firstLine="480" w:firstLineChars="200"/>
        <w:jc w:val="both"/>
        <w:rPr>
          <w:rFonts w:cs="仿宋_GB2312"/>
          <w:kern w:val="2"/>
        </w:rPr>
      </w:pPr>
      <w:r>
        <w:rPr>
          <w:rFonts w:hint="eastAsia" w:cs="仿宋_GB2312"/>
          <w:kern w:val="2"/>
        </w:rPr>
        <w:t>（</w:t>
      </w:r>
      <w:r>
        <w:rPr>
          <w:rFonts w:hint="eastAsia" w:cs="仿宋_GB2312"/>
          <w:kern w:val="2"/>
          <w:lang w:val="en-US" w:eastAsia="zh-CN"/>
        </w:rPr>
        <w:t>5</w:t>
      </w:r>
      <w:r>
        <w:rPr>
          <w:rFonts w:hint="eastAsia" w:cs="仿宋_GB2312"/>
          <w:kern w:val="2"/>
        </w:rPr>
        <w:t>）任何作业凡使用了未经检验及检验不合格的材料，不论该作业正在进行或已完成，均应由总承包商承担责任，而且可按未检验或非批准的作业不予以支付费用。</w:t>
      </w:r>
    </w:p>
    <w:p>
      <w:pPr>
        <w:keepNext/>
        <w:keepLines/>
        <w:widowControl/>
        <w:spacing w:line="360" w:lineRule="auto"/>
        <w:jc w:val="left"/>
        <w:outlineLvl w:val="2"/>
        <w:rPr>
          <w:rFonts w:cs="仿宋_GB2312"/>
          <w:b/>
          <w:bCs/>
          <w:kern w:val="2"/>
        </w:rPr>
      </w:pPr>
      <w:bookmarkStart w:id="1014" w:name="_Toc18778"/>
      <w:bookmarkStart w:id="1015" w:name="_Toc18055"/>
      <w:bookmarkStart w:id="1016" w:name="_Toc16676"/>
      <w:bookmarkStart w:id="1017" w:name="_Toc22731"/>
      <w:bookmarkStart w:id="1018" w:name="_Toc7266"/>
      <w:bookmarkStart w:id="1019" w:name="_Toc13999"/>
      <w:bookmarkStart w:id="1020" w:name="_Toc26974"/>
      <w:bookmarkStart w:id="1021" w:name="_Toc2785"/>
      <w:bookmarkStart w:id="1022" w:name="_Toc32494"/>
      <w:bookmarkStart w:id="1023" w:name="_Toc1226"/>
      <w:bookmarkStart w:id="1024" w:name="_Toc4854"/>
      <w:bookmarkStart w:id="1025" w:name="_Toc30447"/>
      <w:bookmarkStart w:id="1026" w:name="_Toc1513"/>
      <w:r>
        <w:rPr>
          <w:rFonts w:hint="eastAsia" w:cs="仿宋_GB2312"/>
          <w:b/>
          <w:bCs/>
          <w:kern w:val="2"/>
        </w:rPr>
        <w:t>1</w:t>
      </w:r>
      <w:r>
        <w:rPr>
          <w:rFonts w:hint="eastAsia" w:cs="仿宋_GB2312"/>
          <w:b/>
          <w:bCs/>
          <w:kern w:val="2"/>
          <w:lang w:val="en-US" w:eastAsia="zh-CN"/>
        </w:rPr>
        <w:t>5</w:t>
      </w:r>
      <w:r>
        <w:rPr>
          <w:rFonts w:hint="eastAsia" w:cs="仿宋_GB2312"/>
          <w:b/>
          <w:bCs/>
          <w:kern w:val="2"/>
        </w:rPr>
        <w:t>.文档、资料、会议管理</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pPr>
        <w:keepNext/>
        <w:keepLines/>
        <w:widowControl w:val="0"/>
        <w:autoSpaceDE w:val="0"/>
        <w:autoSpaceDN w:val="0"/>
        <w:spacing w:line="360" w:lineRule="auto"/>
        <w:jc w:val="left"/>
        <w:outlineLvl w:val="3"/>
        <w:rPr>
          <w:rFonts w:cs="仿宋_GB2312"/>
          <w:b/>
          <w:bCs/>
          <w:kern w:val="2"/>
        </w:rPr>
      </w:pPr>
      <w:bookmarkStart w:id="1027" w:name="_Toc26810"/>
      <w:bookmarkStart w:id="1028" w:name="_Toc17060"/>
      <w:bookmarkStart w:id="1029" w:name="_Toc22722"/>
      <w:bookmarkStart w:id="1030" w:name="_Toc30113"/>
      <w:bookmarkStart w:id="1031" w:name="_Toc4335"/>
      <w:bookmarkStart w:id="1032" w:name="_Toc6766"/>
      <w:bookmarkStart w:id="1033" w:name="_Toc11399"/>
      <w:bookmarkStart w:id="1034" w:name="_Toc15628"/>
      <w:bookmarkStart w:id="1035" w:name="_Toc26781"/>
      <w:bookmarkStart w:id="1036" w:name="_Toc30446"/>
      <w:r>
        <w:rPr>
          <w:rFonts w:hint="eastAsia" w:cs="仿宋_GB2312"/>
          <w:b/>
          <w:bCs/>
          <w:kern w:val="2"/>
        </w:rPr>
        <w:t>1</w:t>
      </w:r>
      <w:r>
        <w:rPr>
          <w:rFonts w:hint="eastAsia" w:cs="仿宋_GB2312"/>
          <w:b/>
          <w:bCs/>
          <w:kern w:val="2"/>
          <w:lang w:val="en-US" w:eastAsia="zh-CN"/>
        </w:rPr>
        <w:t>5</w:t>
      </w:r>
      <w:r>
        <w:rPr>
          <w:rFonts w:hint="eastAsia" w:cs="仿宋_GB2312"/>
          <w:b/>
          <w:bCs/>
          <w:kern w:val="2"/>
        </w:rPr>
        <w:t>.1 工程文件管理</w:t>
      </w:r>
      <w:bookmarkEnd w:id="1027"/>
      <w:bookmarkEnd w:id="1028"/>
      <w:bookmarkEnd w:id="1029"/>
      <w:bookmarkEnd w:id="1030"/>
      <w:bookmarkEnd w:id="1031"/>
      <w:bookmarkEnd w:id="1032"/>
      <w:bookmarkEnd w:id="1033"/>
      <w:bookmarkEnd w:id="1034"/>
      <w:bookmarkEnd w:id="1035"/>
      <w:bookmarkEnd w:id="1036"/>
    </w:p>
    <w:p>
      <w:pPr>
        <w:widowControl w:val="0"/>
        <w:autoSpaceDE w:val="0"/>
        <w:autoSpaceDN w:val="0"/>
        <w:spacing w:line="360" w:lineRule="auto"/>
        <w:ind w:firstLine="482" w:firstLineChars="200"/>
        <w:jc w:val="both"/>
        <w:outlineLvl w:val="9"/>
        <w:rPr>
          <w:rFonts w:cs="仿宋_GB2312"/>
          <w:b/>
          <w:bCs/>
          <w:kern w:val="2"/>
        </w:rPr>
      </w:pPr>
      <w:bookmarkStart w:id="1037" w:name="_Toc28741"/>
      <w:r>
        <w:rPr>
          <w:rFonts w:hint="eastAsia" w:cs="仿宋_GB2312"/>
          <w:b/>
          <w:bCs/>
          <w:kern w:val="2"/>
        </w:rPr>
        <w:t>（1）收发文管理</w:t>
      </w:r>
      <w:bookmarkEnd w:id="1037"/>
    </w:p>
    <w:p>
      <w:pPr>
        <w:widowControl w:val="0"/>
        <w:autoSpaceDE w:val="0"/>
        <w:autoSpaceDN w:val="0"/>
        <w:spacing w:line="360" w:lineRule="auto"/>
        <w:ind w:firstLine="480" w:firstLineChars="200"/>
        <w:jc w:val="both"/>
        <w:rPr>
          <w:rFonts w:cs="仿宋_GB2312"/>
          <w:kern w:val="2"/>
        </w:rPr>
      </w:pPr>
      <w:r>
        <w:rPr>
          <w:rFonts w:hint="eastAsia" w:cs="仿宋_GB2312"/>
          <w:kern w:val="2"/>
        </w:rPr>
        <w:t>①总承包商文件收发应设置唯一的收发文专职人员和工作专用电子邮箱，作为本项目正式文件的收发文接口。</w:t>
      </w:r>
    </w:p>
    <w:p>
      <w:pPr>
        <w:widowControl w:val="0"/>
        <w:autoSpaceDE w:val="0"/>
        <w:autoSpaceDN w:val="0"/>
        <w:spacing w:line="360" w:lineRule="auto"/>
        <w:ind w:firstLine="480" w:firstLineChars="200"/>
        <w:jc w:val="both"/>
        <w:rPr>
          <w:rFonts w:cs="仿宋_GB2312"/>
          <w:kern w:val="2"/>
        </w:rPr>
      </w:pPr>
      <w:r>
        <w:rPr>
          <w:rFonts w:hint="eastAsia" w:cs="仿宋_GB2312"/>
          <w:kern w:val="2"/>
        </w:rPr>
        <w:t>②总承包商提交给甲方的文件，除提交书面纸质文件外，同时应将纸质文件的电子文件提供给甲方。</w:t>
      </w:r>
    </w:p>
    <w:p>
      <w:pPr>
        <w:widowControl w:val="0"/>
        <w:autoSpaceDE w:val="0"/>
        <w:autoSpaceDN w:val="0"/>
        <w:spacing w:line="360" w:lineRule="auto"/>
        <w:ind w:firstLine="480" w:firstLineChars="200"/>
        <w:jc w:val="both"/>
        <w:rPr>
          <w:rFonts w:cs="仿宋_GB2312"/>
          <w:kern w:val="2"/>
        </w:rPr>
      </w:pPr>
      <w:r>
        <w:rPr>
          <w:rFonts w:hint="eastAsia" w:cs="仿宋_GB2312"/>
          <w:kern w:val="2"/>
        </w:rPr>
        <w:t>③甲方对总承包商的发文一般采用正式电子邮箱发出的邮件方式发出，如为重要文件将在发送电子文件的同时发纸质文件。</w:t>
      </w:r>
    </w:p>
    <w:p>
      <w:pPr>
        <w:widowControl w:val="0"/>
        <w:autoSpaceDE w:val="0"/>
        <w:autoSpaceDN w:val="0"/>
        <w:spacing w:line="360" w:lineRule="auto"/>
        <w:ind w:firstLine="482" w:firstLineChars="200"/>
        <w:jc w:val="both"/>
        <w:outlineLvl w:val="9"/>
        <w:rPr>
          <w:rFonts w:cs="仿宋_GB2312"/>
          <w:b/>
          <w:bCs/>
          <w:kern w:val="2"/>
        </w:rPr>
      </w:pPr>
      <w:bookmarkStart w:id="1038" w:name="_Toc8230"/>
      <w:r>
        <w:rPr>
          <w:rFonts w:hint="eastAsia" w:cs="仿宋_GB2312"/>
          <w:b/>
          <w:bCs/>
          <w:kern w:val="2"/>
        </w:rPr>
        <w:t>（2）工程技术资料管理</w:t>
      </w:r>
      <w:bookmarkEnd w:id="1038"/>
    </w:p>
    <w:p>
      <w:pPr>
        <w:widowControl w:val="0"/>
        <w:autoSpaceDE w:val="0"/>
        <w:autoSpaceDN w:val="0"/>
        <w:spacing w:line="360" w:lineRule="auto"/>
        <w:ind w:firstLine="480" w:firstLineChars="200"/>
        <w:jc w:val="both"/>
        <w:rPr>
          <w:rFonts w:cs="仿宋_GB2312"/>
          <w:kern w:val="2"/>
        </w:rPr>
      </w:pPr>
      <w:r>
        <w:rPr>
          <w:rFonts w:hint="eastAsia" w:cs="仿宋_GB2312"/>
          <w:kern w:val="2"/>
        </w:rPr>
        <w:t>①总承包商须建立健全完备的资料文件签发接收、归类保管、查询使用制度和程序，以及原始记录资料的获取与保存制度，包括电子文档信息和现场各类信息的管理以及口头信息的事后书面确认等，使信息资料的传递、查询、使用及其管理等严密、方便、准确、快捷，从而使沟通协调工作既有据可依又高效快速。</w:t>
      </w:r>
    </w:p>
    <w:p>
      <w:pPr>
        <w:widowControl w:val="0"/>
        <w:autoSpaceDE w:val="0"/>
        <w:autoSpaceDN w:val="0"/>
        <w:spacing w:line="360" w:lineRule="auto"/>
        <w:ind w:firstLine="480" w:firstLineChars="200"/>
        <w:jc w:val="both"/>
        <w:rPr>
          <w:rFonts w:cs="仿宋_GB2312"/>
          <w:kern w:val="2"/>
        </w:rPr>
      </w:pPr>
      <w:r>
        <w:rPr>
          <w:rFonts w:hint="eastAsia" w:cs="仿宋_GB2312"/>
          <w:kern w:val="2"/>
        </w:rPr>
        <w:t>②总承包商应规范和建立文件编码系统，项目文件编码应按照甲方下发的文件编码规则或规定进行编码。</w:t>
      </w:r>
    </w:p>
    <w:p>
      <w:pPr>
        <w:widowControl w:val="0"/>
        <w:autoSpaceDE w:val="0"/>
        <w:autoSpaceDN w:val="0"/>
        <w:spacing w:line="360" w:lineRule="auto"/>
        <w:ind w:firstLine="480" w:firstLineChars="200"/>
        <w:jc w:val="both"/>
        <w:rPr>
          <w:rFonts w:cs="仿宋_GB2312"/>
          <w:kern w:val="2"/>
        </w:rPr>
      </w:pPr>
      <w:r>
        <w:rPr>
          <w:rFonts w:hint="eastAsia" w:cs="仿宋_GB2312"/>
          <w:kern w:val="2"/>
        </w:rPr>
        <w:t>③工程技术资料应随项目进度及时收集、整理，并按项目的统一规定进行标识。总承包商应按照有关档案管理标准和规定，将项目施工管理过程中形成的所有文件进行归档，应确保项目档案资料的真实、有效和完整，不得对项目档案资料进行伪造、篡改和随意抽撤。</w:t>
      </w:r>
    </w:p>
    <w:p>
      <w:pPr>
        <w:widowControl w:val="0"/>
        <w:autoSpaceDE w:val="0"/>
        <w:autoSpaceDN w:val="0"/>
        <w:spacing w:line="360" w:lineRule="auto"/>
        <w:ind w:firstLine="480" w:firstLineChars="200"/>
        <w:jc w:val="both"/>
        <w:rPr>
          <w:rFonts w:cs="仿宋_GB2312"/>
          <w:kern w:val="2"/>
        </w:rPr>
      </w:pPr>
      <w:r>
        <w:rPr>
          <w:rFonts w:hint="eastAsia" w:cs="仿宋_GB2312"/>
          <w:kern w:val="2"/>
        </w:rPr>
        <w:t>④总承包商制定信息安全与保密措施，防止和处理在信息传递与处理过程中的失误与失密，保证信息管理系统安全、可靠地为项目服务。</w:t>
      </w:r>
    </w:p>
    <w:p>
      <w:pPr>
        <w:widowControl w:val="0"/>
        <w:autoSpaceDE w:val="0"/>
        <w:autoSpaceDN w:val="0"/>
        <w:spacing w:line="360" w:lineRule="auto"/>
        <w:ind w:firstLine="482" w:firstLineChars="200"/>
        <w:jc w:val="both"/>
        <w:outlineLvl w:val="9"/>
        <w:rPr>
          <w:rFonts w:cs="仿宋_GB2312"/>
          <w:b/>
          <w:bCs/>
          <w:kern w:val="2"/>
        </w:rPr>
      </w:pPr>
      <w:bookmarkStart w:id="1039" w:name="_Toc25897"/>
      <w:r>
        <w:rPr>
          <w:rFonts w:hint="eastAsia" w:cs="仿宋_GB2312"/>
          <w:b/>
          <w:bCs/>
          <w:kern w:val="2"/>
        </w:rPr>
        <w:t>（3）施工阶段的技术资料管理</w:t>
      </w:r>
      <w:bookmarkEnd w:id="1039"/>
    </w:p>
    <w:p>
      <w:pPr>
        <w:widowControl w:val="0"/>
        <w:autoSpaceDE w:val="0"/>
        <w:autoSpaceDN w:val="0"/>
        <w:spacing w:line="360" w:lineRule="auto"/>
        <w:ind w:firstLine="480" w:firstLineChars="200"/>
        <w:jc w:val="both"/>
        <w:rPr>
          <w:rFonts w:cs="仿宋_GB2312"/>
          <w:kern w:val="2"/>
        </w:rPr>
      </w:pPr>
      <w:r>
        <w:rPr>
          <w:rFonts w:hint="eastAsia" w:cs="仿宋_GB2312"/>
          <w:kern w:val="2"/>
        </w:rPr>
        <w:t>①总承包商应设置专门人员负责内业资料的整理以及文件和档案资料的管理，设置专门的资料室和档案室。在各工序质量验收前及时形成相关质量记录文件，并在完成文本格式的资料后，使用扫描形成电子文档，共同保存。</w:t>
      </w:r>
    </w:p>
    <w:p>
      <w:pPr>
        <w:widowControl w:val="0"/>
        <w:autoSpaceDE w:val="0"/>
        <w:autoSpaceDN w:val="0"/>
        <w:spacing w:line="360" w:lineRule="auto"/>
        <w:ind w:firstLine="480" w:firstLineChars="200"/>
        <w:jc w:val="both"/>
        <w:rPr>
          <w:rFonts w:cs="仿宋_GB2312"/>
          <w:kern w:val="2"/>
        </w:rPr>
      </w:pPr>
      <w:r>
        <w:rPr>
          <w:rFonts w:hint="eastAsia" w:cs="仿宋_GB2312"/>
          <w:kern w:val="2"/>
        </w:rPr>
        <w:t>②内业资料和档案的管理应分门别类，并编制相应的目录，便于查找；资料的整理尽量保存原始页，对隐蔽工程在隐蔽前必须留存全面的影像资料；对关键工序和重点部位的施工必须留有影像资料。</w:t>
      </w:r>
    </w:p>
    <w:p>
      <w:pPr>
        <w:widowControl w:val="0"/>
        <w:autoSpaceDE w:val="0"/>
        <w:autoSpaceDN w:val="0"/>
        <w:spacing w:line="360" w:lineRule="auto"/>
        <w:ind w:firstLine="482" w:firstLineChars="200"/>
        <w:jc w:val="both"/>
        <w:outlineLvl w:val="9"/>
        <w:rPr>
          <w:rFonts w:cs="仿宋_GB2312"/>
          <w:b/>
          <w:bCs/>
          <w:kern w:val="2"/>
        </w:rPr>
      </w:pPr>
      <w:bookmarkStart w:id="1040" w:name="_Toc23707"/>
      <w:r>
        <w:rPr>
          <w:rFonts w:hint="eastAsia" w:cs="仿宋_GB2312"/>
          <w:b/>
          <w:bCs/>
          <w:kern w:val="2"/>
        </w:rPr>
        <w:t>（4）竣工阶段的技术资料管理</w:t>
      </w:r>
      <w:bookmarkEnd w:id="1040"/>
    </w:p>
    <w:p>
      <w:pPr>
        <w:widowControl w:val="0"/>
        <w:autoSpaceDE w:val="0"/>
        <w:autoSpaceDN w:val="0"/>
        <w:spacing w:line="360" w:lineRule="auto"/>
        <w:ind w:firstLine="480" w:firstLineChars="200"/>
        <w:jc w:val="both"/>
        <w:rPr>
          <w:rFonts w:cs="仿宋_GB2312"/>
          <w:kern w:val="2"/>
        </w:rPr>
      </w:pPr>
      <w:r>
        <w:rPr>
          <w:rFonts w:hint="eastAsia" w:cs="仿宋_GB2312"/>
          <w:kern w:val="2"/>
        </w:rPr>
        <w:t>①工程竣工前总承包商将根据规范规程的要求，进行工程竣工资料的预检工作，预检通过后方可进行档案的验收。</w:t>
      </w:r>
    </w:p>
    <w:p>
      <w:pPr>
        <w:widowControl w:val="0"/>
        <w:autoSpaceDE w:val="0"/>
        <w:autoSpaceDN w:val="0"/>
        <w:spacing w:line="360" w:lineRule="auto"/>
        <w:ind w:firstLine="480" w:firstLineChars="200"/>
        <w:jc w:val="both"/>
        <w:rPr>
          <w:rFonts w:cs="仿宋_GB2312"/>
          <w:kern w:val="2"/>
        </w:rPr>
      </w:pPr>
      <w:r>
        <w:rPr>
          <w:rFonts w:hint="eastAsia" w:cs="仿宋_GB2312"/>
          <w:kern w:val="2"/>
        </w:rPr>
        <w:t>②竣工图由总承包商负责组织编制，竣工图纸跟随施工进度进行编制，总承包商应安排专人将所有工程变更反映到最新的竣工图纸内，整理好变更文件。</w:t>
      </w:r>
    </w:p>
    <w:p>
      <w:pPr>
        <w:widowControl w:val="0"/>
        <w:autoSpaceDE w:val="0"/>
        <w:autoSpaceDN w:val="0"/>
        <w:spacing w:line="360" w:lineRule="auto"/>
        <w:ind w:firstLine="480" w:firstLineChars="200"/>
        <w:jc w:val="both"/>
        <w:rPr>
          <w:rFonts w:cs="仿宋_GB2312"/>
          <w:kern w:val="2"/>
        </w:rPr>
      </w:pPr>
      <w:r>
        <w:rPr>
          <w:rFonts w:hint="eastAsia" w:cs="仿宋_GB2312"/>
          <w:kern w:val="2"/>
        </w:rPr>
        <w:t>③总承包商负责汇总、整理工程竣工资料，工程竣工资料必须满足当地建设行政主管部门和档案馆的要求。</w:t>
      </w:r>
    </w:p>
    <w:p>
      <w:pPr>
        <w:widowControl w:val="0"/>
        <w:autoSpaceDE w:val="0"/>
        <w:autoSpaceDN w:val="0"/>
        <w:spacing w:line="360" w:lineRule="auto"/>
        <w:ind w:firstLine="480" w:firstLineChars="200"/>
        <w:jc w:val="both"/>
        <w:rPr>
          <w:rFonts w:cs="仿宋_GB2312"/>
          <w:kern w:val="2"/>
        </w:rPr>
      </w:pPr>
      <w:r>
        <w:rPr>
          <w:rFonts w:hint="eastAsia" w:cs="仿宋_GB2312"/>
          <w:kern w:val="2"/>
        </w:rPr>
        <w:t>④总承包商需负责编制4套竣工图（须设计院签字、盖章确认），同时提供电子文档。</w:t>
      </w:r>
    </w:p>
    <w:p>
      <w:pPr>
        <w:widowControl w:val="0"/>
        <w:autoSpaceDE w:val="0"/>
        <w:autoSpaceDN w:val="0"/>
        <w:spacing w:line="360" w:lineRule="auto"/>
        <w:ind w:firstLine="482" w:firstLineChars="200"/>
        <w:jc w:val="both"/>
        <w:outlineLvl w:val="9"/>
        <w:rPr>
          <w:rFonts w:cs="仿宋_GB2312"/>
          <w:b/>
          <w:bCs/>
          <w:kern w:val="2"/>
        </w:rPr>
      </w:pPr>
      <w:bookmarkStart w:id="1041" w:name="_Toc5503"/>
      <w:r>
        <w:rPr>
          <w:rFonts w:hint="eastAsia" w:cs="仿宋_GB2312"/>
          <w:b/>
          <w:bCs/>
          <w:kern w:val="2"/>
        </w:rPr>
        <w:t>（5）竣工资料的移交</w:t>
      </w:r>
      <w:bookmarkEnd w:id="1041"/>
    </w:p>
    <w:p>
      <w:pPr>
        <w:widowControl w:val="0"/>
        <w:autoSpaceDE w:val="0"/>
        <w:autoSpaceDN w:val="0"/>
        <w:spacing w:line="360" w:lineRule="auto"/>
        <w:ind w:firstLine="480" w:firstLineChars="200"/>
        <w:jc w:val="both"/>
        <w:rPr>
          <w:rFonts w:cs="仿宋_GB2312"/>
          <w:kern w:val="2"/>
        </w:rPr>
      </w:pPr>
      <w:r>
        <w:rPr>
          <w:rFonts w:hint="eastAsia" w:cs="仿宋_GB2312"/>
          <w:kern w:val="2"/>
        </w:rPr>
        <w:t>总承包商提供竣工资料的约定：工程具备竣工验收条件，承包人应按国家、深圳市工程验收有关规定，应在工程竣工验收前14天内，向发包人提供完整的工程竣工资料（包括竣工图纸）及竣工验收报告；工程验收合格后三个月内，承包人按深圳市城建档案馆有关竣工图及综合资料编制规定要求向发包人提交完整工程竣工资料（包括竣工图纸、声像资料、影像资料）、竣工验收报告（原件）和光盘4套，上述所含费用由承包人承担；如承包人提供的竣工资料不完整的，发包人有权不予办理工程竣工手续，工期不予顺延，由此导致的工期延误责任由承包人承担。</w:t>
      </w:r>
    </w:p>
    <w:p>
      <w:pPr>
        <w:widowControl w:val="0"/>
        <w:autoSpaceDE w:val="0"/>
        <w:autoSpaceDN w:val="0"/>
        <w:spacing w:line="360" w:lineRule="auto"/>
        <w:ind w:firstLine="482" w:firstLineChars="200"/>
        <w:jc w:val="both"/>
        <w:outlineLvl w:val="9"/>
        <w:rPr>
          <w:rFonts w:cs="仿宋_GB2312"/>
          <w:b/>
          <w:bCs/>
          <w:kern w:val="2"/>
        </w:rPr>
      </w:pPr>
      <w:bookmarkStart w:id="1042" w:name="_Toc29975"/>
      <w:r>
        <w:rPr>
          <w:rFonts w:hint="eastAsia" w:cs="仿宋_GB2312"/>
          <w:b/>
          <w:bCs/>
          <w:kern w:val="2"/>
        </w:rPr>
        <w:t>（6）竣工及结算资料</w:t>
      </w:r>
      <w:bookmarkEnd w:id="1042"/>
    </w:p>
    <w:p>
      <w:pPr>
        <w:widowControl w:val="0"/>
        <w:autoSpaceDE w:val="0"/>
        <w:autoSpaceDN w:val="0"/>
        <w:spacing w:line="360" w:lineRule="auto"/>
        <w:ind w:firstLine="480" w:firstLineChars="200"/>
        <w:jc w:val="both"/>
        <w:rPr>
          <w:rFonts w:cs="仿宋_GB2312"/>
          <w:kern w:val="2"/>
        </w:rPr>
      </w:pPr>
      <w:r>
        <w:rPr>
          <w:rFonts w:hint="eastAsia" w:cs="仿宋_GB2312"/>
          <w:kern w:val="2"/>
        </w:rPr>
        <w:t>①竣工资料及结算资料均与合同一一对应关系，涉及造价及造价变动的事项（但施工图、合同除外），必须以书面资料形式反映，并纳入结算资料。</w:t>
      </w:r>
    </w:p>
    <w:p>
      <w:pPr>
        <w:widowControl w:val="0"/>
        <w:autoSpaceDE w:val="0"/>
        <w:autoSpaceDN w:val="0"/>
        <w:spacing w:line="360" w:lineRule="auto"/>
        <w:ind w:firstLine="480" w:firstLineChars="200"/>
        <w:jc w:val="both"/>
        <w:rPr>
          <w:rFonts w:cs="仿宋_GB2312"/>
          <w:kern w:val="2"/>
        </w:rPr>
      </w:pPr>
      <w:r>
        <w:rPr>
          <w:rFonts w:hint="eastAsia" w:cs="仿宋_GB2312"/>
          <w:kern w:val="2"/>
        </w:rPr>
        <w:t>②涉及造价变动的资料，总承包商必须及时提供相应的预算书，经审定的资料及预算书可作为工程竣工结算依据。</w:t>
      </w:r>
    </w:p>
    <w:p>
      <w:pPr>
        <w:widowControl w:val="0"/>
        <w:autoSpaceDE w:val="0"/>
        <w:autoSpaceDN w:val="0"/>
        <w:spacing w:line="360" w:lineRule="auto"/>
        <w:ind w:firstLine="480" w:firstLineChars="200"/>
        <w:jc w:val="both"/>
        <w:rPr>
          <w:rFonts w:cs="仿宋_GB2312"/>
          <w:kern w:val="2"/>
        </w:rPr>
      </w:pPr>
      <w:r>
        <w:rPr>
          <w:rFonts w:hint="eastAsia" w:cs="仿宋_GB2312"/>
          <w:kern w:val="2"/>
        </w:rPr>
        <w:t>③结算资料的总体要求：事项内容真实有效、理由充足、依据详细、原因清楚、范围明确、资料内容完整系统、申报及时、程序规范符合预结算工作的深度要求、满足合同管理及会计成本归集要求。合同图纸以外的结算资料，应对照合同、施工图及相应的图纸修改设计变更、现场情况（施工条件等）、经济规定、技术规范等，认定事项的原因性质责任、过程及结果与影响，不得与合同、图纸的范围重复（时间范围、工程范围、费用范围等）。凡与合同精神、定额精神，有关规定相违背的内容、签证（含无效延期签证）等，一律不予结算。</w:t>
      </w:r>
    </w:p>
    <w:p>
      <w:pPr>
        <w:widowControl w:val="0"/>
        <w:autoSpaceDE w:val="0"/>
        <w:autoSpaceDN w:val="0"/>
        <w:spacing w:line="360" w:lineRule="auto"/>
        <w:ind w:firstLine="480" w:firstLineChars="200"/>
        <w:jc w:val="both"/>
        <w:rPr>
          <w:rFonts w:cs="仿宋_GB2312"/>
          <w:kern w:val="2"/>
        </w:rPr>
      </w:pPr>
      <w:r>
        <w:rPr>
          <w:rFonts w:hint="eastAsia" w:cs="仿宋_GB2312"/>
          <w:kern w:val="2"/>
        </w:rPr>
        <w:t>④所有结算资料管理的质量要求</w:t>
      </w:r>
    </w:p>
    <w:p>
      <w:pPr>
        <w:widowControl w:val="0"/>
        <w:autoSpaceDE w:val="0"/>
        <w:autoSpaceDN w:val="0"/>
        <w:spacing w:line="360" w:lineRule="auto"/>
        <w:ind w:firstLine="480" w:firstLineChars="200"/>
        <w:jc w:val="both"/>
        <w:rPr>
          <w:rFonts w:cs="仿宋_GB2312"/>
          <w:kern w:val="2"/>
        </w:rPr>
      </w:pPr>
      <w:r>
        <w:rPr>
          <w:rFonts w:hint="eastAsia" w:cs="仿宋_GB2312"/>
          <w:kern w:val="2"/>
        </w:rPr>
        <w:t>内容：总承包商必须在结算资料上体现合同编号、工程栋号及详细的位置、专业等，同时写清事项的责任原因、过程及结果与影响（费用、进度、质量等）。</w:t>
      </w:r>
    </w:p>
    <w:p>
      <w:pPr>
        <w:widowControl w:val="0"/>
        <w:autoSpaceDE w:val="0"/>
        <w:autoSpaceDN w:val="0"/>
        <w:spacing w:line="360" w:lineRule="auto"/>
        <w:ind w:firstLine="480" w:firstLineChars="200"/>
        <w:jc w:val="both"/>
        <w:rPr>
          <w:rFonts w:cs="仿宋_GB2312"/>
          <w:kern w:val="2"/>
        </w:rPr>
      </w:pPr>
      <w:r>
        <w:rPr>
          <w:rFonts w:hint="eastAsia" w:cs="仿宋_GB2312"/>
          <w:kern w:val="2"/>
        </w:rPr>
        <w:t>范围：与合同、施工图及相应的图纸修改设计变更、经济规定（如定额）等的关系（时间范围、工程范围、费用范围等方面）。</w:t>
      </w:r>
    </w:p>
    <w:p>
      <w:pPr>
        <w:widowControl w:val="0"/>
        <w:autoSpaceDE w:val="0"/>
        <w:autoSpaceDN w:val="0"/>
        <w:spacing w:line="360" w:lineRule="auto"/>
        <w:ind w:firstLine="480" w:firstLineChars="200"/>
        <w:jc w:val="both"/>
        <w:rPr>
          <w:rFonts w:cs="仿宋_GB2312"/>
          <w:kern w:val="2"/>
        </w:rPr>
      </w:pPr>
      <w:r>
        <w:rPr>
          <w:rFonts w:hint="eastAsia" w:cs="仿宋_GB2312"/>
          <w:kern w:val="2"/>
        </w:rPr>
        <w:t>深度：必须满足预算、结算的要求。</w:t>
      </w:r>
    </w:p>
    <w:p>
      <w:pPr>
        <w:widowControl w:val="0"/>
        <w:autoSpaceDE w:val="0"/>
        <w:autoSpaceDN w:val="0"/>
        <w:spacing w:line="360" w:lineRule="auto"/>
        <w:ind w:firstLine="480" w:firstLineChars="200"/>
        <w:jc w:val="both"/>
        <w:rPr>
          <w:rFonts w:cs="仿宋_GB2312"/>
          <w:kern w:val="2"/>
        </w:rPr>
      </w:pPr>
      <w:r>
        <w:rPr>
          <w:rFonts w:hint="eastAsia" w:cs="仿宋_GB2312"/>
          <w:kern w:val="2"/>
        </w:rPr>
        <w:t>凡图纸不明确的内容必须由设计单位书面确认，在竣工图上体现，并反映在结算之竣工工程范围、项目及工程量验收记录中。</w:t>
      </w:r>
    </w:p>
    <w:p>
      <w:pPr>
        <w:keepNext/>
        <w:keepLines/>
        <w:widowControl w:val="0"/>
        <w:autoSpaceDE w:val="0"/>
        <w:autoSpaceDN w:val="0"/>
        <w:spacing w:line="560" w:lineRule="exact"/>
        <w:jc w:val="left"/>
        <w:outlineLvl w:val="3"/>
        <w:rPr>
          <w:rFonts w:cs="仿宋_GB2312"/>
          <w:b/>
          <w:bCs/>
          <w:kern w:val="2"/>
        </w:rPr>
      </w:pPr>
      <w:bookmarkStart w:id="1043" w:name="_Toc4398"/>
      <w:bookmarkStart w:id="1044" w:name="_Toc18038"/>
      <w:bookmarkStart w:id="1045" w:name="_Toc28125"/>
      <w:bookmarkStart w:id="1046" w:name="_Toc30341"/>
      <w:bookmarkStart w:id="1047" w:name="_Toc24299"/>
      <w:bookmarkStart w:id="1048" w:name="_Toc26376"/>
      <w:bookmarkStart w:id="1049" w:name="_Toc16308"/>
      <w:bookmarkStart w:id="1050" w:name="_Toc18018"/>
      <w:bookmarkStart w:id="1051" w:name="_Toc15964"/>
      <w:bookmarkStart w:id="1052" w:name="_Toc31784"/>
      <w:r>
        <w:rPr>
          <w:rFonts w:hint="eastAsia" w:cs="仿宋_GB2312"/>
          <w:b/>
          <w:bCs/>
          <w:kern w:val="2"/>
        </w:rPr>
        <w:t>1</w:t>
      </w:r>
      <w:r>
        <w:rPr>
          <w:rFonts w:hint="eastAsia" w:cs="仿宋_GB2312"/>
          <w:b/>
          <w:bCs/>
          <w:kern w:val="2"/>
          <w:lang w:val="en-US" w:eastAsia="zh-CN"/>
        </w:rPr>
        <w:t>5</w:t>
      </w:r>
      <w:r>
        <w:rPr>
          <w:rFonts w:hint="eastAsia" w:cs="仿宋_GB2312"/>
          <w:b/>
          <w:bCs/>
          <w:kern w:val="2"/>
        </w:rPr>
        <w:t>.2 例会制度</w:t>
      </w:r>
      <w:bookmarkEnd w:id="1043"/>
      <w:bookmarkEnd w:id="1044"/>
      <w:bookmarkEnd w:id="1045"/>
      <w:bookmarkEnd w:id="1046"/>
      <w:bookmarkEnd w:id="1047"/>
      <w:bookmarkEnd w:id="1048"/>
      <w:bookmarkEnd w:id="1049"/>
      <w:bookmarkEnd w:id="1050"/>
      <w:bookmarkEnd w:id="1051"/>
      <w:bookmarkEnd w:id="1052"/>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222"/>
        <w:gridCol w:w="1732"/>
        <w:gridCol w:w="818"/>
        <w:gridCol w:w="3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526" w:type="dxa"/>
            <w:gridSpan w:val="5"/>
            <w:vAlign w:val="center"/>
          </w:tcPr>
          <w:p>
            <w:pPr>
              <w:widowControl/>
              <w:autoSpaceDE w:val="0"/>
              <w:autoSpaceDN w:val="0"/>
              <w:spacing w:line="240" w:lineRule="atLeast"/>
              <w:jc w:val="center"/>
              <w:rPr>
                <w:rFonts w:cs="仿宋_GB2312"/>
                <w:b/>
                <w:bCs/>
                <w:kern w:val="2"/>
                <w:szCs w:val="20"/>
                <w:lang w:val="zh-CN"/>
              </w:rPr>
            </w:pPr>
            <w:r>
              <w:rPr>
                <w:rFonts w:hint="eastAsia" w:cs="仿宋_GB2312"/>
                <w:b/>
                <w:bCs/>
                <w:kern w:val="2"/>
                <w:szCs w:val="20"/>
                <w:lang w:val="zh-CN"/>
              </w:rPr>
              <w:t>总承包商协调会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会议名称</w:t>
            </w:r>
          </w:p>
        </w:tc>
        <w:tc>
          <w:tcPr>
            <w:tcW w:w="1222" w:type="dxa"/>
            <w:vAlign w:val="center"/>
          </w:tcPr>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会议主持</w:t>
            </w:r>
          </w:p>
        </w:tc>
        <w:tc>
          <w:tcPr>
            <w:tcW w:w="1732" w:type="dxa"/>
            <w:vAlign w:val="center"/>
          </w:tcPr>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出席单位及</w:t>
            </w:r>
          </w:p>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人员</w:t>
            </w:r>
          </w:p>
        </w:tc>
        <w:tc>
          <w:tcPr>
            <w:tcW w:w="818" w:type="dxa"/>
            <w:vAlign w:val="center"/>
          </w:tcPr>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周期</w:t>
            </w:r>
          </w:p>
        </w:tc>
        <w:tc>
          <w:tcPr>
            <w:tcW w:w="3546" w:type="dxa"/>
            <w:vAlign w:val="center"/>
          </w:tcPr>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会议内容及要求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工程协调会议</w:t>
            </w:r>
          </w:p>
        </w:tc>
        <w:tc>
          <w:tcPr>
            <w:tcW w:w="1222" w:type="dxa"/>
            <w:vAlign w:val="center"/>
          </w:tcPr>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监理总监</w:t>
            </w:r>
          </w:p>
        </w:tc>
        <w:tc>
          <w:tcPr>
            <w:tcW w:w="1732" w:type="dxa"/>
            <w:vAlign w:val="center"/>
          </w:tcPr>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甲方、监理、总承包商项目管理班子及相关负责人</w:t>
            </w:r>
          </w:p>
        </w:tc>
        <w:tc>
          <w:tcPr>
            <w:tcW w:w="818" w:type="dxa"/>
            <w:vAlign w:val="center"/>
          </w:tcPr>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每周</w:t>
            </w:r>
          </w:p>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一次</w:t>
            </w:r>
          </w:p>
        </w:tc>
        <w:tc>
          <w:tcPr>
            <w:tcW w:w="3546" w:type="dxa"/>
            <w:vAlign w:val="center"/>
          </w:tcPr>
          <w:p>
            <w:pPr>
              <w:widowControl/>
              <w:autoSpaceDE w:val="0"/>
              <w:autoSpaceDN w:val="0"/>
              <w:spacing w:line="240" w:lineRule="atLeast"/>
              <w:jc w:val="left"/>
              <w:rPr>
                <w:rFonts w:cs="仿宋_GB2312"/>
                <w:kern w:val="2"/>
                <w:szCs w:val="20"/>
                <w:lang w:val="zh-CN"/>
              </w:rPr>
            </w:pPr>
            <w:r>
              <w:rPr>
                <w:rFonts w:hint="eastAsia" w:cs="仿宋_GB2312"/>
                <w:kern w:val="2"/>
                <w:szCs w:val="20"/>
                <w:lang w:val="zh-CN"/>
              </w:rPr>
              <w:t>协调解决工程上的重大问题，落实上次会议提出问题的解决情况，明确新问题的解决措施及完成时间；由监理记录并向参会单位发放会议纪要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工程进度协调会议</w:t>
            </w:r>
          </w:p>
        </w:tc>
        <w:tc>
          <w:tcPr>
            <w:tcW w:w="1222" w:type="dxa"/>
            <w:vAlign w:val="center"/>
          </w:tcPr>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总承包商</w:t>
            </w:r>
          </w:p>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项目经理</w:t>
            </w:r>
          </w:p>
        </w:tc>
        <w:tc>
          <w:tcPr>
            <w:tcW w:w="1732" w:type="dxa"/>
            <w:vAlign w:val="center"/>
          </w:tcPr>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总承包商相关部门负责人、监理、</w:t>
            </w:r>
          </w:p>
        </w:tc>
        <w:tc>
          <w:tcPr>
            <w:tcW w:w="818" w:type="dxa"/>
            <w:vAlign w:val="center"/>
          </w:tcPr>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每周</w:t>
            </w:r>
          </w:p>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一次</w:t>
            </w:r>
          </w:p>
        </w:tc>
        <w:tc>
          <w:tcPr>
            <w:tcW w:w="3546" w:type="dxa"/>
            <w:vAlign w:val="center"/>
          </w:tcPr>
          <w:p>
            <w:pPr>
              <w:widowControl/>
              <w:autoSpaceDE w:val="0"/>
              <w:autoSpaceDN w:val="0"/>
              <w:spacing w:line="240" w:lineRule="atLeast"/>
              <w:jc w:val="left"/>
              <w:rPr>
                <w:rFonts w:cs="仿宋_GB2312"/>
                <w:kern w:val="2"/>
                <w:szCs w:val="20"/>
                <w:lang w:val="zh-CN"/>
              </w:rPr>
            </w:pPr>
            <w:r>
              <w:rPr>
                <w:rFonts w:hint="eastAsia" w:cs="仿宋_GB2312"/>
                <w:kern w:val="2"/>
                <w:szCs w:val="20"/>
                <w:lang w:val="zh-CN"/>
              </w:rPr>
              <w:t>讨论上周计划完成情况，并公布下周进度计划，协调解决影响进度的重大问题；由总承包商记录并向参会单位发放会议纪要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工程安全文明施工巡视会议</w:t>
            </w:r>
          </w:p>
        </w:tc>
        <w:tc>
          <w:tcPr>
            <w:tcW w:w="1222" w:type="dxa"/>
            <w:vAlign w:val="center"/>
          </w:tcPr>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总承包商安全管理部门负责人</w:t>
            </w:r>
          </w:p>
        </w:tc>
        <w:tc>
          <w:tcPr>
            <w:tcW w:w="1732" w:type="dxa"/>
            <w:vAlign w:val="center"/>
          </w:tcPr>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总承包商安全管理部门、监理</w:t>
            </w:r>
          </w:p>
        </w:tc>
        <w:tc>
          <w:tcPr>
            <w:tcW w:w="818" w:type="dxa"/>
            <w:vAlign w:val="center"/>
          </w:tcPr>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每周</w:t>
            </w:r>
          </w:p>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一次</w:t>
            </w:r>
          </w:p>
        </w:tc>
        <w:tc>
          <w:tcPr>
            <w:tcW w:w="3546" w:type="dxa"/>
            <w:vAlign w:val="center"/>
          </w:tcPr>
          <w:p>
            <w:pPr>
              <w:widowControl/>
              <w:autoSpaceDE w:val="0"/>
              <w:autoSpaceDN w:val="0"/>
              <w:spacing w:line="240" w:lineRule="atLeast"/>
              <w:jc w:val="left"/>
              <w:rPr>
                <w:rFonts w:cs="仿宋_GB2312"/>
                <w:kern w:val="2"/>
                <w:szCs w:val="20"/>
                <w:lang w:val="zh-CN"/>
              </w:rPr>
            </w:pPr>
            <w:r>
              <w:rPr>
                <w:rFonts w:hint="eastAsia" w:cs="仿宋_GB2312"/>
                <w:kern w:val="2"/>
                <w:szCs w:val="20"/>
                <w:lang w:val="zh-CN"/>
              </w:rPr>
              <w:t>落实上周安全文明施工问题的解决情况，并结合现场巡视，提出本周存在的问题及解决时间；由总承包商记录并向参会单位发放会议纪要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专业协调会</w:t>
            </w:r>
          </w:p>
        </w:tc>
        <w:tc>
          <w:tcPr>
            <w:tcW w:w="1222" w:type="dxa"/>
            <w:vAlign w:val="center"/>
          </w:tcPr>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总承包商相关负责人</w:t>
            </w:r>
          </w:p>
        </w:tc>
        <w:tc>
          <w:tcPr>
            <w:tcW w:w="1732" w:type="dxa"/>
            <w:vAlign w:val="center"/>
          </w:tcPr>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总承包商相关负责人</w:t>
            </w:r>
          </w:p>
        </w:tc>
        <w:tc>
          <w:tcPr>
            <w:tcW w:w="818" w:type="dxa"/>
            <w:vAlign w:val="center"/>
          </w:tcPr>
          <w:p>
            <w:pPr>
              <w:widowControl/>
              <w:autoSpaceDE w:val="0"/>
              <w:autoSpaceDN w:val="0"/>
              <w:spacing w:line="240" w:lineRule="atLeast"/>
              <w:jc w:val="center"/>
              <w:rPr>
                <w:rFonts w:cs="仿宋_GB2312"/>
                <w:kern w:val="2"/>
                <w:szCs w:val="20"/>
                <w:lang w:val="zh-CN"/>
              </w:rPr>
            </w:pPr>
            <w:r>
              <w:rPr>
                <w:rFonts w:hint="eastAsia" w:cs="仿宋_GB2312"/>
                <w:kern w:val="2"/>
                <w:szCs w:val="20"/>
                <w:lang w:val="zh-CN"/>
              </w:rPr>
              <w:t>每周一次</w:t>
            </w:r>
          </w:p>
        </w:tc>
        <w:tc>
          <w:tcPr>
            <w:tcW w:w="3546" w:type="dxa"/>
            <w:vAlign w:val="center"/>
          </w:tcPr>
          <w:p>
            <w:pPr>
              <w:widowControl/>
              <w:autoSpaceDE w:val="0"/>
              <w:autoSpaceDN w:val="0"/>
              <w:spacing w:line="240" w:lineRule="atLeast"/>
              <w:jc w:val="left"/>
              <w:rPr>
                <w:rFonts w:cs="仿宋_GB2312"/>
                <w:kern w:val="2"/>
                <w:szCs w:val="20"/>
                <w:lang w:val="zh-CN"/>
              </w:rPr>
            </w:pPr>
            <w:r>
              <w:rPr>
                <w:rFonts w:hint="eastAsia" w:cs="仿宋_GB2312"/>
                <w:kern w:val="2"/>
                <w:szCs w:val="20"/>
                <w:lang w:val="zh-CN"/>
              </w:rPr>
              <w:t>协调基坑支护、土方开挖、桩基施工等方面的问题；由总承包商记录并向参会单位发放会议纪要</w:t>
            </w:r>
          </w:p>
        </w:tc>
      </w:tr>
    </w:tbl>
    <w:p>
      <w:pPr>
        <w:keepNext/>
        <w:keepLines/>
        <w:widowControl w:val="0"/>
        <w:autoSpaceDE w:val="0"/>
        <w:autoSpaceDN w:val="0"/>
        <w:spacing w:before="120" w:beforeLines="50" w:line="560" w:lineRule="exact"/>
        <w:jc w:val="left"/>
        <w:outlineLvl w:val="3"/>
        <w:rPr>
          <w:rFonts w:cs="仿宋_GB2312"/>
          <w:b/>
          <w:bCs/>
          <w:kern w:val="2"/>
        </w:rPr>
      </w:pPr>
      <w:bookmarkStart w:id="1053" w:name="_Toc19236"/>
      <w:bookmarkStart w:id="1054" w:name="_Toc940"/>
      <w:bookmarkStart w:id="1055" w:name="_Toc16829"/>
      <w:bookmarkStart w:id="1056" w:name="_Toc30403"/>
      <w:bookmarkStart w:id="1057" w:name="_Toc31381"/>
      <w:bookmarkStart w:id="1058" w:name="_Toc6393"/>
      <w:bookmarkStart w:id="1059" w:name="_Toc25516"/>
      <w:bookmarkStart w:id="1060" w:name="_Toc18801"/>
      <w:bookmarkStart w:id="1061" w:name="_Toc102"/>
      <w:bookmarkStart w:id="1062" w:name="_Toc416"/>
      <w:r>
        <w:rPr>
          <w:rFonts w:hint="eastAsia" w:cs="仿宋_GB2312"/>
          <w:b/>
          <w:bCs/>
          <w:kern w:val="2"/>
        </w:rPr>
        <w:t>1</w:t>
      </w:r>
      <w:r>
        <w:rPr>
          <w:rFonts w:hint="eastAsia" w:cs="仿宋_GB2312"/>
          <w:b/>
          <w:bCs/>
          <w:kern w:val="2"/>
          <w:lang w:val="en-US" w:eastAsia="zh-CN"/>
        </w:rPr>
        <w:t>5</w:t>
      </w:r>
      <w:r>
        <w:rPr>
          <w:rFonts w:hint="eastAsia" w:cs="仿宋_GB2312"/>
          <w:b/>
          <w:bCs/>
          <w:kern w:val="2"/>
        </w:rPr>
        <w:t>.3 影像记录</w:t>
      </w:r>
      <w:bookmarkEnd w:id="1053"/>
      <w:bookmarkEnd w:id="1054"/>
      <w:bookmarkEnd w:id="1055"/>
      <w:bookmarkEnd w:id="1056"/>
      <w:bookmarkEnd w:id="1057"/>
      <w:bookmarkEnd w:id="1058"/>
      <w:bookmarkEnd w:id="1059"/>
      <w:bookmarkEnd w:id="1060"/>
      <w:bookmarkEnd w:id="1061"/>
      <w:bookmarkEnd w:id="1062"/>
    </w:p>
    <w:p>
      <w:pPr>
        <w:widowControl w:val="0"/>
        <w:autoSpaceDE w:val="0"/>
        <w:autoSpaceDN w:val="0"/>
        <w:spacing w:line="360" w:lineRule="auto"/>
        <w:ind w:firstLine="480" w:firstLineChars="200"/>
        <w:jc w:val="both"/>
        <w:rPr>
          <w:rFonts w:cs="仿宋_GB2312"/>
          <w:kern w:val="2"/>
        </w:rPr>
      </w:pPr>
      <w:r>
        <w:rPr>
          <w:rFonts w:hint="eastAsia" w:cs="仿宋_GB2312"/>
          <w:kern w:val="2"/>
        </w:rPr>
        <w:t>（1）总承包商应对施工全过程进行影像记录，影像记录成果应满足广东省深圳市竣工备案部门、深圳市优质工程奖、广东省优质工程奖等工程现场施工影像资料拍摄内容的要求，工程竣工后向发包方及广东省深圳市竣工备案部门移交全套影像资料。</w:t>
      </w:r>
    </w:p>
    <w:p>
      <w:pPr>
        <w:widowControl w:val="0"/>
        <w:autoSpaceDE w:val="0"/>
        <w:autoSpaceDN w:val="0"/>
        <w:spacing w:line="360" w:lineRule="auto"/>
        <w:ind w:firstLine="480" w:firstLineChars="200"/>
        <w:jc w:val="both"/>
        <w:rPr>
          <w:rFonts w:cs="仿宋_GB2312"/>
          <w:kern w:val="2"/>
        </w:rPr>
      </w:pPr>
      <w:r>
        <w:rPr>
          <w:rFonts w:hint="eastAsia" w:cs="仿宋_GB2312"/>
          <w:kern w:val="2"/>
        </w:rPr>
        <w:t>（2）总承包商需制定工程影像资料的拍摄计划和拍摄方案，由专人负责工程影像资料的摄制和管理工作。</w:t>
      </w:r>
    </w:p>
    <w:p>
      <w:pPr>
        <w:widowControl w:val="0"/>
        <w:autoSpaceDE w:val="0"/>
        <w:autoSpaceDN w:val="0"/>
        <w:spacing w:line="360" w:lineRule="auto"/>
        <w:ind w:firstLine="480" w:firstLineChars="200"/>
        <w:jc w:val="both"/>
        <w:rPr>
          <w:rFonts w:cs="仿宋_GB2312"/>
          <w:kern w:val="2"/>
        </w:rPr>
      </w:pPr>
      <w:r>
        <w:rPr>
          <w:rFonts w:hint="eastAsia" w:cs="仿宋_GB2312"/>
          <w:kern w:val="2"/>
        </w:rPr>
        <w:t>（3）所拍摄的影像资料应能全面反映各子单位工程中主要检验批、分项、分部工程的质量验收与控制情况，记录整个施工全过程的正常质量状况。数量上要对规定的每个拍摄部位至少应有两张全面反映质量验收和控制状况的工程照片，其中开工竣工、重要部位和关键节点应包括过程录像片。</w:t>
      </w:r>
    </w:p>
    <w:p>
      <w:pPr>
        <w:widowControl w:val="0"/>
        <w:autoSpaceDE w:val="0"/>
        <w:autoSpaceDN w:val="0"/>
        <w:spacing w:line="360" w:lineRule="auto"/>
        <w:ind w:firstLine="480" w:firstLineChars="200"/>
        <w:jc w:val="both"/>
        <w:rPr>
          <w:rFonts w:cs="仿宋_GB2312"/>
          <w:kern w:val="2"/>
        </w:rPr>
      </w:pPr>
      <w:r>
        <w:rPr>
          <w:rFonts w:hint="eastAsia" w:cs="仿宋_GB2312"/>
          <w:kern w:val="2"/>
        </w:rPr>
        <w:t>（4）所拍摄的影像资料应能全面反映新材料、新工艺在工程中的运用情况以及重要结构部位、重大节点控制状况，关键部位、关键工序和隐蔽项目的内容以及单位工程安全和功能检验的见证情况，主控项目和强制性标准条文的执行情况，并应反映该检验批中关键工序的施工质量状况。</w:t>
      </w:r>
    </w:p>
    <w:p>
      <w:pPr>
        <w:widowControl w:val="0"/>
        <w:autoSpaceDE w:val="0"/>
        <w:autoSpaceDN w:val="0"/>
        <w:spacing w:line="360" w:lineRule="auto"/>
        <w:ind w:firstLine="480" w:firstLineChars="200"/>
        <w:jc w:val="both"/>
        <w:rPr>
          <w:rFonts w:cs="仿宋_GB2312"/>
          <w:kern w:val="2"/>
        </w:rPr>
      </w:pPr>
      <w:r>
        <w:rPr>
          <w:rFonts w:hint="eastAsia" w:cs="仿宋_GB2312"/>
          <w:kern w:val="2"/>
        </w:rPr>
        <w:t>（5）拍摄的影像资料必须图像清晰，数码照片拍摄满足竣工资料要求。拍摄的角度、方式应能全面反映所验收部位的质量状况，并具有代表性，当拍摄构件偏差、钢筋搭接和锚固长度等尺寸项目时，应立钢尺进行明确标识和记录，以供追溯；当拍摄梁柱节点钢筋设置等空间部位时，应从多个角度拍摄记录四个面的质量情况。</w:t>
      </w:r>
    </w:p>
    <w:p>
      <w:pPr>
        <w:widowControl w:val="0"/>
        <w:autoSpaceDE w:val="0"/>
        <w:autoSpaceDN w:val="0"/>
        <w:spacing w:line="360" w:lineRule="auto"/>
        <w:ind w:firstLine="480" w:firstLineChars="200"/>
        <w:jc w:val="both"/>
        <w:rPr>
          <w:rFonts w:cs="仿宋_GB2312"/>
          <w:kern w:val="2"/>
        </w:rPr>
      </w:pPr>
      <w:r>
        <w:rPr>
          <w:rFonts w:hint="eastAsia" w:cs="仿宋_GB2312"/>
          <w:kern w:val="2"/>
        </w:rPr>
        <w:t>（6）总承包商按工程项目档案管理规定对工程影像资料集中统一管理，以子单位工程作为单元，按分部、分项工程以及专题内容、拍摄时间进行排序和归档。影像资料应有文字说明，具体内容包括影像编号、影像题名、拍摄内容简要描述、拍摄时间、地点等。</w:t>
      </w:r>
    </w:p>
    <w:p>
      <w:pPr>
        <w:widowControl w:val="0"/>
        <w:autoSpaceDE w:val="0"/>
        <w:autoSpaceDN w:val="0"/>
        <w:spacing w:line="360" w:lineRule="auto"/>
        <w:ind w:firstLine="480" w:firstLineChars="200"/>
        <w:jc w:val="both"/>
        <w:rPr>
          <w:rFonts w:cs="仿宋_GB2312"/>
          <w:kern w:val="2"/>
        </w:rPr>
      </w:pPr>
      <w:r>
        <w:rPr>
          <w:rFonts w:hint="eastAsia" w:cs="仿宋_GB2312"/>
          <w:kern w:val="2"/>
        </w:rPr>
        <w:t>（7）总承包商每月定期对影像资料进行后期技术处理，系统地剪辑和编排，并按档案要求提供装订成册的工程照片或电子文件（数码照片）刻盘后，报送甲方，数量一式两份。</w:t>
      </w:r>
    </w:p>
    <w:p>
      <w:pPr>
        <w:keepNext/>
        <w:keepLines/>
        <w:widowControl w:val="0"/>
        <w:autoSpaceDE w:val="0"/>
        <w:autoSpaceDN w:val="0"/>
        <w:spacing w:line="360" w:lineRule="auto"/>
        <w:jc w:val="left"/>
        <w:outlineLvl w:val="3"/>
        <w:rPr>
          <w:rFonts w:cs="仿宋_GB2312"/>
          <w:b/>
          <w:bCs/>
          <w:kern w:val="2"/>
        </w:rPr>
      </w:pPr>
      <w:bookmarkStart w:id="1063" w:name="_Toc22846"/>
      <w:bookmarkStart w:id="1064" w:name="_Toc30751"/>
      <w:bookmarkStart w:id="1065" w:name="_Toc7329"/>
      <w:bookmarkStart w:id="1066" w:name="_Toc25862"/>
      <w:bookmarkStart w:id="1067" w:name="_Toc20854"/>
      <w:bookmarkStart w:id="1068" w:name="_Toc20303"/>
      <w:bookmarkStart w:id="1069" w:name="_Toc15613"/>
      <w:bookmarkStart w:id="1070" w:name="_Toc7879"/>
      <w:bookmarkStart w:id="1071" w:name="_Toc11791"/>
      <w:bookmarkStart w:id="1072" w:name="_Toc12464"/>
      <w:r>
        <w:rPr>
          <w:rFonts w:hint="eastAsia" w:cs="仿宋_GB2312"/>
          <w:b/>
          <w:bCs/>
          <w:kern w:val="2"/>
          <w:lang w:val="en-US" w:eastAsia="zh-CN"/>
        </w:rPr>
        <w:t>15</w:t>
      </w:r>
      <w:r>
        <w:rPr>
          <w:rFonts w:hint="eastAsia" w:cs="仿宋_GB2312"/>
          <w:b/>
          <w:bCs/>
          <w:kern w:val="2"/>
        </w:rPr>
        <w:t>.4 工程图纸100%数字化</w:t>
      </w:r>
      <w:bookmarkEnd w:id="1063"/>
      <w:bookmarkEnd w:id="1064"/>
      <w:bookmarkEnd w:id="1065"/>
      <w:bookmarkEnd w:id="1066"/>
      <w:bookmarkEnd w:id="1067"/>
      <w:bookmarkEnd w:id="1068"/>
      <w:bookmarkEnd w:id="1069"/>
      <w:bookmarkEnd w:id="1070"/>
      <w:bookmarkEnd w:id="1071"/>
      <w:bookmarkEnd w:id="1072"/>
    </w:p>
    <w:p>
      <w:pPr>
        <w:widowControl w:val="0"/>
        <w:autoSpaceDE w:val="0"/>
        <w:autoSpaceDN w:val="0"/>
        <w:spacing w:line="360" w:lineRule="auto"/>
        <w:ind w:firstLine="480" w:firstLineChars="200"/>
        <w:jc w:val="both"/>
        <w:rPr>
          <w:rFonts w:cs="仿宋_GB2312"/>
          <w:kern w:val="2"/>
        </w:rPr>
      </w:pPr>
      <w:r>
        <w:rPr>
          <w:rFonts w:hint="eastAsia" w:cs="仿宋_GB2312"/>
          <w:kern w:val="2"/>
        </w:rPr>
        <w:t>总承包商应确保本项目深化设计图纸100%数字化，并同时提供 AutoCAD格式和PDF格式版本，与纸质图纸并行使用，并在工程竣工时向甲方提交完整的纸质、AutoCAD格式和PDF格式的竣工图。</w:t>
      </w:r>
    </w:p>
    <w:p>
      <w:pPr>
        <w:keepNext/>
        <w:keepLines/>
        <w:widowControl w:val="0"/>
        <w:autoSpaceDE w:val="0"/>
        <w:autoSpaceDN w:val="0"/>
        <w:spacing w:line="360" w:lineRule="auto"/>
        <w:jc w:val="left"/>
        <w:outlineLvl w:val="3"/>
        <w:rPr>
          <w:rFonts w:cs="仿宋_GB2312"/>
          <w:b/>
          <w:bCs/>
          <w:kern w:val="2"/>
        </w:rPr>
      </w:pPr>
      <w:bookmarkStart w:id="1073" w:name="_Toc4790"/>
      <w:bookmarkStart w:id="1074" w:name="_Toc12381"/>
      <w:bookmarkStart w:id="1075" w:name="_Toc4864"/>
      <w:bookmarkStart w:id="1076" w:name="_Toc8860"/>
      <w:bookmarkStart w:id="1077" w:name="_Toc32586"/>
      <w:bookmarkStart w:id="1078" w:name="_Toc7479"/>
      <w:bookmarkStart w:id="1079" w:name="_Toc17866"/>
      <w:bookmarkStart w:id="1080" w:name="_Toc29016"/>
      <w:bookmarkStart w:id="1081" w:name="_Toc12338"/>
      <w:bookmarkStart w:id="1082" w:name="_Toc29083"/>
      <w:r>
        <w:rPr>
          <w:rFonts w:hint="eastAsia" w:cs="仿宋_GB2312"/>
          <w:b/>
          <w:bCs/>
          <w:kern w:val="2"/>
        </w:rPr>
        <w:t>1</w:t>
      </w:r>
      <w:r>
        <w:rPr>
          <w:rFonts w:hint="eastAsia" w:cs="仿宋_GB2312"/>
          <w:b/>
          <w:bCs/>
          <w:kern w:val="2"/>
          <w:lang w:val="en-US" w:eastAsia="zh-CN"/>
        </w:rPr>
        <w:t>5</w:t>
      </w:r>
      <w:r>
        <w:rPr>
          <w:rFonts w:hint="eastAsia" w:cs="仿宋_GB2312"/>
          <w:b/>
          <w:bCs/>
          <w:kern w:val="2"/>
        </w:rPr>
        <w:t>.</w:t>
      </w:r>
      <w:r>
        <w:rPr>
          <w:rFonts w:hint="eastAsia" w:cs="仿宋_GB2312"/>
          <w:b/>
          <w:bCs/>
          <w:kern w:val="2"/>
          <w:lang w:val="en-US" w:eastAsia="zh-CN"/>
        </w:rPr>
        <w:t>5</w:t>
      </w:r>
      <w:r>
        <w:rPr>
          <w:rFonts w:hint="eastAsia" w:cs="仿宋_GB2312"/>
          <w:b/>
          <w:bCs/>
          <w:kern w:val="2"/>
        </w:rPr>
        <w:t xml:space="preserve"> 信息发布的规定</w:t>
      </w:r>
      <w:bookmarkEnd w:id="1073"/>
      <w:bookmarkEnd w:id="1074"/>
      <w:bookmarkEnd w:id="1075"/>
      <w:bookmarkEnd w:id="1076"/>
      <w:bookmarkEnd w:id="1077"/>
      <w:bookmarkEnd w:id="1078"/>
      <w:bookmarkEnd w:id="1079"/>
      <w:bookmarkEnd w:id="1080"/>
      <w:bookmarkEnd w:id="1081"/>
      <w:bookmarkEnd w:id="1082"/>
    </w:p>
    <w:p>
      <w:pPr>
        <w:widowControl w:val="0"/>
        <w:autoSpaceDE w:val="0"/>
        <w:autoSpaceDN w:val="0"/>
        <w:spacing w:line="360" w:lineRule="auto"/>
        <w:ind w:firstLine="480" w:firstLineChars="200"/>
        <w:jc w:val="both"/>
        <w:rPr>
          <w:rFonts w:cs="仿宋_GB2312"/>
          <w:kern w:val="2"/>
        </w:rPr>
      </w:pPr>
      <w:r>
        <w:rPr>
          <w:rFonts w:hint="eastAsia" w:cs="仿宋_GB2312"/>
          <w:kern w:val="2"/>
        </w:rPr>
        <w:t>总承包商对外发布所有信息，均应获得甲方的同意。出版与本项目相关论著或发表相关论文，如涉及到甲方工程管理事宜的，应在征得甲方的同意后联合发表。</w:t>
      </w:r>
    </w:p>
    <w:p>
      <w:pPr>
        <w:keepNext/>
        <w:keepLines/>
        <w:widowControl/>
        <w:numPr>
          <w:ilvl w:val="12"/>
          <w:numId w:val="0"/>
        </w:numPr>
        <w:spacing w:line="360" w:lineRule="auto"/>
        <w:ind w:left="0" w:firstLine="0"/>
        <w:jc w:val="left"/>
        <w:outlineLvl w:val="2"/>
        <w:rPr>
          <w:rFonts w:cs="仿宋_GB2312"/>
          <w:b/>
          <w:bCs/>
          <w:kern w:val="2"/>
        </w:rPr>
      </w:pPr>
      <w:bookmarkStart w:id="1083" w:name="_Toc30704"/>
      <w:bookmarkStart w:id="1084" w:name="_Toc30509"/>
      <w:bookmarkStart w:id="1085" w:name="_Toc7785"/>
      <w:bookmarkStart w:id="1086" w:name="_Toc8760"/>
      <w:r>
        <w:rPr>
          <w:rFonts w:hint="eastAsia" w:cs="仿宋_GB2312"/>
          <w:b/>
          <w:bCs/>
          <w:kern w:val="2"/>
          <w:lang w:val="en-US" w:eastAsia="zh-CN"/>
        </w:rPr>
        <w:t>16</w:t>
      </w:r>
      <w:r>
        <w:rPr>
          <w:rFonts w:hint="eastAsia" w:cs="仿宋_GB2312"/>
          <w:b/>
          <w:bCs/>
          <w:kern w:val="2"/>
        </w:rPr>
        <w:t>.违约处罚明细</w:t>
      </w:r>
      <w:bookmarkEnd w:id="1083"/>
      <w:bookmarkEnd w:id="1084"/>
      <w:bookmarkEnd w:id="1085"/>
      <w:bookmarkEnd w:id="1086"/>
    </w:p>
    <w:p>
      <w:pPr>
        <w:widowControl/>
        <w:spacing w:line="360" w:lineRule="auto"/>
        <w:ind w:firstLine="482" w:firstLineChars="200"/>
        <w:jc w:val="both"/>
        <w:rPr>
          <w:rFonts w:cs="仿宋_GB2312"/>
          <w:b/>
          <w:bCs/>
          <w:kern w:val="2"/>
        </w:rPr>
      </w:pPr>
      <w:r>
        <w:rPr>
          <w:rFonts w:hint="eastAsia" w:cs="仿宋_GB2312"/>
          <w:b/>
          <w:bCs/>
          <w:kern w:val="2"/>
        </w:rPr>
        <w:t>承包方需严格遵守相关法律法规、合同、规范以及发包方项目管理相关要求，否则发包方有权向承包方作出相应处罚，所有违约金、罚款等发包方均有权在支付给承包人的工程款、进度款中直接扣除。</w:t>
      </w:r>
    </w:p>
    <w:p>
      <w:pPr>
        <w:widowControl/>
        <w:spacing w:line="360" w:lineRule="auto"/>
        <w:ind w:firstLine="482" w:firstLineChars="200"/>
        <w:jc w:val="both"/>
        <w:rPr>
          <w:rFonts w:cs="仿宋_GB2312"/>
          <w:b/>
          <w:bCs/>
          <w:kern w:val="2"/>
        </w:rPr>
      </w:pPr>
      <w:r>
        <w:rPr>
          <w:rFonts w:cs="仿宋_GB2312"/>
          <w:b/>
          <w:bCs/>
          <w:kern w:val="2"/>
        </w:rPr>
        <w:t>本合同约定的违约责任，若适用时出现冲突的，按照合同优先解释顺序进行处理；若补充条款及附件约定的有关违约责任不一致的，按照更严格的原则适用。</w:t>
      </w:r>
    </w:p>
    <w:p>
      <w:pPr>
        <w:widowControl/>
        <w:spacing w:line="360" w:lineRule="auto"/>
        <w:ind w:firstLine="482" w:firstLineChars="200"/>
        <w:jc w:val="both"/>
        <w:rPr>
          <w:rFonts w:hint="eastAsia" w:cs="仿宋_GB2312"/>
          <w:b/>
          <w:bCs/>
          <w:kern w:val="2"/>
          <w:lang w:val="en-US" w:eastAsia="zh-CN"/>
        </w:rPr>
      </w:pPr>
      <w:r>
        <w:rPr>
          <w:rFonts w:hint="eastAsia" w:cs="仿宋_GB2312"/>
          <w:b/>
          <w:bCs/>
          <w:kern w:val="2"/>
        </w:rPr>
        <w:t>具体要求和处罚明细</w:t>
      </w:r>
      <w:r>
        <w:rPr>
          <w:rFonts w:hint="eastAsia" w:cs="仿宋_GB2312"/>
          <w:b/>
          <w:bCs/>
          <w:kern w:val="2"/>
          <w:lang w:val="en-US" w:eastAsia="zh-CN"/>
        </w:rPr>
        <w:t>如下：</w:t>
      </w:r>
    </w:p>
    <w:p>
      <w:pPr>
        <w:rPr>
          <w:rFonts w:ascii="宋体" w:hAnsi="宋体"/>
          <w:b/>
          <w:bCs/>
          <w:szCs w:val="21"/>
          <w:highlight w:val="none"/>
        </w:rPr>
      </w:pPr>
      <w:r>
        <w:rPr>
          <w:rFonts w:hint="eastAsia" w:ascii="宋体" w:hAnsi="宋体"/>
          <w:szCs w:val="21"/>
          <w:highlight w:val="none"/>
          <w:lang w:val="en-US" w:eastAsia="zh-CN"/>
        </w:rPr>
        <w:t xml:space="preserve">  </w:t>
      </w:r>
      <w:r>
        <w:rPr>
          <w:rFonts w:hint="eastAsia" w:ascii="宋体" w:hAnsi="宋体" w:eastAsia="宋体" w:cs="Times New Roman"/>
          <w:b/>
          <w:bCs/>
          <w:kern w:val="2"/>
          <w:sz w:val="21"/>
          <w:szCs w:val="21"/>
          <w:highlight w:val="none"/>
          <w:lang w:val="en-US" w:eastAsia="zh-CN" w:bidi="ar-SA"/>
        </w:rPr>
        <w:t xml:space="preserve"> 1、工程管理罚款细则</w:t>
      </w:r>
    </w:p>
    <w:tbl>
      <w:tblPr>
        <w:tblStyle w:val="1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5677"/>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5677"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罚款条款</w:t>
            </w:r>
          </w:p>
        </w:tc>
        <w:tc>
          <w:tcPr>
            <w:tcW w:w="227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罚款额度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10" w:type="dxa"/>
            <w:noWrap w:val="0"/>
            <w:vAlign w:val="center"/>
          </w:tcPr>
          <w:p>
            <w:pPr>
              <w:numPr>
                <w:ilvl w:val="0"/>
                <w:numId w:val="5"/>
              </w:numPr>
              <w:ind w:left="425" w:leftChars="0" w:hanging="425" w:firstLineChars="0"/>
              <w:jc w:val="center"/>
              <w:rPr>
                <w:rFonts w:hint="eastAsia"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承包人的项目经理与投标文件的承诺不一致，或项目经理未及时到位，或同时兼任承包人其它工程项目的项目经理的</w:t>
            </w:r>
            <w:r>
              <w:rPr>
                <w:rFonts w:hint="eastAsia" w:ascii="宋体" w:hAnsi="宋体" w:eastAsia="宋体" w:cs="宋体"/>
                <w:sz w:val="21"/>
                <w:szCs w:val="21"/>
                <w:highlight w:val="none"/>
                <w:lang w:eastAsia="zh-CN"/>
              </w:rPr>
              <w:t>。</w:t>
            </w:r>
          </w:p>
        </w:tc>
        <w:tc>
          <w:tcPr>
            <w:tcW w:w="227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万元/次，延迟</w:t>
            </w:r>
            <w:r>
              <w:rPr>
                <w:rFonts w:hint="eastAsia" w:ascii="宋体" w:hAnsi="宋体" w:eastAsia="宋体" w:cs="宋体"/>
                <w:sz w:val="21"/>
                <w:szCs w:val="21"/>
                <w:highlight w:val="none"/>
                <w:lang w:val="en-US" w:eastAsia="zh-CN"/>
              </w:rPr>
              <w:t>到岗按</w:t>
            </w:r>
            <w:r>
              <w:rPr>
                <w:rFonts w:hint="eastAsia" w:ascii="宋体" w:hAnsi="宋体" w:eastAsia="宋体" w:cs="宋体"/>
                <w:sz w:val="21"/>
                <w:szCs w:val="21"/>
                <w:highlight w:val="none"/>
              </w:rPr>
              <w:t>1万元</w:t>
            </w:r>
            <w:r>
              <w:rPr>
                <w:rFonts w:hint="eastAsia" w:ascii="宋体" w:hAnsi="宋体" w:eastAsia="宋体" w:cs="宋体"/>
                <w:sz w:val="21"/>
                <w:szCs w:val="21"/>
                <w:highlight w:val="none"/>
                <w:lang w:val="en-US" w:eastAsia="zh-CN"/>
              </w:rPr>
              <w:t>/天</w:t>
            </w:r>
            <w:r>
              <w:rPr>
                <w:rFonts w:hint="eastAsia" w:ascii="宋体" w:hAnsi="宋体" w:eastAsia="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eastAsia"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施工期间的任何</w:t>
            </w:r>
            <w:r>
              <w:rPr>
                <w:rFonts w:hint="eastAsia" w:ascii="宋体" w:hAnsi="宋体" w:eastAsia="宋体" w:cs="宋体"/>
                <w:sz w:val="21"/>
                <w:szCs w:val="21"/>
                <w:highlight w:val="none"/>
                <w:lang w:val="en-US" w:eastAsia="zh-CN"/>
              </w:rPr>
              <w:t>阶段</w:t>
            </w:r>
            <w:r>
              <w:rPr>
                <w:rFonts w:hint="eastAsia" w:ascii="宋体" w:hAnsi="宋体" w:eastAsia="宋体" w:cs="宋体"/>
                <w:sz w:val="21"/>
                <w:szCs w:val="21"/>
                <w:highlight w:val="none"/>
              </w:rPr>
              <w:t>，承包人任命的项目经理（项目负责人）经发包人认为不适合担任项目经理（项目负责人）岗位的，发包人向承包人提出更换的，承包人应在一周内更换发包人认为合格的项目经理（项目负责人）</w:t>
            </w:r>
            <w:r>
              <w:rPr>
                <w:rFonts w:hint="eastAsia" w:ascii="宋体" w:hAnsi="宋体" w:eastAsia="宋体" w:cs="宋体"/>
                <w:sz w:val="21"/>
                <w:szCs w:val="21"/>
                <w:highlight w:val="none"/>
                <w:lang w:eastAsia="zh-CN"/>
              </w:rPr>
              <w:t>。</w:t>
            </w:r>
          </w:p>
        </w:tc>
        <w:tc>
          <w:tcPr>
            <w:tcW w:w="227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eastAsia"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承包人的主要施工管理人员（生产负责人、技术负责人、安全</w:t>
            </w:r>
            <w:r>
              <w:rPr>
                <w:rFonts w:hint="eastAsia" w:ascii="宋体" w:hAnsi="宋体" w:eastAsia="宋体" w:cs="宋体"/>
                <w:sz w:val="21"/>
                <w:szCs w:val="21"/>
                <w:highlight w:val="none"/>
                <w:lang w:val="en-US" w:eastAsia="zh-CN"/>
              </w:rPr>
              <w:t>总监</w:t>
            </w:r>
            <w:r>
              <w:rPr>
                <w:rFonts w:hint="eastAsia" w:ascii="宋体" w:hAnsi="宋体" w:eastAsia="宋体" w:cs="宋体"/>
                <w:sz w:val="21"/>
                <w:szCs w:val="21"/>
                <w:highlight w:val="none"/>
              </w:rPr>
              <w:t>、质量</w:t>
            </w:r>
            <w:r>
              <w:rPr>
                <w:rFonts w:hint="eastAsia" w:ascii="宋体" w:hAnsi="宋体" w:eastAsia="宋体" w:cs="宋体"/>
                <w:sz w:val="21"/>
                <w:szCs w:val="21"/>
                <w:highlight w:val="none"/>
                <w:lang w:val="en-US" w:eastAsia="zh-CN"/>
              </w:rPr>
              <w:t>总监</w:t>
            </w:r>
            <w:r>
              <w:rPr>
                <w:rFonts w:hint="eastAsia" w:ascii="宋体" w:hAnsi="宋体" w:eastAsia="宋体" w:cs="宋体"/>
                <w:sz w:val="21"/>
                <w:szCs w:val="21"/>
                <w:highlight w:val="none"/>
              </w:rPr>
              <w:t>）未及时到位或未经发包人同意更换的。</w:t>
            </w:r>
          </w:p>
        </w:tc>
        <w:tc>
          <w:tcPr>
            <w:tcW w:w="2270" w:type="dxa"/>
            <w:noWrap w:val="0"/>
            <w:vAlign w:val="center"/>
          </w:tcPr>
          <w:p>
            <w:pPr>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2</w:t>
            </w:r>
            <w:r>
              <w:rPr>
                <w:rFonts w:hint="eastAsia" w:ascii="宋体" w:hAnsi="宋体" w:eastAsia="宋体" w:cs="宋体"/>
                <w:sz w:val="21"/>
                <w:szCs w:val="21"/>
                <w:highlight w:val="none"/>
                <w:lang w:val="en-US" w:eastAsia="zh-CN"/>
              </w:rPr>
              <w:t>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eastAsia"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承包人的主要施工管理人员（生产负责人、技术负责人、安全主任、质量主任）同时兼任承包人其它工程项目的任何职务的</w:t>
            </w:r>
            <w:r>
              <w:rPr>
                <w:rFonts w:hint="eastAsia" w:ascii="宋体" w:hAnsi="宋体" w:eastAsia="宋体" w:cs="宋体"/>
                <w:sz w:val="21"/>
                <w:szCs w:val="21"/>
                <w:highlight w:val="none"/>
                <w:lang w:eastAsia="zh-CN"/>
              </w:rPr>
              <w:t>。</w:t>
            </w:r>
          </w:p>
        </w:tc>
        <w:tc>
          <w:tcPr>
            <w:tcW w:w="2270" w:type="dxa"/>
            <w:noWrap w:val="0"/>
            <w:vAlign w:val="center"/>
          </w:tcPr>
          <w:p>
            <w:pPr>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2</w:t>
            </w:r>
            <w:r>
              <w:rPr>
                <w:rFonts w:hint="eastAsia" w:ascii="宋体" w:hAnsi="宋体" w:eastAsia="宋体" w:cs="宋体"/>
                <w:sz w:val="21"/>
                <w:szCs w:val="21"/>
                <w:highlight w:val="none"/>
                <w:lang w:val="en-US" w:eastAsia="zh-CN"/>
              </w:rPr>
              <w:t>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eastAsia"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承包人其他人员（项目经理及主要施工管理人员除外）未及时到位或未经发包人同意更换的</w:t>
            </w:r>
            <w:r>
              <w:rPr>
                <w:rFonts w:hint="eastAsia" w:ascii="宋体" w:hAnsi="宋体" w:eastAsia="宋体" w:cs="宋体"/>
                <w:sz w:val="21"/>
                <w:szCs w:val="21"/>
                <w:highlight w:val="none"/>
                <w:lang w:eastAsia="zh-CN"/>
              </w:rPr>
              <w:t>。</w:t>
            </w:r>
          </w:p>
        </w:tc>
        <w:tc>
          <w:tcPr>
            <w:tcW w:w="2270" w:type="dxa"/>
            <w:noWrap w:val="0"/>
            <w:vAlign w:val="center"/>
          </w:tcPr>
          <w:p>
            <w:pPr>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1</w:t>
            </w:r>
            <w:r>
              <w:rPr>
                <w:rFonts w:hint="eastAsia" w:ascii="宋体" w:hAnsi="宋体" w:eastAsia="宋体" w:cs="宋体"/>
                <w:sz w:val="21"/>
                <w:szCs w:val="21"/>
                <w:highlight w:val="none"/>
                <w:lang w:val="en-US" w:eastAsia="zh-CN"/>
              </w:rPr>
              <w:t>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default" w:ascii="宋体" w:hAnsi="宋体" w:eastAsia="宋体" w:cs="宋体"/>
                <w:strike w:val="0"/>
                <w:sz w:val="21"/>
                <w:szCs w:val="21"/>
                <w:highlight w:val="none"/>
                <w:lang w:val="en-US" w:eastAsia="zh-CN"/>
              </w:rPr>
            </w:pPr>
          </w:p>
        </w:tc>
        <w:tc>
          <w:tcPr>
            <w:tcW w:w="5677" w:type="dxa"/>
            <w:noWrap w:val="0"/>
            <w:vAlign w:val="center"/>
          </w:tcPr>
          <w:p>
            <w:pPr>
              <w:rPr>
                <w:rFonts w:hint="eastAsia" w:ascii="宋体" w:hAnsi="宋体" w:eastAsia="宋体" w:cs="宋体"/>
                <w:strike w:val="0"/>
                <w:sz w:val="21"/>
                <w:szCs w:val="21"/>
                <w:highlight w:val="none"/>
                <w:lang w:eastAsia="zh-CN"/>
              </w:rPr>
            </w:pPr>
            <w:r>
              <w:rPr>
                <w:rFonts w:hint="eastAsia" w:ascii="宋体" w:hAnsi="宋体" w:eastAsia="宋体" w:cs="宋体"/>
                <w:strike w:val="0"/>
                <w:sz w:val="21"/>
                <w:szCs w:val="21"/>
                <w:highlight w:val="none"/>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w:t>
            </w:r>
            <w:r>
              <w:rPr>
                <w:rFonts w:hint="eastAsia" w:ascii="宋体" w:hAnsi="宋体" w:eastAsia="宋体" w:cs="宋体"/>
                <w:strike w:val="0"/>
                <w:sz w:val="21"/>
                <w:szCs w:val="21"/>
                <w:highlight w:val="none"/>
                <w:lang w:eastAsia="zh-CN"/>
              </w:rPr>
              <w:t>，</w:t>
            </w:r>
            <w:r>
              <w:rPr>
                <w:rFonts w:hint="eastAsia" w:ascii="宋体" w:hAnsi="宋体" w:eastAsia="宋体" w:cs="宋体"/>
                <w:strike w:val="0"/>
                <w:sz w:val="21"/>
                <w:szCs w:val="21"/>
                <w:highlight w:val="none"/>
              </w:rPr>
              <w:t>承包人无正当理由拒绝撤换的</w:t>
            </w:r>
            <w:r>
              <w:rPr>
                <w:rFonts w:hint="eastAsia" w:ascii="宋体" w:hAnsi="宋体" w:eastAsia="宋体" w:cs="宋体"/>
                <w:strike w:val="0"/>
                <w:sz w:val="21"/>
                <w:szCs w:val="21"/>
                <w:highlight w:val="none"/>
                <w:lang w:eastAsia="zh-CN"/>
              </w:rPr>
              <w:t>。</w:t>
            </w:r>
          </w:p>
        </w:tc>
        <w:tc>
          <w:tcPr>
            <w:tcW w:w="2270" w:type="dxa"/>
            <w:noWrap w:val="0"/>
            <w:vAlign w:val="center"/>
          </w:tcPr>
          <w:p>
            <w:pPr>
              <w:rPr>
                <w:rFonts w:hint="eastAsia" w:ascii="宋体" w:hAnsi="宋体" w:eastAsia="宋体" w:cs="宋体"/>
                <w:strike w:val="0"/>
                <w:sz w:val="21"/>
                <w:szCs w:val="21"/>
                <w:highlight w:val="none"/>
                <w:lang w:val="en-US" w:eastAsia="zh-CN"/>
              </w:rPr>
            </w:pPr>
            <w:r>
              <w:rPr>
                <w:rFonts w:hint="eastAsia" w:ascii="宋体" w:hAnsi="宋体" w:eastAsia="宋体" w:cs="宋体"/>
                <w:strike w:val="0"/>
                <w:sz w:val="21"/>
                <w:szCs w:val="21"/>
                <w:highlight w:val="none"/>
                <w:lang w:val="en-US" w:eastAsia="zh-CN"/>
              </w:rPr>
              <w:t>1</w:t>
            </w:r>
            <w:r>
              <w:rPr>
                <w:rFonts w:hint="eastAsia" w:ascii="宋体" w:hAnsi="宋体" w:eastAsia="宋体" w:cs="宋体"/>
                <w:strike w:val="0"/>
                <w:sz w:val="21"/>
                <w:szCs w:val="21"/>
                <w:highlight w:val="none"/>
              </w:rPr>
              <w:t>万元/人次（项目经理除外）。延迟</w:t>
            </w:r>
            <w:r>
              <w:rPr>
                <w:rFonts w:hint="eastAsia" w:ascii="宋体" w:hAnsi="宋体" w:eastAsia="宋体" w:cs="宋体"/>
                <w:strike w:val="0"/>
                <w:sz w:val="21"/>
                <w:szCs w:val="21"/>
                <w:highlight w:val="none"/>
                <w:lang w:val="en-US" w:eastAsia="zh-CN"/>
              </w:rPr>
              <w:t>到岗按5000</w:t>
            </w:r>
            <w:r>
              <w:rPr>
                <w:rFonts w:hint="eastAsia" w:ascii="宋体" w:hAnsi="宋体" w:eastAsia="宋体" w:cs="宋体"/>
                <w:strike w:val="0"/>
                <w:sz w:val="21"/>
                <w:szCs w:val="21"/>
                <w:highlight w:val="none"/>
              </w:rPr>
              <w:t>元</w:t>
            </w:r>
            <w:r>
              <w:rPr>
                <w:rFonts w:hint="eastAsia" w:ascii="宋体" w:hAnsi="宋体" w:eastAsia="宋体" w:cs="宋体"/>
                <w:strike w:val="0"/>
                <w:sz w:val="21"/>
                <w:szCs w:val="21"/>
                <w:highlight w:val="none"/>
                <w:lang w:val="en-US" w:eastAsia="zh-CN"/>
              </w:rPr>
              <w:t>/天</w:t>
            </w:r>
            <w:r>
              <w:rPr>
                <w:rFonts w:hint="eastAsia" w:ascii="宋体" w:hAnsi="宋体" w:eastAsia="宋体" w:cs="宋体"/>
                <w:strike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eastAsia" w:ascii="宋体" w:hAnsi="宋体" w:eastAsia="宋体" w:cs="宋体"/>
                <w:sz w:val="21"/>
                <w:szCs w:val="21"/>
                <w:highlight w:val="none"/>
                <w:lang w:eastAsia="zh-CN"/>
              </w:rPr>
            </w:pPr>
          </w:p>
        </w:tc>
        <w:tc>
          <w:tcPr>
            <w:tcW w:w="5677"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人员设备不能满足经批准的施工方案要求。</w:t>
            </w:r>
          </w:p>
        </w:tc>
        <w:tc>
          <w:tcPr>
            <w:tcW w:w="227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000元/人（台）·天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default"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关键岗位（项目经理、技术总工、安全总监、质量总监），未履行正式的请假手续，且未经发包方批准无故不参加工程例会；未经同意，擅自更换指定会议出席者。</w:t>
            </w:r>
          </w:p>
        </w:tc>
        <w:tc>
          <w:tcPr>
            <w:tcW w:w="227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default"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无故不参加进度、质量、安全、协调、各项交底、技术讨论、方案评审等会议。</w:t>
            </w:r>
          </w:p>
        </w:tc>
        <w:tc>
          <w:tcPr>
            <w:tcW w:w="227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default"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未按要求组织全体工人参加定期的安全交底。</w:t>
            </w:r>
          </w:p>
        </w:tc>
        <w:tc>
          <w:tcPr>
            <w:tcW w:w="227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default"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未按要求及时提交施工管理和技术资料。</w:t>
            </w:r>
          </w:p>
        </w:tc>
        <w:tc>
          <w:tcPr>
            <w:tcW w:w="227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default"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拒收发包方文件（信函、指示、会议纪要、质量/安全/进度整改通知及罚款单）。</w:t>
            </w:r>
          </w:p>
        </w:tc>
        <w:tc>
          <w:tcPr>
            <w:tcW w:w="227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default"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消极态度对待发包人的正确指挥、指示、通知。</w:t>
            </w:r>
          </w:p>
        </w:tc>
        <w:tc>
          <w:tcPr>
            <w:tcW w:w="227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default"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拒收发包人文件（信函、指示、会议纪要、质量/安全/进度整改通知及罚款单）。</w:t>
            </w:r>
          </w:p>
        </w:tc>
        <w:tc>
          <w:tcPr>
            <w:tcW w:w="227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default"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拒绝提交或者回复发包人文件（信函、指示、会议纪要、质量/安全/进度整改通知及罚款单）。</w:t>
            </w:r>
          </w:p>
        </w:tc>
        <w:tc>
          <w:tcPr>
            <w:tcW w:w="227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default"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无故不接受发包人或监理人的正确指挥、指示、通知。</w:t>
            </w:r>
          </w:p>
        </w:tc>
        <w:tc>
          <w:tcPr>
            <w:tcW w:w="227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default"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对发包人或监理人发出的正确指挥、指示、通知不执行，不处理。</w:t>
            </w:r>
          </w:p>
        </w:tc>
        <w:tc>
          <w:tcPr>
            <w:tcW w:w="227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default"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无故辱骂发包人、监理人、或其他与本项目相关单位。</w:t>
            </w:r>
          </w:p>
        </w:tc>
        <w:tc>
          <w:tcPr>
            <w:tcW w:w="227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default"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无故殴打发包人、监理人、或其他与本项目相关单位。</w:t>
            </w:r>
          </w:p>
        </w:tc>
        <w:tc>
          <w:tcPr>
            <w:tcW w:w="2270" w:type="dxa"/>
            <w:noWrap w:val="0"/>
            <w:vAlign w:val="center"/>
          </w:tcPr>
          <w:p>
            <w:pPr>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3</w:t>
            </w:r>
            <w:r>
              <w:rPr>
                <w:rFonts w:hint="eastAsia" w:ascii="宋体" w:hAnsi="宋体" w:eastAsia="宋体" w:cs="宋体"/>
                <w:sz w:val="21"/>
                <w:szCs w:val="21"/>
                <w:highlight w:val="none"/>
              </w:rPr>
              <w:t>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default"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承包人未履行总承包管理的义务与分包人配合好各工序交叉施工。</w:t>
            </w:r>
          </w:p>
        </w:tc>
        <w:tc>
          <w:tcPr>
            <w:tcW w:w="227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default"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承包人违反法律、法规及发包人规定进行分包、转包，即构成承包人违约。如未对实际工程的施工产生负面影响的，且承包人进行了整改。</w:t>
            </w:r>
          </w:p>
        </w:tc>
        <w:tc>
          <w:tcPr>
            <w:tcW w:w="227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发包人按照实际分包金额的20%予以罚款。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default"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承包人违反法律、法规及发包人规定进行分包、转包，即构成承包人违约。如不进行整改，发包人有权收回发包人的全部项目另行发包第三方。</w:t>
            </w:r>
          </w:p>
        </w:tc>
        <w:tc>
          <w:tcPr>
            <w:tcW w:w="227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分包期间产生的差价及由此造成的损失均由承包人承担。同时发包人按照实际分包金额的20%予以罚款。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default"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发包人有权要求承包人更换发包人认为不称职施工班组，承包人应无条件执行，新的管理人员或施工班组</w:t>
            </w:r>
            <w:r>
              <w:rPr>
                <w:rFonts w:hint="eastAsia" w:ascii="宋体" w:hAnsi="宋体" w:eastAsia="宋体" w:cs="宋体"/>
                <w:sz w:val="21"/>
                <w:szCs w:val="21"/>
                <w:highlight w:val="none"/>
                <w:lang w:val="en-US" w:eastAsia="zh-CN"/>
              </w:rPr>
              <w:t>未</w:t>
            </w:r>
            <w:r>
              <w:rPr>
                <w:rFonts w:hint="eastAsia" w:ascii="宋体" w:hAnsi="宋体" w:eastAsia="宋体" w:cs="宋体"/>
                <w:sz w:val="21"/>
                <w:szCs w:val="21"/>
                <w:highlight w:val="none"/>
              </w:rPr>
              <w:t>在48小时内到位。</w:t>
            </w:r>
          </w:p>
        </w:tc>
        <w:tc>
          <w:tcPr>
            <w:tcW w:w="227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支付5000元/次/天违约金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default"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如</w:t>
            </w:r>
            <w:r>
              <w:rPr>
                <w:rFonts w:hint="eastAsia" w:ascii="宋体" w:hAnsi="宋体" w:eastAsia="宋体" w:cs="宋体"/>
                <w:sz w:val="21"/>
                <w:szCs w:val="21"/>
                <w:highlight w:val="none"/>
                <w:lang w:val="en-US" w:eastAsia="zh-CN"/>
              </w:rPr>
              <w:t>出现</w:t>
            </w:r>
            <w:r>
              <w:rPr>
                <w:rFonts w:hint="eastAsia" w:ascii="宋体" w:hAnsi="宋体" w:eastAsia="宋体" w:cs="宋体"/>
                <w:sz w:val="21"/>
                <w:szCs w:val="21"/>
                <w:highlight w:val="none"/>
              </w:rPr>
              <w:t>承包人有转让行为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发包人有权解除合同，并保留索赔权力。</w:t>
            </w:r>
          </w:p>
        </w:tc>
        <w:tc>
          <w:tcPr>
            <w:tcW w:w="227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支付违约金签约合同价的15%/次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default"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如出现承包人未经监理人审查和发包人同意的分包行为，视为违约</w:t>
            </w:r>
            <w:r>
              <w:rPr>
                <w:rFonts w:hint="eastAsia" w:ascii="宋体" w:hAnsi="宋体" w:eastAsia="宋体" w:cs="宋体"/>
                <w:sz w:val="21"/>
                <w:szCs w:val="21"/>
                <w:highlight w:val="none"/>
                <w:lang w:val="en-US" w:eastAsia="zh-CN"/>
              </w:rPr>
              <w:t>并处罚</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承包人应在3天内纠正违约行为，否则视为再次违约。</w:t>
            </w:r>
          </w:p>
        </w:tc>
        <w:tc>
          <w:tcPr>
            <w:tcW w:w="227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支付违约金</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default"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如出现分包人将分包工程的任何部分再分包的行为，视为违约</w:t>
            </w:r>
            <w:r>
              <w:rPr>
                <w:rFonts w:hint="eastAsia" w:ascii="宋体" w:hAnsi="宋体" w:eastAsia="宋体" w:cs="宋体"/>
                <w:sz w:val="21"/>
                <w:szCs w:val="21"/>
                <w:highlight w:val="none"/>
                <w:lang w:val="en-US" w:eastAsia="zh-CN"/>
              </w:rPr>
              <w:t>并处罚</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承包人应在3天内纠正违约行为，否则视为再次违约。</w:t>
            </w:r>
          </w:p>
        </w:tc>
        <w:tc>
          <w:tcPr>
            <w:tcW w:w="227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支付违约金</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default"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如承包人有将其承包范围内全部工程肢解分包的行为，视为违约</w:t>
            </w:r>
            <w:r>
              <w:rPr>
                <w:rFonts w:hint="eastAsia" w:ascii="宋体" w:hAnsi="宋体" w:eastAsia="宋体" w:cs="宋体"/>
                <w:sz w:val="21"/>
                <w:szCs w:val="21"/>
                <w:highlight w:val="none"/>
                <w:lang w:val="en-US" w:eastAsia="zh-CN"/>
              </w:rPr>
              <w:t>并处罚</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承包人应在3天内纠正违约行为，否则视为再次违约。</w:t>
            </w:r>
          </w:p>
        </w:tc>
        <w:tc>
          <w:tcPr>
            <w:tcW w:w="227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支付违约金签约合同价的15%/次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default"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承包人应在合同签订后10天内将分包计划报发包人审批。</w:t>
            </w:r>
          </w:p>
        </w:tc>
        <w:tc>
          <w:tcPr>
            <w:tcW w:w="227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支付违约金5000元</w:t>
            </w:r>
            <w:r>
              <w:rPr>
                <w:rFonts w:hint="eastAsia" w:ascii="宋体" w:hAnsi="宋体" w:eastAsia="宋体" w:cs="宋体"/>
                <w:sz w:val="21"/>
                <w:szCs w:val="21"/>
                <w:highlight w:val="none"/>
                <w:lang w:val="en-US"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default"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由于承包人未能及时对工程接口问题进行协调或未及时实施监理人接口指令而造成损失的。</w:t>
            </w:r>
          </w:p>
        </w:tc>
        <w:tc>
          <w:tcPr>
            <w:tcW w:w="2270" w:type="dxa"/>
            <w:noWrap w:val="0"/>
            <w:vAlign w:val="center"/>
          </w:tcPr>
          <w:p>
            <w:pP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支付</w:t>
            </w:r>
            <w:r>
              <w:rPr>
                <w:rFonts w:hint="eastAsia" w:ascii="宋体" w:hAnsi="宋体" w:eastAsia="宋体" w:cs="宋体"/>
                <w:sz w:val="21"/>
                <w:szCs w:val="21"/>
                <w:highlight w:val="none"/>
                <w:lang w:val="en-US" w:eastAsia="zh-CN"/>
              </w:rPr>
              <w:t>全部</w:t>
            </w:r>
            <w:r>
              <w:rPr>
                <w:rFonts w:hint="eastAsia" w:ascii="宋体" w:hAnsi="宋体" w:eastAsia="宋体" w:cs="宋体"/>
                <w:sz w:val="21"/>
                <w:szCs w:val="21"/>
                <w:highlight w:val="none"/>
              </w:rPr>
              <w:t>损失的100% 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default"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若发包人或监理人发现有未签订劳动合同的劳动者在现场施工。</w:t>
            </w:r>
          </w:p>
        </w:tc>
        <w:tc>
          <w:tcPr>
            <w:tcW w:w="227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万元/人次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default"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若发包人或监理人发现工地上有未签订劳务分包合同或劳务分包合同未进行备案的劳务企业人员在现场施工</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rPr>
              <w:t>。</w:t>
            </w:r>
          </w:p>
        </w:tc>
        <w:tc>
          <w:tcPr>
            <w:tcW w:w="227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万元/人次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default"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竣工移交</w:t>
            </w:r>
            <w:r>
              <w:rPr>
                <w:rFonts w:hint="eastAsia" w:ascii="宋体" w:hAnsi="宋体" w:eastAsia="宋体" w:cs="宋体"/>
                <w:sz w:val="21"/>
                <w:szCs w:val="21"/>
                <w:highlight w:val="none"/>
              </w:rPr>
              <w:t>后，因质量问题造成在网上、报纸、电视等媒体曝光事件，对发包人社会形象造成不良影响的。</w:t>
            </w:r>
          </w:p>
        </w:tc>
        <w:tc>
          <w:tcPr>
            <w:tcW w:w="227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结算总价</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default"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承包人原因造成发包人、监理人或其他分包人经济损失、信誉受损、或受到行政主管部门不良行为记录、扣分等行政处罚的。</w:t>
            </w:r>
          </w:p>
        </w:tc>
        <w:tc>
          <w:tcPr>
            <w:tcW w:w="227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default"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未实现施工承包合同文件中已经明确的本工程质量施工目标。</w:t>
            </w:r>
          </w:p>
        </w:tc>
        <w:tc>
          <w:tcPr>
            <w:tcW w:w="227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按合同价的</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default"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如抽查发现一例工人未接受交底（或交底造假），处罚承包人，并要求工人三天内交底完成。</w:t>
            </w:r>
          </w:p>
        </w:tc>
        <w:tc>
          <w:tcPr>
            <w:tcW w:w="2270" w:type="dxa"/>
            <w:noWrap w:val="0"/>
            <w:vAlign w:val="center"/>
          </w:tcPr>
          <w:p>
            <w:pPr>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2</w:t>
            </w:r>
            <w:r>
              <w:rPr>
                <w:rFonts w:hint="eastAsia" w:ascii="宋体" w:hAnsi="宋体" w:eastAsia="宋体" w:cs="宋体"/>
                <w:sz w:val="21"/>
                <w:szCs w:val="21"/>
                <w:highlight w:val="none"/>
              </w:rPr>
              <w:t>000元/人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numPr>
                <w:ilvl w:val="0"/>
                <w:numId w:val="5"/>
              </w:numPr>
              <w:ind w:left="425" w:leftChars="0" w:hanging="425" w:firstLineChars="0"/>
              <w:jc w:val="center"/>
              <w:rPr>
                <w:rFonts w:hint="default" w:ascii="宋体" w:hAnsi="宋体" w:eastAsia="宋体" w:cs="宋体"/>
                <w:sz w:val="21"/>
                <w:szCs w:val="21"/>
                <w:highlight w:val="none"/>
                <w:lang w:val="en-US" w:eastAsia="zh-CN"/>
              </w:rPr>
            </w:pPr>
          </w:p>
        </w:tc>
        <w:tc>
          <w:tcPr>
            <w:tcW w:w="5677"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因承包人原因出现违反建设工程项目廉政协议的渎职行为。</w:t>
            </w:r>
          </w:p>
        </w:tc>
        <w:tc>
          <w:tcPr>
            <w:tcW w:w="227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（1）出现一次，扣除违约金5000元，要求警告相关渎职人员；</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（2）出现第二次，罚款10000元，要求更换相关渎职人员并追究承包人的项目总负责人的相应责任；</w:t>
            </w:r>
          </w:p>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（3）出现三次以上，视为承包人重大违约，发包人有权解除本项目施工总承包合同，并按合同约定追究承包人违约责任。</w:t>
            </w:r>
          </w:p>
        </w:tc>
      </w:tr>
    </w:tbl>
    <w:p>
      <w:pPr>
        <w:rPr>
          <w:rFonts w:hint="eastAsia" w:ascii="宋体" w:hAnsi="宋体" w:eastAsia="宋体" w:cs="Times New Roman"/>
          <w:b/>
          <w:bCs/>
          <w:kern w:val="2"/>
          <w:sz w:val="21"/>
          <w:szCs w:val="21"/>
          <w:highlight w:val="none"/>
          <w:lang w:val="en-US" w:eastAsia="zh-CN" w:bidi="ar-SA"/>
        </w:rPr>
      </w:pPr>
      <w:r>
        <w:rPr>
          <w:rFonts w:hint="eastAsia" w:ascii="宋体" w:hAnsi="宋体" w:eastAsia="宋体" w:cs="Times New Roman"/>
          <w:b/>
          <w:bCs/>
          <w:kern w:val="2"/>
          <w:sz w:val="21"/>
          <w:szCs w:val="21"/>
          <w:highlight w:val="none"/>
          <w:lang w:val="en-US" w:eastAsia="zh-CN" w:bidi="ar-SA"/>
        </w:rPr>
        <w:t>2、质量管理罚款细则</w:t>
      </w:r>
    </w:p>
    <w:tbl>
      <w:tblPr>
        <w:tblStyle w:val="17"/>
        <w:tblW w:w="8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5680"/>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568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罚款条款</w:t>
            </w:r>
          </w:p>
        </w:tc>
        <w:tc>
          <w:tcPr>
            <w:tcW w:w="2272"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罚款额度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noWrap w:val="0"/>
            <w:vAlign w:val="center"/>
          </w:tcPr>
          <w:p>
            <w:pPr>
              <w:numPr>
                <w:ilvl w:val="0"/>
                <w:numId w:val="6"/>
              </w:numPr>
              <w:ind w:left="425" w:hanging="425"/>
              <w:jc w:val="center"/>
              <w:rPr>
                <w:rFonts w:ascii="宋体" w:hAnsi="宋体"/>
                <w:sz w:val="21"/>
                <w:szCs w:val="21"/>
                <w:highlight w:val="none"/>
              </w:rPr>
            </w:pPr>
          </w:p>
        </w:tc>
        <w:tc>
          <w:tcPr>
            <w:tcW w:w="568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如出现</w:t>
            </w:r>
            <w:r>
              <w:rPr>
                <w:rFonts w:hint="eastAsia" w:ascii="宋体" w:hAnsi="宋体" w:eastAsia="宋体" w:cs="宋体"/>
                <w:sz w:val="21"/>
                <w:szCs w:val="21"/>
                <w:highlight w:val="none"/>
              </w:rPr>
              <w:t>施工组织设计或专项施工方案未经审批进行施工</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未按时按要求上报施工方案</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方案内未体现质量管理内容</w:t>
            </w:r>
            <w:r>
              <w:rPr>
                <w:rFonts w:hint="eastAsia" w:ascii="宋体" w:hAnsi="宋体" w:eastAsia="宋体" w:cs="宋体"/>
                <w:sz w:val="21"/>
                <w:szCs w:val="21"/>
                <w:highlight w:val="none"/>
              </w:rPr>
              <w:t>。</w:t>
            </w:r>
          </w:p>
        </w:tc>
        <w:tc>
          <w:tcPr>
            <w:tcW w:w="2272" w:type="dxa"/>
            <w:noWrap w:val="0"/>
            <w:vAlign w:val="center"/>
          </w:tcPr>
          <w:p>
            <w:pPr>
              <w:rPr>
                <w:rFonts w:hint="eastAsia" w:ascii="宋体" w:hAnsi="宋体" w:eastAsia="宋体" w:cs="宋体"/>
                <w:sz w:val="21"/>
                <w:szCs w:val="21"/>
                <w:highlight w:val="none"/>
                <w:lang w:eastAsia="zh-CN"/>
              </w:rPr>
            </w:pPr>
            <w:r>
              <w:rPr>
                <w:rFonts w:hint="eastAsia" w:cs="宋体"/>
                <w:sz w:val="21"/>
                <w:szCs w:val="21"/>
                <w:highlight w:val="none"/>
                <w:lang w:val="en-US" w:eastAsia="zh-CN"/>
              </w:rPr>
              <w:t>2000</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noWrap w:val="0"/>
            <w:vAlign w:val="center"/>
          </w:tcPr>
          <w:p>
            <w:pPr>
              <w:numPr>
                <w:ilvl w:val="0"/>
                <w:numId w:val="6"/>
              </w:numPr>
              <w:ind w:left="425" w:hanging="425"/>
              <w:jc w:val="center"/>
              <w:rPr>
                <w:rFonts w:ascii="宋体" w:hAnsi="宋体"/>
                <w:sz w:val="21"/>
                <w:szCs w:val="21"/>
                <w:highlight w:val="none"/>
              </w:rPr>
            </w:pPr>
          </w:p>
        </w:tc>
        <w:tc>
          <w:tcPr>
            <w:tcW w:w="568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验收过程中同一工序发现二处或</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次未进行自检。</w:t>
            </w:r>
          </w:p>
        </w:tc>
        <w:tc>
          <w:tcPr>
            <w:tcW w:w="2272"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每次处罚款500元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noWrap w:val="0"/>
            <w:vAlign w:val="center"/>
          </w:tcPr>
          <w:p>
            <w:pPr>
              <w:numPr>
                <w:ilvl w:val="0"/>
                <w:numId w:val="6"/>
              </w:numPr>
              <w:ind w:left="425" w:hanging="425"/>
              <w:jc w:val="center"/>
              <w:rPr>
                <w:rFonts w:ascii="宋体" w:hAnsi="宋体"/>
                <w:sz w:val="21"/>
                <w:szCs w:val="21"/>
                <w:highlight w:val="none"/>
              </w:rPr>
            </w:pPr>
          </w:p>
        </w:tc>
        <w:tc>
          <w:tcPr>
            <w:tcW w:w="568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对现场其他单位的产成品、半成品损坏。</w:t>
            </w:r>
          </w:p>
        </w:tc>
        <w:tc>
          <w:tcPr>
            <w:tcW w:w="2272"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1000元/处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noWrap w:val="0"/>
            <w:vAlign w:val="center"/>
          </w:tcPr>
          <w:p>
            <w:pPr>
              <w:numPr>
                <w:ilvl w:val="0"/>
                <w:numId w:val="6"/>
              </w:numPr>
              <w:ind w:left="425" w:hanging="425"/>
              <w:jc w:val="center"/>
              <w:rPr>
                <w:rFonts w:ascii="宋体" w:hAnsi="宋体"/>
                <w:sz w:val="21"/>
                <w:szCs w:val="21"/>
                <w:highlight w:val="none"/>
              </w:rPr>
            </w:pPr>
          </w:p>
        </w:tc>
        <w:tc>
          <w:tcPr>
            <w:tcW w:w="568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施工过程中，上道工序未经过验收就进行下道工序施工。</w:t>
            </w:r>
          </w:p>
        </w:tc>
        <w:tc>
          <w:tcPr>
            <w:tcW w:w="2272" w:type="dxa"/>
            <w:noWrap w:val="0"/>
            <w:vAlign w:val="center"/>
          </w:tcPr>
          <w:p>
            <w:pPr>
              <w:rPr>
                <w:rFonts w:hint="eastAsia" w:ascii="宋体" w:hAnsi="宋体" w:eastAsia="宋体" w:cs="宋体"/>
                <w:sz w:val="21"/>
                <w:szCs w:val="21"/>
                <w:highlight w:val="none"/>
              </w:rPr>
            </w:pPr>
            <w:r>
              <w:rPr>
                <w:rFonts w:hint="eastAsia" w:cs="宋体"/>
                <w:sz w:val="21"/>
                <w:szCs w:val="21"/>
                <w:highlight w:val="none"/>
                <w:lang w:val="en-US" w:eastAsia="zh-CN"/>
              </w:rPr>
              <w:t>1000</w:t>
            </w:r>
            <w:r>
              <w:rPr>
                <w:rFonts w:hint="eastAsia" w:ascii="宋体" w:hAnsi="宋体" w:eastAsia="宋体" w:cs="宋体"/>
                <w:sz w:val="2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noWrap w:val="0"/>
            <w:vAlign w:val="center"/>
          </w:tcPr>
          <w:p>
            <w:pPr>
              <w:numPr>
                <w:ilvl w:val="0"/>
                <w:numId w:val="6"/>
              </w:numPr>
              <w:ind w:left="425" w:hanging="425"/>
              <w:jc w:val="center"/>
              <w:rPr>
                <w:rFonts w:ascii="宋体" w:hAnsi="宋体"/>
                <w:sz w:val="21"/>
                <w:szCs w:val="21"/>
                <w:highlight w:val="none"/>
              </w:rPr>
            </w:pPr>
          </w:p>
        </w:tc>
        <w:tc>
          <w:tcPr>
            <w:tcW w:w="568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关键工序的质量存在问题，故意隐瞒不报。</w:t>
            </w:r>
          </w:p>
        </w:tc>
        <w:tc>
          <w:tcPr>
            <w:tcW w:w="2272"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5000元/处，同时承担受损单位相关损失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noWrap w:val="0"/>
            <w:vAlign w:val="center"/>
          </w:tcPr>
          <w:p>
            <w:pPr>
              <w:numPr>
                <w:ilvl w:val="0"/>
                <w:numId w:val="6"/>
              </w:numPr>
              <w:ind w:left="425" w:hanging="425"/>
              <w:jc w:val="center"/>
              <w:rPr>
                <w:rFonts w:ascii="宋体" w:hAnsi="宋体"/>
                <w:sz w:val="21"/>
                <w:szCs w:val="21"/>
                <w:highlight w:val="none"/>
              </w:rPr>
            </w:pPr>
          </w:p>
        </w:tc>
        <w:tc>
          <w:tcPr>
            <w:tcW w:w="568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不按要求施工，造成质量事故或缺陷。</w:t>
            </w:r>
          </w:p>
        </w:tc>
        <w:tc>
          <w:tcPr>
            <w:tcW w:w="2272"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noWrap w:val="0"/>
            <w:vAlign w:val="center"/>
          </w:tcPr>
          <w:p>
            <w:pPr>
              <w:numPr>
                <w:ilvl w:val="0"/>
                <w:numId w:val="6"/>
              </w:numPr>
              <w:ind w:left="425" w:hanging="425"/>
              <w:jc w:val="center"/>
              <w:rPr>
                <w:rFonts w:ascii="宋体" w:hAnsi="宋体"/>
                <w:sz w:val="21"/>
                <w:szCs w:val="21"/>
                <w:highlight w:val="none"/>
              </w:rPr>
            </w:pPr>
          </w:p>
        </w:tc>
        <w:tc>
          <w:tcPr>
            <w:tcW w:w="568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因质量问题造成安全隐患。</w:t>
            </w:r>
          </w:p>
        </w:tc>
        <w:tc>
          <w:tcPr>
            <w:tcW w:w="2272"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noWrap w:val="0"/>
            <w:vAlign w:val="center"/>
          </w:tcPr>
          <w:p>
            <w:pPr>
              <w:numPr>
                <w:ilvl w:val="0"/>
                <w:numId w:val="6"/>
              </w:numPr>
              <w:ind w:left="425" w:hanging="425"/>
              <w:jc w:val="center"/>
              <w:rPr>
                <w:rFonts w:ascii="宋体" w:hAnsi="宋体"/>
                <w:sz w:val="21"/>
                <w:szCs w:val="21"/>
                <w:highlight w:val="none"/>
              </w:rPr>
            </w:pPr>
          </w:p>
        </w:tc>
        <w:tc>
          <w:tcPr>
            <w:tcW w:w="568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对监理下发的整改通知单未及时整改或整改不力且未回复。</w:t>
            </w:r>
          </w:p>
        </w:tc>
        <w:tc>
          <w:tcPr>
            <w:tcW w:w="2272" w:type="dxa"/>
            <w:noWrap w:val="0"/>
            <w:vAlign w:val="center"/>
          </w:tcPr>
          <w:p>
            <w:pPr>
              <w:rPr>
                <w:rFonts w:hint="eastAsia" w:ascii="宋体" w:hAnsi="宋体" w:eastAsia="宋体" w:cs="宋体"/>
                <w:sz w:val="21"/>
                <w:szCs w:val="21"/>
                <w:highlight w:val="none"/>
              </w:rPr>
            </w:pPr>
            <w:r>
              <w:rPr>
                <w:rFonts w:hint="eastAsia" w:cs="宋体"/>
                <w:sz w:val="21"/>
                <w:szCs w:val="21"/>
                <w:highlight w:val="none"/>
                <w:lang w:val="en-US" w:eastAsia="zh-CN"/>
              </w:rPr>
              <w:t>2</w:t>
            </w:r>
            <w:r>
              <w:rPr>
                <w:rFonts w:hint="eastAsia" w:ascii="宋体" w:hAnsi="宋体" w:eastAsia="宋体" w:cs="宋体"/>
                <w:sz w:val="21"/>
                <w:szCs w:val="21"/>
                <w:highlight w:val="none"/>
              </w:rPr>
              <w:t>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noWrap w:val="0"/>
            <w:vAlign w:val="center"/>
          </w:tcPr>
          <w:p>
            <w:pPr>
              <w:numPr>
                <w:ilvl w:val="0"/>
                <w:numId w:val="6"/>
              </w:numPr>
              <w:ind w:left="425" w:hanging="425"/>
              <w:jc w:val="center"/>
              <w:rPr>
                <w:rFonts w:ascii="宋体" w:hAnsi="宋体"/>
                <w:sz w:val="21"/>
                <w:szCs w:val="21"/>
                <w:highlight w:val="none"/>
              </w:rPr>
            </w:pPr>
          </w:p>
        </w:tc>
        <w:tc>
          <w:tcPr>
            <w:tcW w:w="568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上报归档的技术质保资料不真实，不准确。</w:t>
            </w:r>
          </w:p>
        </w:tc>
        <w:tc>
          <w:tcPr>
            <w:tcW w:w="2272" w:type="dxa"/>
            <w:noWrap w:val="0"/>
            <w:vAlign w:val="center"/>
          </w:tcPr>
          <w:p>
            <w:pPr>
              <w:rPr>
                <w:rFonts w:hint="eastAsia" w:ascii="宋体" w:hAnsi="宋体" w:eastAsia="宋体" w:cs="宋体"/>
                <w:sz w:val="21"/>
                <w:szCs w:val="21"/>
                <w:highlight w:val="none"/>
              </w:rPr>
            </w:pPr>
            <w:r>
              <w:rPr>
                <w:rFonts w:hint="eastAsia" w:cs="宋体"/>
                <w:sz w:val="21"/>
                <w:szCs w:val="21"/>
                <w:highlight w:val="none"/>
                <w:lang w:val="en-US" w:eastAsia="zh-CN"/>
              </w:rPr>
              <w:t>1</w:t>
            </w:r>
            <w:r>
              <w:rPr>
                <w:rFonts w:hint="eastAsia" w:ascii="宋体" w:hAnsi="宋体" w:eastAsia="宋体" w:cs="宋体"/>
                <w:sz w:val="21"/>
                <w:szCs w:val="21"/>
                <w:highlight w:val="none"/>
              </w:rPr>
              <w:t>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noWrap w:val="0"/>
            <w:vAlign w:val="center"/>
          </w:tcPr>
          <w:p>
            <w:pPr>
              <w:numPr>
                <w:ilvl w:val="0"/>
                <w:numId w:val="6"/>
              </w:numPr>
              <w:ind w:left="425" w:hanging="425"/>
              <w:jc w:val="center"/>
              <w:rPr>
                <w:rFonts w:ascii="宋体" w:hAnsi="宋体"/>
                <w:sz w:val="21"/>
                <w:szCs w:val="21"/>
                <w:highlight w:val="none"/>
              </w:rPr>
            </w:pPr>
          </w:p>
        </w:tc>
        <w:tc>
          <w:tcPr>
            <w:tcW w:w="568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材料未经报审擅自使用。</w:t>
            </w:r>
          </w:p>
        </w:tc>
        <w:tc>
          <w:tcPr>
            <w:tcW w:w="2272"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noWrap w:val="0"/>
            <w:vAlign w:val="center"/>
          </w:tcPr>
          <w:p>
            <w:pPr>
              <w:numPr>
                <w:ilvl w:val="0"/>
                <w:numId w:val="6"/>
              </w:numPr>
              <w:ind w:left="425" w:hanging="425"/>
              <w:jc w:val="center"/>
              <w:rPr>
                <w:rFonts w:ascii="宋体" w:hAnsi="宋体"/>
                <w:sz w:val="21"/>
                <w:szCs w:val="21"/>
                <w:highlight w:val="none"/>
              </w:rPr>
            </w:pPr>
          </w:p>
        </w:tc>
        <w:tc>
          <w:tcPr>
            <w:tcW w:w="568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在项目实施过程中应选择合同材料品牌库内的品牌，在使用前报建设单位确认批准。承包人偷工减料、擅自更换合同约定的材料设备或提供的材料设备的产地、品牌、型号不符合合同约定的，应向发包方支付该部分材料设备价款3倍的违约金，如对发包方造成损失的，还应赔偿实际损失；承包人发生前述违约情形超过2次（含2次）的，发包方有权单方解除本合同，承包人已完成且验收合格的工程量按80%结算，同时承包人向发包方支付合同（暂定）总价20%的违约金。</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如选择材料品牌库范围外的品牌，其品牌品质应不低于参考品牌，并在使用前报建设单位确认批准。</w:t>
            </w:r>
          </w:p>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发包人有权根据实际情况调整材料设备厂家品牌，承包人拒绝执行的，则发包人有权选择自行供应此部分材料或设备，由此产生的费用及工期延误由承包人承担，发包人可另外向承包人进行材料设备价款3倍的处罚。</w:t>
            </w:r>
          </w:p>
        </w:tc>
        <w:tc>
          <w:tcPr>
            <w:tcW w:w="2272"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处</w:t>
            </w:r>
            <w:r>
              <w:rPr>
                <w:rFonts w:hint="eastAsia" w:ascii="宋体" w:hAnsi="宋体" w:eastAsia="宋体" w:cs="宋体"/>
                <w:sz w:val="21"/>
                <w:szCs w:val="21"/>
                <w:highlight w:val="none"/>
                <w:lang w:val="en-US" w:eastAsia="zh-CN"/>
              </w:rPr>
              <w:t>罚</w:t>
            </w:r>
            <w:r>
              <w:rPr>
                <w:rFonts w:hint="eastAsia" w:ascii="宋体" w:hAnsi="宋体" w:eastAsia="宋体" w:cs="宋体"/>
                <w:sz w:val="21"/>
                <w:szCs w:val="21"/>
                <w:highlight w:val="none"/>
              </w:rPr>
              <w:t>相应部分材料设备价款3倍违约金；承包人发生前述违约情形超过2次（含2次）的，违约金为合同（暂定）总价20%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noWrap w:val="0"/>
            <w:vAlign w:val="center"/>
          </w:tcPr>
          <w:p>
            <w:pPr>
              <w:numPr>
                <w:ilvl w:val="0"/>
                <w:numId w:val="6"/>
              </w:numPr>
              <w:ind w:left="425" w:hanging="425"/>
              <w:jc w:val="center"/>
              <w:rPr>
                <w:rFonts w:hint="eastAsia" w:ascii="宋体" w:hAnsi="宋体" w:eastAsia="宋体" w:cs="宋体"/>
                <w:kern w:val="2"/>
                <w:sz w:val="21"/>
                <w:szCs w:val="21"/>
                <w:highlight w:val="none"/>
                <w:lang w:val="en-US" w:eastAsia="zh-CN" w:bidi="ar-SA"/>
              </w:rPr>
            </w:pPr>
          </w:p>
        </w:tc>
        <w:tc>
          <w:tcPr>
            <w:tcW w:w="568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未按招标/设计文件、技术标准施工。</w:t>
            </w:r>
          </w:p>
        </w:tc>
        <w:tc>
          <w:tcPr>
            <w:tcW w:w="2272"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noWrap w:val="0"/>
            <w:vAlign w:val="center"/>
          </w:tcPr>
          <w:p>
            <w:pPr>
              <w:numPr>
                <w:ilvl w:val="0"/>
                <w:numId w:val="6"/>
              </w:numPr>
              <w:ind w:left="425" w:hanging="425"/>
              <w:jc w:val="center"/>
              <w:rPr>
                <w:rFonts w:hint="eastAsia" w:ascii="宋体" w:hAnsi="宋体" w:eastAsia="宋体" w:cs="宋体"/>
                <w:kern w:val="2"/>
                <w:sz w:val="21"/>
                <w:szCs w:val="21"/>
                <w:highlight w:val="none"/>
                <w:lang w:val="en-US" w:eastAsia="zh-CN" w:bidi="ar-SA"/>
              </w:rPr>
            </w:pPr>
          </w:p>
        </w:tc>
        <w:tc>
          <w:tcPr>
            <w:tcW w:w="568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所有的分项工程必须事先进行样板施工，对不进行样板施工的，或样板施工验收不合格而擅自进行施工的，且工程质量达不到要求的；伪造或擅自涂改现场隐蔽验收记录。</w:t>
            </w:r>
          </w:p>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伪造材质检验单或提供不合格材质检验单。</w:t>
            </w:r>
          </w:p>
        </w:tc>
        <w:tc>
          <w:tcPr>
            <w:tcW w:w="2272" w:type="dxa"/>
            <w:noWrap w:val="0"/>
            <w:vAlign w:val="center"/>
          </w:tcPr>
          <w:p>
            <w:pPr>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1</w:t>
            </w:r>
            <w:r>
              <w:rPr>
                <w:rFonts w:hint="eastAsia" w:ascii="宋体" w:hAnsi="宋体" w:eastAsia="宋体" w:cs="宋体"/>
                <w:sz w:val="21"/>
                <w:szCs w:val="21"/>
                <w:highlight w:val="none"/>
              </w:rPr>
              <w:t>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noWrap w:val="0"/>
            <w:vAlign w:val="center"/>
          </w:tcPr>
          <w:p>
            <w:pPr>
              <w:numPr>
                <w:ilvl w:val="0"/>
                <w:numId w:val="6"/>
              </w:numPr>
              <w:ind w:left="425" w:hanging="425"/>
              <w:jc w:val="center"/>
              <w:rPr>
                <w:rFonts w:hint="eastAsia" w:ascii="宋体" w:hAnsi="宋体" w:eastAsia="宋体" w:cs="宋体"/>
                <w:kern w:val="2"/>
                <w:sz w:val="21"/>
                <w:szCs w:val="21"/>
                <w:highlight w:val="none"/>
                <w:lang w:val="en-US" w:eastAsia="zh-CN" w:bidi="ar-SA"/>
              </w:rPr>
            </w:pPr>
          </w:p>
        </w:tc>
        <w:tc>
          <w:tcPr>
            <w:tcW w:w="568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建筑材料、配件及设备的进场检验不合格，采用列入禁止目录的技术、工艺、设备、材料和产品或者未按照建筑节能设计要求和建筑节能施工规范进行施工。</w:t>
            </w:r>
          </w:p>
        </w:tc>
        <w:tc>
          <w:tcPr>
            <w:tcW w:w="2272" w:type="dxa"/>
            <w:noWrap w:val="0"/>
            <w:vAlign w:val="center"/>
          </w:tcPr>
          <w:p>
            <w:pPr>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1</w:t>
            </w:r>
            <w:r>
              <w:rPr>
                <w:rFonts w:hint="eastAsia" w:ascii="宋体" w:hAnsi="宋体" w:eastAsia="宋体" w:cs="宋体"/>
                <w:sz w:val="21"/>
                <w:szCs w:val="21"/>
                <w:highlight w:val="none"/>
              </w:rPr>
              <w:t>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noWrap w:val="0"/>
            <w:vAlign w:val="center"/>
          </w:tcPr>
          <w:p>
            <w:pPr>
              <w:numPr>
                <w:ilvl w:val="0"/>
                <w:numId w:val="6"/>
              </w:numPr>
              <w:ind w:left="425" w:hanging="425"/>
              <w:jc w:val="center"/>
              <w:rPr>
                <w:rFonts w:hint="default" w:ascii="宋体" w:hAnsi="宋体" w:eastAsia="宋体" w:cs="宋体"/>
                <w:kern w:val="2"/>
                <w:sz w:val="21"/>
                <w:szCs w:val="21"/>
                <w:highlight w:val="none"/>
                <w:lang w:val="en-US" w:eastAsia="zh-CN" w:bidi="ar-SA"/>
              </w:rPr>
            </w:pPr>
          </w:p>
        </w:tc>
        <w:tc>
          <w:tcPr>
            <w:tcW w:w="568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工程出现质量缺陷，且承包人3日内未处理或5日内未处理完毕。</w:t>
            </w:r>
          </w:p>
        </w:tc>
        <w:tc>
          <w:tcPr>
            <w:tcW w:w="2272"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2000元/天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noWrap w:val="0"/>
            <w:vAlign w:val="center"/>
          </w:tcPr>
          <w:p>
            <w:pPr>
              <w:numPr>
                <w:ilvl w:val="0"/>
                <w:numId w:val="6"/>
              </w:numPr>
              <w:ind w:left="425" w:hanging="425"/>
              <w:jc w:val="center"/>
              <w:rPr>
                <w:rFonts w:hint="default" w:ascii="宋体" w:hAnsi="宋体" w:eastAsia="宋体" w:cs="宋体"/>
                <w:kern w:val="2"/>
                <w:sz w:val="21"/>
                <w:szCs w:val="21"/>
                <w:highlight w:val="none"/>
                <w:lang w:val="en-US" w:eastAsia="zh-CN" w:bidi="ar-SA"/>
              </w:rPr>
            </w:pPr>
          </w:p>
        </w:tc>
        <w:tc>
          <w:tcPr>
            <w:tcW w:w="568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发生质量事故，造成经济损失10万元以上或工期延误</w:t>
            </w:r>
            <w:r>
              <w:rPr>
                <w:rFonts w:hint="eastAsia" w:cs="宋体"/>
                <w:sz w:val="21"/>
                <w:szCs w:val="21"/>
                <w:highlight w:val="none"/>
                <w:lang w:val="en-US" w:eastAsia="zh-CN"/>
              </w:rPr>
              <w:t>7</w:t>
            </w:r>
            <w:r>
              <w:rPr>
                <w:rFonts w:hint="eastAsia" w:ascii="宋体" w:hAnsi="宋体" w:eastAsia="宋体" w:cs="宋体"/>
                <w:sz w:val="21"/>
                <w:szCs w:val="21"/>
                <w:highlight w:val="none"/>
              </w:rPr>
              <w:t>天以上。</w:t>
            </w:r>
          </w:p>
        </w:tc>
        <w:tc>
          <w:tcPr>
            <w:tcW w:w="2272"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5万元/</w:t>
            </w:r>
            <w:r>
              <w:rPr>
                <w:rFonts w:hint="eastAsia" w:cs="宋体"/>
                <w:sz w:val="21"/>
                <w:szCs w:val="21"/>
                <w:highlight w:val="none"/>
                <w:lang w:val="en-US" w:eastAsia="zh-CN"/>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noWrap w:val="0"/>
            <w:vAlign w:val="center"/>
          </w:tcPr>
          <w:p>
            <w:pPr>
              <w:numPr>
                <w:ilvl w:val="0"/>
                <w:numId w:val="6"/>
              </w:numPr>
              <w:ind w:left="425" w:hanging="425"/>
              <w:jc w:val="center"/>
              <w:rPr>
                <w:rFonts w:hint="default" w:ascii="宋体" w:hAnsi="宋体" w:eastAsia="宋体" w:cs="宋体"/>
                <w:kern w:val="2"/>
                <w:sz w:val="21"/>
                <w:szCs w:val="21"/>
                <w:highlight w:val="none"/>
                <w:lang w:val="en-US" w:eastAsia="zh-CN" w:bidi="ar-SA"/>
              </w:rPr>
            </w:pPr>
          </w:p>
        </w:tc>
        <w:tc>
          <w:tcPr>
            <w:tcW w:w="568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发现重大质量隐患。</w:t>
            </w:r>
          </w:p>
        </w:tc>
        <w:tc>
          <w:tcPr>
            <w:tcW w:w="2272" w:type="dxa"/>
            <w:noWrap w:val="0"/>
            <w:vAlign w:val="center"/>
          </w:tcPr>
          <w:p>
            <w:pPr>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1</w:t>
            </w:r>
            <w:r>
              <w:rPr>
                <w:rFonts w:hint="eastAsia" w:ascii="宋体" w:hAnsi="宋体" w:eastAsia="宋体" w:cs="宋体"/>
                <w:sz w:val="21"/>
                <w:szCs w:val="21"/>
                <w:highlight w:val="none"/>
              </w:rPr>
              <w:t>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noWrap w:val="0"/>
            <w:vAlign w:val="center"/>
          </w:tcPr>
          <w:p>
            <w:pPr>
              <w:numPr>
                <w:ilvl w:val="0"/>
                <w:numId w:val="6"/>
              </w:numPr>
              <w:ind w:left="425" w:hanging="425"/>
              <w:jc w:val="center"/>
              <w:rPr>
                <w:rFonts w:hint="default" w:ascii="宋体" w:hAnsi="宋体" w:eastAsia="宋体" w:cs="宋体"/>
                <w:kern w:val="2"/>
                <w:sz w:val="21"/>
                <w:szCs w:val="21"/>
                <w:highlight w:val="none"/>
                <w:lang w:val="en-US" w:eastAsia="zh-CN" w:bidi="ar-SA"/>
              </w:rPr>
            </w:pPr>
          </w:p>
        </w:tc>
        <w:tc>
          <w:tcPr>
            <w:tcW w:w="568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擅自修改设计并施工。</w:t>
            </w:r>
          </w:p>
        </w:tc>
        <w:tc>
          <w:tcPr>
            <w:tcW w:w="2272"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noWrap w:val="0"/>
            <w:vAlign w:val="center"/>
          </w:tcPr>
          <w:p>
            <w:pPr>
              <w:numPr>
                <w:ilvl w:val="0"/>
                <w:numId w:val="6"/>
              </w:numPr>
              <w:ind w:left="425" w:hanging="425"/>
              <w:jc w:val="center"/>
              <w:rPr>
                <w:rFonts w:hint="default" w:ascii="宋体" w:hAnsi="宋体" w:eastAsia="宋体" w:cs="宋体"/>
                <w:kern w:val="2"/>
                <w:sz w:val="21"/>
                <w:szCs w:val="21"/>
                <w:highlight w:val="none"/>
                <w:lang w:val="en-US" w:eastAsia="zh-CN" w:bidi="ar-SA"/>
              </w:rPr>
            </w:pPr>
          </w:p>
        </w:tc>
        <w:tc>
          <w:tcPr>
            <w:tcW w:w="568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弄虚作假，使用不合格的材料或设备。</w:t>
            </w:r>
          </w:p>
        </w:tc>
        <w:tc>
          <w:tcPr>
            <w:tcW w:w="2272"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noWrap w:val="0"/>
            <w:vAlign w:val="center"/>
          </w:tcPr>
          <w:p>
            <w:pPr>
              <w:numPr>
                <w:ilvl w:val="0"/>
                <w:numId w:val="6"/>
              </w:numPr>
              <w:ind w:left="425" w:hanging="425"/>
              <w:jc w:val="center"/>
              <w:rPr>
                <w:rFonts w:hint="eastAsia" w:ascii="宋体" w:hAnsi="宋体" w:eastAsia="宋体" w:cs="宋体"/>
                <w:kern w:val="2"/>
                <w:sz w:val="21"/>
                <w:szCs w:val="21"/>
                <w:highlight w:val="none"/>
                <w:lang w:val="en-US" w:eastAsia="zh-CN" w:bidi="ar-SA"/>
              </w:rPr>
            </w:pPr>
          </w:p>
        </w:tc>
        <w:tc>
          <w:tcPr>
            <w:tcW w:w="568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被责令停工后仍继续施工或被责令整改，拒不整改或整改后仍不合格。</w:t>
            </w:r>
          </w:p>
        </w:tc>
        <w:tc>
          <w:tcPr>
            <w:tcW w:w="2272"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noWrap w:val="0"/>
            <w:vAlign w:val="center"/>
          </w:tcPr>
          <w:p>
            <w:pPr>
              <w:numPr>
                <w:ilvl w:val="0"/>
                <w:numId w:val="6"/>
              </w:numPr>
              <w:ind w:left="425" w:hanging="425"/>
              <w:jc w:val="center"/>
              <w:rPr>
                <w:rFonts w:hint="eastAsia" w:ascii="宋体" w:hAnsi="宋体" w:eastAsia="宋体" w:cs="宋体"/>
                <w:kern w:val="2"/>
                <w:sz w:val="21"/>
                <w:szCs w:val="21"/>
                <w:highlight w:val="none"/>
                <w:lang w:val="en-US" w:eastAsia="zh-CN" w:bidi="ar-SA"/>
              </w:rPr>
            </w:pPr>
          </w:p>
        </w:tc>
        <w:tc>
          <w:tcPr>
            <w:tcW w:w="568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发生重大质量问题未及时返工。</w:t>
            </w:r>
          </w:p>
        </w:tc>
        <w:tc>
          <w:tcPr>
            <w:tcW w:w="2272" w:type="dxa"/>
            <w:noWrap w:val="0"/>
            <w:vAlign w:val="center"/>
          </w:tcPr>
          <w:p>
            <w:pPr>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2</w:t>
            </w:r>
            <w:r>
              <w:rPr>
                <w:rFonts w:hint="eastAsia" w:ascii="宋体" w:hAnsi="宋体" w:eastAsia="宋体" w:cs="宋体"/>
                <w:sz w:val="21"/>
                <w:szCs w:val="21"/>
                <w:highlight w:val="none"/>
              </w:rPr>
              <w:t>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noWrap w:val="0"/>
            <w:vAlign w:val="center"/>
          </w:tcPr>
          <w:p>
            <w:pPr>
              <w:numPr>
                <w:ilvl w:val="0"/>
                <w:numId w:val="6"/>
              </w:numPr>
              <w:ind w:left="425" w:hanging="425"/>
              <w:jc w:val="center"/>
              <w:rPr>
                <w:rFonts w:hint="eastAsia" w:ascii="宋体" w:hAnsi="宋体" w:eastAsia="宋体" w:cs="宋体"/>
                <w:kern w:val="2"/>
                <w:sz w:val="21"/>
                <w:szCs w:val="21"/>
                <w:highlight w:val="none"/>
                <w:lang w:val="en-US" w:eastAsia="zh-CN" w:bidi="ar-SA"/>
              </w:rPr>
            </w:pPr>
          </w:p>
        </w:tc>
        <w:tc>
          <w:tcPr>
            <w:tcW w:w="568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承包人违章施工或施工质量不符合规范要求，而造成总工程或单项工程的质量事故，承包人须按发包方要求进行整改，费用由承包人承担，工期不予顺延；同时发包方有权单方解除本合同，承包人按以下标准向发包方支付违约金：一般质量安全事故违约金10万元/次，重大质量安全事故违约金50万元/次。</w:t>
            </w:r>
          </w:p>
        </w:tc>
        <w:tc>
          <w:tcPr>
            <w:tcW w:w="2272"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一般质量安全事故：10万元/次；重大质量安全事故：50万元/次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noWrap w:val="0"/>
            <w:vAlign w:val="center"/>
          </w:tcPr>
          <w:p>
            <w:pPr>
              <w:numPr>
                <w:ilvl w:val="0"/>
                <w:numId w:val="6"/>
              </w:numPr>
              <w:ind w:left="425" w:hanging="425"/>
              <w:jc w:val="center"/>
              <w:rPr>
                <w:rFonts w:hint="default" w:ascii="宋体" w:hAnsi="宋体" w:eastAsia="宋体" w:cs="宋体"/>
                <w:kern w:val="2"/>
                <w:sz w:val="21"/>
                <w:szCs w:val="21"/>
                <w:highlight w:val="none"/>
                <w:lang w:val="en-US" w:eastAsia="zh-CN" w:bidi="ar-SA"/>
              </w:rPr>
            </w:pPr>
          </w:p>
        </w:tc>
        <w:tc>
          <w:tcPr>
            <w:tcW w:w="568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质量管理制度不健全或落实不到位，质量管理混乱。</w:t>
            </w:r>
          </w:p>
        </w:tc>
        <w:tc>
          <w:tcPr>
            <w:tcW w:w="2272"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noWrap w:val="0"/>
            <w:vAlign w:val="center"/>
          </w:tcPr>
          <w:p>
            <w:pPr>
              <w:numPr>
                <w:ilvl w:val="0"/>
                <w:numId w:val="6"/>
              </w:numPr>
              <w:ind w:left="425" w:hanging="425"/>
              <w:jc w:val="center"/>
              <w:rPr>
                <w:rFonts w:hint="default" w:ascii="宋体" w:hAnsi="宋体" w:eastAsia="宋体" w:cs="宋体"/>
                <w:sz w:val="21"/>
                <w:szCs w:val="21"/>
                <w:highlight w:val="none"/>
                <w:lang w:val="en-US" w:eastAsia="zh-CN"/>
              </w:rPr>
            </w:pPr>
          </w:p>
        </w:tc>
        <w:tc>
          <w:tcPr>
            <w:tcW w:w="5680"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工程施工过程中出现工程质量问题的，承包人须按发包方要求进行整改，费用由承包人承担，工期不予顺延；质量问题每出现一次，承包人应向发包方支付人民币1万元的违约金，出现三次以上（含三次）的，发包方有权单方解除本合同，合同解除后，对承包人已完成且验收合格的工程量按80%结算，同时承包人向发包方支付合同（暂定）总价20%的违约金。</w:t>
            </w:r>
          </w:p>
        </w:tc>
        <w:tc>
          <w:tcPr>
            <w:tcW w:w="2272"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1万元/次，出现三次以上（含三次）的，支付合同（暂定）总价20%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noWrap w:val="0"/>
            <w:vAlign w:val="center"/>
          </w:tcPr>
          <w:p>
            <w:pPr>
              <w:numPr>
                <w:ilvl w:val="0"/>
                <w:numId w:val="6"/>
              </w:numPr>
              <w:ind w:left="425" w:hanging="425"/>
              <w:jc w:val="center"/>
              <w:rPr>
                <w:rFonts w:hint="default" w:ascii="宋体" w:hAnsi="宋体" w:eastAsia="宋体" w:cs="宋体"/>
                <w:sz w:val="21"/>
                <w:szCs w:val="21"/>
                <w:highlight w:val="none"/>
                <w:lang w:val="en-US" w:eastAsia="zh-CN"/>
              </w:rPr>
            </w:pPr>
          </w:p>
        </w:tc>
        <w:tc>
          <w:tcPr>
            <w:tcW w:w="7952" w:type="dxa"/>
            <w:gridSpan w:val="2"/>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工程竣工验收通过后，承包人不得因经济纠纷而拒绝交付工程，否则视为承包人违约，承包人应按本合同规定的竣工验收日期延误责任向发包人支付违约金，并承担未向发包人移交工程而造成发包人向使用单位交楼时间延误引起的索赔费用和一切责任。发包人有权采取相应措施维护自身的合法权益。</w:t>
            </w:r>
          </w:p>
        </w:tc>
      </w:tr>
    </w:tbl>
    <w:p>
      <w:pPr>
        <w:rPr>
          <w:rFonts w:ascii="宋体" w:hAnsi="宋体"/>
          <w:szCs w:val="21"/>
          <w:highlight w:val="none"/>
        </w:rPr>
      </w:pPr>
    </w:p>
    <w:p>
      <w:pPr>
        <w:rPr>
          <w:rFonts w:hint="eastAsia" w:ascii="宋体" w:hAnsi="宋体" w:eastAsia="宋体" w:cs="Times New Roman"/>
          <w:b/>
          <w:bCs/>
          <w:kern w:val="2"/>
          <w:sz w:val="21"/>
          <w:szCs w:val="21"/>
          <w:highlight w:val="none"/>
          <w:lang w:val="en-US" w:eastAsia="zh-CN" w:bidi="ar-SA"/>
        </w:rPr>
      </w:pPr>
      <w:r>
        <w:rPr>
          <w:rFonts w:hint="eastAsia" w:ascii="宋体" w:hAnsi="宋体" w:eastAsia="宋体" w:cs="Times New Roman"/>
          <w:b/>
          <w:bCs/>
          <w:kern w:val="2"/>
          <w:sz w:val="21"/>
          <w:szCs w:val="21"/>
          <w:highlight w:val="none"/>
          <w:lang w:val="en-US" w:eastAsia="zh-CN" w:bidi="ar-SA"/>
        </w:rPr>
        <w:t>3、现场质量状态罚款细则</w:t>
      </w:r>
    </w:p>
    <w:tbl>
      <w:tblPr>
        <w:tblStyle w:val="17"/>
        <w:tblW w:w="86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683"/>
        <w:gridCol w:w="954"/>
        <w:gridCol w:w="4999"/>
        <w:gridCol w:w="13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637" w:type="dxa"/>
            <w:gridSpan w:val="2"/>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检查项目</w:t>
            </w:r>
          </w:p>
        </w:tc>
        <w:tc>
          <w:tcPr>
            <w:tcW w:w="4999"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质量状态违规行为</w:t>
            </w:r>
          </w:p>
        </w:tc>
        <w:tc>
          <w:tcPr>
            <w:tcW w:w="1337"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违约金</w:t>
            </w:r>
          </w:p>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(元/条.人.处)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restart"/>
            <w:noWrap w:val="0"/>
            <w:vAlign w:val="center"/>
          </w:tcPr>
          <w:p>
            <w:pPr>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1</w:t>
            </w:r>
          </w:p>
        </w:tc>
        <w:tc>
          <w:tcPr>
            <w:tcW w:w="683" w:type="dxa"/>
            <w:vMerge w:val="restart"/>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建筑装饰</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装修</w:t>
            </w:r>
          </w:p>
        </w:tc>
        <w:tc>
          <w:tcPr>
            <w:tcW w:w="954" w:type="dxa"/>
            <w:vMerge w:val="restart"/>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地面、墙面</w:t>
            </w: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地面、墙面面层与基层粘结不牢固，存在空鼓面积超过规范要求的现象</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地面、墙面存在开裂、渗水、起砂等现象</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restart"/>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抹灰</w:t>
            </w: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不同材料交界面抹灰时未张贴加强网，加强网搭接及宽度不符合规范要求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抹灰表面允许偏差超出规范要求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分格缝设置不符合规范要求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有排水要求的部位未按规范及设计要求设置滴水（槽）</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各抹灰层之间及抹灰层与基底之间存在脱层、空鼓、裂缝、色差等现象</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restart"/>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门窗</w:t>
            </w: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门窗洞口预留尺寸不符合图纸设计及规范要求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门窗安装施工顺序及安装方法不符合规范要求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门窗与墙体间隙之间未填嵌密实，塑料门窗填缝未采用密闭胶封闭</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玻璃安装方法不符合设计及规范要求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门窗淋水试验不满足规范要求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特种门的安装方法不符合规范及设计要求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restart"/>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吊顶</w:t>
            </w: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吊顶及相关构配件不符合规范及设计要求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吊杆、龙骨的材质、规格、安装间距及连接方式不符合相关规范及设计要求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吊顶工程中相关构配件未按照规范及设计要求进行防火、防腐、防锈处理</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restart"/>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饰面板（砖）</w:t>
            </w: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饰面板（砖）的规格、颜色和性能不符合规范及设计要求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饰面板安装工程的预埋件、连接件的数量、规格、位置、连接方法、防腐处理不符合设计及规范要求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饰面板（砖）安装不牢固、存在空鼓面积超出规范要求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饰面板（砖）表面存在色差、裂缝</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有排水要求的部位未设置滴水线（槽），泛水坡度不符合设计要求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restart"/>
            <w:noWrap w:val="0"/>
            <w:vAlign w:val="center"/>
          </w:tcPr>
          <w:p>
            <w:pPr>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2</w:t>
            </w:r>
          </w:p>
        </w:tc>
        <w:tc>
          <w:tcPr>
            <w:tcW w:w="683" w:type="dxa"/>
            <w:vMerge w:val="restart"/>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安装工程</w:t>
            </w:r>
          </w:p>
        </w:tc>
        <w:tc>
          <w:tcPr>
            <w:tcW w:w="954" w:type="dxa"/>
            <w:vMerge w:val="restart"/>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建筑给水、排水</w:t>
            </w: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排</w:t>
            </w:r>
            <w:r>
              <w:rPr>
                <w:rFonts w:hint="eastAsia" w:ascii="宋体" w:hAnsi="宋体" w:eastAsia="宋体" w:cs="宋体"/>
                <w:sz w:val="21"/>
                <w:szCs w:val="21"/>
                <w:highlight w:val="none"/>
              </w:rPr>
              <w:t>水管道原材及配件与招标文件及设计要求不相符</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排</w:t>
            </w:r>
            <w:r>
              <w:rPr>
                <w:rFonts w:hint="eastAsia" w:ascii="宋体" w:hAnsi="宋体" w:eastAsia="宋体" w:cs="宋体"/>
                <w:sz w:val="21"/>
                <w:szCs w:val="21"/>
                <w:highlight w:val="none"/>
              </w:rPr>
              <w:t>水管道安装与连接不符合规范及设计要求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隐蔽或埋地排水管道未在隐蔽前做灌水试验</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排水塑料管道在楼板下未设防火圈或防火套管</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消防水管保温施工不符合规范及设计要求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自动喷水灭火系统安装不符合规范及设计要求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restart"/>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通风与空调</w:t>
            </w: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风管原材及配件不满足规范及设计要求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防火风管的本体、框架与固定材料、密封垫料不是不燃材料</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风管制作、安装不符合设计及规范要求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镀锌钢板及各类有保护层的钢板、法兰连接方法不符合规范要求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通风设备安装不符合规范及设计要求，通风系统试验不符合规范及设计要求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restart"/>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建筑电气</w:t>
            </w: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主要设备、材料、成品及半成品与招标文件和设计要求不相符</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电缆、电线穿管的安装不符合规范及设计要求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电气设备安装不符合规范及设计要求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接地线互相连接方式不符合规范及设计要求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金属电缆桥架、线槽等部位未进行接地连接</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电缆桥架安装、铺设不符合要求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穿越不同防火分区的桥架未进行防火分隔</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室外埋地电缆导管埋深不符合规范及设计要求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插座接线、安装高度不符合要求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插座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开关</w:t>
            </w:r>
            <w:r>
              <w:rPr>
                <w:rFonts w:hint="eastAsia" w:ascii="宋体" w:hAnsi="宋体" w:eastAsia="宋体" w:cs="宋体"/>
                <w:sz w:val="21"/>
                <w:szCs w:val="21"/>
                <w:highlight w:val="none"/>
              </w:rPr>
              <w:t>不符合规范及设计要求、盖板固定不牢固</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电线未按规范要求进行复试合格</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火灾自动报警系统及相关配件安装不符合规范及设计要求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人防工程中所涉及的密闭穿墙短管的制作及安装不符合规范及设计要求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电气系统试验不符合规范及设计要求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restart"/>
            <w:noWrap w:val="0"/>
            <w:vAlign w:val="center"/>
          </w:tcPr>
          <w:p>
            <w:pPr>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3</w:t>
            </w:r>
          </w:p>
        </w:tc>
        <w:tc>
          <w:tcPr>
            <w:tcW w:w="683" w:type="dxa"/>
            <w:vMerge w:val="restart"/>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建筑节能</w:t>
            </w:r>
          </w:p>
        </w:tc>
        <w:tc>
          <w:tcPr>
            <w:tcW w:w="954" w:type="dxa"/>
            <w:vMerge w:val="restart"/>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墙体、屋面、门窗、地面节能工程</w:t>
            </w: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建筑节能工程施工前未进行样板制作、样板未验收</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建筑节能材料不符合规范及设计要求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保温材料的厚度不符合设计要求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建筑节能施工方法不满足规范就设计要求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建筑节能材料采用预埋或后置锚固件固定时，不符合规范及设计要求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建筑节能的板缝处理、构造节点及嵌缝做法等细部构造不符合设计及规范要求</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热桥部位未按设计要求采取隔断热桥措施</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hint="eastAsia" w:ascii="宋体" w:hAnsi="宋体" w:eastAsia="宋体" w:cs="宋体"/>
                <w:sz w:val="21"/>
                <w:szCs w:val="21"/>
                <w:highlight w:val="none"/>
              </w:rPr>
            </w:pPr>
          </w:p>
        </w:tc>
        <w:tc>
          <w:tcPr>
            <w:tcW w:w="954" w:type="dxa"/>
            <w:vMerge w:val="continue"/>
            <w:noWrap w:val="0"/>
            <w:vAlign w:val="center"/>
          </w:tcPr>
          <w:p>
            <w:pPr>
              <w:rPr>
                <w:rFonts w:hint="eastAsia" w:ascii="宋体" w:hAnsi="宋体" w:eastAsia="宋体" w:cs="宋体"/>
                <w:sz w:val="21"/>
                <w:szCs w:val="21"/>
                <w:highlight w:val="none"/>
              </w:rPr>
            </w:pPr>
          </w:p>
        </w:tc>
        <w:tc>
          <w:tcPr>
            <w:tcW w:w="499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表层砂浆抹压不密实</w:t>
            </w:r>
          </w:p>
        </w:tc>
        <w:tc>
          <w:tcPr>
            <w:tcW w:w="133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r>
    </w:tbl>
    <w:p>
      <w:pPr>
        <w:rPr>
          <w:rFonts w:ascii="宋体" w:hAnsi="宋体"/>
          <w:szCs w:val="21"/>
          <w:highlight w:val="none"/>
        </w:rPr>
      </w:pPr>
    </w:p>
    <w:p>
      <w:pPr>
        <w:rPr>
          <w:rFonts w:ascii="宋体" w:hAnsi="宋体"/>
          <w:b/>
          <w:bCs/>
          <w:szCs w:val="21"/>
          <w:highlight w:val="none"/>
        </w:rPr>
      </w:pPr>
      <w:bookmarkStart w:id="1087" w:name="_Toc21925"/>
      <w:bookmarkStart w:id="1088" w:name="_Hlk128750319"/>
      <w:r>
        <w:rPr>
          <w:rFonts w:hint="eastAsia" w:ascii="宋体" w:hAnsi="宋体" w:eastAsia="宋体" w:cs="Times New Roman"/>
          <w:b/>
          <w:bCs/>
          <w:kern w:val="2"/>
          <w:sz w:val="21"/>
          <w:szCs w:val="21"/>
          <w:highlight w:val="none"/>
          <w:lang w:val="en-US" w:eastAsia="zh-CN" w:bidi="ar-SA"/>
        </w:rPr>
        <w:t>4、进度管理处罚细则</w:t>
      </w:r>
      <w:bookmarkEnd w:id="1087"/>
    </w:p>
    <w:tbl>
      <w:tblPr>
        <w:tblStyle w:val="17"/>
        <w:tblW w:w="86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9"/>
        <w:gridCol w:w="6159"/>
        <w:gridCol w:w="1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6159"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进度管理违规行为</w:t>
            </w:r>
          </w:p>
        </w:tc>
        <w:tc>
          <w:tcPr>
            <w:tcW w:w="1812"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违约金</w:t>
            </w:r>
          </w:p>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(元/条.人.处)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15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承包人在进场后15天内未能完成施工总进度计划编制，并提交监理及发包人审查。</w:t>
            </w:r>
          </w:p>
        </w:tc>
        <w:tc>
          <w:tcPr>
            <w:tcW w:w="1812" w:type="dxa"/>
            <w:noWrap w:val="0"/>
            <w:vAlign w:val="center"/>
          </w:tcPr>
          <w:p>
            <w:pPr>
              <w:rPr>
                <w:rFonts w:hint="eastAsia" w:ascii="宋体" w:hAnsi="宋体" w:eastAsia="宋体" w:cs="宋体"/>
                <w:sz w:val="21"/>
                <w:szCs w:val="21"/>
                <w:highlight w:val="none"/>
              </w:rPr>
            </w:pPr>
            <w:r>
              <w:rPr>
                <w:rFonts w:hint="eastAsia" w:cs="宋体"/>
                <w:sz w:val="21"/>
                <w:szCs w:val="21"/>
                <w:highlight w:val="none"/>
                <w:lang w:val="en-US" w:eastAsia="zh-CN"/>
              </w:rPr>
              <w:t>2</w:t>
            </w:r>
            <w:r>
              <w:rPr>
                <w:rFonts w:hint="eastAsia" w:ascii="宋体" w:hAnsi="宋体" w:eastAsia="宋体" w:cs="宋体"/>
                <w:sz w:val="21"/>
                <w:szCs w:val="21"/>
                <w:highlight w:val="none"/>
              </w:rPr>
              <w:t>000元/天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615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周例会召开前一天17：00前未按要求提交周报告和下周施工计划；每月24日上午10：00前未提交本月月报及下月月施工计划。</w:t>
            </w:r>
          </w:p>
        </w:tc>
        <w:tc>
          <w:tcPr>
            <w:tcW w:w="1812"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615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周施工计划与月计划不符；月计划与阶段计划不符，对总工期及关键线路有影响，经提醒未在限期内整改。</w:t>
            </w:r>
          </w:p>
        </w:tc>
        <w:tc>
          <w:tcPr>
            <w:tcW w:w="1812"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615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由于承包人原因，周、月、阶段施工计划没有完成，且未采取有效的赶工措施。</w:t>
            </w:r>
          </w:p>
        </w:tc>
        <w:tc>
          <w:tcPr>
            <w:tcW w:w="1812" w:type="dxa"/>
            <w:noWrap w:val="0"/>
            <w:vAlign w:val="center"/>
          </w:tcPr>
          <w:p>
            <w:pPr>
              <w:rPr>
                <w:rFonts w:hint="eastAsia" w:ascii="宋体" w:hAnsi="宋体" w:eastAsia="宋体" w:cs="宋体"/>
                <w:sz w:val="21"/>
                <w:szCs w:val="21"/>
                <w:highlight w:val="none"/>
              </w:rPr>
            </w:pPr>
            <w:r>
              <w:rPr>
                <w:rFonts w:hint="eastAsia" w:cs="宋体"/>
                <w:sz w:val="21"/>
                <w:szCs w:val="21"/>
                <w:highlight w:val="none"/>
                <w:lang w:val="en-US" w:eastAsia="zh-CN"/>
              </w:rPr>
              <w:t>2000</w:t>
            </w:r>
            <w:r>
              <w:rPr>
                <w:rFonts w:hint="eastAsia" w:ascii="宋体" w:hAnsi="宋体" w:eastAsia="宋体" w:cs="宋体"/>
                <w:sz w:val="21"/>
                <w:szCs w:val="21"/>
                <w:highlight w:val="none"/>
              </w:rPr>
              <w:t>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615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由于承包人原因，承包人连续两个月未能完成月计划进度的施工。</w:t>
            </w:r>
          </w:p>
        </w:tc>
        <w:tc>
          <w:tcPr>
            <w:tcW w:w="1812" w:type="dxa"/>
            <w:noWrap w:val="0"/>
            <w:vAlign w:val="center"/>
          </w:tcPr>
          <w:p>
            <w:pPr>
              <w:rPr>
                <w:rFonts w:hint="eastAsia" w:ascii="宋体" w:hAnsi="宋体" w:eastAsia="宋体" w:cs="宋体"/>
                <w:sz w:val="21"/>
                <w:szCs w:val="21"/>
                <w:highlight w:val="none"/>
              </w:rPr>
            </w:pPr>
            <w:r>
              <w:rPr>
                <w:rFonts w:hint="eastAsia" w:cs="宋体"/>
                <w:sz w:val="21"/>
                <w:szCs w:val="21"/>
                <w:highlight w:val="none"/>
                <w:lang w:val="en-US" w:eastAsia="zh-CN"/>
              </w:rPr>
              <w:t>5000</w:t>
            </w:r>
            <w:r>
              <w:rPr>
                <w:rFonts w:hint="eastAsia" w:ascii="宋体" w:hAnsi="宋体" w:eastAsia="宋体" w:cs="宋体"/>
                <w:sz w:val="21"/>
                <w:szCs w:val="21"/>
                <w:highlight w:val="none"/>
              </w:rPr>
              <w:t>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615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机械设备未按发包人、监理审批进场，进、退场未及时报审</w:t>
            </w:r>
          </w:p>
        </w:tc>
        <w:tc>
          <w:tcPr>
            <w:tcW w:w="1812"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615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延误或不执行工程师指示造成质量、安全隐患。</w:t>
            </w:r>
          </w:p>
        </w:tc>
        <w:tc>
          <w:tcPr>
            <w:tcW w:w="1812"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615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擅自停工。</w:t>
            </w:r>
          </w:p>
        </w:tc>
        <w:tc>
          <w:tcPr>
            <w:tcW w:w="1812" w:type="dxa"/>
            <w:noWrap w:val="0"/>
            <w:vAlign w:val="center"/>
          </w:tcPr>
          <w:p>
            <w:pPr>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2</w:t>
            </w:r>
            <w:r>
              <w:rPr>
                <w:rFonts w:hint="eastAsia" w:ascii="宋体" w:hAnsi="宋体" w:eastAsia="宋体" w:cs="宋体"/>
                <w:sz w:val="21"/>
                <w:szCs w:val="21"/>
                <w:highlight w:val="none"/>
              </w:rPr>
              <w:t>万元/</w:t>
            </w:r>
            <w:r>
              <w:rPr>
                <w:rFonts w:hint="eastAsia" w:ascii="宋体" w:hAnsi="宋体" w:eastAsia="宋体" w:cs="宋体"/>
                <w:sz w:val="21"/>
                <w:szCs w:val="21"/>
                <w:highlight w:val="none"/>
                <w:lang w:val="en-US" w:eastAsia="zh-CN"/>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noWrap w:val="0"/>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7971" w:type="dxa"/>
            <w:gridSpan w:val="2"/>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罚金根据目标考核结果和实际工作完成情况于当期进度款支付时一并支付（扣除）。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6159"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双方在本合同履行过程中，若产生争议、纠纷（包括但不限于对本合同条款的理解、施工图预算、工程款的支付、工程签证、工程承包范围等存在争议），争议、纠纷的解决不得影响工程的进度，</w:t>
            </w:r>
            <w:r>
              <w:rPr>
                <w:rFonts w:hint="eastAsia" w:ascii="宋体" w:hAnsi="宋体" w:eastAsia="宋体" w:cs="宋体"/>
                <w:sz w:val="21"/>
                <w:szCs w:val="21"/>
                <w:highlight w:val="none"/>
                <w:lang w:val="en-US" w:eastAsia="zh-CN"/>
              </w:rPr>
              <w:t>如</w:t>
            </w:r>
            <w:r>
              <w:rPr>
                <w:rFonts w:hint="eastAsia" w:ascii="宋体" w:hAnsi="宋体" w:eastAsia="宋体" w:cs="宋体"/>
                <w:sz w:val="21"/>
                <w:szCs w:val="21"/>
                <w:highlight w:val="none"/>
              </w:rPr>
              <w:t>承包人</w:t>
            </w:r>
            <w:r>
              <w:rPr>
                <w:rFonts w:hint="eastAsia" w:ascii="宋体" w:hAnsi="宋体" w:eastAsia="宋体" w:cs="宋体"/>
                <w:sz w:val="21"/>
                <w:szCs w:val="21"/>
                <w:highlight w:val="none"/>
                <w:lang w:val="en-US" w:eastAsia="zh-CN"/>
              </w:rPr>
              <w:t>出现</w:t>
            </w:r>
            <w:r>
              <w:rPr>
                <w:rFonts w:hint="eastAsia" w:ascii="宋体" w:hAnsi="宋体" w:eastAsia="宋体" w:cs="宋体"/>
                <w:sz w:val="21"/>
                <w:szCs w:val="21"/>
                <w:highlight w:val="none"/>
              </w:rPr>
              <w:t>消极怠工、擅自停工等行为</w:t>
            </w:r>
            <w:r>
              <w:rPr>
                <w:rFonts w:hint="eastAsia" w:ascii="宋体" w:hAnsi="宋体" w:eastAsia="宋体" w:cs="宋体"/>
                <w:sz w:val="21"/>
                <w:szCs w:val="21"/>
                <w:highlight w:val="none"/>
                <w:lang w:eastAsia="zh-CN"/>
              </w:rPr>
              <w:t>。</w:t>
            </w:r>
          </w:p>
        </w:tc>
        <w:tc>
          <w:tcPr>
            <w:tcW w:w="1812" w:type="dxa"/>
            <w:noWrap w:val="0"/>
            <w:vAlign w:val="center"/>
          </w:tcPr>
          <w:p>
            <w:pPr>
              <w:rPr>
                <w:rFonts w:hint="eastAsia" w:ascii="宋体" w:hAnsi="宋体" w:eastAsia="宋体" w:cs="宋体"/>
                <w:sz w:val="21"/>
                <w:szCs w:val="21"/>
                <w:highlight w:val="none"/>
              </w:rPr>
            </w:pPr>
            <w:r>
              <w:rPr>
                <w:rFonts w:hint="eastAsia" w:cs="宋体"/>
                <w:sz w:val="21"/>
                <w:szCs w:val="21"/>
                <w:highlight w:val="none"/>
                <w:lang w:val="en-US" w:eastAsia="zh-CN"/>
              </w:rPr>
              <w:t>2</w:t>
            </w:r>
            <w:r>
              <w:rPr>
                <w:rFonts w:hint="eastAsia" w:ascii="宋体" w:hAnsi="宋体" w:eastAsia="宋体" w:cs="宋体"/>
                <w:sz w:val="21"/>
                <w:szCs w:val="21"/>
                <w:highlight w:val="none"/>
              </w:rPr>
              <w:t>万元/天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Merge w:val="restart"/>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里程碑节点计划</w:t>
            </w:r>
          </w:p>
        </w:tc>
        <w:tc>
          <w:tcPr>
            <w:tcW w:w="615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项目开工节点计划未完成</w:t>
            </w:r>
          </w:p>
        </w:tc>
        <w:tc>
          <w:tcPr>
            <w:tcW w:w="1812" w:type="dxa"/>
            <w:vMerge w:val="restart"/>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任一节点中每逾期1天向发包人支付</w:t>
            </w:r>
            <w:r>
              <w:rPr>
                <w:rFonts w:hint="eastAsia" w:cs="宋体"/>
                <w:sz w:val="21"/>
                <w:szCs w:val="21"/>
                <w:highlight w:val="none"/>
                <w:lang w:val="en-US" w:eastAsia="zh-CN"/>
              </w:rPr>
              <w:t>0.5</w:t>
            </w:r>
            <w:r>
              <w:rPr>
                <w:rFonts w:hint="eastAsia" w:ascii="宋体" w:hAnsi="宋体" w:eastAsia="宋体" w:cs="宋体"/>
                <w:sz w:val="21"/>
                <w:szCs w:val="21"/>
                <w:highlight w:val="none"/>
              </w:rPr>
              <w:t>万违约金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Merge w:val="continue"/>
            <w:noWrap w:val="0"/>
            <w:vAlign w:val="center"/>
          </w:tcPr>
          <w:p>
            <w:pPr>
              <w:jc w:val="center"/>
              <w:rPr>
                <w:rFonts w:hint="eastAsia" w:ascii="宋体" w:hAnsi="宋体" w:eastAsia="宋体" w:cs="宋体"/>
                <w:sz w:val="21"/>
                <w:szCs w:val="21"/>
                <w:highlight w:val="none"/>
              </w:rPr>
            </w:pPr>
          </w:p>
        </w:tc>
        <w:tc>
          <w:tcPr>
            <w:tcW w:w="615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项目竣工节点未完成</w:t>
            </w:r>
          </w:p>
        </w:tc>
        <w:tc>
          <w:tcPr>
            <w:tcW w:w="1812" w:type="dxa"/>
            <w:vMerge w:val="continue"/>
            <w:noWrap w:val="0"/>
            <w:vAlign w:val="center"/>
          </w:tcPr>
          <w:p>
            <w:pPr>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撤场管理</w:t>
            </w:r>
          </w:p>
        </w:tc>
        <w:tc>
          <w:tcPr>
            <w:tcW w:w="6159"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承包人逾期完成撤场约定工作</w:t>
            </w:r>
          </w:p>
        </w:tc>
        <w:tc>
          <w:tcPr>
            <w:tcW w:w="1812" w:type="dxa"/>
            <w:noWrap w:val="0"/>
            <w:vAlign w:val="center"/>
          </w:tcPr>
          <w:p>
            <w:pPr>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0.5万</w:t>
            </w:r>
            <w:r>
              <w:rPr>
                <w:rFonts w:hint="eastAsia" w:ascii="宋体" w:hAnsi="宋体" w:eastAsia="宋体" w:cs="宋体"/>
                <w:sz w:val="21"/>
                <w:szCs w:val="21"/>
                <w:highlight w:val="none"/>
              </w:rPr>
              <w:t>元/</w:t>
            </w:r>
            <w:r>
              <w:rPr>
                <w:rFonts w:hint="eastAsia" w:ascii="宋体" w:hAnsi="宋体" w:eastAsia="宋体" w:cs="宋体"/>
                <w:sz w:val="21"/>
                <w:szCs w:val="21"/>
                <w:highlight w:val="none"/>
                <w:lang w:val="en-US" w:eastAsia="zh-CN"/>
              </w:rPr>
              <w:t>天</w:t>
            </w:r>
          </w:p>
        </w:tc>
      </w:tr>
    </w:tbl>
    <w:p>
      <w:pPr>
        <w:rPr>
          <w:rFonts w:ascii="宋体" w:hAnsi="宋体"/>
          <w:szCs w:val="21"/>
          <w:highlight w:val="none"/>
        </w:rPr>
      </w:pPr>
    </w:p>
    <w:bookmarkEnd w:id="1088"/>
    <w:p>
      <w:pPr>
        <w:rPr>
          <w:rFonts w:ascii="宋体" w:hAnsi="宋体"/>
          <w:b/>
          <w:bCs/>
          <w:szCs w:val="21"/>
          <w:highlight w:val="none"/>
        </w:rPr>
      </w:pPr>
      <w:bookmarkStart w:id="1089" w:name="_Toc7128"/>
      <w:r>
        <w:rPr>
          <w:rFonts w:hint="eastAsia" w:ascii="宋体" w:hAnsi="宋体" w:eastAsia="宋体" w:cs="Times New Roman"/>
          <w:b/>
          <w:bCs/>
          <w:kern w:val="2"/>
          <w:sz w:val="21"/>
          <w:szCs w:val="21"/>
          <w:highlight w:val="none"/>
          <w:lang w:val="en-US" w:eastAsia="zh-CN" w:bidi="ar-SA"/>
        </w:rPr>
        <w:t>5、工程资料管理罚款细则</w:t>
      </w:r>
      <w:bookmarkEnd w:id="1089"/>
    </w:p>
    <w:tbl>
      <w:tblPr>
        <w:tblStyle w:val="17"/>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6177"/>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61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罚款条例</w:t>
            </w:r>
          </w:p>
        </w:tc>
        <w:tc>
          <w:tcPr>
            <w:tcW w:w="17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罚款额度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17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对发包人或监理人发出的整改通知单未及时整改或整改不力且未回复。</w:t>
            </w:r>
          </w:p>
        </w:tc>
        <w:tc>
          <w:tcPr>
            <w:tcW w:w="179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93"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6177" w:type="dxa"/>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未按要求及时提交施工管理和技术资料。</w:t>
            </w:r>
          </w:p>
        </w:tc>
        <w:tc>
          <w:tcPr>
            <w:tcW w:w="1790" w:type="dxa"/>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w:t>
            </w:r>
            <w:r>
              <w:rPr>
                <w:rFonts w:hint="eastAsia" w:cs="宋体"/>
                <w:sz w:val="21"/>
                <w:szCs w:val="21"/>
                <w:highlight w:val="none"/>
                <w:lang w:val="en-US" w:eastAsia="zh-CN"/>
              </w:rPr>
              <w:t>元</w:t>
            </w:r>
            <w:r>
              <w:rPr>
                <w:rFonts w:hint="eastAsia" w:ascii="宋体" w:hAnsi="宋体" w:eastAsia="宋体" w:cs="宋体"/>
                <w:sz w:val="21"/>
                <w:szCs w:val="21"/>
                <w:highlight w:val="non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693"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6177" w:type="dxa"/>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经发包人或监理人组织检查，工程档案资料未能随工程施工进度同步收集整理，且承包人拒不整改或整改不合格。</w:t>
            </w:r>
          </w:p>
        </w:tc>
        <w:tc>
          <w:tcPr>
            <w:tcW w:w="1790" w:type="dxa"/>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93"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6177" w:type="dxa"/>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归档的技术质保资料不真实，不准确。</w:t>
            </w:r>
          </w:p>
        </w:tc>
        <w:tc>
          <w:tcPr>
            <w:tcW w:w="1790" w:type="dxa"/>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cs="宋体"/>
                <w:sz w:val="21"/>
                <w:szCs w:val="21"/>
                <w:highlight w:val="none"/>
                <w:lang w:val="en-US" w:eastAsia="zh-CN"/>
              </w:rPr>
              <w:t>1</w:t>
            </w:r>
            <w:r>
              <w:rPr>
                <w:rFonts w:hint="eastAsia" w:ascii="宋体" w:hAnsi="宋体" w:eastAsia="宋体" w:cs="宋体"/>
                <w:sz w:val="21"/>
                <w:szCs w:val="21"/>
                <w:highlight w:val="none"/>
              </w:rPr>
              <w:t>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617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单位工程竣工后，承包人未将竣工资料按时移交至</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rPr>
              <w:t>。</w:t>
            </w:r>
          </w:p>
        </w:tc>
        <w:tc>
          <w:tcPr>
            <w:tcW w:w="179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cs="宋体"/>
                <w:sz w:val="21"/>
                <w:szCs w:val="21"/>
                <w:highlight w:val="none"/>
                <w:lang w:val="en-US" w:eastAsia="zh-CN"/>
              </w:rPr>
              <w:t>2</w:t>
            </w:r>
            <w:r>
              <w:rPr>
                <w:rFonts w:hint="eastAsia" w:ascii="宋体" w:hAnsi="宋体" w:eastAsia="宋体" w:cs="宋体"/>
                <w:sz w:val="21"/>
                <w:szCs w:val="21"/>
                <w:highlight w:val="none"/>
              </w:rPr>
              <w:t>000元/单位工程·天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617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项目经理及项目技术负责人签署的文件和资料不得代签，一经发现，监理人和发包人有权拒收并视为承包人违约</w:t>
            </w:r>
            <w:r>
              <w:rPr>
                <w:rFonts w:hint="eastAsia" w:ascii="宋体" w:hAnsi="宋体" w:eastAsia="宋体" w:cs="宋体"/>
                <w:sz w:val="21"/>
                <w:szCs w:val="21"/>
                <w:highlight w:val="none"/>
                <w:lang w:eastAsia="zh-CN"/>
              </w:rPr>
              <w:t>。</w:t>
            </w:r>
          </w:p>
        </w:tc>
        <w:tc>
          <w:tcPr>
            <w:tcW w:w="179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2</w:t>
            </w:r>
            <w:r>
              <w:rPr>
                <w:rFonts w:hint="eastAsia" w:ascii="宋体" w:hAnsi="宋体" w:eastAsia="宋体" w:cs="宋体"/>
                <w:sz w:val="21"/>
                <w:szCs w:val="21"/>
                <w:highlight w:val="none"/>
                <w:lang w:val="en-US" w:eastAsia="zh-CN"/>
              </w:rPr>
              <w:t>000元/次</w:t>
            </w:r>
          </w:p>
        </w:tc>
      </w:tr>
    </w:tbl>
    <w:p/>
    <w:p>
      <w:pPr>
        <w:pStyle w:val="20"/>
        <w:snapToGrid w:val="0"/>
        <w:spacing w:line="360" w:lineRule="auto"/>
        <w:rPr>
          <w:rFonts w:hint="eastAsia" w:ascii="宋体" w:hAnsi="宋体" w:eastAsia="宋体"/>
          <w:b/>
          <w:bCs/>
          <w:color w:val="000000"/>
          <w:kern w:val="0"/>
          <w:szCs w:val="21"/>
          <w:highlight w:val="none"/>
          <w:lang w:val="en-US" w:eastAsia="zh-CN"/>
        </w:rPr>
      </w:pPr>
      <w:r>
        <w:rPr>
          <w:rFonts w:hint="eastAsia" w:ascii="宋体" w:hAnsi="宋体" w:eastAsia="宋体" w:cs="Times New Roman"/>
          <w:b/>
          <w:bCs/>
          <w:kern w:val="2"/>
          <w:sz w:val="21"/>
          <w:szCs w:val="21"/>
          <w:highlight w:val="none"/>
          <w:lang w:val="en-US" w:eastAsia="zh-CN" w:bidi="ar-SA"/>
        </w:rPr>
        <w:t>6、工程安全文明施</w:t>
      </w:r>
      <w:r>
        <w:rPr>
          <w:rFonts w:hint="eastAsia" w:ascii="宋体" w:hAnsi="宋体"/>
          <w:b/>
          <w:bCs/>
          <w:szCs w:val="21"/>
          <w:highlight w:val="none"/>
        </w:rPr>
        <w:t>工管理罚款细则</w:t>
      </w:r>
    </w:p>
    <w:tbl>
      <w:tblPr>
        <w:tblStyle w:val="17"/>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625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违约事项</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罚款金额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未实现施工承包合同文件中已经明确的本工程安全文明施工目标</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按承包合同总价的1%或合同规定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未按时、按要求上报安全方案和《安全生产管理承诺书》、《消防安全管理承诺书》</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cs="宋体"/>
                <w:sz w:val="21"/>
                <w:szCs w:val="21"/>
                <w:highlight w:val="none"/>
                <w:lang w:val="en-US" w:eastAsia="zh-CN"/>
              </w:rPr>
              <w:t>2</w:t>
            </w:r>
            <w:r>
              <w:rPr>
                <w:rFonts w:hint="eastAsia" w:ascii="宋体" w:hAnsi="宋体" w:eastAsia="宋体" w:cs="宋体"/>
                <w:sz w:val="21"/>
                <w:szCs w:val="21"/>
                <w:highlight w:val="none"/>
              </w:rPr>
              <w:t>000元/日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工地现场发生轻微（未造成重伤或死亡）安全事故</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1</w:t>
            </w:r>
            <w:r>
              <w:rPr>
                <w:rFonts w:hint="eastAsia" w:ascii="宋体" w:hAnsi="宋体" w:eastAsia="宋体" w:cs="宋体"/>
                <w:sz w:val="21"/>
                <w:szCs w:val="21"/>
                <w:highlight w:val="none"/>
                <w:lang w:val="en-US" w:eastAsia="zh-CN"/>
              </w:rPr>
              <w:t>万</w:t>
            </w:r>
            <w:r>
              <w:rPr>
                <w:rFonts w:hint="eastAsia" w:ascii="宋体" w:hAnsi="宋体" w:eastAsia="宋体" w:cs="宋体"/>
                <w:sz w:val="21"/>
                <w:szCs w:val="21"/>
                <w:highlight w:val="none"/>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使用不合格施工机械、未验收或者验收不合格的脚手架、模板、自升式架设设施或施工材料未进行送检</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发生安全事故隐瞒不报</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施工现场未按要求做到工完场清，未及时清理各楼层内的</w:t>
            </w:r>
            <w:r>
              <w:rPr>
                <w:rFonts w:hint="eastAsia" w:ascii="宋体" w:hAnsi="宋体" w:eastAsia="宋体" w:cs="宋体"/>
                <w:sz w:val="21"/>
                <w:szCs w:val="21"/>
                <w:highlight w:val="none"/>
                <w:lang w:val="en-US" w:eastAsia="zh-CN"/>
              </w:rPr>
              <w:t>建材</w:t>
            </w:r>
            <w:r>
              <w:rPr>
                <w:rFonts w:hint="eastAsia" w:ascii="宋体" w:hAnsi="宋体" w:eastAsia="宋体" w:cs="宋体"/>
                <w:sz w:val="21"/>
                <w:szCs w:val="21"/>
                <w:highlight w:val="none"/>
              </w:rPr>
              <w:t>、架管、架料和建筑垃圾等，并将清运垃圾到指定地点堆放</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施工现场除集中堆放点外建筑垃圾未清理或通知后当天内仍不处理。</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现场工人直接向窗外抛洒建筑垃圾或其他物品。</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施工现场有违反安全作业规范（如不戴安全帽、高空作业不系安全带等）的行为。</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2</w:t>
            </w:r>
            <w:r>
              <w:rPr>
                <w:rFonts w:hint="eastAsia" w:ascii="宋体" w:hAnsi="宋体" w:eastAsia="宋体" w:cs="宋体"/>
                <w:sz w:val="21"/>
                <w:szCs w:val="21"/>
                <w:highlight w:val="none"/>
              </w:rPr>
              <w:t>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未按规定要求和指定时限整改安全隐患</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5</w:t>
            </w:r>
            <w:r>
              <w:rPr>
                <w:rFonts w:hint="eastAsia" w:ascii="宋体" w:hAnsi="宋体" w:eastAsia="宋体" w:cs="宋体"/>
                <w:sz w:val="21"/>
                <w:szCs w:val="21"/>
                <w:highlight w:val="none"/>
              </w:rPr>
              <w:t>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临时用电未使用合格电力电缆，接入设备或配电箱的电线电缆不规范。</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500元/处，每拖延一天整改增加200元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现场临时用电配电箱不符合要求，如：无工作零线端子、无保护接地端子或保护接头老化，非三相五线制、非一机一闸一漏电、开关无盖、配电箱无箱门，无防雨措施等</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500元/项（条），每拖延一天整改增加100元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施工现场的库房、机械设备、材料、成品、半成品、模板、脚手工具、加工场地、办公室等未按统一规划实施，且未在通知限定期限整改</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1000元/处·天，每拖延一天整改增加200元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发现“三宝、四口、五临边”、升降机、塔吊操作、安全用电、现场配置及高空作业等不符合检查标准，且经通知后未整改完成</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500/项，每拖延一天整改增加200元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施工区住人（未经发包人批准）</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1000元/天·人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施工人员聚众闹事、打架斗殴的</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1万</w:t>
            </w:r>
            <w:r>
              <w:rPr>
                <w:rFonts w:hint="eastAsia" w:ascii="宋体" w:hAnsi="宋体" w:eastAsia="宋体" w:cs="宋体"/>
                <w:sz w:val="21"/>
                <w:szCs w:val="21"/>
                <w:highlight w:val="none"/>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特种作业未持主管部门颁发之上岗证</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1000</w:t>
            </w:r>
            <w:r>
              <w:rPr>
                <w:rFonts w:hint="eastAsia" w:ascii="宋体" w:hAnsi="宋体" w:eastAsia="宋体" w:cs="宋体"/>
                <w:sz w:val="21"/>
                <w:szCs w:val="21"/>
                <w:highlight w:val="none"/>
              </w:rPr>
              <w:t>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在禁烟区吸烟的；管理人员吸烟加倍处理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且</w:t>
            </w:r>
            <w:r>
              <w:rPr>
                <w:rFonts w:hint="eastAsia" w:ascii="宋体" w:hAnsi="宋体" w:eastAsia="宋体" w:cs="宋体"/>
                <w:sz w:val="21"/>
                <w:szCs w:val="21"/>
                <w:highlight w:val="none"/>
              </w:rPr>
              <w:t>未按要求设置</w:t>
            </w:r>
            <w:r>
              <w:rPr>
                <w:rFonts w:hint="eastAsia" w:ascii="宋体" w:hAnsi="宋体" w:eastAsia="宋体" w:cs="宋体"/>
                <w:sz w:val="21"/>
                <w:szCs w:val="21"/>
                <w:highlight w:val="none"/>
                <w:lang w:val="en-US" w:eastAsia="zh-CN"/>
              </w:rPr>
              <w:t>临时</w:t>
            </w:r>
            <w:r>
              <w:rPr>
                <w:rFonts w:hint="eastAsia" w:ascii="宋体" w:hAnsi="宋体" w:eastAsia="宋体" w:cs="宋体"/>
                <w:sz w:val="21"/>
                <w:szCs w:val="21"/>
                <w:highlight w:val="none"/>
              </w:rPr>
              <w:t>吸烟区。</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酒后上工地</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专用电机未配备专用开关箱或进行不符合要求的施工作业</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使用未通过安装验收的电机设备</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易燃、易爆、易腐蚀及有毒物品未隔离存放</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危险物品存放未明示警戒标志</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危险作业未作书面的安全技术交底（签字记录）</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仓库、生活区、施工区未配来火器材或数量不足</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动火作业、防火措施不完善或未经审批私自进行明火施工</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1000元,每拖延一天整改增加200元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失效灭火器材未及时更换</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未经批准私自拆除安全防护</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2000元,每拖延一天整改增加200元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集中的安全活动(例会、检查等)无故缺席</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主要通道及施工区照明不足</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1000元,每拖延一天整改增加200元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重大安全、文明活动配合不力</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2</w:t>
            </w:r>
            <w:r>
              <w:rPr>
                <w:rFonts w:hint="eastAsia" w:ascii="宋体" w:hAnsi="宋体" w:eastAsia="宋体" w:cs="宋体"/>
                <w:sz w:val="21"/>
                <w:szCs w:val="21"/>
                <w:highlight w:val="none"/>
                <w:lang w:val="en-US" w:eastAsia="zh-CN"/>
              </w:rPr>
              <w:t>万</w:t>
            </w:r>
            <w:r>
              <w:rPr>
                <w:rFonts w:hint="eastAsia" w:ascii="宋体" w:hAnsi="宋体" w:eastAsia="宋体" w:cs="宋体"/>
                <w:sz w:val="21"/>
                <w:szCs w:val="21"/>
                <w:highlight w:val="none"/>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生活区垃圾没有及时清理或没有及时外运</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5</w:t>
            </w:r>
            <w:r>
              <w:rPr>
                <w:rFonts w:hint="eastAsia" w:ascii="宋体" w:hAnsi="宋体" w:eastAsia="宋体" w:cs="宋体"/>
                <w:sz w:val="21"/>
                <w:szCs w:val="21"/>
                <w:highlight w:val="none"/>
              </w:rPr>
              <w:t>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安全防护用具、机械设备、施工机具及配件在进入施工现场未经查验或者查验不合格即投入使用的</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2000</w:t>
            </w:r>
            <w:r>
              <w:rPr>
                <w:rFonts w:hint="eastAsia" w:ascii="宋体" w:hAnsi="宋体" w:eastAsia="宋体" w:cs="宋体"/>
                <w:sz w:val="21"/>
                <w:szCs w:val="21"/>
                <w:highlight w:val="none"/>
              </w:rPr>
              <w:t>元,每拖延一天整改增加500元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需进行专项认证的危险作业未办理相关手续</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5000</w:t>
            </w:r>
            <w:r>
              <w:rPr>
                <w:rFonts w:hint="eastAsia" w:ascii="宋体" w:hAnsi="宋体" w:eastAsia="宋体" w:cs="宋体"/>
                <w:sz w:val="21"/>
                <w:szCs w:val="21"/>
                <w:highlight w:val="none"/>
              </w:rPr>
              <w:t>元,每拖延一天整改增加1000元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不服从指挥、态度粗鲁、缺乏礼貌</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偷盗或破坏工地公共财产</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5000</w:t>
            </w:r>
            <w:r>
              <w:rPr>
                <w:rFonts w:hint="eastAsia" w:ascii="宋体" w:hAnsi="宋体" w:eastAsia="宋体" w:cs="宋体"/>
                <w:sz w:val="2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在施工现场中随地大小便</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运输砂石、水泥、土方、垃圾等易产生扬尘污染的车辆未封闭严密，未进行车轮清理出工地，对工地大门以外道路造成污染</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1</w:t>
            </w:r>
            <w:r>
              <w:rPr>
                <w:rFonts w:hint="eastAsia" w:ascii="宋体" w:hAnsi="宋体" w:eastAsia="宋体" w:cs="宋体"/>
                <w:sz w:val="21"/>
                <w:szCs w:val="21"/>
                <w:highlight w:val="none"/>
              </w:rPr>
              <w:t>000元,每拖延一天整改增加</w:t>
            </w:r>
            <w:r>
              <w:rPr>
                <w:rFonts w:hint="eastAsia" w:cs="宋体"/>
                <w:sz w:val="21"/>
                <w:szCs w:val="21"/>
                <w:highlight w:val="none"/>
                <w:lang w:val="en-US" w:eastAsia="zh-CN"/>
              </w:rPr>
              <w:t>5</w:t>
            </w:r>
            <w:r>
              <w:rPr>
                <w:rFonts w:hint="eastAsia" w:ascii="宋体" w:hAnsi="宋体" w:eastAsia="宋体" w:cs="宋体"/>
                <w:sz w:val="21"/>
                <w:szCs w:val="21"/>
                <w:highlight w:val="none"/>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不能有效组织现场施工，对于工人的无理取闹行为不能采取有效措施加以制止</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5000</w:t>
            </w:r>
            <w:r>
              <w:rPr>
                <w:rFonts w:hint="eastAsia" w:ascii="宋体" w:hAnsi="宋体" w:eastAsia="宋体" w:cs="宋体"/>
                <w:sz w:val="21"/>
                <w:szCs w:val="21"/>
                <w:highlight w:val="none"/>
              </w:rPr>
              <w:t>元,每拖延一天整改增加1000元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由于承包商原因造成的劳资纠纷、打架斗殴、骚扰、堵截、闹事等未及时解决，给发包人造成不良影响</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万</w:t>
            </w:r>
            <w:r>
              <w:rPr>
                <w:rFonts w:hint="eastAsia" w:ascii="宋体" w:hAnsi="宋体" w:eastAsia="宋体" w:cs="宋体"/>
                <w:sz w:val="2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425" w:leftChars="0" w:hanging="425" w:firstLineChars="0"/>
              <w:jc w:val="center"/>
              <w:rPr>
                <w:rFonts w:hint="eastAsia" w:ascii="宋体" w:hAnsi="宋体" w:eastAsia="宋体" w:cs="宋体"/>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使用未通过安装验收的</w:t>
            </w:r>
            <w:r>
              <w:rPr>
                <w:rFonts w:hint="eastAsia" w:ascii="宋体" w:hAnsi="宋体" w:eastAsia="宋体" w:cs="宋体"/>
                <w:sz w:val="21"/>
                <w:szCs w:val="21"/>
                <w:highlight w:val="none"/>
                <w:lang w:val="en-US" w:eastAsia="zh-CN"/>
              </w:rPr>
              <w:t>吊装、</w:t>
            </w:r>
            <w:r>
              <w:rPr>
                <w:rFonts w:hint="eastAsia" w:ascii="宋体" w:hAnsi="宋体" w:eastAsia="宋体" w:cs="宋体"/>
                <w:sz w:val="21"/>
                <w:szCs w:val="21"/>
                <w:highlight w:val="none"/>
              </w:rPr>
              <w:t>起重设备，设备的运行管理制度不完善，存在较大安全隐患</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5000</w:t>
            </w:r>
            <w:r>
              <w:rPr>
                <w:rFonts w:hint="eastAsia" w:ascii="宋体" w:hAnsi="宋体" w:eastAsia="宋体" w:cs="宋体"/>
                <w:sz w:val="21"/>
                <w:szCs w:val="21"/>
                <w:highlight w:val="none"/>
              </w:rPr>
              <w:t>元,每拖延一天整改增加1000元</w:t>
            </w:r>
          </w:p>
        </w:tc>
      </w:tr>
    </w:tbl>
    <w:p/>
    <w:p>
      <w:r>
        <w:br w:type="page"/>
      </w:r>
    </w:p>
    <w:p>
      <w:pPr>
        <w:widowControl/>
        <w:spacing w:line="360" w:lineRule="auto"/>
        <w:jc w:val="left"/>
        <w:outlineLvl w:val="1"/>
        <w:rPr>
          <w:rFonts w:hint="eastAsia" w:ascii="宋体" w:hAnsi="宋体" w:eastAsia="宋体" w:cs="宋体"/>
          <w:kern w:val="2"/>
          <w:sz w:val="21"/>
          <w:szCs w:val="21"/>
        </w:rPr>
      </w:pPr>
      <w:r>
        <w:rPr>
          <w:rFonts w:hint="eastAsia" w:ascii="宋体" w:hAnsi="宋体" w:eastAsia="宋体" w:cs="宋体"/>
          <w:kern w:val="2"/>
          <w:sz w:val="21"/>
          <w:szCs w:val="21"/>
        </w:rPr>
        <w:t>附件2</w:t>
      </w:r>
    </w:p>
    <w:p>
      <w:pPr>
        <w:widowControl w:val="0"/>
        <w:adjustRightInd w:val="0"/>
        <w:snapToGrid w:val="0"/>
        <w:spacing w:after="200" w:line="360" w:lineRule="auto"/>
        <w:ind w:firstLine="3012" w:firstLineChars="1000"/>
        <w:jc w:val="both"/>
        <w:textAlignment w:val="baseline"/>
        <w:outlineLvl w:val="4"/>
        <w:rPr>
          <w:rFonts w:hint="eastAsia" w:ascii="Times New Roman" w:hAnsi="Times New Roman" w:eastAsia="宋体" w:cs="Times New Roman"/>
          <w:b/>
          <w:kern w:val="2"/>
          <w:sz w:val="30"/>
          <w:szCs w:val="22"/>
        </w:rPr>
      </w:pPr>
      <w:r>
        <w:rPr>
          <w:rFonts w:hint="eastAsia" w:ascii="Times New Roman" w:hAnsi="Times New Roman" w:eastAsia="宋体" w:cs="Times New Roman"/>
          <w:b/>
          <w:kern w:val="2"/>
          <w:sz w:val="30"/>
          <w:szCs w:val="22"/>
        </w:rPr>
        <w:t>主要材料设备限定品牌范围表</w:t>
      </w:r>
    </w:p>
    <w:tbl>
      <w:tblPr>
        <w:tblStyle w:val="17"/>
        <w:tblW w:w="47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2606"/>
        <w:gridCol w:w="5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序号</w:t>
            </w:r>
          </w:p>
        </w:tc>
        <w:tc>
          <w:tcPr>
            <w:tcW w:w="2606"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材料名称</w:t>
            </w:r>
          </w:p>
        </w:tc>
        <w:tc>
          <w:tcPr>
            <w:tcW w:w="5322"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参考品牌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1"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r>
              <w:rPr>
                <w:rFonts w:hint="eastAsia" w:cs="宋体"/>
                <w:b w:val="0"/>
                <w:bCs w:val="0"/>
                <w:sz w:val="21"/>
                <w:szCs w:val="21"/>
                <w:lang w:val="en-US" w:eastAsia="zh-CN"/>
              </w:rPr>
              <w:t>一</w:t>
            </w:r>
            <w:r>
              <w:rPr>
                <w:rFonts w:hint="eastAsia" w:ascii="宋体" w:hAnsi="宋体" w:eastAsia="宋体" w:cs="宋体"/>
                <w:b w:val="0"/>
                <w:bCs w:val="0"/>
                <w:sz w:val="21"/>
                <w:szCs w:val="21"/>
              </w:rPr>
              <w:t>）</w:t>
            </w:r>
          </w:p>
        </w:tc>
        <w:tc>
          <w:tcPr>
            <w:tcW w:w="792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给排水工程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vAlign w:val="center"/>
          </w:tcPr>
          <w:p>
            <w:pPr>
              <w:spacing w:line="500" w:lineRule="exact"/>
              <w:jc w:val="center"/>
              <w:textAlignment w:val="center"/>
              <w:rPr>
                <w:rFonts w:hint="eastAsia" w:ascii="宋体" w:hAnsi="宋体" w:eastAsia="宋体" w:cs="宋体"/>
                <w:b w:val="0"/>
                <w:bCs w:val="0"/>
                <w:sz w:val="21"/>
                <w:szCs w:val="21"/>
                <w:lang w:val="en-US" w:eastAsia="zh-CN" w:bidi="ar-SA"/>
              </w:rPr>
            </w:pPr>
            <w:r>
              <w:rPr>
                <w:rFonts w:hint="eastAsia" w:cs="宋体"/>
                <w:b w:val="0"/>
                <w:bCs w:val="0"/>
                <w:sz w:val="21"/>
                <w:szCs w:val="21"/>
                <w:lang w:val="en-US" w:eastAsia="zh-CN"/>
              </w:rPr>
              <w:t>1</w:t>
            </w:r>
          </w:p>
        </w:tc>
        <w:tc>
          <w:tcPr>
            <w:tcW w:w="260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rPr>
            </w:pPr>
            <w:r>
              <w:rPr>
                <w:color w:val="auto"/>
                <w:sz w:val="21"/>
                <w:szCs w:val="21"/>
              </w:rPr>
              <w:t>柔性离心铸铁排水管</w:t>
            </w:r>
          </w:p>
        </w:tc>
        <w:tc>
          <w:tcPr>
            <w:tcW w:w="5322" w:type="dxa"/>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jc w:val="left"/>
              <w:textAlignment w:val="center"/>
              <w:rPr>
                <w:rFonts w:hint="eastAsia"/>
                <w:color w:val="auto"/>
                <w:sz w:val="21"/>
                <w:szCs w:val="21"/>
                <w:lang w:val="en-US" w:eastAsia="zh-CN"/>
              </w:rPr>
            </w:pPr>
            <w:r>
              <w:rPr>
                <w:color w:val="auto"/>
                <w:sz w:val="21"/>
                <w:szCs w:val="21"/>
              </w:rPr>
              <w:t>泫氏、新兴、金牛</w:t>
            </w:r>
            <w:r>
              <w:rPr>
                <w:rFonts w:hint="eastAsia"/>
                <w:color w:val="auto"/>
                <w:sz w:val="21"/>
                <w:szCs w:val="21"/>
                <w:lang w:eastAsia="zh-CN"/>
              </w:rPr>
              <w:t>、</w:t>
            </w:r>
            <w:r>
              <w:rPr>
                <w:rFonts w:hint="eastAsia"/>
                <w:color w:val="auto"/>
                <w:sz w:val="21"/>
                <w:szCs w:val="21"/>
                <w:lang w:val="en-US" w:eastAsia="zh-CN"/>
              </w:rPr>
              <w:t>河北兴华</w:t>
            </w:r>
          </w:p>
          <w:p>
            <w:pPr>
              <w:keepNext w:val="0"/>
              <w:keepLines w:val="0"/>
              <w:pageBreakBefore w:val="0"/>
              <w:widowControl/>
              <w:numPr>
                <w:ilvl w:val="-1"/>
                <w:numId w:val="0"/>
              </w:numPr>
              <w:kinsoku/>
              <w:wordWrap/>
              <w:overflowPunct/>
              <w:topLinePunct w:val="0"/>
              <w:autoSpaceDE/>
              <w:autoSpaceDN/>
              <w:bidi w:val="0"/>
              <w:adjustRightInd/>
              <w:snapToGrid/>
              <w:spacing w:line="240" w:lineRule="auto"/>
              <w:jc w:val="left"/>
              <w:textAlignment w:val="center"/>
              <w:rPr>
                <w:rFonts w:hint="eastAsia"/>
                <w:color w:val="auto"/>
                <w:sz w:val="21"/>
                <w:szCs w:val="21"/>
                <w:lang w:val="en-US" w:eastAsia="zh-CN"/>
              </w:rPr>
            </w:pPr>
            <w:r>
              <w:rPr>
                <w:color w:val="auto"/>
                <w:sz w:val="21"/>
                <w:szCs w:val="21"/>
              </w:rPr>
              <w:t>TY、新光、顺世达、联通铸造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vAlign w:val="center"/>
          </w:tcPr>
          <w:p>
            <w:pPr>
              <w:spacing w:line="500" w:lineRule="exact"/>
              <w:jc w:val="center"/>
              <w:textAlignment w:val="center"/>
              <w:rPr>
                <w:rFonts w:hint="default" w:ascii="宋体" w:hAnsi="宋体" w:eastAsia="宋体" w:cs="宋体"/>
                <w:b w:val="0"/>
                <w:bCs w:val="0"/>
                <w:sz w:val="21"/>
                <w:szCs w:val="21"/>
                <w:lang w:val="en-US" w:eastAsia="zh-CN" w:bidi="ar-SA"/>
              </w:rPr>
            </w:pPr>
            <w:r>
              <w:rPr>
                <w:rFonts w:hint="eastAsia" w:cs="宋体"/>
                <w:b w:val="0"/>
                <w:bCs w:val="0"/>
                <w:sz w:val="21"/>
                <w:szCs w:val="21"/>
                <w:lang w:val="en-US" w:eastAsia="zh-CN"/>
              </w:rPr>
              <w:t>2</w:t>
            </w:r>
          </w:p>
        </w:tc>
        <w:tc>
          <w:tcPr>
            <w:tcW w:w="260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UPVC管</w:t>
            </w:r>
          </w:p>
        </w:tc>
        <w:tc>
          <w:tcPr>
            <w:tcW w:w="5322"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日丰、伟星、永高、联塑、皇冠、深塑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91"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r>
              <w:rPr>
                <w:rFonts w:hint="eastAsia" w:cs="宋体"/>
                <w:b w:val="0"/>
                <w:bCs w:val="0"/>
                <w:sz w:val="21"/>
                <w:szCs w:val="21"/>
                <w:lang w:val="en-US" w:eastAsia="zh-CN"/>
              </w:rPr>
              <w:t>二</w:t>
            </w:r>
            <w:r>
              <w:rPr>
                <w:rFonts w:hint="eastAsia" w:ascii="宋体" w:hAnsi="宋体" w:eastAsia="宋体" w:cs="宋体"/>
                <w:b w:val="0"/>
                <w:bCs w:val="0"/>
                <w:sz w:val="21"/>
                <w:szCs w:val="21"/>
              </w:rPr>
              <w:t>）</w:t>
            </w:r>
          </w:p>
        </w:tc>
        <w:tc>
          <w:tcPr>
            <w:tcW w:w="7928"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rPr>
            </w:pPr>
            <w:r>
              <w:rPr>
                <w:rFonts w:hint="eastAsia" w:cs="宋体"/>
                <w:b w:val="0"/>
                <w:bCs w:val="0"/>
                <w:color w:val="auto"/>
                <w:sz w:val="21"/>
                <w:szCs w:val="21"/>
                <w:lang w:val="en-US" w:eastAsia="zh-CN"/>
              </w:rPr>
              <w:t>电气</w:t>
            </w:r>
            <w:r>
              <w:rPr>
                <w:rFonts w:hint="eastAsia" w:ascii="宋体" w:hAnsi="宋体" w:eastAsia="宋体" w:cs="宋体"/>
                <w:b w:val="0"/>
                <w:bCs w:val="0"/>
                <w:color w:val="auto"/>
                <w:sz w:val="21"/>
                <w:szCs w:val="21"/>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vAlign w:val="center"/>
          </w:tcPr>
          <w:p>
            <w:pPr>
              <w:spacing w:line="500" w:lineRule="exact"/>
              <w:jc w:val="center"/>
              <w:textAlignment w:val="center"/>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1</w:t>
            </w:r>
          </w:p>
        </w:tc>
        <w:tc>
          <w:tcPr>
            <w:tcW w:w="260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电缆电线</w:t>
            </w:r>
          </w:p>
        </w:tc>
        <w:tc>
          <w:tcPr>
            <w:tcW w:w="5322" w:type="dxa"/>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jc w:val="left"/>
              <w:textAlignment w:val="center"/>
              <w:rPr>
                <w:rFonts w:hint="eastAsia"/>
                <w:color w:val="auto"/>
                <w:sz w:val="21"/>
                <w:szCs w:val="21"/>
                <w:highlight w:val="none"/>
                <w:shd w:val="clear" w:fill="FFFFFF" w:themeFill="background1"/>
                <w:lang w:val="en-US" w:eastAsia="zh-CN"/>
              </w:rPr>
            </w:pPr>
            <w:r>
              <w:rPr>
                <w:color w:val="auto"/>
                <w:sz w:val="21"/>
                <w:szCs w:val="21"/>
                <w:highlight w:val="none"/>
                <w:shd w:val="clear" w:fill="FFFFFF" w:themeFill="background1"/>
              </w:rPr>
              <w:t>亨通光电、奔达康、新威讯</w:t>
            </w:r>
            <w:r>
              <w:rPr>
                <w:rFonts w:hint="eastAsia"/>
                <w:color w:val="auto"/>
                <w:sz w:val="21"/>
                <w:szCs w:val="21"/>
                <w:highlight w:val="none"/>
                <w:shd w:val="clear" w:fill="FFFFFF" w:themeFill="background1"/>
              </w:rPr>
              <w:t>、</w:t>
            </w:r>
            <w:r>
              <w:rPr>
                <w:color w:val="auto"/>
                <w:sz w:val="21"/>
                <w:szCs w:val="21"/>
                <w:highlight w:val="none"/>
                <w:shd w:val="clear" w:fill="FFFFFF" w:themeFill="background1"/>
              </w:rPr>
              <w:t>金龙羽、</w:t>
            </w:r>
            <w:r>
              <w:rPr>
                <w:rFonts w:hint="eastAsia"/>
                <w:color w:val="auto"/>
                <w:sz w:val="21"/>
                <w:szCs w:val="21"/>
                <w:highlight w:val="none"/>
                <w:shd w:val="clear" w:fill="FFFFFF" w:themeFill="background1"/>
                <w:lang w:val="en-US"/>
              </w:rPr>
              <w:t>民兴电缆、</w:t>
            </w:r>
            <w:r>
              <w:rPr>
                <w:color w:val="auto"/>
                <w:sz w:val="21"/>
                <w:szCs w:val="21"/>
                <w:highlight w:val="none"/>
                <w:shd w:val="clear" w:fill="FFFFFF" w:themeFill="background1"/>
              </w:rPr>
              <w:t>金环宇、成天泰</w:t>
            </w:r>
            <w:r>
              <w:rPr>
                <w:rFonts w:hint="eastAsia"/>
                <w:color w:val="auto"/>
                <w:sz w:val="21"/>
                <w:szCs w:val="21"/>
                <w:highlight w:val="none"/>
                <w:shd w:val="clear" w:fill="FFFFFF" w:themeFill="background1"/>
                <w:lang w:eastAsia="zh-CN"/>
              </w:rPr>
              <w:t>、</w:t>
            </w:r>
            <w:r>
              <w:rPr>
                <w:rFonts w:hint="eastAsia"/>
                <w:color w:val="auto"/>
                <w:sz w:val="21"/>
                <w:szCs w:val="21"/>
                <w:highlight w:val="none"/>
                <w:shd w:val="clear" w:fill="FFFFFF" w:themeFill="background1"/>
                <w:lang w:val="en-US" w:eastAsia="zh-CN"/>
              </w:rPr>
              <w:t>金杯、恒飞</w:t>
            </w:r>
          </w:p>
          <w:p>
            <w:pPr>
              <w:keepNext w:val="0"/>
              <w:keepLines w:val="0"/>
              <w:pageBreakBefore w:val="0"/>
              <w:widowControl/>
              <w:numPr>
                <w:ilvl w:val="-1"/>
                <w:numId w:val="0"/>
              </w:numPr>
              <w:kinsoku/>
              <w:wordWrap/>
              <w:overflowPunct/>
              <w:topLinePunct w:val="0"/>
              <w:autoSpaceDE/>
              <w:autoSpaceDN/>
              <w:bidi w:val="0"/>
              <w:adjustRightInd/>
              <w:snapToGrid/>
              <w:spacing w:line="240" w:lineRule="auto"/>
              <w:jc w:val="left"/>
              <w:textAlignment w:val="center"/>
              <w:rPr>
                <w:rFonts w:hint="eastAsia"/>
                <w:color w:val="auto"/>
                <w:sz w:val="21"/>
                <w:szCs w:val="21"/>
                <w:highlight w:val="none"/>
                <w:shd w:val="clear" w:fill="FFFFFF" w:themeFill="background1"/>
                <w:lang w:val="en-US" w:eastAsia="zh-CN"/>
              </w:rPr>
            </w:pPr>
            <w:r>
              <w:rPr>
                <w:color w:val="auto"/>
                <w:sz w:val="21"/>
                <w:szCs w:val="21"/>
                <w:highlight w:val="none"/>
              </w:rPr>
              <w:t>永盛、深缆、鸿兴雁、</w:t>
            </w:r>
            <w:r>
              <w:rPr>
                <w:rFonts w:hint="eastAsia"/>
                <w:color w:val="auto"/>
                <w:sz w:val="21"/>
                <w:szCs w:val="21"/>
                <w:highlight w:val="none"/>
                <w:lang w:val="en-US" w:eastAsia="zh-CN"/>
              </w:rPr>
              <w:t>特变电工、万马电缆、</w:t>
            </w:r>
            <w:r>
              <w:rPr>
                <w:color w:val="auto"/>
                <w:sz w:val="21"/>
                <w:szCs w:val="21"/>
                <w:highlight w:val="none"/>
              </w:rPr>
              <w:t>广东长江（南光牌）、东佳信</w:t>
            </w:r>
            <w:r>
              <w:rPr>
                <w:rFonts w:hint="eastAsia"/>
                <w:color w:val="auto"/>
                <w:sz w:val="21"/>
                <w:szCs w:val="21"/>
                <w:highlight w:val="none"/>
              </w:rPr>
              <w:t>、</w:t>
            </w:r>
            <w:r>
              <w:rPr>
                <w:color w:val="auto"/>
                <w:sz w:val="21"/>
                <w:szCs w:val="21"/>
                <w:highlight w:val="none"/>
              </w:rPr>
              <w:t>环市</w:t>
            </w:r>
            <w:r>
              <w:rPr>
                <w:rFonts w:hint="eastAsia"/>
                <w:color w:val="auto"/>
                <w:sz w:val="21"/>
                <w:szCs w:val="21"/>
                <w:highlight w:val="none"/>
              </w:rPr>
              <w:t>、</w:t>
            </w:r>
            <w:r>
              <w:rPr>
                <w:color w:val="auto"/>
                <w:sz w:val="21"/>
                <w:szCs w:val="21"/>
                <w:highlight w:val="none"/>
              </w:rPr>
              <w:t>双菱</w:t>
            </w:r>
            <w:r>
              <w:rPr>
                <w:rFonts w:hint="eastAsia"/>
                <w:color w:val="auto"/>
                <w:sz w:val="21"/>
                <w:szCs w:val="21"/>
                <w:highlight w:val="none"/>
                <w:lang w:eastAsia="zh-CN"/>
              </w:rPr>
              <w:t>、</w:t>
            </w:r>
            <w:r>
              <w:rPr>
                <w:rFonts w:hint="eastAsia"/>
                <w:color w:val="auto"/>
                <w:sz w:val="21"/>
                <w:szCs w:val="21"/>
                <w:highlight w:val="none"/>
                <w:lang w:val="en-US" w:eastAsia="zh-CN"/>
              </w:rPr>
              <w:t>远东、宝胜、中天科技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vAlign w:val="center"/>
          </w:tcPr>
          <w:p>
            <w:pPr>
              <w:spacing w:line="500" w:lineRule="exact"/>
              <w:jc w:val="center"/>
              <w:textAlignment w:val="center"/>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2</w:t>
            </w:r>
          </w:p>
        </w:tc>
        <w:tc>
          <w:tcPr>
            <w:tcW w:w="260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highlight w:val="none"/>
              </w:rPr>
            </w:pPr>
            <w:r>
              <w:rPr>
                <w:color w:val="auto"/>
                <w:sz w:val="21"/>
                <w:szCs w:val="21"/>
                <w:highlight w:val="none"/>
              </w:rPr>
              <w:t>矿物绝缘电缆</w:t>
            </w:r>
          </w:p>
        </w:tc>
        <w:tc>
          <w:tcPr>
            <w:tcW w:w="5322"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center"/>
              <w:rPr>
                <w:color w:val="auto"/>
                <w:sz w:val="21"/>
                <w:szCs w:val="21"/>
                <w:highlight w:val="none"/>
              </w:rPr>
            </w:pPr>
            <w:r>
              <w:rPr>
                <w:color w:val="auto"/>
                <w:sz w:val="21"/>
                <w:szCs w:val="21"/>
                <w:highlight w:val="none"/>
              </w:rPr>
              <w:t>久盛电缆、宝胜胜武、华鹏电缆、上海胜华、浙江华晨电缆、武汉瑞奇、上海高桥、民兴电缆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vAlign w:val="center"/>
          </w:tcPr>
          <w:p>
            <w:pPr>
              <w:spacing w:line="500" w:lineRule="exact"/>
              <w:jc w:val="center"/>
              <w:textAlignment w:val="center"/>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3</w:t>
            </w:r>
          </w:p>
        </w:tc>
        <w:tc>
          <w:tcPr>
            <w:tcW w:w="260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highlight w:val="none"/>
                <w:lang w:eastAsia="zh-CN"/>
              </w:rPr>
            </w:pPr>
            <w:r>
              <w:rPr>
                <w:color w:val="auto"/>
                <w:sz w:val="21"/>
                <w:szCs w:val="21"/>
                <w:highlight w:val="none"/>
                <w:lang w:val="zh-CN" w:eastAsia="zh-CN"/>
              </w:rPr>
              <w:t>三箱</w:t>
            </w:r>
          </w:p>
        </w:tc>
        <w:tc>
          <w:tcPr>
            <w:tcW w:w="5322" w:type="dxa"/>
            <w:vAlign w:val="center"/>
          </w:tcPr>
          <w:p>
            <w:pPr>
              <w:rPr>
                <w:color w:val="auto"/>
                <w:highlight w:val="none"/>
              </w:rPr>
            </w:pPr>
            <w:r>
              <w:rPr>
                <w:rFonts w:hint="eastAsia" w:ascii="宋体" w:hAnsi="宋体" w:eastAsia="宋体" w:cs="宋体"/>
                <w:color w:val="auto"/>
                <w:sz w:val="21"/>
                <w:szCs w:val="21"/>
                <w:highlight w:val="none"/>
                <w:lang w:val="en-US" w:eastAsia="zh-CN"/>
              </w:rPr>
              <w:t>广州白云、泰豪科技、任达、亚洲电力、新会电控顺开、泰昂、爱得威、凌祺、盛德兰、江苏银佳、江苏华彤、金盘电气、华通电气、盛隆、南京大全</w:t>
            </w:r>
          </w:p>
          <w:p>
            <w:pPr>
              <w:keepNext w:val="0"/>
              <w:keepLines w:val="0"/>
              <w:pageBreakBefore w:val="0"/>
              <w:widowControl/>
              <w:numPr>
                <w:ilvl w:val="-1"/>
                <w:numId w:val="0"/>
              </w:numPr>
              <w:kinsoku/>
              <w:wordWrap/>
              <w:overflowPunct/>
              <w:topLinePunct w:val="0"/>
              <w:autoSpaceDE/>
              <w:autoSpaceDN/>
              <w:bidi w:val="0"/>
              <w:adjustRightInd/>
              <w:snapToGrid/>
              <w:spacing w:line="240" w:lineRule="auto"/>
              <w:jc w:val="left"/>
              <w:textAlignment w:val="center"/>
              <w:rPr>
                <w:rFonts w:hint="eastAsia"/>
                <w:color w:val="auto"/>
                <w:sz w:val="21"/>
                <w:szCs w:val="21"/>
                <w:highlight w:val="none"/>
              </w:rPr>
            </w:pP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南华西、深圳三江、光辉电器、ASTAR 奥斯特、QIHUI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91" w:type="dxa"/>
            <w:vAlign w:val="center"/>
          </w:tcPr>
          <w:p>
            <w:pPr>
              <w:spacing w:line="5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r>
              <w:rPr>
                <w:rFonts w:hint="eastAsia" w:cs="宋体"/>
                <w:b w:val="0"/>
                <w:bCs w:val="0"/>
                <w:sz w:val="21"/>
                <w:szCs w:val="21"/>
                <w:lang w:val="en-US" w:eastAsia="zh-CN"/>
              </w:rPr>
              <w:t>三</w:t>
            </w:r>
            <w:r>
              <w:rPr>
                <w:rFonts w:hint="eastAsia" w:ascii="宋体" w:hAnsi="宋体" w:eastAsia="宋体" w:cs="宋体"/>
                <w:b w:val="0"/>
                <w:bCs w:val="0"/>
                <w:sz w:val="21"/>
                <w:szCs w:val="21"/>
              </w:rPr>
              <w:t>）</w:t>
            </w:r>
          </w:p>
        </w:tc>
        <w:tc>
          <w:tcPr>
            <w:tcW w:w="7928"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暖通工程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vAlign w:val="center"/>
          </w:tcPr>
          <w:p>
            <w:pPr>
              <w:spacing w:line="500" w:lineRule="exact"/>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1</w:t>
            </w:r>
          </w:p>
        </w:tc>
        <w:tc>
          <w:tcPr>
            <w:tcW w:w="260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防火调节阀</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不锈钢阀门</w:t>
            </w:r>
          </w:p>
        </w:tc>
        <w:tc>
          <w:tcPr>
            <w:tcW w:w="5322"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施耐德、搏力谋、沃茨、艾西、欧文托普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vAlign w:val="center"/>
          </w:tcPr>
          <w:p>
            <w:pPr>
              <w:spacing w:line="500" w:lineRule="exact"/>
              <w:jc w:val="center"/>
              <w:textAlignment w:val="center"/>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2</w:t>
            </w:r>
          </w:p>
        </w:tc>
        <w:tc>
          <w:tcPr>
            <w:tcW w:w="260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离心式通风机</w:t>
            </w:r>
          </w:p>
        </w:tc>
        <w:tc>
          <w:tcPr>
            <w:tcW w:w="5322"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color w:val="auto"/>
                <w:sz w:val="21"/>
                <w:szCs w:val="21"/>
                <w:highlight w:val="none"/>
              </w:rPr>
            </w:pPr>
            <w:r>
              <w:rPr>
                <w:rFonts w:hint="eastAsia"/>
                <w:color w:val="auto"/>
                <w:sz w:val="21"/>
                <w:szCs w:val="21"/>
                <w:highlight w:val="none"/>
              </w:rPr>
              <w:t>上虞</w:t>
            </w:r>
            <w:r>
              <w:rPr>
                <w:rFonts w:hint="eastAsia"/>
                <w:color w:val="auto"/>
                <w:sz w:val="21"/>
                <w:szCs w:val="21"/>
                <w:highlight w:val="none"/>
                <w:lang w:eastAsia="zh-CN"/>
              </w:rPr>
              <w:t>、</w:t>
            </w:r>
            <w:r>
              <w:rPr>
                <w:color w:val="auto"/>
                <w:sz w:val="21"/>
                <w:szCs w:val="21"/>
                <w:highlight w:val="none"/>
              </w:rPr>
              <w:t>格林瀚克、卢森伯格</w:t>
            </w:r>
            <w:r>
              <w:rPr>
                <w:rFonts w:hint="eastAsia"/>
                <w:color w:val="auto"/>
                <w:sz w:val="21"/>
                <w:szCs w:val="21"/>
                <w:highlight w:val="none"/>
              </w:rPr>
              <w:t>、</w:t>
            </w:r>
            <w:r>
              <w:rPr>
                <w:rFonts w:hint="eastAsia"/>
                <w:color w:val="auto"/>
                <w:sz w:val="21"/>
                <w:szCs w:val="21"/>
                <w:highlight w:val="none"/>
                <w:lang w:val="en-US"/>
              </w:rPr>
              <w:t>科美福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vAlign w:val="center"/>
          </w:tcPr>
          <w:p>
            <w:pPr>
              <w:spacing w:line="500" w:lineRule="exact"/>
              <w:jc w:val="center"/>
              <w:textAlignment w:val="center"/>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3</w:t>
            </w:r>
          </w:p>
        </w:tc>
        <w:tc>
          <w:tcPr>
            <w:tcW w:w="260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铝箔离心玻璃棉</w:t>
            </w:r>
          </w:p>
        </w:tc>
        <w:tc>
          <w:tcPr>
            <w:tcW w:w="5322"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rPr>
              <w:t>洛科威、欧文斯科宁、西斯尔、USG</w:t>
            </w:r>
            <w:r>
              <w:rPr>
                <w:rFonts w:hint="eastAsia" w:ascii="宋体" w:hAnsi="宋体" w:eastAsia="宋体" w:cs="宋体"/>
                <w:color w:val="auto"/>
                <w:sz w:val="21"/>
                <w:szCs w:val="21"/>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rPr>
              <w:t>金邦、卓宝、尤特森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r>
              <w:rPr>
                <w:rFonts w:hint="eastAsia" w:cs="宋体"/>
                <w:b w:val="0"/>
                <w:bCs w:val="0"/>
                <w:sz w:val="21"/>
                <w:szCs w:val="21"/>
                <w:lang w:val="en-US" w:eastAsia="zh-CN"/>
              </w:rPr>
              <w:t>四</w:t>
            </w:r>
            <w:r>
              <w:rPr>
                <w:rFonts w:hint="eastAsia" w:ascii="宋体" w:hAnsi="宋体" w:eastAsia="宋体" w:cs="宋体"/>
                <w:b w:val="0"/>
                <w:bCs w:val="0"/>
                <w:sz w:val="21"/>
                <w:szCs w:val="21"/>
              </w:rPr>
              <w:t>）</w:t>
            </w:r>
          </w:p>
        </w:tc>
        <w:tc>
          <w:tcPr>
            <w:tcW w:w="7928"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其他</w:t>
            </w:r>
            <w:r>
              <w:rPr>
                <w:rFonts w:hint="eastAsia" w:ascii="宋体" w:hAnsi="宋体" w:eastAsia="宋体" w:cs="宋体"/>
                <w:b w:val="0"/>
                <w:bCs w:val="0"/>
                <w:color w:val="auto"/>
                <w:sz w:val="21"/>
                <w:szCs w:val="21"/>
                <w:lang w:eastAsia="zh-CN"/>
              </w:rPr>
              <w:t>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vAlign w:val="center"/>
          </w:tcPr>
          <w:p>
            <w:pPr>
              <w:spacing w:line="500" w:lineRule="exact"/>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260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highlight w:val="none"/>
                <w:lang w:eastAsia="zh-CN"/>
              </w:rPr>
            </w:pPr>
            <w:r>
              <w:rPr>
                <w:color w:val="auto"/>
                <w:sz w:val="21"/>
                <w:szCs w:val="21"/>
                <w:highlight w:val="none"/>
              </w:rPr>
              <w:t>油烟净化装置</w:t>
            </w:r>
          </w:p>
        </w:tc>
        <w:tc>
          <w:tcPr>
            <w:tcW w:w="5322"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color w:val="auto"/>
                <w:sz w:val="21"/>
                <w:szCs w:val="21"/>
                <w:highlight w:val="none"/>
              </w:rPr>
            </w:pPr>
            <w:r>
              <w:rPr>
                <w:color w:val="auto"/>
                <w:sz w:val="21"/>
                <w:szCs w:val="21"/>
                <w:highlight w:val="none"/>
              </w:rPr>
              <w:t>速八、</w:t>
            </w:r>
            <w:r>
              <w:rPr>
                <w:rFonts w:hint="eastAsia"/>
                <w:color w:val="auto"/>
                <w:sz w:val="21"/>
                <w:szCs w:val="21"/>
                <w:highlight w:val="none"/>
                <w:lang w:val="en-US"/>
              </w:rPr>
              <w:t>普恩富特、</w:t>
            </w:r>
            <w:r>
              <w:rPr>
                <w:color w:val="auto"/>
                <w:sz w:val="21"/>
                <w:szCs w:val="21"/>
                <w:highlight w:val="none"/>
              </w:rPr>
              <w:t>霍尼韦尔</w:t>
            </w:r>
            <w:r>
              <w:rPr>
                <w:rFonts w:hint="eastAsia"/>
                <w:color w:val="auto"/>
                <w:sz w:val="21"/>
                <w:szCs w:val="21"/>
                <w:highlight w:val="none"/>
                <w:lang w:eastAsia="zh-CN"/>
              </w:rPr>
              <w:t>、爱优特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vAlign w:val="center"/>
          </w:tcPr>
          <w:p>
            <w:pPr>
              <w:spacing w:line="500" w:lineRule="exact"/>
              <w:jc w:val="center"/>
              <w:textAlignment w:val="center"/>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2</w:t>
            </w:r>
          </w:p>
        </w:tc>
        <w:tc>
          <w:tcPr>
            <w:tcW w:w="260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隔油提升一体化设备</w:t>
            </w:r>
          </w:p>
        </w:tc>
        <w:tc>
          <w:tcPr>
            <w:tcW w:w="5322"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天健</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志深</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凯泉</w:t>
            </w:r>
            <w:r>
              <w:rPr>
                <w:rFonts w:hint="eastAsia" w:cs="宋体"/>
                <w:b w:val="0"/>
                <w:bCs w:val="0"/>
                <w:color w:val="auto"/>
                <w:sz w:val="21"/>
                <w:szCs w:val="21"/>
                <w:highlight w:val="none"/>
                <w:lang w:eastAsia="zh-CN"/>
              </w:rPr>
              <w:t>、</w:t>
            </w:r>
            <w:r>
              <w:rPr>
                <w:rFonts w:hint="eastAsia"/>
                <w:color w:val="auto"/>
                <w:sz w:val="21"/>
                <w:szCs w:val="21"/>
                <w:highlight w:val="none"/>
                <w:lang w:val="en-US" w:eastAsia="zh-CN"/>
              </w:rPr>
              <w:t>曦力</w:t>
            </w:r>
          </w:p>
        </w:tc>
      </w:tr>
    </w:tbl>
    <w:p>
      <w:pPr>
        <w:pStyle w:val="20"/>
        <w:adjustRightInd w:val="0"/>
        <w:snapToGrid w:val="0"/>
        <w:spacing w:line="360" w:lineRule="exact"/>
        <w:ind w:firstLine="472" w:firstLineChars="196"/>
        <w:rPr>
          <w:b/>
          <w:color w:val="000000"/>
          <w:kern w:val="0"/>
          <w:sz w:val="24"/>
        </w:rPr>
      </w:pPr>
    </w:p>
    <w:p>
      <w:r>
        <w:rPr>
          <w:rFonts w:hint="eastAsia" w:ascii="宋体" w:hAnsi="宋体"/>
          <w:color w:val="000000"/>
          <w:kern w:val="0"/>
          <w:szCs w:val="21"/>
        </w:rPr>
        <w:t>上述参考材料品牌仅供参考。参考品牌非唯一选择,允许有偏离，但性能、品质要求不低于所参考品牌，乙方在采购过程中如需更换上述材料品牌，需取得甲方同意后方可更换，并确保其能满足设计需求。</w:t>
      </w:r>
    </w:p>
    <w:p>
      <w:pPr>
        <w:widowControl/>
        <w:spacing w:line="240" w:lineRule="auto"/>
        <w:ind w:firstLine="0" w:firstLineChars="0"/>
        <w:jc w:val="left"/>
        <w:rPr>
          <w:rFonts w:hint="eastAsia" w:cs="仿宋_GB2312"/>
          <w:b/>
          <w:bCs/>
          <w:kern w:val="2"/>
        </w:rPr>
      </w:pPr>
      <w:r>
        <w:rPr>
          <w:rFonts w:hint="eastAsia" w:cs="仿宋_GB2312"/>
          <w:b/>
          <w:bCs/>
          <w:kern w:val="2"/>
        </w:rPr>
        <w:br w:type="page"/>
      </w:r>
    </w:p>
    <w:p>
      <w:pPr>
        <w:widowControl/>
        <w:spacing w:line="360" w:lineRule="auto"/>
        <w:jc w:val="left"/>
        <w:outlineLvl w:val="1"/>
        <w:rPr>
          <w:kern w:val="2"/>
          <w:sz w:val="21"/>
          <w:szCs w:val="21"/>
        </w:rPr>
      </w:pPr>
      <w:bookmarkStart w:id="1090" w:name="_Toc32650"/>
      <w:bookmarkStart w:id="1091" w:name="_Toc27068"/>
      <w:bookmarkStart w:id="1092" w:name="_Toc6315"/>
      <w:bookmarkStart w:id="1093" w:name="_Toc7580"/>
      <w:bookmarkStart w:id="1094" w:name="_Toc24215"/>
      <w:bookmarkStart w:id="1095" w:name="_Toc11938"/>
      <w:r>
        <w:rPr>
          <w:rFonts w:hint="eastAsia"/>
          <w:kern w:val="2"/>
          <w:sz w:val="21"/>
          <w:szCs w:val="21"/>
        </w:rPr>
        <w:t>附件3</w:t>
      </w:r>
      <w:bookmarkEnd w:id="1090"/>
      <w:bookmarkEnd w:id="1091"/>
    </w:p>
    <w:p>
      <w:pPr>
        <w:widowControl w:val="0"/>
        <w:adjustRightInd w:val="0"/>
        <w:snapToGrid w:val="0"/>
        <w:spacing w:after="200" w:line="360" w:lineRule="auto"/>
        <w:ind w:firstLine="3012" w:firstLineChars="1000"/>
        <w:jc w:val="both"/>
        <w:textAlignment w:val="baseline"/>
        <w:outlineLvl w:val="4"/>
        <w:rPr>
          <w:rFonts w:hint="eastAsia" w:ascii="Times New Roman" w:hAnsi="Times New Roman" w:eastAsia="宋体" w:cs="Times New Roman"/>
          <w:b/>
          <w:kern w:val="2"/>
          <w:sz w:val="30"/>
          <w:szCs w:val="22"/>
          <w:lang w:val="en-US" w:eastAsia="zh-CN"/>
        </w:rPr>
      </w:pPr>
      <w:r>
        <w:rPr>
          <w:rFonts w:hint="eastAsia" w:ascii="Times New Roman" w:hAnsi="Times New Roman" w:cs="Times New Roman"/>
          <w:b/>
          <w:kern w:val="2"/>
          <w:sz w:val="30"/>
          <w:szCs w:val="22"/>
        </w:rPr>
        <w:t>履约评价管理办法</w:t>
      </w:r>
    </w:p>
    <w:p>
      <w:pPr>
        <w:widowControl/>
        <w:adjustRightInd w:val="0"/>
        <w:snapToGrid w:val="0"/>
        <w:spacing w:line="360" w:lineRule="auto"/>
        <w:ind w:firstLine="480" w:firstLineChars="200"/>
        <w:jc w:val="left"/>
        <w:rPr>
          <w:rFonts w:hint="eastAsia" w:ascii="宋体" w:hAnsi="宋体" w:cs="宋体"/>
          <w:b w:val="0"/>
          <w:kern w:val="0"/>
          <w:sz w:val="24"/>
          <w:szCs w:val="24"/>
          <w:lang w:val="en-US" w:eastAsia="zh-CN"/>
        </w:rPr>
      </w:pPr>
      <w:r>
        <w:rPr>
          <w:rFonts w:hint="eastAsia" w:ascii="宋体" w:hAnsi="宋体" w:cs="宋体"/>
          <w:b w:val="0"/>
          <w:kern w:val="0"/>
          <w:sz w:val="24"/>
          <w:szCs w:val="24"/>
          <w:lang w:val="en-US" w:eastAsia="zh-CN"/>
        </w:rPr>
        <w:t>按照甲方下发的</w:t>
      </w:r>
      <w:r>
        <w:rPr>
          <w:rFonts w:hint="eastAsia" w:ascii="宋体" w:hAnsi="宋体" w:eastAsia="宋体" w:cs="宋体"/>
          <w:bCs w:val="0"/>
          <w:sz w:val="24"/>
          <w:szCs w:val="24"/>
        </w:rPr>
        <w:t>建设工程合同履约评价管理办法</w:t>
      </w:r>
      <w:r>
        <w:rPr>
          <w:rFonts w:hint="eastAsia" w:ascii="宋体" w:hAnsi="宋体" w:cs="宋体"/>
          <w:b w:val="0"/>
          <w:kern w:val="0"/>
          <w:sz w:val="24"/>
          <w:szCs w:val="24"/>
          <w:lang w:val="en-US" w:eastAsia="zh-CN"/>
        </w:rPr>
        <w:t>执行。</w:t>
      </w:r>
    </w:p>
    <w:p>
      <w:pPr>
        <w:widowControl/>
        <w:spacing w:line="240" w:lineRule="auto"/>
        <w:jc w:val="left"/>
        <w:rPr>
          <w:rFonts w:hint="eastAsia" w:ascii="Times New Roman" w:hAnsi="Times New Roman" w:cs="Times New Roman"/>
          <w:b/>
          <w:kern w:val="2"/>
          <w:sz w:val="30"/>
          <w:szCs w:val="22"/>
          <w:lang w:val="en-US" w:eastAsia="zh-CN"/>
        </w:rPr>
      </w:pPr>
      <w:r>
        <w:rPr>
          <w:rFonts w:hint="eastAsia" w:ascii="Times New Roman" w:hAnsi="Times New Roman" w:cs="Times New Roman"/>
          <w:b/>
          <w:kern w:val="2"/>
          <w:sz w:val="30"/>
          <w:szCs w:val="22"/>
          <w:lang w:val="en-US" w:eastAsia="zh-CN"/>
        </w:rPr>
        <w:br w:type="page"/>
      </w:r>
    </w:p>
    <w:p>
      <w:pPr>
        <w:widowControl/>
        <w:spacing w:line="560" w:lineRule="exact"/>
        <w:jc w:val="center"/>
        <w:rPr>
          <w:rFonts w:ascii="方正小标宋简体" w:hAnsi="Times New Roman" w:eastAsia="方正小标宋简体" w:cs="Times New Roman"/>
          <w:bCs/>
          <w:sz w:val="28"/>
          <w:szCs w:val="28"/>
        </w:rPr>
      </w:pPr>
    </w:p>
    <w:p>
      <w:pPr>
        <w:widowControl/>
        <w:spacing w:line="360" w:lineRule="auto"/>
        <w:jc w:val="left"/>
        <w:outlineLvl w:val="1"/>
        <w:rPr>
          <w:kern w:val="2"/>
          <w:sz w:val="21"/>
          <w:szCs w:val="21"/>
        </w:rPr>
      </w:pPr>
      <w:bookmarkStart w:id="1096" w:name="_Toc12101"/>
      <w:bookmarkStart w:id="1097" w:name="_Toc31963"/>
      <w:r>
        <w:rPr>
          <w:rFonts w:hint="eastAsia"/>
          <w:kern w:val="2"/>
          <w:sz w:val="21"/>
          <w:szCs w:val="21"/>
        </w:rPr>
        <w:t>附件</w:t>
      </w:r>
      <w:bookmarkEnd w:id="1092"/>
      <w:bookmarkEnd w:id="1093"/>
      <w:bookmarkEnd w:id="1094"/>
      <w:bookmarkEnd w:id="1095"/>
      <w:r>
        <w:rPr>
          <w:rFonts w:hint="eastAsia"/>
          <w:kern w:val="2"/>
          <w:sz w:val="21"/>
          <w:szCs w:val="21"/>
        </w:rPr>
        <w:t>4</w:t>
      </w:r>
      <w:bookmarkEnd w:id="1096"/>
      <w:bookmarkEnd w:id="1097"/>
    </w:p>
    <w:p>
      <w:pPr>
        <w:widowControl w:val="0"/>
        <w:adjustRightInd w:val="0"/>
        <w:snapToGrid w:val="0"/>
        <w:spacing w:after="200" w:line="360" w:lineRule="auto"/>
        <w:ind w:firstLine="3012" w:firstLineChars="1000"/>
        <w:jc w:val="both"/>
        <w:textAlignment w:val="baseline"/>
        <w:outlineLvl w:val="4"/>
        <w:rPr>
          <w:rFonts w:ascii="Times New Roman" w:hAnsi="Times New Roman" w:cs="Times New Roman"/>
          <w:b/>
          <w:kern w:val="2"/>
          <w:sz w:val="30"/>
          <w:szCs w:val="22"/>
        </w:rPr>
      </w:pPr>
      <w:r>
        <w:rPr>
          <w:rFonts w:hint="eastAsia" w:ascii="Times New Roman" w:hAnsi="Times New Roman" w:cs="Times New Roman"/>
          <w:b/>
          <w:kern w:val="2"/>
          <w:sz w:val="30"/>
          <w:szCs w:val="22"/>
        </w:rPr>
        <w:t>工程质量保修书</w:t>
      </w:r>
    </w:p>
    <w:p>
      <w:pPr>
        <w:widowControl/>
        <w:adjustRightInd w:val="0"/>
        <w:snapToGrid w:val="0"/>
        <w:spacing w:line="360" w:lineRule="auto"/>
        <w:ind w:firstLine="480" w:firstLineChars="200"/>
        <w:jc w:val="left"/>
      </w:pPr>
      <w:r>
        <w:rPr>
          <w:rFonts w:hint="eastAsia"/>
        </w:rPr>
        <w:t>发包人（全称）：</w:t>
      </w:r>
      <w:r>
        <w:rPr>
          <w:rFonts w:hint="eastAsia"/>
          <w:u w:val="single"/>
          <w:lang w:eastAsia="zh-CN"/>
        </w:rPr>
        <w:t>深圳市龙华高新技术产业园区开发投资有限公司</w:t>
      </w:r>
      <w:r>
        <w:rPr>
          <w:u w:val="single"/>
        </w:rPr>
        <w:fldChar w:fldCharType="begin"/>
      </w:r>
      <w:r>
        <w:rPr>
          <w:u w:val="single"/>
        </w:rPr>
        <w:instrText xml:space="preserve"> AUTOTEXT  input272 \* MERGEFORMAT </w:instrText>
      </w:r>
      <w:r>
        <w:rPr>
          <w:u w:val="single"/>
        </w:rPr>
        <w:fldChar w:fldCharType="separate"/>
      </w:r>
      <w:r>
        <w:rPr>
          <w:u w:val="single"/>
        </w:rPr>
        <w:fldChar w:fldCharType="end"/>
      </w:r>
    </w:p>
    <w:p>
      <w:pPr>
        <w:widowControl/>
        <w:adjustRightInd w:val="0"/>
        <w:snapToGrid w:val="0"/>
        <w:spacing w:line="360" w:lineRule="auto"/>
        <w:ind w:firstLine="480" w:firstLineChars="200"/>
        <w:jc w:val="left"/>
      </w:pPr>
      <w:r>
        <w:rPr>
          <w:rFonts w:hint="eastAsia"/>
        </w:rPr>
        <w:t>承包人（全称）：</w:t>
      </w:r>
      <w:r>
        <w:rPr>
          <w:rFonts w:hint="eastAsia"/>
          <w:bCs/>
          <w:kern w:val="2"/>
          <w:szCs w:val="22"/>
          <w:u w:val="single"/>
          <w:lang w:val="en-US" w:eastAsia="zh-CN"/>
        </w:rPr>
        <w:t>************</w:t>
      </w:r>
      <w:r>
        <w:rPr>
          <w:u w:val="single"/>
        </w:rPr>
        <w:fldChar w:fldCharType="begin"/>
      </w:r>
      <w:r>
        <w:rPr>
          <w:u w:val="single"/>
        </w:rPr>
        <w:instrText xml:space="preserve"> AUTOTEXT  input273 \* MERGEFORMAT </w:instrText>
      </w:r>
      <w:r>
        <w:rPr>
          <w:u w:val="single"/>
        </w:rPr>
        <w:fldChar w:fldCharType="separate"/>
      </w:r>
      <w:r>
        <w:rPr>
          <w:u w:val="single"/>
        </w:rPr>
        <w:fldChar w:fldCharType="end"/>
      </w:r>
    </w:p>
    <w:p>
      <w:pPr>
        <w:widowControl/>
        <w:adjustRightInd w:val="0"/>
        <w:snapToGrid w:val="0"/>
        <w:spacing w:line="360" w:lineRule="auto"/>
        <w:ind w:firstLine="480" w:firstLineChars="200"/>
        <w:jc w:val="left"/>
      </w:pPr>
      <w:r>
        <w:rPr>
          <w:rFonts w:hint="eastAsia"/>
        </w:rPr>
        <w:t>为保证</w:t>
      </w:r>
      <w:r>
        <w:rPr>
          <w:rFonts w:hint="eastAsia"/>
          <w:u w:val="single"/>
        </w:rPr>
        <w:t>龙馨家园项目底商改造工程</w:t>
      </w:r>
      <w:r>
        <w:rPr>
          <w:u w:val="single"/>
        </w:rPr>
        <w:fldChar w:fldCharType="begin"/>
      </w:r>
      <w:r>
        <w:rPr>
          <w:u w:val="single"/>
        </w:rPr>
        <w:instrText xml:space="preserve"> AUTOTEXT  input274 \* MERGEFORMAT </w:instrText>
      </w:r>
      <w:r>
        <w:rPr>
          <w:u w:val="single"/>
        </w:rPr>
        <w:fldChar w:fldCharType="separate"/>
      </w:r>
      <w:r>
        <w:rPr>
          <w:u w:val="single"/>
        </w:rPr>
        <w:fldChar w:fldCharType="end"/>
      </w:r>
      <w:r>
        <w:rPr>
          <w:rFonts w:hint="eastAsia"/>
          <w:u w:val="single"/>
        </w:rPr>
        <w:t>（</w:t>
      </w:r>
      <w:r>
        <w:rPr>
          <w:rFonts w:hint="eastAsia"/>
        </w:rPr>
        <w:t>工程名称）在合理使用期限内正常使用，发包人和承包人根据《中华人民共和国建筑法》、《建设工程质量管理条例》、《深圳特区建设工程质量管理条例》等相关规定，经协商一致，签订工程质量保修书。承包人在质量保修期内按照有关规定及双方约定承担工程质量保修责任。</w:t>
      </w:r>
    </w:p>
    <w:p>
      <w:pPr>
        <w:widowControl/>
        <w:adjustRightInd w:val="0"/>
        <w:snapToGrid w:val="0"/>
        <w:spacing w:line="360" w:lineRule="auto"/>
        <w:ind w:firstLine="480" w:firstLineChars="200"/>
        <w:jc w:val="left"/>
      </w:pPr>
      <w:r>
        <w:rPr>
          <w:rFonts w:hint="eastAsia"/>
        </w:rPr>
        <w:t>一、工程质量保修范围</w:t>
      </w:r>
    </w:p>
    <w:p>
      <w:pPr>
        <w:widowControl/>
        <w:adjustRightInd w:val="0"/>
        <w:snapToGrid w:val="0"/>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质量保修范围包括主体结构工程、屋面防水工程、有防水要求的卫生间/房间和外墙面的防渗漏工程、电气管线工程、给排水管道工程、设备安装工程、供热和供冷系统工程、装饰装修工程以及双方约定的其他项目。</w:t>
      </w:r>
    </w:p>
    <w:p>
      <w:pPr>
        <w:widowControl/>
        <w:adjustRightInd w:val="0"/>
        <w:snapToGrid w:val="0"/>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具体质量保修范围，双方约定如下：</w:t>
      </w:r>
    </w:p>
    <w:p>
      <w:pPr>
        <w:widowControl/>
        <w:adjustRightInd w:val="0"/>
        <w:snapToGrid w:val="0"/>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u w:val="single"/>
          <w:lang w:val="en-US" w:eastAsia="zh-CN"/>
        </w:rPr>
        <w:t>1.</w:t>
      </w:r>
      <w:r>
        <w:rPr>
          <w:rFonts w:hint="eastAsia" w:ascii="宋体" w:hAnsi="宋体" w:eastAsia="宋体" w:cs="宋体"/>
          <w:color w:val="auto"/>
          <w:u w:val="single"/>
        </w:rPr>
        <w:t>本合同所包含的所有工程项目、设计变更、现场签证、合同条件约谈记录以及双方会议纪要约定等全部内容，由于承包人原因造成的工程质量缺陷或材料设备质量缺陷问题，均属保修范围；</w:t>
      </w:r>
    </w:p>
    <w:p>
      <w:pPr>
        <w:widowControl/>
        <w:adjustRightInd/>
        <w:snapToGrid/>
        <w:spacing w:line="360" w:lineRule="auto"/>
        <w:ind w:firstLine="480" w:firstLineChars="200"/>
        <w:jc w:val="left"/>
        <w:rPr>
          <w:rFonts w:hint="eastAsia" w:ascii="宋体" w:hAnsi="宋体" w:eastAsia="宋体" w:cs="宋体"/>
          <w:color w:val="auto"/>
          <w:u w:val="single"/>
        </w:rPr>
      </w:pPr>
      <w:r>
        <w:rPr>
          <w:rFonts w:hint="eastAsia" w:ascii="宋体" w:hAnsi="宋体" w:eastAsia="宋体" w:cs="宋体"/>
          <w:color w:val="auto"/>
          <w:u w:val="single"/>
        </w:rPr>
        <w:t>2.由于承包人原因造成的工程质量缺陷或材料设备质量缺陷问题，造成发包人和业主的全部直接和间接损失，由承包人无条件承担。所有费用从发包人支付承包人的任何款项中直接扣除，无需承包人认可。</w:t>
      </w:r>
    </w:p>
    <w:p>
      <w:pPr>
        <w:widowControl/>
        <w:adjustRightInd/>
        <w:snapToGrid/>
        <w:spacing w:line="360" w:lineRule="auto"/>
        <w:ind w:firstLine="480" w:firstLineChars="200"/>
        <w:jc w:val="left"/>
        <w:rPr>
          <w:color w:val="auto"/>
          <w:u w:val="single"/>
        </w:rPr>
      </w:pPr>
      <w:r>
        <w:rPr>
          <w:rFonts w:hint="eastAsia" w:ascii="宋体" w:hAnsi="宋体" w:eastAsia="宋体" w:cs="宋体"/>
          <w:color w:val="auto"/>
          <w:u w:val="single"/>
        </w:rPr>
        <w:t>3.由于承包人原因造成的工程质量缺陷或材料设备质量缺陷问题导致业主投诉及索赔时，承包人授权发包人全权代表承包人与业主进行索赔谈判并确定赔偿金额，谈判结果经发包人和业主签字后立即生效，发包人将承包人须承担的费用总额从发包人支付承包人的任何款项中直接扣除，无需承包人书面认可。</w:t>
      </w:r>
      <w:r>
        <w:rPr>
          <w:color w:val="auto"/>
          <w:u w:val="single"/>
        </w:rPr>
        <w:fldChar w:fldCharType="begin"/>
      </w:r>
      <w:r>
        <w:rPr>
          <w:color w:val="auto"/>
          <w:u w:val="single"/>
        </w:rPr>
        <w:instrText xml:space="preserve"> AUTOTEXT  input275 \* MERGEFORMAT </w:instrText>
      </w:r>
      <w:r>
        <w:rPr>
          <w:color w:val="auto"/>
          <w:u w:val="single"/>
        </w:rPr>
        <w:fldChar w:fldCharType="separate"/>
      </w:r>
      <w:r>
        <w:rPr>
          <w:color w:val="auto"/>
          <w:u w:val="single"/>
        </w:rPr>
        <w:fldChar w:fldCharType="end"/>
      </w:r>
    </w:p>
    <w:p>
      <w:pPr>
        <w:widowControl/>
        <w:adjustRightInd w:val="0"/>
        <w:snapToGrid w:val="0"/>
        <w:spacing w:line="360" w:lineRule="auto"/>
        <w:ind w:firstLine="480" w:firstLineChars="200"/>
        <w:jc w:val="left"/>
        <w:rPr>
          <w:color w:val="auto"/>
        </w:rPr>
      </w:pPr>
      <w:r>
        <w:rPr>
          <w:rFonts w:hint="eastAsia"/>
          <w:color w:val="auto"/>
        </w:rPr>
        <w:t>二、工程质量保修期</w:t>
      </w:r>
    </w:p>
    <w:p>
      <w:pPr>
        <w:widowControl/>
        <w:adjustRightInd w:val="0"/>
        <w:snapToGrid w:val="0"/>
        <w:spacing w:line="360" w:lineRule="auto"/>
        <w:ind w:firstLine="480" w:firstLineChars="200"/>
        <w:jc w:val="left"/>
        <w:rPr>
          <w:color w:val="auto"/>
        </w:rPr>
      </w:pPr>
      <w:r>
        <w:rPr>
          <w:rFonts w:hint="eastAsia"/>
          <w:color w:val="auto"/>
        </w:rPr>
        <w:t>质量保修期从工程实际竣工之日算起。单项竣工验收的工程，按单项工程分别计算质量保修期。</w:t>
      </w:r>
    </w:p>
    <w:p>
      <w:pPr>
        <w:widowControl/>
        <w:adjustRightInd w:val="0"/>
        <w:snapToGrid w:val="0"/>
        <w:spacing w:line="360" w:lineRule="auto"/>
        <w:ind w:firstLine="480" w:firstLineChars="200"/>
        <w:jc w:val="left"/>
        <w:rPr>
          <w:color w:val="auto"/>
        </w:rPr>
      </w:pPr>
      <w:r>
        <w:rPr>
          <w:rFonts w:hint="eastAsia"/>
          <w:color w:val="auto"/>
        </w:rPr>
        <w:t>双方约定本工程质量保修期如下：</w:t>
      </w:r>
    </w:p>
    <w:p>
      <w:pPr>
        <w:widowControl/>
        <w:adjustRightInd w:val="0"/>
        <w:snapToGrid w:val="0"/>
        <w:spacing w:line="360" w:lineRule="auto"/>
        <w:ind w:firstLine="480" w:firstLineChars="200"/>
        <w:jc w:val="left"/>
        <w:rPr>
          <w:color w:val="auto"/>
        </w:rPr>
      </w:pPr>
      <w:r>
        <w:rPr>
          <w:rFonts w:hAnsi="Segoe UI Symbol" w:cs="Segoe UI Symbol"/>
          <w:color w:val="auto"/>
        </w:rPr>
        <w:t>☑</w:t>
      </w:r>
      <w:r>
        <w:rPr>
          <w:color w:val="auto"/>
        </w:rPr>
        <w:fldChar w:fldCharType="begin"/>
      </w:r>
      <w:r>
        <w:rPr>
          <w:color w:val="auto"/>
        </w:rPr>
        <w:instrText xml:space="preserve"> AUTOTEXT  input276 \* MERGEFORMAT </w:instrText>
      </w:r>
      <w:r>
        <w:rPr>
          <w:color w:val="auto"/>
        </w:rPr>
        <w:fldChar w:fldCharType="separate"/>
      </w:r>
      <w:r>
        <w:rPr>
          <w:color w:val="auto"/>
        </w:rPr>
        <w:fldChar w:fldCharType="end"/>
      </w:r>
      <w:r>
        <w:rPr>
          <w:rFonts w:hint="eastAsia"/>
          <w:color w:val="auto"/>
        </w:rPr>
        <w:t>地基基础工程、主体结构工程为设计文件规定的合理使用年限；</w:t>
      </w:r>
    </w:p>
    <w:p>
      <w:pPr>
        <w:widowControl/>
        <w:adjustRightInd w:val="0"/>
        <w:snapToGrid w:val="0"/>
        <w:spacing w:line="360" w:lineRule="auto"/>
        <w:ind w:firstLine="480" w:firstLineChars="200"/>
        <w:jc w:val="left"/>
        <w:rPr>
          <w:color w:val="auto"/>
        </w:rPr>
      </w:pPr>
      <w:r>
        <w:rPr>
          <w:rFonts w:hAnsi="Segoe UI Symbol" w:cs="Segoe UI Symbol"/>
          <w:color w:val="auto"/>
        </w:rPr>
        <w:t>☑</w:t>
      </w:r>
      <w:r>
        <w:rPr>
          <w:color w:val="auto"/>
        </w:rPr>
        <w:fldChar w:fldCharType="begin"/>
      </w:r>
      <w:r>
        <w:rPr>
          <w:color w:val="auto"/>
        </w:rPr>
        <w:instrText xml:space="preserve"> AUTOTEXT  input277 \* MERGEFORMAT </w:instrText>
      </w:r>
      <w:r>
        <w:rPr>
          <w:color w:val="auto"/>
        </w:rPr>
        <w:fldChar w:fldCharType="separate"/>
      </w:r>
      <w:r>
        <w:rPr>
          <w:color w:val="auto"/>
        </w:rPr>
        <w:fldChar w:fldCharType="end"/>
      </w:r>
      <w:r>
        <w:rPr>
          <w:rFonts w:hint="eastAsia"/>
          <w:color w:val="auto"/>
        </w:rPr>
        <w:t>屋面防水工程、有防水要求的卫生间/房间和外墙面的防渗漏工程为</w:t>
      </w:r>
      <w:r>
        <w:rPr>
          <w:color w:val="auto"/>
          <w:u w:val="single"/>
        </w:rPr>
        <w:t>5</w:t>
      </w:r>
      <w:r>
        <w:rPr>
          <w:color w:val="auto"/>
          <w:u w:val="single"/>
        </w:rPr>
        <w:fldChar w:fldCharType="begin"/>
      </w:r>
      <w:r>
        <w:rPr>
          <w:color w:val="auto"/>
          <w:u w:val="single"/>
        </w:rPr>
        <w:instrText xml:space="preserve"> AUTOTEXT  input278 \* MERGEFORMAT </w:instrText>
      </w:r>
      <w:r>
        <w:rPr>
          <w:color w:val="auto"/>
          <w:u w:val="single"/>
        </w:rPr>
        <w:fldChar w:fldCharType="separate"/>
      </w:r>
      <w:r>
        <w:rPr>
          <w:color w:val="auto"/>
          <w:u w:val="single"/>
        </w:rPr>
        <w:fldChar w:fldCharType="end"/>
      </w:r>
      <w:r>
        <w:rPr>
          <w:rFonts w:hint="eastAsia"/>
          <w:color w:val="auto"/>
        </w:rPr>
        <w:t>年（最低为5年）；</w:t>
      </w:r>
    </w:p>
    <w:p>
      <w:pPr>
        <w:widowControl/>
        <w:adjustRightInd w:val="0"/>
        <w:snapToGrid w:val="0"/>
        <w:spacing w:line="360" w:lineRule="auto"/>
        <w:ind w:firstLine="480" w:firstLineChars="200"/>
        <w:jc w:val="left"/>
        <w:rPr>
          <w:color w:val="auto"/>
        </w:rPr>
      </w:pPr>
      <w:r>
        <w:rPr>
          <w:rFonts w:hAnsi="Segoe UI Symbol" w:cs="Segoe UI Symbol"/>
          <w:color w:val="auto"/>
        </w:rPr>
        <w:t>☑</w:t>
      </w:r>
      <w:r>
        <w:rPr>
          <w:color w:val="auto"/>
        </w:rPr>
        <w:fldChar w:fldCharType="begin"/>
      </w:r>
      <w:r>
        <w:rPr>
          <w:color w:val="auto"/>
        </w:rPr>
        <w:instrText xml:space="preserve"> AUTOTEXT  input279 \* MERGEFORMAT </w:instrText>
      </w:r>
      <w:r>
        <w:rPr>
          <w:color w:val="auto"/>
        </w:rPr>
        <w:fldChar w:fldCharType="separate"/>
      </w:r>
      <w:r>
        <w:rPr>
          <w:color w:val="auto"/>
        </w:rPr>
        <w:fldChar w:fldCharType="end"/>
      </w:r>
      <w:r>
        <w:rPr>
          <w:rFonts w:hint="eastAsia"/>
          <w:color w:val="auto"/>
        </w:rPr>
        <w:t>电气管线工程、给排水管道工程、设备安装工程为</w:t>
      </w:r>
      <w:r>
        <w:rPr>
          <w:color w:val="auto"/>
          <w:u w:val="single"/>
        </w:rPr>
        <w:t>2</w:t>
      </w:r>
      <w:r>
        <w:rPr>
          <w:color w:val="auto"/>
          <w:u w:val="single"/>
        </w:rPr>
        <w:fldChar w:fldCharType="begin"/>
      </w:r>
      <w:r>
        <w:rPr>
          <w:color w:val="auto"/>
          <w:u w:val="single"/>
        </w:rPr>
        <w:instrText xml:space="preserve"> AUTOTEXT  input280 \* MERGEFORMAT </w:instrText>
      </w:r>
      <w:r>
        <w:rPr>
          <w:color w:val="auto"/>
          <w:u w:val="single"/>
        </w:rPr>
        <w:fldChar w:fldCharType="separate"/>
      </w:r>
      <w:r>
        <w:rPr>
          <w:color w:val="auto"/>
          <w:u w:val="single"/>
        </w:rPr>
        <w:fldChar w:fldCharType="end"/>
      </w:r>
      <w:r>
        <w:rPr>
          <w:rFonts w:hint="eastAsia"/>
          <w:color w:val="auto"/>
        </w:rPr>
        <w:t>年（最低为2年）；</w:t>
      </w:r>
    </w:p>
    <w:p>
      <w:pPr>
        <w:widowControl/>
        <w:adjustRightInd w:val="0"/>
        <w:snapToGrid w:val="0"/>
        <w:spacing w:line="360" w:lineRule="auto"/>
        <w:ind w:firstLine="480" w:firstLineChars="200"/>
        <w:jc w:val="left"/>
        <w:rPr>
          <w:color w:val="auto"/>
        </w:rPr>
      </w:pPr>
      <w:r>
        <w:rPr>
          <w:rFonts w:hAnsi="Segoe UI Symbol" w:cs="Segoe UI Symbol"/>
          <w:color w:val="auto"/>
        </w:rPr>
        <w:t>☑</w:t>
      </w:r>
      <w:r>
        <w:rPr>
          <w:color w:val="auto"/>
        </w:rPr>
        <w:fldChar w:fldCharType="begin"/>
      </w:r>
      <w:r>
        <w:rPr>
          <w:color w:val="auto"/>
        </w:rPr>
        <w:instrText xml:space="preserve"> AUTOTEXT  input281 \* MERGEFORMAT </w:instrText>
      </w:r>
      <w:r>
        <w:rPr>
          <w:color w:val="auto"/>
        </w:rPr>
        <w:fldChar w:fldCharType="separate"/>
      </w:r>
      <w:r>
        <w:rPr>
          <w:color w:val="auto"/>
        </w:rPr>
        <w:fldChar w:fldCharType="end"/>
      </w:r>
      <w:r>
        <w:rPr>
          <w:rFonts w:hint="eastAsia"/>
          <w:color w:val="auto"/>
        </w:rPr>
        <w:t>供热和供冷系统工程为</w:t>
      </w:r>
      <w:r>
        <w:rPr>
          <w:color w:val="auto"/>
          <w:u w:val="single"/>
        </w:rPr>
        <w:t>2</w:t>
      </w:r>
      <w:r>
        <w:rPr>
          <w:color w:val="auto"/>
          <w:u w:val="single"/>
        </w:rPr>
        <w:fldChar w:fldCharType="begin"/>
      </w:r>
      <w:r>
        <w:rPr>
          <w:color w:val="auto"/>
          <w:u w:val="single"/>
        </w:rPr>
        <w:instrText xml:space="preserve"> AUTOTEXT  input282 \* MERGEFORMAT </w:instrText>
      </w:r>
      <w:r>
        <w:rPr>
          <w:color w:val="auto"/>
          <w:u w:val="single"/>
        </w:rPr>
        <w:fldChar w:fldCharType="separate"/>
      </w:r>
      <w:r>
        <w:rPr>
          <w:color w:val="auto"/>
          <w:u w:val="single"/>
        </w:rPr>
        <w:fldChar w:fldCharType="end"/>
      </w:r>
      <w:r>
        <w:rPr>
          <w:rFonts w:hint="eastAsia"/>
          <w:color w:val="auto"/>
        </w:rPr>
        <w:t>个（最低为2个）采暖期、供冷期；</w:t>
      </w:r>
    </w:p>
    <w:p>
      <w:pPr>
        <w:widowControl/>
        <w:adjustRightInd w:val="0"/>
        <w:snapToGrid w:val="0"/>
        <w:spacing w:line="360" w:lineRule="auto"/>
        <w:ind w:firstLine="480" w:firstLineChars="200"/>
        <w:jc w:val="left"/>
        <w:rPr>
          <w:color w:val="auto"/>
        </w:rPr>
      </w:pPr>
      <w:r>
        <w:rPr>
          <w:rFonts w:hAnsi="Segoe UI Symbol" w:cs="Segoe UI Symbol"/>
          <w:color w:val="auto"/>
        </w:rPr>
        <w:t>☑</w:t>
      </w:r>
      <w:r>
        <w:rPr>
          <w:color w:val="auto"/>
        </w:rPr>
        <w:fldChar w:fldCharType="begin"/>
      </w:r>
      <w:r>
        <w:rPr>
          <w:color w:val="auto"/>
        </w:rPr>
        <w:instrText xml:space="preserve"> AUTOTEXT  input283 \* MERGEFORMAT </w:instrText>
      </w:r>
      <w:r>
        <w:rPr>
          <w:color w:val="auto"/>
        </w:rPr>
        <w:fldChar w:fldCharType="separate"/>
      </w:r>
      <w:r>
        <w:rPr>
          <w:color w:val="auto"/>
        </w:rPr>
        <w:fldChar w:fldCharType="end"/>
      </w:r>
      <w:r>
        <w:rPr>
          <w:rFonts w:hint="eastAsia"/>
          <w:color w:val="auto"/>
        </w:rPr>
        <w:t>装饰装修工程为</w:t>
      </w:r>
      <w:r>
        <w:rPr>
          <w:color w:val="auto"/>
          <w:u w:val="single"/>
        </w:rPr>
        <w:t>2</w:t>
      </w:r>
      <w:r>
        <w:rPr>
          <w:color w:val="auto"/>
          <w:u w:val="single"/>
        </w:rPr>
        <w:fldChar w:fldCharType="begin"/>
      </w:r>
      <w:r>
        <w:rPr>
          <w:color w:val="auto"/>
          <w:u w:val="single"/>
        </w:rPr>
        <w:instrText xml:space="preserve"> AUTOTEXT  input284 \* MERGEFORMAT </w:instrText>
      </w:r>
      <w:r>
        <w:rPr>
          <w:color w:val="auto"/>
          <w:u w:val="single"/>
        </w:rPr>
        <w:fldChar w:fldCharType="separate"/>
      </w:r>
      <w:r>
        <w:rPr>
          <w:color w:val="auto"/>
          <w:u w:val="single"/>
        </w:rPr>
        <w:fldChar w:fldCharType="end"/>
      </w:r>
      <w:r>
        <w:rPr>
          <w:rFonts w:hint="eastAsia"/>
          <w:color w:val="auto"/>
        </w:rPr>
        <w:t>年；</w:t>
      </w:r>
    </w:p>
    <w:p>
      <w:pPr>
        <w:widowControl/>
        <w:adjustRightInd w:val="0"/>
        <w:snapToGrid w:val="0"/>
        <w:spacing w:line="360" w:lineRule="auto"/>
        <w:ind w:firstLine="480" w:firstLineChars="200"/>
        <w:jc w:val="left"/>
        <w:rPr>
          <w:color w:val="auto"/>
        </w:rPr>
      </w:pPr>
      <w:r>
        <w:rPr>
          <w:rFonts w:hAnsi="Segoe UI Symbol" w:cs="Segoe UI Symbol"/>
          <w:color w:val="auto"/>
        </w:rPr>
        <w:t>☑</w:t>
      </w:r>
      <w:r>
        <w:rPr>
          <w:color w:val="auto"/>
        </w:rPr>
        <w:fldChar w:fldCharType="begin"/>
      </w:r>
      <w:r>
        <w:rPr>
          <w:color w:val="auto"/>
        </w:rPr>
        <w:instrText xml:space="preserve"> AUTOTEXT  input285 \* MERGEFORMAT </w:instrText>
      </w:r>
      <w:r>
        <w:rPr>
          <w:color w:val="auto"/>
        </w:rPr>
        <w:fldChar w:fldCharType="separate"/>
      </w:r>
      <w:r>
        <w:rPr>
          <w:color w:val="auto"/>
        </w:rPr>
        <w:fldChar w:fldCharType="end"/>
      </w:r>
      <w:r>
        <w:rPr>
          <w:rFonts w:hint="eastAsia"/>
          <w:color w:val="auto"/>
        </w:rPr>
        <w:t>其他项目保修期约定：</w:t>
      </w:r>
    </w:p>
    <w:p>
      <w:pPr>
        <w:widowControl/>
        <w:adjustRightInd w:val="0"/>
        <w:snapToGrid w:val="0"/>
        <w:spacing w:line="360" w:lineRule="auto"/>
        <w:ind w:firstLine="480" w:firstLineChars="200"/>
        <w:jc w:val="left"/>
        <w:rPr>
          <w:color w:val="auto"/>
          <w:u w:val="single"/>
        </w:rPr>
      </w:pPr>
      <w:r>
        <w:rPr>
          <w:color w:val="auto"/>
          <w:u w:val="single"/>
        </w:rPr>
        <w:t xml:space="preserve"> 其他项目的缺陷保修期均为2年，其中LED产品、网络设备产品保修5年。</w:t>
      </w:r>
      <w:r>
        <w:rPr>
          <w:color w:val="auto"/>
          <w:u w:val="single"/>
        </w:rPr>
        <w:fldChar w:fldCharType="begin"/>
      </w:r>
      <w:r>
        <w:rPr>
          <w:color w:val="auto"/>
          <w:u w:val="single"/>
        </w:rPr>
        <w:instrText xml:space="preserve"> AUTOTEXT  input286 \* MERGEFORMAT </w:instrText>
      </w:r>
      <w:r>
        <w:rPr>
          <w:color w:val="auto"/>
          <w:u w:val="single"/>
        </w:rPr>
        <w:fldChar w:fldCharType="separate"/>
      </w:r>
      <w:r>
        <w:rPr>
          <w:color w:val="auto"/>
          <w:u w:val="single"/>
        </w:rPr>
        <w:fldChar w:fldCharType="end"/>
      </w:r>
    </w:p>
    <w:p>
      <w:pPr>
        <w:widowControl/>
        <w:adjustRightInd w:val="0"/>
        <w:snapToGrid w:val="0"/>
        <w:spacing w:line="360" w:lineRule="auto"/>
        <w:ind w:firstLine="480" w:firstLineChars="200"/>
        <w:jc w:val="left"/>
        <w:rPr>
          <w:color w:val="auto"/>
        </w:rPr>
      </w:pPr>
      <w:r>
        <w:rPr>
          <w:rFonts w:hint="eastAsia"/>
          <w:color w:val="auto"/>
        </w:rPr>
        <w:t>三、工程质量保修责任</w:t>
      </w:r>
    </w:p>
    <w:p>
      <w:pPr>
        <w:widowControl/>
        <w:spacing w:line="360" w:lineRule="auto"/>
        <w:ind w:firstLine="480" w:firstLineChars="200"/>
        <w:jc w:val="left"/>
        <w:rPr>
          <w:color w:val="auto"/>
        </w:rPr>
      </w:pPr>
      <w:r>
        <w:rPr>
          <w:rFonts w:hint="eastAsia"/>
          <w:color w:val="auto"/>
        </w:rPr>
        <w:t>1.属于保修范围内的项目，在保修期内，承包人应在接到保修通知之日后７天内派人修理。承包人不在约定期限内派人修理，发包人可委托其他人员修理。</w:t>
      </w:r>
    </w:p>
    <w:p>
      <w:pPr>
        <w:widowControl/>
        <w:adjustRightInd w:val="0"/>
        <w:snapToGrid w:val="0"/>
        <w:spacing w:line="360" w:lineRule="auto"/>
        <w:ind w:firstLine="480" w:firstLineChars="200"/>
        <w:jc w:val="left"/>
        <w:rPr>
          <w:color w:val="auto"/>
        </w:rPr>
      </w:pPr>
      <w:r>
        <w:rPr>
          <w:rFonts w:hint="eastAsia"/>
          <w:color w:val="auto"/>
        </w:rPr>
        <w:t>2.发生紧急抢修事故的，承包人接到事故通知后，应立即到达事故现场抢修。</w:t>
      </w:r>
    </w:p>
    <w:p>
      <w:pPr>
        <w:widowControl/>
        <w:adjustRightInd w:val="0"/>
        <w:snapToGrid w:val="0"/>
        <w:spacing w:line="360" w:lineRule="auto"/>
        <w:ind w:firstLine="480" w:firstLineChars="200"/>
        <w:jc w:val="left"/>
        <w:rPr>
          <w:color w:val="auto"/>
        </w:rPr>
      </w:pPr>
      <w:r>
        <w:rPr>
          <w:rFonts w:hint="eastAsia"/>
          <w:color w:val="auto"/>
        </w:rPr>
        <w:t>四、工程质量保修费用</w:t>
      </w:r>
    </w:p>
    <w:p>
      <w:pPr>
        <w:widowControl/>
        <w:adjustRightInd w:val="0"/>
        <w:snapToGrid w:val="0"/>
        <w:spacing w:line="360" w:lineRule="auto"/>
        <w:ind w:firstLine="480" w:firstLineChars="200"/>
        <w:jc w:val="left"/>
        <w:rPr>
          <w:color w:val="auto"/>
        </w:rPr>
      </w:pPr>
      <w:r>
        <w:rPr>
          <w:rFonts w:hint="eastAsia"/>
          <w:color w:val="auto"/>
        </w:rPr>
        <w:t>工程质量保修费用及相关的损害赔偿责任由造成质量缺陷的责任方承担。</w:t>
      </w:r>
    </w:p>
    <w:p>
      <w:pPr>
        <w:widowControl/>
        <w:adjustRightInd w:val="0"/>
        <w:snapToGrid w:val="0"/>
        <w:spacing w:line="360" w:lineRule="auto"/>
        <w:ind w:firstLine="480" w:firstLineChars="200"/>
        <w:jc w:val="left"/>
        <w:rPr>
          <w:color w:val="auto"/>
        </w:rPr>
      </w:pPr>
      <w:r>
        <w:rPr>
          <w:rFonts w:hint="eastAsia"/>
          <w:color w:val="auto"/>
        </w:rPr>
        <w:t>五、工程质量保证方式</w:t>
      </w:r>
    </w:p>
    <w:p>
      <w:pPr>
        <w:widowControl/>
        <w:adjustRightInd w:val="0"/>
        <w:snapToGrid w:val="0"/>
        <w:spacing w:line="360" w:lineRule="auto"/>
        <w:ind w:firstLine="480" w:firstLineChars="200"/>
        <w:jc w:val="left"/>
        <w:rPr>
          <w:color w:val="auto"/>
        </w:rPr>
      </w:pPr>
      <w:r>
        <w:rPr>
          <w:rFonts w:hint="eastAsia"/>
          <w:color w:val="auto"/>
        </w:rPr>
        <w:t>工程质量保证方式可采用以下方式：</w:t>
      </w:r>
    </w:p>
    <w:p>
      <w:pPr>
        <w:widowControl/>
        <w:adjustRightInd w:val="0"/>
        <w:snapToGrid w:val="0"/>
        <w:spacing w:line="360" w:lineRule="auto"/>
        <w:ind w:firstLine="480" w:firstLineChars="200"/>
        <w:jc w:val="left"/>
        <w:rPr>
          <w:color w:val="auto"/>
        </w:rPr>
      </w:pPr>
      <w:r>
        <w:rPr>
          <w:rFonts w:hAnsi="Segoe UI Symbol" w:cs="Segoe UI Symbol"/>
          <w:color w:val="auto"/>
        </w:rPr>
        <w:t>☑</w:t>
      </w:r>
      <w:r>
        <w:rPr>
          <w:color w:val="auto"/>
        </w:rPr>
        <w:fldChar w:fldCharType="begin"/>
      </w:r>
      <w:r>
        <w:rPr>
          <w:color w:val="auto"/>
        </w:rPr>
        <w:instrText xml:space="preserve"> AUTOTEXT  input287 \* MERGEFORMAT </w:instrText>
      </w:r>
      <w:r>
        <w:rPr>
          <w:color w:val="auto"/>
        </w:rPr>
        <w:fldChar w:fldCharType="separate"/>
      </w:r>
      <w:r>
        <w:rPr>
          <w:color w:val="auto"/>
        </w:rPr>
        <w:fldChar w:fldCharType="end"/>
      </w:r>
      <w:r>
        <w:rPr>
          <w:rFonts w:hint="eastAsia"/>
          <w:color w:val="auto"/>
        </w:rPr>
        <w:t>质量保证金：</w:t>
      </w:r>
    </w:p>
    <w:p>
      <w:pPr>
        <w:widowControl/>
        <w:adjustRightInd w:val="0"/>
        <w:snapToGrid w:val="0"/>
        <w:spacing w:line="360" w:lineRule="auto"/>
        <w:ind w:firstLine="480" w:firstLineChars="200"/>
        <w:jc w:val="left"/>
        <w:rPr>
          <w:color w:val="auto"/>
        </w:rPr>
      </w:pPr>
      <w:r>
        <w:rPr>
          <w:rFonts w:hint="eastAsia"/>
          <w:color w:val="auto"/>
        </w:rPr>
        <w:t>质量保证金一般不超过签约合同结算的3％，发包人承包人约定本工程的质量保证金为合同结算的</w:t>
      </w:r>
      <w:r>
        <w:rPr>
          <w:color w:val="auto"/>
          <w:u w:val="single"/>
        </w:rPr>
        <w:fldChar w:fldCharType="begin"/>
      </w:r>
      <w:r>
        <w:rPr>
          <w:color w:val="auto"/>
          <w:u w:val="single"/>
        </w:rPr>
        <w:instrText xml:space="preserve"> AUTOTEXT  input288 \* MERGEFORMAT </w:instrText>
      </w:r>
      <w:r>
        <w:rPr>
          <w:color w:val="auto"/>
          <w:u w:val="single"/>
        </w:rPr>
        <w:fldChar w:fldCharType="separate"/>
      </w:r>
      <w:r>
        <w:rPr>
          <w:color w:val="auto"/>
          <w:u w:val="single"/>
        </w:rPr>
        <w:fldChar w:fldCharType="end"/>
      </w:r>
      <w:r>
        <w:rPr>
          <w:rFonts w:hint="eastAsia"/>
          <w:color w:val="auto"/>
        </w:rPr>
        <w:t>％，具体为：</w:t>
      </w:r>
    </w:p>
    <w:p>
      <w:pPr>
        <w:widowControl/>
        <w:adjustRightInd w:val="0"/>
        <w:snapToGrid w:val="0"/>
        <w:spacing w:line="360" w:lineRule="auto"/>
        <w:ind w:firstLine="480" w:firstLineChars="200"/>
        <w:jc w:val="left"/>
        <w:rPr>
          <w:color w:val="auto"/>
        </w:rPr>
      </w:pPr>
      <w:r>
        <w:rPr>
          <w:rFonts w:hint="eastAsia"/>
          <w:color w:val="auto"/>
        </w:rPr>
        <w:t>币种：</w:t>
      </w:r>
      <w:r>
        <w:rPr>
          <w:color w:val="auto"/>
          <w:u w:val="single"/>
        </w:rPr>
        <w:t>人民币</w:t>
      </w:r>
      <w:r>
        <w:rPr>
          <w:color w:val="auto"/>
          <w:u w:val="single"/>
        </w:rPr>
        <w:fldChar w:fldCharType="begin"/>
      </w:r>
      <w:r>
        <w:rPr>
          <w:color w:val="auto"/>
          <w:u w:val="single"/>
        </w:rPr>
        <w:instrText xml:space="preserve"> AUTOTEXT  input289 \* MERGEFORMAT </w:instrText>
      </w:r>
      <w:r>
        <w:rPr>
          <w:color w:val="auto"/>
          <w:u w:val="single"/>
        </w:rPr>
        <w:fldChar w:fldCharType="separate"/>
      </w:r>
      <w:r>
        <w:rPr>
          <w:color w:val="auto"/>
          <w:u w:val="single"/>
        </w:rPr>
        <w:fldChar w:fldCharType="end"/>
      </w:r>
    </w:p>
    <w:p>
      <w:pPr>
        <w:widowControl/>
        <w:adjustRightInd w:val="0"/>
        <w:snapToGrid w:val="0"/>
        <w:spacing w:line="360" w:lineRule="auto"/>
        <w:ind w:firstLine="480" w:firstLineChars="200"/>
        <w:jc w:val="left"/>
        <w:rPr>
          <w:color w:val="auto"/>
        </w:rPr>
      </w:pPr>
      <w:r>
        <w:rPr>
          <w:rFonts w:hint="eastAsia"/>
          <w:color w:val="auto"/>
        </w:rPr>
        <w:t>金额（大写）：</w:t>
      </w:r>
      <w:r>
        <w:rPr>
          <w:color w:val="auto"/>
          <w:u w:val="single"/>
        </w:rPr>
        <w:fldChar w:fldCharType="begin"/>
      </w:r>
      <w:r>
        <w:rPr>
          <w:color w:val="auto"/>
          <w:u w:val="single"/>
        </w:rPr>
        <w:instrText xml:space="preserve"> AUTOTEXT  input290 \* MERGEFORMAT </w:instrText>
      </w:r>
      <w:r>
        <w:rPr>
          <w:color w:val="auto"/>
          <w:u w:val="single"/>
        </w:rPr>
        <w:fldChar w:fldCharType="separate"/>
      </w:r>
      <w:r>
        <w:rPr>
          <w:color w:val="auto"/>
          <w:u w:val="single"/>
        </w:rPr>
        <w:fldChar w:fldCharType="end"/>
      </w:r>
      <w:r>
        <w:rPr>
          <w:rFonts w:hint="eastAsia"/>
          <w:color w:val="auto"/>
        </w:rPr>
        <w:t>元</w:t>
      </w:r>
    </w:p>
    <w:p>
      <w:pPr>
        <w:widowControl/>
        <w:adjustRightInd w:val="0"/>
        <w:snapToGrid w:val="0"/>
        <w:spacing w:line="360" w:lineRule="auto"/>
        <w:ind w:firstLine="480" w:firstLineChars="200"/>
        <w:jc w:val="left"/>
        <w:rPr>
          <w:color w:val="auto"/>
        </w:rPr>
      </w:pPr>
      <w:r>
        <w:rPr>
          <w:rFonts w:hint="eastAsia"/>
          <w:color w:val="auto"/>
        </w:rPr>
        <w:t>（小写）：</w:t>
      </w:r>
      <w:r>
        <w:rPr>
          <w:color w:val="auto"/>
          <w:u w:val="single"/>
        </w:rPr>
        <w:fldChar w:fldCharType="begin"/>
      </w:r>
      <w:r>
        <w:rPr>
          <w:color w:val="auto"/>
          <w:u w:val="single"/>
        </w:rPr>
        <w:instrText xml:space="preserve"> AUTOTEXT  input291 \* MERGEFORMAT </w:instrText>
      </w:r>
      <w:r>
        <w:rPr>
          <w:color w:val="auto"/>
          <w:u w:val="single"/>
        </w:rPr>
        <w:fldChar w:fldCharType="separate"/>
      </w:r>
      <w:r>
        <w:rPr>
          <w:color w:val="auto"/>
          <w:u w:val="single"/>
        </w:rPr>
        <w:fldChar w:fldCharType="end"/>
      </w:r>
      <w:r>
        <w:rPr>
          <w:rFonts w:hint="eastAsia"/>
          <w:color w:val="auto"/>
        </w:rPr>
        <w:t>元</w:t>
      </w:r>
    </w:p>
    <w:p>
      <w:pPr>
        <w:widowControl/>
        <w:adjustRightInd w:val="0"/>
        <w:snapToGrid w:val="0"/>
        <w:spacing w:line="360" w:lineRule="auto"/>
        <w:ind w:firstLine="480" w:firstLineChars="200"/>
        <w:jc w:val="left"/>
        <w:rPr>
          <w:color w:val="auto"/>
        </w:rPr>
      </w:pPr>
      <w:r>
        <w:rPr>
          <w:rFonts w:hint="eastAsia"/>
          <w:color w:val="auto"/>
        </w:rPr>
        <w:t>质量保证金银行利率为：</w:t>
      </w:r>
      <w:r>
        <w:rPr>
          <w:color w:val="auto"/>
          <w:u w:val="single"/>
        </w:rPr>
        <w:t>无息</w:t>
      </w:r>
      <w:r>
        <w:rPr>
          <w:color w:val="auto"/>
          <w:u w:val="single"/>
        </w:rPr>
        <w:fldChar w:fldCharType="begin"/>
      </w:r>
      <w:r>
        <w:rPr>
          <w:color w:val="auto"/>
          <w:u w:val="single"/>
        </w:rPr>
        <w:instrText xml:space="preserve"> AUTOTEXT  input292 \* MERGEFORMAT </w:instrText>
      </w:r>
      <w:r>
        <w:rPr>
          <w:color w:val="auto"/>
          <w:u w:val="single"/>
        </w:rPr>
        <w:fldChar w:fldCharType="separate"/>
      </w:r>
      <w:r>
        <w:rPr>
          <w:color w:val="auto"/>
          <w:u w:val="single"/>
        </w:rPr>
        <w:fldChar w:fldCharType="end"/>
      </w:r>
    </w:p>
    <w:p>
      <w:pPr>
        <w:widowControl/>
        <w:adjustRightInd w:val="0"/>
        <w:snapToGrid w:val="0"/>
        <w:spacing w:line="360" w:lineRule="auto"/>
        <w:ind w:firstLine="480" w:firstLineChars="200"/>
        <w:jc w:val="left"/>
        <w:rPr>
          <w:color w:val="auto"/>
        </w:rPr>
      </w:pPr>
      <w:r>
        <w:rPr>
          <w:rFonts w:hAnsi="Segoe UI Symbol" w:cs="Segoe UI Symbol"/>
          <w:color w:val="auto"/>
        </w:rPr>
        <w:t>☑</w:t>
      </w:r>
      <w:r>
        <w:rPr>
          <w:color w:val="auto"/>
        </w:rPr>
        <w:fldChar w:fldCharType="begin"/>
      </w:r>
      <w:r>
        <w:rPr>
          <w:color w:val="auto"/>
        </w:rPr>
        <w:instrText xml:space="preserve"> AUTOTEXT  input293 \* MERGEFORMAT </w:instrText>
      </w:r>
      <w:r>
        <w:rPr>
          <w:color w:val="auto"/>
        </w:rPr>
        <w:fldChar w:fldCharType="separate"/>
      </w:r>
      <w:r>
        <w:rPr>
          <w:color w:val="auto"/>
        </w:rPr>
        <w:fldChar w:fldCharType="end"/>
      </w:r>
      <w:r>
        <w:rPr>
          <w:rFonts w:hint="eastAsia"/>
          <w:color w:val="auto"/>
        </w:rPr>
        <w:t>工程质量保证担保：</w:t>
      </w:r>
    </w:p>
    <w:p>
      <w:pPr>
        <w:widowControl/>
        <w:ind w:firstLine="480" w:firstLineChars="200"/>
        <w:jc w:val="left"/>
        <w:rPr>
          <w:color w:val="auto"/>
        </w:rPr>
      </w:pPr>
      <w:r>
        <w:rPr>
          <w:rFonts w:hint="eastAsia"/>
          <w:color w:val="auto"/>
          <w:u w:val="single"/>
        </w:rPr>
        <w:t>担保金额为合同结算价款的</w:t>
      </w:r>
      <w:r>
        <w:rPr>
          <w:color w:val="auto"/>
          <w:u w:val="single"/>
        </w:rPr>
        <w:t>3%，担保形式为由委托人认可的银行（或专业担保公司）出具的保函，担保期间从工程实际竣工验收合格之日起至两年后，具体以招标人要求为准。</w:t>
      </w:r>
    </w:p>
    <w:p>
      <w:pPr>
        <w:widowControl/>
        <w:adjustRightInd w:val="0"/>
        <w:snapToGrid w:val="0"/>
        <w:spacing w:line="360" w:lineRule="auto"/>
        <w:ind w:firstLine="480" w:firstLineChars="200"/>
        <w:jc w:val="left"/>
        <w:rPr>
          <w:color w:val="auto"/>
          <w:u w:val="single"/>
        </w:rPr>
      </w:pPr>
      <w:r>
        <w:rPr>
          <w:color w:val="auto"/>
        </w:rPr>
        <w:t>□</w:t>
      </w:r>
      <w:r>
        <w:rPr>
          <w:color w:val="auto"/>
        </w:rPr>
        <w:fldChar w:fldCharType="begin"/>
      </w:r>
      <w:r>
        <w:rPr>
          <w:color w:val="auto"/>
        </w:rPr>
        <w:instrText xml:space="preserve"> AUTOTEXT  input295 \* MERGEFORMAT </w:instrText>
      </w:r>
      <w:r>
        <w:rPr>
          <w:color w:val="auto"/>
        </w:rPr>
        <w:fldChar w:fldCharType="separate"/>
      </w:r>
      <w:r>
        <w:rPr>
          <w:color w:val="auto"/>
        </w:rPr>
        <w:fldChar w:fldCharType="end"/>
      </w:r>
      <w:r>
        <w:rPr>
          <w:rFonts w:hint="eastAsia"/>
          <w:color w:val="auto"/>
        </w:rPr>
        <w:t>工程质量保险：</w:t>
      </w:r>
      <w:r>
        <w:rPr>
          <w:rFonts w:hint="eastAsia"/>
          <w:color w:val="auto"/>
          <w:u w:val="single"/>
          <w:lang w:val="en-US" w:eastAsia="zh-CN"/>
        </w:rPr>
        <w:t xml:space="preserve">          </w:t>
      </w:r>
      <w:r>
        <w:rPr>
          <w:color w:val="auto"/>
          <w:u w:val="single"/>
        </w:rPr>
        <w:fldChar w:fldCharType="begin"/>
      </w:r>
      <w:r>
        <w:rPr>
          <w:color w:val="auto"/>
          <w:u w:val="single"/>
        </w:rPr>
        <w:instrText xml:space="preserve"> AUTOTEXT  input296 \* MERGEFORMAT </w:instrText>
      </w:r>
      <w:r>
        <w:rPr>
          <w:color w:val="auto"/>
          <w:u w:val="single"/>
        </w:rPr>
        <w:fldChar w:fldCharType="separate"/>
      </w:r>
      <w:r>
        <w:rPr>
          <w:color w:val="auto"/>
          <w:u w:val="single"/>
        </w:rPr>
        <w:fldChar w:fldCharType="end"/>
      </w:r>
    </w:p>
    <w:p>
      <w:pPr>
        <w:widowControl/>
        <w:adjustRightInd w:val="0"/>
        <w:snapToGrid w:val="0"/>
        <w:spacing w:line="360" w:lineRule="auto"/>
        <w:ind w:firstLine="480" w:firstLineChars="200"/>
        <w:jc w:val="left"/>
        <w:rPr>
          <w:color w:val="auto"/>
        </w:rPr>
      </w:pPr>
      <w:r>
        <w:rPr>
          <w:rFonts w:hint="eastAsia"/>
          <w:color w:val="auto"/>
        </w:rPr>
        <w:t>六、质量保证金的支付</w:t>
      </w:r>
    </w:p>
    <w:p>
      <w:pPr>
        <w:widowControl/>
        <w:adjustRightInd w:val="0"/>
        <w:snapToGrid w:val="0"/>
        <w:spacing w:line="360" w:lineRule="auto"/>
        <w:ind w:firstLine="480" w:firstLineChars="200"/>
        <w:jc w:val="left"/>
        <w:rPr>
          <w:color w:val="auto"/>
        </w:rPr>
      </w:pPr>
      <w:r>
        <w:rPr>
          <w:rFonts w:hint="eastAsia"/>
          <w:color w:val="auto"/>
        </w:rPr>
        <w:t>采用质量保证金方式时，发包人在工程竣工验收合格满二年后第14天内，将剩余质量保证金和利息支付给承包人，但并不免除承包人在保修期内的保修责任。</w:t>
      </w:r>
    </w:p>
    <w:p>
      <w:pPr>
        <w:widowControl/>
        <w:adjustRightInd w:val="0"/>
        <w:snapToGrid w:val="0"/>
        <w:spacing w:line="360" w:lineRule="auto"/>
        <w:ind w:firstLine="480" w:firstLineChars="200"/>
        <w:jc w:val="left"/>
        <w:rPr>
          <w:color w:val="auto"/>
        </w:rPr>
      </w:pPr>
      <w:r>
        <w:rPr>
          <w:rFonts w:hint="eastAsia"/>
          <w:color w:val="auto"/>
        </w:rPr>
        <w:t>七、其他</w:t>
      </w:r>
    </w:p>
    <w:p>
      <w:pPr>
        <w:widowControl/>
        <w:adjustRightInd w:val="0"/>
        <w:snapToGrid w:val="0"/>
        <w:spacing w:line="360" w:lineRule="auto"/>
        <w:ind w:firstLine="480" w:firstLineChars="200"/>
        <w:jc w:val="left"/>
        <w:rPr>
          <w:color w:val="auto"/>
        </w:rPr>
      </w:pPr>
      <w:r>
        <w:rPr>
          <w:rFonts w:hint="eastAsia"/>
          <w:color w:val="auto"/>
        </w:rPr>
        <w:t>发包人承包人约定的其他工程质量保修事项：</w:t>
      </w:r>
    </w:p>
    <w:p>
      <w:pPr>
        <w:widowControl/>
        <w:adjustRightInd w:val="0"/>
        <w:snapToGrid w:val="0"/>
        <w:spacing w:line="360" w:lineRule="auto"/>
        <w:ind w:firstLine="480" w:firstLineChars="200"/>
        <w:jc w:val="left"/>
        <w:rPr>
          <w:color w:val="auto"/>
          <w:u w:val="none"/>
        </w:rPr>
      </w:pPr>
      <w:r>
        <w:rPr>
          <w:color w:val="auto"/>
          <w:u w:val="none"/>
        </w:rPr>
        <w:t>保修实施要求</w:t>
      </w:r>
      <w:r>
        <w:rPr>
          <w:rFonts w:hint="eastAsia"/>
          <w:color w:val="auto"/>
          <w:u w:val="none"/>
        </w:rPr>
        <w:t>、</w:t>
      </w:r>
      <w:r>
        <w:rPr>
          <w:color w:val="auto"/>
          <w:u w:val="none"/>
        </w:rPr>
        <w:t>维修质量及工作，包括但不限于如下内容：</w:t>
      </w:r>
    </w:p>
    <w:p>
      <w:pPr>
        <w:widowControl/>
        <w:adjustRightInd w:val="0"/>
        <w:snapToGrid w:val="0"/>
        <w:spacing w:line="360" w:lineRule="auto"/>
        <w:ind w:firstLine="480" w:firstLineChars="200"/>
        <w:jc w:val="left"/>
        <w:rPr>
          <w:color w:val="auto"/>
          <w:u w:val="none"/>
        </w:rPr>
      </w:pPr>
      <w:r>
        <w:rPr>
          <w:color w:val="auto"/>
          <w:u w:val="none"/>
        </w:rPr>
        <w:t>7.1 维修人员管理：</w:t>
      </w:r>
    </w:p>
    <w:p>
      <w:pPr>
        <w:widowControl/>
        <w:adjustRightInd w:val="0"/>
        <w:snapToGrid w:val="0"/>
        <w:spacing w:line="360" w:lineRule="auto"/>
        <w:ind w:firstLine="480" w:firstLineChars="200"/>
        <w:jc w:val="left"/>
        <w:rPr>
          <w:color w:val="auto"/>
          <w:u w:val="none"/>
        </w:rPr>
      </w:pPr>
      <w:r>
        <w:rPr>
          <w:color w:val="auto"/>
          <w:u w:val="none"/>
        </w:rPr>
        <w:t>7.1.1承包人维修人员必须服从发包人的管理。承包人所提供的人员必须提前在发包人备案。若因为发包人委托维修的任务量剧增，承包人备案人员无法满足维修要求时，承包人可以临时调用其他维修人员，但必须得到发包人书面认可，否则完成的维修工作发包人不予认可。</w:t>
      </w:r>
    </w:p>
    <w:p>
      <w:pPr>
        <w:widowControl/>
        <w:adjustRightInd w:val="0"/>
        <w:snapToGrid w:val="0"/>
        <w:spacing w:line="360" w:lineRule="auto"/>
        <w:ind w:firstLine="480" w:firstLineChars="200"/>
        <w:jc w:val="left"/>
        <w:rPr>
          <w:color w:val="auto"/>
          <w:u w:val="none"/>
        </w:rPr>
      </w:pPr>
      <w:r>
        <w:rPr>
          <w:color w:val="auto"/>
          <w:u w:val="none"/>
        </w:rPr>
        <w:t>承包人维修人员应对每一个维修任务认真履行保修职责，包括：上门查看、沟通、确定方案、过程实施、结果检验、签单确认等，且工作标准符合发包人要求。</w:t>
      </w:r>
    </w:p>
    <w:p>
      <w:pPr>
        <w:widowControl/>
        <w:adjustRightInd w:val="0"/>
        <w:snapToGrid w:val="0"/>
        <w:spacing w:line="360" w:lineRule="auto"/>
        <w:ind w:firstLine="480" w:firstLineChars="200"/>
        <w:jc w:val="left"/>
        <w:rPr>
          <w:color w:val="auto"/>
          <w:u w:val="none"/>
        </w:rPr>
      </w:pPr>
      <w:r>
        <w:rPr>
          <w:color w:val="auto"/>
          <w:u w:val="none"/>
        </w:rPr>
        <w:t>7.1.2 已确定的维修人员承包人不应变动，若确实需要变动，承包人需提前7日向发包人提出书面申请，经过发包人同意后方能更换。</w:t>
      </w:r>
    </w:p>
    <w:p>
      <w:pPr>
        <w:widowControl/>
        <w:adjustRightInd w:val="0"/>
        <w:snapToGrid w:val="0"/>
        <w:spacing w:line="360" w:lineRule="auto"/>
        <w:ind w:firstLine="480" w:firstLineChars="200"/>
        <w:jc w:val="left"/>
        <w:rPr>
          <w:color w:val="auto"/>
          <w:u w:val="single"/>
        </w:rPr>
      </w:pPr>
      <w:r>
        <w:rPr>
          <w:color w:val="auto"/>
          <w:u w:val="single"/>
        </w:rPr>
        <w:t>7.1.3发包人指定             部门负责对接，联系人：            ，电话/手机：             ，传真：            。</w:t>
      </w:r>
    </w:p>
    <w:p>
      <w:pPr>
        <w:widowControl/>
        <w:adjustRightInd w:val="0"/>
        <w:snapToGrid w:val="0"/>
        <w:spacing w:line="360" w:lineRule="auto"/>
        <w:ind w:firstLine="480" w:firstLineChars="200"/>
        <w:jc w:val="left"/>
        <w:rPr>
          <w:color w:val="auto"/>
          <w:u w:val="none"/>
        </w:rPr>
      </w:pPr>
      <w:r>
        <w:rPr>
          <w:color w:val="auto"/>
          <w:u w:val="none"/>
        </w:rPr>
        <w:t>承包人指定保修负责人，代表承包人全面负责保修期内各项保修事务的对接及实施工作。包括如下内容：</w:t>
      </w:r>
    </w:p>
    <w:p>
      <w:pPr>
        <w:widowControl/>
        <w:adjustRightInd w:val="0"/>
        <w:snapToGrid w:val="0"/>
        <w:spacing w:line="360" w:lineRule="auto"/>
        <w:ind w:firstLine="480" w:firstLineChars="200"/>
        <w:jc w:val="left"/>
        <w:rPr>
          <w:color w:val="auto"/>
        </w:rPr>
      </w:pPr>
      <w:r>
        <w:rPr>
          <w:color w:val="auto"/>
          <w:u w:val="single"/>
        </w:rPr>
        <w:t xml:space="preserve">承包人保修负责人： </w:t>
      </w:r>
      <w:r>
        <w:rPr>
          <w:rFonts w:hint="eastAsia"/>
          <w:color w:val="auto"/>
          <w:u w:val="single"/>
          <w:lang w:val="en-US" w:eastAsia="zh-CN"/>
        </w:rPr>
        <w:t>**</w:t>
      </w:r>
      <w:r>
        <w:rPr>
          <w:color w:val="auto"/>
          <w:u w:val="single"/>
        </w:rPr>
        <w:t xml:space="preserve">  ，是否需常驻现场： </w:t>
      </w:r>
      <w:r>
        <w:rPr>
          <w:rFonts w:hint="eastAsia"/>
          <w:color w:val="auto"/>
          <w:u w:val="single"/>
          <w:lang w:val="en-US" w:eastAsia="zh-CN"/>
        </w:rPr>
        <w:t>是</w:t>
      </w:r>
      <w:r>
        <w:rPr>
          <w:color w:val="auto"/>
          <w:u w:val="single"/>
        </w:rPr>
        <w:t xml:space="preserve">   ，</w:t>
      </w:r>
    </w:p>
    <w:p>
      <w:pPr>
        <w:widowControl/>
        <w:adjustRightInd w:val="0"/>
        <w:snapToGrid w:val="0"/>
        <w:spacing w:line="360" w:lineRule="auto"/>
        <w:ind w:firstLine="480" w:firstLineChars="200"/>
        <w:jc w:val="left"/>
        <w:rPr>
          <w:color w:val="auto"/>
          <w:u w:val="single"/>
        </w:rPr>
      </w:pPr>
      <w:r>
        <w:rPr>
          <w:color w:val="auto"/>
          <w:u w:val="single"/>
        </w:rPr>
        <w:t>通讯地址：</w:t>
      </w:r>
      <w:r>
        <w:rPr>
          <w:rFonts w:hint="eastAsia"/>
          <w:color w:val="auto"/>
          <w:u w:val="single"/>
          <w:lang w:val="en-US" w:eastAsia="zh-CN"/>
        </w:rPr>
        <w:t>*****</w:t>
      </w:r>
      <w:r>
        <w:rPr>
          <w:color w:val="auto"/>
          <w:u w:val="single"/>
        </w:rPr>
        <w:t xml:space="preserve"> ，</w:t>
      </w:r>
    </w:p>
    <w:p>
      <w:pPr>
        <w:widowControl/>
        <w:adjustRightInd w:val="0"/>
        <w:snapToGrid w:val="0"/>
        <w:spacing w:line="360" w:lineRule="auto"/>
        <w:ind w:firstLine="480" w:firstLineChars="200"/>
        <w:jc w:val="left"/>
        <w:rPr>
          <w:color w:val="auto"/>
          <w:u w:val="single"/>
        </w:rPr>
      </w:pPr>
      <w:r>
        <w:rPr>
          <w:color w:val="auto"/>
          <w:u w:val="single"/>
        </w:rPr>
        <w:t>电话/手机（不得停机）：</w:t>
      </w:r>
      <w:r>
        <w:rPr>
          <w:rFonts w:hint="eastAsia"/>
          <w:color w:val="auto"/>
          <w:u w:val="single"/>
          <w:lang w:val="en-US" w:eastAsia="zh-CN"/>
        </w:rPr>
        <w:t>****</w:t>
      </w:r>
      <w:r>
        <w:rPr>
          <w:color w:val="auto"/>
          <w:u w:val="single"/>
        </w:rPr>
        <w:t xml:space="preserve">        ，</w:t>
      </w:r>
    </w:p>
    <w:p>
      <w:pPr>
        <w:widowControl/>
        <w:adjustRightInd w:val="0"/>
        <w:snapToGrid w:val="0"/>
        <w:spacing w:line="360" w:lineRule="auto"/>
        <w:ind w:firstLine="480" w:firstLineChars="200"/>
        <w:jc w:val="left"/>
        <w:rPr>
          <w:color w:val="auto"/>
          <w:u w:val="single"/>
        </w:rPr>
      </w:pPr>
      <w:r>
        <w:rPr>
          <w:color w:val="auto"/>
          <w:u w:val="single"/>
        </w:rPr>
        <w:t xml:space="preserve">传真： </w:t>
      </w:r>
      <w:r>
        <w:rPr>
          <w:rFonts w:hint="eastAsia"/>
          <w:color w:val="auto"/>
          <w:u w:val="single"/>
          <w:lang w:val="en-US" w:eastAsia="zh-CN"/>
        </w:rPr>
        <w:t>/</w:t>
      </w:r>
      <w:r>
        <w:rPr>
          <w:color w:val="auto"/>
          <w:u w:val="single"/>
        </w:rPr>
        <w:t xml:space="preserve">   。</w:t>
      </w:r>
    </w:p>
    <w:p>
      <w:pPr>
        <w:widowControl/>
        <w:adjustRightInd w:val="0"/>
        <w:snapToGrid w:val="0"/>
        <w:spacing w:line="360" w:lineRule="auto"/>
        <w:ind w:firstLine="480" w:firstLineChars="200"/>
        <w:jc w:val="left"/>
        <w:rPr>
          <w:color w:val="auto"/>
          <w:u w:val="none"/>
        </w:rPr>
      </w:pPr>
      <w:r>
        <w:rPr>
          <w:color w:val="auto"/>
          <w:u w:val="none"/>
        </w:rPr>
        <w:t>以上内容若有变动需及时书面知会发包人，否则无法联系时，视为承包人已收到发包人传达之信息。</w:t>
      </w:r>
    </w:p>
    <w:p>
      <w:pPr>
        <w:widowControl/>
        <w:adjustRightInd w:val="0"/>
        <w:snapToGrid w:val="0"/>
        <w:spacing w:line="360" w:lineRule="auto"/>
        <w:ind w:firstLine="480" w:firstLineChars="200"/>
        <w:jc w:val="left"/>
        <w:rPr>
          <w:color w:val="auto"/>
          <w:u w:val="none"/>
        </w:rPr>
      </w:pPr>
      <w:r>
        <w:rPr>
          <w:color w:val="auto"/>
          <w:u w:val="none"/>
        </w:rPr>
        <w:t>7.1.4 承包人维修人员现场管理规定：</w:t>
      </w:r>
    </w:p>
    <w:p>
      <w:pPr>
        <w:widowControl/>
        <w:adjustRightInd w:val="0"/>
        <w:snapToGrid w:val="0"/>
        <w:spacing w:line="360" w:lineRule="auto"/>
        <w:ind w:firstLine="480" w:firstLineChars="200"/>
        <w:jc w:val="left"/>
        <w:rPr>
          <w:color w:val="auto"/>
          <w:u w:val="none"/>
        </w:rPr>
      </w:pPr>
      <w:r>
        <w:rPr>
          <w:color w:val="auto"/>
          <w:u w:val="none"/>
        </w:rPr>
        <w:t>(1) 承包人现场维修人员须凭身份证上门维修。</w:t>
      </w:r>
    </w:p>
    <w:p>
      <w:pPr>
        <w:widowControl/>
        <w:adjustRightInd w:val="0"/>
        <w:snapToGrid w:val="0"/>
        <w:spacing w:line="360" w:lineRule="auto"/>
        <w:ind w:firstLine="480" w:firstLineChars="200"/>
        <w:jc w:val="left"/>
        <w:rPr>
          <w:color w:val="auto"/>
          <w:u w:val="none"/>
        </w:rPr>
      </w:pPr>
      <w:r>
        <w:rPr>
          <w:color w:val="auto"/>
          <w:u w:val="none"/>
        </w:rPr>
        <w:t>(2)必须在预约的时间内到现场进行相关维修工作，不得从事与维修无关的事项。</w:t>
      </w:r>
    </w:p>
    <w:p>
      <w:pPr>
        <w:widowControl/>
        <w:adjustRightInd w:val="0"/>
        <w:snapToGrid w:val="0"/>
        <w:spacing w:line="360" w:lineRule="auto"/>
        <w:ind w:firstLine="480" w:firstLineChars="200"/>
        <w:jc w:val="left"/>
        <w:rPr>
          <w:color w:val="auto"/>
          <w:u w:val="none"/>
        </w:rPr>
      </w:pPr>
      <w:r>
        <w:rPr>
          <w:color w:val="auto"/>
          <w:u w:val="none"/>
        </w:rPr>
        <w:t>(3) 承包人维修人员不得随意进入非维修施工作业的区域；维修过程中，须做好施工作业区内及周边的成品保护，因未做好保护措施而致设施、设备等财产损坏或污染的，由承包人承担赔偿责任。</w:t>
      </w:r>
    </w:p>
    <w:p>
      <w:pPr>
        <w:widowControl/>
        <w:adjustRightInd w:val="0"/>
        <w:snapToGrid w:val="0"/>
        <w:spacing w:line="360" w:lineRule="auto"/>
        <w:ind w:firstLine="480" w:firstLineChars="200"/>
        <w:jc w:val="left"/>
        <w:rPr>
          <w:color w:val="auto"/>
          <w:u w:val="none"/>
        </w:rPr>
      </w:pPr>
      <w:r>
        <w:rPr>
          <w:color w:val="auto"/>
          <w:u w:val="none"/>
        </w:rPr>
        <w:t>(4) 维修完毕后承包人维修人员必须将施工现场清理干净，不得有任何遗留物（包括灰尘）。</w:t>
      </w:r>
    </w:p>
    <w:p>
      <w:pPr>
        <w:widowControl/>
        <w:adjustRightInd w:val="0"/>
        <w:snapToGrid w:val="0"/>
        <w:spacing w:line="360" w:lineRule="auto"/>
        <w:ind w:firstLine="480" w:firstLineChars="200"/>
        <w:jc w:val="left"/>
        <w:rPr>
          <w:color w:val="auto"/>
          <w:u w:val="none"/>
        </w:rPr>
      </w:pPr>
      <w:r>
        <w:rPr>
          <w:color w:val="auto"/>
          <w:u w:val="none"/>
        </w:rPr>
        <w:t>(5) 因为维修需要而临时搬离（或拆除）设施设备等维修完毕后，应按原样复原。</w:t>
      </w:r>
    </w:p>
    <w:p>
      <w:pPr>
        <w:widowControl/>
        <w:adjustRightInd w:val="0"/>
        <w:snapToGrid w:val="0"/>
        <w:spacing w:line="360" w:lineRule="auto"/>
        <w:ind w:firstLine="480" w:firstLineChars="200"/>
        <w:jc w:val="left"/>
        <w:rPr>
          <w:rFonts w:ascii="宋体" w:hAnsi="宋体" w:eastAsia="宋体" w:cs="宋体"/>
          <w:color w:val="auto"/>
          <w:u w:val="none"/>
        </w:rPr>
      </w:pPr>
      <w:r>
        <w:rPr>
          <w:rFonts w:ascii="宋体" w:hAnsi="宋体" w:eastAsia="宋体" w:cs="宋体"/>
          <w:color w:val="auto"/>
          <w:u w:val="none"/>
        </w:rPr>
        <w:t>(6) 承包人维修人员在维修时，不得使用不文明、不礼貌的语言，严禁与他人争执。</w:t>
      </w:r>
    </w:p>
    <w:p>
      <w:pPr>
        <w:widowControl/>
        <w:adjustRightInd w:val="0"/>
        <w:snapToGrid w:val="0"/>
        <w:spacing w:line="360" w:lineRule="auto"/>
        <w:ind w:firstLine="480" w:firstLineChars="200"/>
        <w:jc w:val="left"/>
        <w:rPr>
          <w:rFonts w:ascii="宋体" w:hAnsi="宋体" w:eastAsia="宋体" w:cs="宋体"/>
          <w:color w:val="auto"/>
          <w:u w:val="none"/>
        </w:rPr>
      </w:pPr>
      <w:r>
        <w:rPr>
          <w:rFonts w:ascii="宋体" w:hAnsi="宋体" w:eastAsia="宋体" w:cs="宋体"/>
          <w:color w:val="auto"/>
          <w:u w:val="none"/>
        </w:rPr>
        <w:t>(7) 若维修事项有争议时，需及时反馈现场维修负责人或发包人现场管理人员，不得擅自向第三方做出有损发包人的利益及形象的任何行为。</w:t>
      </w:r>
    </w:p>
    <w:p>
      <w:pPr>
        <w:widowControl/>
        <w:adjustRightInd w:val="0"/>
        <w:snapToGrid w:val="0"/>
        <w:spacing w:line="360" w:lineRule="auto"/>
        <w:ind w:firstLine="480" w:firstLineChars="200"/>
        <w:jc w:val="left"/>
        <w:rPr>
          <w:rFonts w:ascii="宋体" w:hAnsi="宋体" w:eastAsia="宋体" w:cs="宋体"/>
          <w:color w:val="auto"/>
          <w:u w:val="none"/>
        </w:rPr>
      </w:pPr>
      <w:r>
        <w:rPr>
          <w:rFonts w:ascii="宋体" w:hAnsi="宋体" w:eastAsia="宋体" w:cs="宋体"/>
          <w:color w:val="auto"/>
          <w:u w:val="none"/>
        </w:rPr>
        <w:t>(8) 承包人维修人员如从发包人或物业管理处借用钥匙，必须按规定时间归还，否则由此造成的一切后果由承包人承担。</w:t>
      </w:r>
    </w:p>
    <w:p>
      <w:pPr>
        <w:widowControl/>
        <w:adjustRightInd w:val="0"/>
        <w:snapToGrid w:val="0"/>
        <w:spacing w:line="360" w:lineRule="auto"/>
        <w:ind w:firstLine="480" w:firstLineChars="200"/>
        <w:jc w:val="left"/>
        <w:rPr>
          <w:rFonts w:ascii="宋体" w:hAnsi="宋体" w:eastAsia="宋体" w:cs="宋体"/>
          <w:color w:val="auto"/>
          <w:u w:val="none"/>
        </w:rPr>
      </w:pPr>
      <w:r>
        <w:rPr>
          <w:rFonts w:ascii="宋体" w:hAnsi="宋体" w:eastAsia="宋体" w:cs="宋体"/>
          <w:color w:val="auto"/>
          <w:u w:val="none"/>
        </w:rPr>
        <w:t>(9)未经发包人维保人员允许，承包人维修人员不得以任何名义利用维修之便承揽装修、改造或提供建筑材料、搬运垃圾等一切有偿服务。</w:t>
      </w:r>
    </w:p>
    <w:p>
      <w:pPr>
        <w:widowControl/>
        <w:adjustRightInd w:val="0"/>
        <w:snapToGrid w:val="0"/>
        <w:spacing w:line="360" w:lineRule="auto"/>
        <w:ind w:firstLine="480" w:firstLineChars="200"/>
        <w:jc w:val="left"/>
        <w:rPr>
          <w:rFonts w:ascii="宋体" w:hAnsi="宋体" w:eastAsia="宋体" w:cs="宋体"/>
          <w:color w:val="auto"/>
          <w:u w:val="none"/>
        </w:rPr>
      </w:pPr>
      <w:r>
        <w:rPr>
          <w:rFonts w:ascii="宋体" w:hAnsi="宋体" w:eastAsia="宋体" w:cs="宋体"/>
          <w:color w:val="auto"/>
          <w:u w:val="none"/>
        </w:rPr>
        <w:t>(10)因保修事宜发包人召开工作会议时，通知承包人参加的，承包人相关人员须准时参加，不得迟到或无故缺席。</w:t>
      </w:r>
    </w:p>
    <w:p>
      <w:pPr>
        <w:widowControl/>
        <w:adjustRightInd w:val="0"/>
        <w:snapToGrid w:val="0"/>
        <w:spacing w:line="360" w:lineRule="auto"/>
        <w:ind w:firstLine="480" w:firstLineChars="200"/>
        <w:jc w:val="left"/>
        <w:rPr>
          <w:rFonts w:ascii="宋体" w:hAnsi="宋体" w:eastAsia="宋体" w:cs="宋体"/>
          <w:color w:val="auto"/>
          <w:u w:val="none"/>
        </w:rPr>
      </w:pPr>
      <w:r>
        <w:rPr>
          <w:rFonts w:ascii="宋体" w:hAnsi="宋体" w:eastAsia="宋体" w:cs="宋体"/>
          <w:color w:val="auto"/>
          <w:u w:val="none"/>
        </w:rPr>
        <w:t>(11)承包人维修人员必须服从发包人和物业管理处的其它各项管理规定。</w:t>
      </w:r>
    </w:p>
    <w:p>
      <w:pPr>
        <w:widowControl/>
        <w:adjustRightInd w:val="0"/>
        <w:snapToGrid w:val="0"/>
        <w:spacing w:line="360" w:lineRule="auto"/>
        <w:ind w:firstLine="480" w:firstLineChars="200"/>
        <w:jc w:val="left"/>
        <w:rPr>
          <w:color w:val="auto"/>
          <w:u w:val="none"/>
        </w:rPr>
      </w:pPr>
      <w:r>
        <w:rPr>
          <w:rFonts w:ascii="宋体" w:hAnsi="宋体" w:eastAsia="宋体" w:cs="宋体"/>
          <w:color w:val="auto"/>
          <w:u w:val="none"/>
        </w:rPr>
        <w:t>7.1.5 承包人维修人员考勤管理规定：</w:t>
      </w:r>
      <w:r>
        <w:rPr>
          <w:color w:val="auto"/>
          <w:u w:val="none"/>
        </w:rPr>
        <w:t>如本保修书中约定承包人应派驻维修人员常驻现场的，应常驻。除工作日外，承包人维修负责人还须按照发包人要求统筹安排现场维修人员节、假日的值班工作，以满足维修要求，必须保证承包人维修人员联系电话畅通。</w:t>
      </w:r>
    </w:p>
    <w:p>
      <w:pPr>
        <w:widowControl/>
        <w:adjustRightInd w:val="0"/>
        <w:snapToGrid w:val="0"/>
        <w:spacing w:line="360" w:lineRule="auto"/>
        <w:ind w:firstLine="480" w:firstLineChars="200"/>
        <w:jc w:val="left"/>
        <w:rPr>
          <w:color w:val="auto"/>
          <w:u w:val="none"/>
        </w:rPr>
      </w:pPr>
      <w:r>
        <w:rPr>
          <w:color w:val="auto"/>
          <w:u w:val="none"/>
        </w:rPr>
        <w:t>7.1.6 除特别约定外，承包人违反本保修书7.1款应向发包人支付违约金每人次500元；若违约金无法弥补造成的损失，承包人还应补足发包人损失。发包人可从发包人应支付给承包人的任何款项中扣除相关违约金、赔偿等，无须征得承包人同意。</w:t>
      </w:r>
    </w:p>
    <w:p>
      <w:pPr>
        <w:widowControl/>
        <w:adjustRightInd w:val="0"/>
        <w:snapToGrid w:val="0"/>
        <w:spacing w:line="360" w:lineRule="auto"/>
        <w:ind w:firstLine="480" w:firstLineChars="200"/>
        <w:jc w:val="left"/>
        <w:rPr>
          <w:color w:val="auto"/>
          <w:u w:val="none"/>
        </w:rPr>
      </w:pPr>
      <w:r>
        <w:rPr>
          <w:color w:val="auto"/>
          <w:u w:val="none"/>
        </w:rPr>
        <w:t>7.2 维修及时性要求：</w:t>
      </w:r>
    </w:p>
    <w:p>
      <w:pPr>
        <w:widowControl/>
        <w:adjustRightInd w:val="0"/>
        <w:snapToGrid w:val="0"/>
        <w:spacing w:line="360" w:lineRule="auto"/>
        <w:ind w:firstLine="480" w:firstLineChars="200"/>
        <w:jc w:val="left"/>
        <w:rPr>
          <w:color w:val="auto"/>
          <w:u w:val="none"/>
        </w:rPr>
      </w:pPr>
      <w:r>
        <w:rPr>
          <w:color w:val="auto"/>
          <w:u w:val="none"/>
        </w:rPr>
        <w:t>7.2.1 紧急抢修</w:t>
      </w:r>
    </w:p>
    <w:p>
      <w:pPr>
        <w:widowControl/>
        <w:adjustRightInd w:val="0"/>
        <w:snapToGrid w:val="0"/>
        <w:spacing w:line="360" w:lineRule="auto"/>
        <w:ind w:firstLine="480" w:firstLineChars="200"/>
        <w:jc w:val="left"/>
        <w:rPr>
          <w:color w:val="auto"/>
          <w:u w:val="none"/>
        </w:rPr>
      </w:pPr>
      <w:r>
        <w:rPr>
          <w:color w:val="auto"/>
          <w:u w:val="none"/>
        </w:rPr>
        <w:t>(1)发生须紧急抢修事故如渗漏水、给排水、供电设施及线路故障、门窗不能正常开启、设备无法正常运行等影响发包人或业主正常工作生活的情况，承包人接到发包人通知后（包括电话、口头通知）须2小时内赶到现场，并于4小时修复完毕。</w:t>
      </w:r>
    </w:p>
    <w:p>
      <w:pPr>
        <w:widowControl/>
        <w:adjustRightInd w:val="0"/>
        <w:snapToGrid w:val="0"/>
        <w:spacing w:line="360" w:lineRule="auto"/>
        <w:ind w:firstLine="480" w:firstLineChars="200"/>
        <w:jc w:val="left"/>
        <w:rPr>
          <w:color w:val="auto"/>
          <w:u w:val="none"/>
        </w:rPr>
      </w:pPr>
      <w:r>
        <w:rPr>
          <w:color w:val="auto"/>
          <w:u w:val="none"/>
        </w:rPr>
        <w:t>(2)发生紧急抢修事故（如结构安全、燃气泄露等），承包人在接到事故通知后，应立即达到事故现场进行抢修。</w:t>
      </w:r>
    </w:p>
    <w:p>
      <w:pPr>
        <w:widowControl/>
        <w:adjustRightInd w:val="0"/>
        <w:snapToGrid w:val="0"/>
        <w:spacing w:line="360" w:lineRule="auto"/>
        <w:ind w:firstLine="480" w:firstLineChars="200"/>
        <w:jc w:val="left"/>
        <w:rPr>
          <w:color w:val="auto"/>
          <w:u w:val="none"/>
        </w:rPr>
      </w:pPr>
      <w:r>
        <w:rPr>
          <w:color w:val="auto"/>
          <w:u w:val="none"/>
        </w:rPr>
        <w:t>7.2.2常规维修任务</w:t>
      </w:r>
    </w:p>
    <w:p>
      <w:pPr>
        <w:widowControl/>
        <w:adjustRightInd w:val="0"/>
        <w:snapToGrid w:val="0"/>
        <w:spacing w:line="360" w:lineRule="auto"/>
        <w:ind w:firstLine="480" w:firstLineChars="200"/>
        <w:jc w:val="left"/>
        <w:rPr>
          <w:color w:val="auto"/>
          <w:u w:val="none"/>
        </w:rPr>
      </w:pPr>
      <w:r>
        <w:rPr>
          <w:color w:val="auto"/>
          <w:u w:val="none"/>
        </w:rPr>
        <w:t>承包人接到发包人的派单后，及时安排维修人员，按本协议进行维修，并按发包人指定完成时间完成维修工作：</w:t>
      </w:r>
    </w:p>
    <w:p>
      <w:pPr>
        <w:widowControl/>
        <w:adjustRightInd w:val="0"/>
        <w:snapToGrid w:val="0"/>
        <w:spacing w:line="360" w:lineRule="auto"/>
        <w:ind w:firstLine="480" w:firstLineChars="200"/>
        <w:jc w:val="left"/>
        <w:rPr>
          <w:color w:val="auto"/>
          <w:u w:val="none"/>
        </w:rPr>
      </w:pPr>
      <w:r>
        <w:rPr>
          <w:color w:val="auto"/>
          <w:u w:val="none"/>
        </w:rPr>
        <w:t>(1) 发包人或业主有时间要求的，应按发包人或业主要求的时间安排维修；不能按照要求实施的，应与发包人或业主主动沟通，达成一致，确定具体时间，并按约定时间上门维修；</w:t>
      </w:r>
    </w:p>
    <w:p>
      <w:pPr>
        <w:widowControl/>
        <w:adjustRightInd w:val="0"/>
        <w:snapToGrid w:val="0"/>
        <w:spacing w:line="360" w:lineRule="auto"/>
        <w:ind w:firstLine="480" w:firstLineChars="200"/>
        <w:jc w:val="left"/>
        <w:rPr>
          <w:color w:val="auto"/>
          <w:u w:val="none"/>
        </w:rPr>
      </w:pPr>
      <w:r>
        <w:rPr>
          <w:color w:val="auto"/>
          <w:u w:val="none"/>
        </w:rPr>
        <w:t>(2) 发包人或业主无时间要求的（或有模糊要求的），当日上午的任务，不迟于下午下班前必须完成电话预约；当日下午的任务，不迟于第二日上午下班前必须完成电话预约。</w:t>
      </w:r>
    </w:p>
    <w:p>
      <w:pPr>
        <w:widowControl/>
        <w:adjustRightInd w:val="0"/>
        <w:snapToGrid w:val="0"/>
        <w:spacing w:line="360" w:lineRule="auto"/>
        <w:ind w:firstLine="480" w:firstLineChars="200"/>
        <w:jc w:val="left"/>
        <w:rPr>
          <w:color w:val="auto"/>
          <w:u w:val="none"/>
        </w:rPr>
      </w:pPr>
      <w:r>
        <w:rPr>
          <w:color w:val="auto"/>
          <w:u w:val="none"/>
        </w:rPr>
        <w:t>(3) 承包人承诺：无论出现任何质量问题，不论责任属于承包人、其他施工单位、发包人或业主（或使用人），在接到发包人通知后，均遵守上述时间性要求不问理由地进行维修，并在维修过程中与发包人、原施工单位及业主共同取证，以判断责任原因，不属承包人责任的，由责任方向承包人支付相关费用。</w:t>
      </w:r>
    </w:p>
    <w:p>
      <w:pPr>
        <w:widowControl/>
        <w:adjustRightInd w:val="0"/>
        <w:snapToGrid w:val="0"/>
        <w:spacing w:line="360" w:lineRule="auto"/>
        <w:ind w:firstLine="480" w:firstLineChars="200"/>
        <w:jc w:val="left"/>
        <w:rPr>
          <w:color w:val="auto"/>
          <w:u w:val="none"/>
        </w:rPr>
      </w:pPr>
      <w:r>
        <w:rPr>
          <w:color w:val="auto"/>
          <w:u w:val="none"/>
        </w:rPr>
        <w:t>7.2.3当发包人另有指定完成时间的，承包人需按发包人指定时间完成维修。对于同一单元（层或户），无论维修项目多少，全部维修人员均应一次到位，维修量增加时，承包人应根据发包人指令的任务量随时增派维修人员，并按照发包人指定的时间实施并完成维修。</w:t>
      </w:r>
    </w:p>
    <w:p>
      <w:pPr>
        <w:widowControl/>
        <w:adjustRightInd w:val="0"/>
        <w:snapToGrid w:val="0"/>
        <w:spacing w:line="360" w:lineRule="auto"/>
        <w:ind w:firstLine="480" w:firstLineChars="200"/>
        <w:jc w:val="left"/>
        <w:rPr>
          <w:color w:val="auto"/>
          <w:u w:val="none"/>
        </w:rPr>
      </w:pPr>
      <w:r>
        <w:rPr>
          <w:color w:val="auto"/>
          <w:u w:val="none"/>
        </w:rPr>
        <w:t>7.2.4 承包人违反本保修书保修及时性的约定，承包人需向发包人支付违约金每次1000元；若违约金无法弥补发包人损失的，承包人还应补足赔偿发包人损失。</w:t>
      </w:r>
    </w:p>
    <w:p>
      <w:pPr>
        <w:widowControl/>
        <w:adjustRightInd w:val="0"/>
        <w:snapToGrid w:val="0"/>
        <w:spacing w:line="360" w:lineRule="auto"/>
        <w:ind w:firstLine="480" w:firstLineChars="200"/>
        <w:jc w:val="left"/>
        <w:rPr>
          <w:color w:val="auto"/>
          <w:u w:val="none"/>
        </w:rPr>
      </w:pPr>
      <w:r>
        <w:rPr>
          <w:color w:val="auto"/>
          <w:u w:val="none"/>
        </w:rPr>
        <w:t>7.3 维修质量保证措施：</w:t>
      </w:r>
    </w:p>
    <w:p>
      <w:pPr>
        <w:widowControl/>
        <w:adjustRightInd w:val="0"/>
        <w:snapToGrid w:val="0"/>
        <w:spacing w:line="360" w:lineRule="auto"/>
        <w:ind w:firstLine="480" w:firstLineChars="200"/>
        <w:jc w:val="left"/>
        <w:rPr>
          <w:color w:val="auto"/>
          <w:u w:val="none"/>
        </w:rPr>
      </w:pPr>
      <w:r>
        <w:rPr>
          <w:color w:val="auto"/>
          <w:u w:val="none"/>
        </w:rPr>
        <w:t>7.3.1 每个项目维修完成后需经发包人（或发包人指定的物业单位）验收签字方视为该维修项目本次维修完成，所维修项目的保修期限自维修合格之日起重新计算，相应工程质量保证金的支付相应延期。</w:t>
      </w:r>
    </w:p>
    <w:p>
      <w:pPr>
        <w:widowControl/>
        <w:adjustRightInd w:val="0"/>
        <w:snapToGrid w:val="0"/>
        <w:spacing w:line="360" w:lineRule="auto"/>
        <w:ind w:firstLine="480" w:firstLineChars="200"/>
        <w:jc w:val="left"/>
        <w:rPr>
          <w:color w:val="auto"/>
          <w:u w:val="none"/>
        </w:rPr>
      </w:pPr>
      <w:r>
        <w:rPr>
          <w:color w:val="auto"/>
          <w:u w:val="none"/>
        </w:rPr>
        <w:t>7.3.2 承包人保证所维修项目在六个月内不再出现类似问题，否则，除保修期限重新计算外，承包人每次还需向发包人支付违约金1000元。</w:t>
      </w:r>
    </w:p>
    <w:p>
      <w:pPr>
        <w:widowControl/>
        <w:adjustRightInd w:val="0"/>
        <w:snapToGrid w:val="0"/>
        <w:spacing w:line="360" w:lineRule="auto"/>
        <w:ind w:firstLine="480" w:firstLineChars="200"/>
        <w:jc w:val="left"/>
        <w:rPr>
          <w:color w:val="auto"/>
          <w:u w:val="none"/>
        </w:rPr>
      </w:pPr>
      <w:r>
        <w:rPr>
          <w:color w:val="auto"/>
          <w:u w:val="none"/>
        </w:rPr>
        <w:t>7.3.3 若有下列情况之一发生，发包人有权另行委托第三方进行维修，由此引起的一切费用和责任由承包人承担：</w:t>
      </w:r>
    </w:p>
    <w:p>
      <w:pPr>
        <w:widowControl/>
        <w:adjustRightInd w:val="0"/>
        <w:snapToGrid w:val="0"/>
        <w:spacing w:line="360" w:lineRule="auto"/>
        <w:ind w:firstLine="480" w:firstLineChars="200"/>
        <w:jc w:val="left"/>
        <w:rPr>
          <w:color w:val="auto"/>
          <w:u w:val="none"/>
        </w:rPr>
      </w:pPr>
      <w:r>
        <w:rPr>
          <w:color w:val="auto"/>
          <w:u w:val="none"/>
        </w:rPr>
        <w:t>(1) 接到维修通知（口头或书面）拒不到现场处理问题；</w:t>
      </w:r>
    </w:p>
    <w:p>
      <w:pPr>
        <w:widowControl/>
        <w:adjustRightInd w:val="0"/>
        <w:snapToGrid w:val="0"/>
        <w:spacing w:line="360" w:lineRule="auto"/>
        <w:ind w:firstLine="480" w:firstLineChars="200"/>
        <w:jc w:val="left"/>
        <w:rPr>
          <w:color w:val="auto"/>
          <w:u w:val="none"/>
        </w:rPr>
      </w:pPr>
      <w:r>
        <w:rPr>
          <w:color w:val="auto"/>
          <w:u w:val="none"/>
        </w:rPr>
        <w:t>(2) 超过规定的到场时间后4小时仍未赶到现场；</w:t>
      </w:r>
    </w:p>
    <w:p>
      <w:pPr>
        <w:widowControl/>
        <w:adjustRightInd w:val="0"/>
        <w:snapToGrid w:val="0"/>
        <w:spacing w:line="360" w:lineRule="auto"/>
        <w:ind w:firstLine="480" w:firstLineChars="200"/>
        <w:jc w:val="left"/>
        <w:rPr>
          <w:color w:val="auto"/>
          <w:u w:val="none"/>
        </w:rPr>
      </w:pPr>
      <w:r>
        <w:rPr>
          <w:color w:val="auto"/>
          <w:u w:val="none"/>
        </w:rPr>
        <w:t>(3) 超过规定的时间仍未完成有关工程维修任务，且不主动向发包人报告；</w:t>
      </w:r>
    </w:p>
    <w:p>
      <w:pPr>
        <w:widowControl/>
        <w:adjustRightInd w:val="0"/>
        <w:snapToGrid w:val="0"/>
        <w:spacing w:line="360" w:lineRule="auto"/>
        <w:ind w:firstLine="480" w:firstLineChars="200"/>
        <w:jc w:val="left"/>
        <w:rPr>
          <w:color w:val="auto"/>
          <w:u w:val="none"/>
        </w:rPr>
      </w:pPr>
      <w:r>
        <w:rPr>
          <w:color w:val="auto"/>
          <w:u w:val="none"/>
        </w:rPr>
        <w:t>(4) 对同一位置经过两次维修仍未解决问题的；</w:t>
      </w:r>
    </w:p>
    <w:p>
      <w:pPr>
        <w:widowControl/>
        <w:adjustRightInd w:val="0"/>
        <w:snapToGrid w:val="0"/>
        <w:spacing w:line="360" w:lineRule="auto"/>
        <w:ind w:firstLine="480" w:firstLineChars="200"/>
        <w:jc w:val="left"/>
        <w:rPr>
          <w:color w:val="auto"/>
          <w:u w:val="none"/>
        </w:rPr>
      </w:pPr>
      <w:r>
        <w:rPr>
          <w:color w:val="auto"/>
          <w:u w:val="none"/>
        </w:rPr>
        <w:t>(5) 因维修人员服务行为造成客户强烈投诉；</w:t>
      </w:r>
    </w:p>
    <w:p>
      <w:pPr>
        <w:widowControl/>
        <w:adjustRightInd w:val="0"/>
        <w:snapToGrid w:val="0"/>
        <w:spacing w:line="360" w:lineRule="auto"/>
        <w:ind w:firstLine="480" w:firstLineChars="200"/>
        <w:jc w:val="left"/>
        <w:rPr>
          <w:color w:val="auto"/>
          <w:u w:val="none"/>
        </w:rPr>
      </w:pPr>
      <w:r>
        <w:rPr>
          <w:color w:val="auto"/>
          <w:u w:val="none"/>
        </w:rPr>
        <w:t>(6) 维修实施中，承包人工作标准达不到规范及发包人要求。</w:t>
      </w:r>
    </w:p>
    <w:p>
      <w:pPr>
        <w:widowControl/>
        <w:adjustRightInd w:val="0"/>
        <w:snapToGrid w:val="0"/>
        <w:spacing w:line="360" w:lineRule="auto"/>
        <w:ind w:firstLine="480" w:firstLineChars="200"/>
        <w:jc w:val="left"/>
        <w:rPr>
          <w:color w:val="auto"/>
          <w:u w:val="none"/>
        </w:rPr>
      </w:pPr>
      <w:r>
        <w:rPr>
          <w:color w:val="auto"/>
          <w:u w:val="none"/>
        </w:rPr>
        <w:t>7.3.4 因承包人不按合同及本保修书约定履行维修义务，发包人委托第三方维修产生的费用由承包人承担，发包人可直接从发包人支付给承包人的任何费用中扣除，无须征得承包人同意。</w:t>
      </w:r>
    </w:p>
    <w:p>
      <w:pPr>
        <w:widowControl/>
        <w:adjustRightInd w:val="0"/>
        <w:snapToGrid w:val="0"/>
        <w:spacing w:line="360" w:lineRule="auto"/>
        <w:ind w:firstLine="480" w:firstLineChars="200"/>
        <w:jc w:val="left"/>
        <w:rPr>
          <w:u w:val="single"/>
        </w:rPr>
      </w:pPr>
      <w:r>
        <w:rPr>
          <w:color w:val="auto"/>
          <w:u w:val="none"/>
        </w:rPr>
        <w:t>7.3.5对于涉及结构安全的质量事故，应当按照《建设工程质量管理条理》的规定，立即向当地建设行政主管部门报告，采取安全防范措施；由原设计单位或具有相应资质等级的设计单位提出保修方案，承包人实施保修。</w:t>
      </w:r>
      <w:r>
        <w:rPr>
          <w:u w:val="single"/>
        </w:rPr>
        <w:fldChar w:fldCharType="begin"/>
      </w:r>
      <w:r>
        <w:rPr>
          <w:u w:val="single"/>
        </w:rPr>
        <w:instrText xml:space="preserve"> AUTOTEXT  input297 \* MERGEFORMAT </w:instrText>
      </w:r>
      <w:r>
        <w:rPr>
          <w:u w:val="single"/>
        </w:rPr>
        <w:fldChar w:fldCharType="separate"/>
      </w:r>
      <w:r>
        <w:rPr>
          <w:u w:val="single"/>
        </w:rPr>
        <w:fldChar w:fldCharType="end"/>
      </w:r>
    </w:p>
    <w:p>
      <w:pPr>
        <w:widowControl/>
        <w:adjustRightInd w:val="0"/>
        <w:snapToGrid w:val="0"/>
        <w:spacing w:line="360" w:lineRule="auto"/>
        <w:ind w:firstLine="480" w:firstLineChars="200"/>
        <w:jc w:val="left"/>
      </w:pPr>
      <w:r>
        <w:rPr>
          <w:rFonts w:hint="eastAsia"/>
        </w:rPr>
        <w:t>本《工程质量保修书》作为施工合同附件由发包人承包人双方共同签署。</w:t>
      </w:r>
    </w:p>
    <w:tbl>
      <w:tblPr>
        <w:tblStyle w:val="17"/>
        <w:tblW w:w="9297" w:type="dxa"/>
        <w:jc w:val="center"/>
        <w:tblLayout w:type="fixed"/>
        <w:tblCellMar>
          <w:top w:w="0" w:type="dxa"/>
          <w:left w:w="108" w:type="dxa"/>
          <w:bottom w:w="0" w:type="dxa"/>
          <w:right w:w="108" w:type="dxa"/>
        </w:tblCellMar>
      </w:tblPr>
      <w:tblGrid>
        <w:gridCol w:w="4648"/>
        <w:gridCol w:w="4649"/>
      </w:tblGrid>
      <w:tr>
        <w:tblPrEx>
          <w:tblCellMar>
            <w:top w:w="0" w:type="dxa"/>
            <w:left w:w="108" w:type="dxa"/>
            <w:bottom w:w="0" w:type="dxa"/>
            <w:right w:w="108" w:type="dxa"/>
          </w:tblCellMar>
        </w:tblPrEx>
        <w:trPr>
          <w:trHeight w:val="615" w:hRule="atLeast"/>
          <w:jc w:val="center"/>
        </w:trPr>
        <w:tc>
          <w:tcPr>
            <w:tcW w:w="4648" w:type="dxa"/>
          </w:tcPr>
          <w:p>
            <w:pPr>
              <w:widowControl/>
              <w:spacing w:after="240" w:line="510" w:lineRule="exact"/>
              <w:jc w:val="left"/>
              <w:rPr>
                <w:szCs w:val="21"/>
              </w:rPr>
            </w:pPr>
            <w:r>
              <w:rPr>
                <w:rFonts w:hint="eastAsia"/>
                <w:szCs w:val="21"/>
              </w:rPr>
              <w:t>发包人</w:t>
            </w:r>
            <w:r>
              <w:rPr>
                <w:rFonts w:hint="eastAsia"/>
                <w:kern w:val="18"/>
                <w:szCs w:val="21"/>
              </w:rPr>
              <w:t>：</w:t>
            </w:r>
            <w:r>
              <w:rPr>
                <w:rFonts w:hint="eastAsia"/>
                <w:szCs w:val="21"/>
              </w:rPr>
              <w:t>（盖章）</w:t>
            </w:r>
          </w:p>
          <w:p>
            <w:pPr>
              <w:widowControl/>
              <w:spacing w:after="240" w:line="510" w:lineRule="exact"/>
              <w:jc w:val="left"/>
              <w:rPr>
                <w:rFonts w:hint="eastAsia" w:eastAsia="宋体"/>
                <w:szCs w:val="21"/>
                <w:lang w:eastAsia="zh-CN"/>
              </w:rPr>
            </w:pPr>
            <w:r>
              <w:rPr>
                <w:rFonts w:hint="eastAsia"/>
                <w:szCs w:val="21"/>
                <w:u w:val="single"/>
                <w:lang w:eastAsia="zh-CN"/>
              </w:rPr>
              <w:t>深圳市龙华高新技术产业园区开发投资有限公司</w:t>
            </w:r>
          </w:p>
        </w:tc>
        <w:tc>
          <w:tcPr>
            <w:tcW w:w="4649" w:type="dxa"/>
          </w:tcPr>
          <w:p>
            <w:pPr>
              <w:widowControl/>
              <w:spacing w:after="240" w:line="510" w:lineRule="exact"/>
              <w:jc w:val="left"/>
              <w:rPr>
                <w:szCs w:val="21"/>
              </w:rPr>
            </w:pPr>
          </w:p>
        </w:tc>
      </w:tr>
      <w:tr>
        <w:tblPrEx>
          <w:tblCellMar>
            <w:top w:w="0" w:type="dxa"/>
            <w:left w:w="108" w:type="dxa"/>
            <w:bottom w:w="0" w:type="dxa"/>
            <w:right w:w="108" w:type="dxa"/>
          </w:tblCellMar>
        </w:tblPrEx>
        <w:trPr>
          <w:trHeight w:val="615" w:hRule="atLeast"/>
          <w:jc w:val="center"/>
        </w:trPr>
        <w:tc>
          <w:tcPr>
            <w:tcW w:w="4648" w:type="dxa"/>
          </w:tcPr>
          <w:p>
            <w:pPr>
              <w:widowControl/>
              <w:spacing w:after="240" w:line="510" w:lineRule="exact"/>
              <w:jc w:val="left"/>
              <w:rPr>
                <w:szCs w:val="21"/>
              </w:rPr>
            </w:pPr>
            <w:r>
              <w:rPr>
                <w:rFonts w:hint="eastAsia"/>
                <w:szCs w:val="21"/>
              </w:rPr>
              <w:t>法定代表人或其委托代理人（签名）：</w:t>
            </w:r>
          </w:p>
        </w:tc>
        <w:tc>
          <w:tcPr>
            <w:tcW w:w="4649" w:type="dxa"/>
          </w:tcPr>
          <w:p>
            <w:pPr>
              <w:widowControl/>
              <w:ind w:firstLine="420"/>
              <w:jc w:val="left"/>
              <w:rPr>
                <w:szCs w:val="20"/>
              </w:rPr>
            </w:pPr>
          </w:p>
        </w:tc>
      </w:tr>
      <w:tr>
        <w:tblPrEx>
          <w:tblCellMar>
            <w:top w:w="0" w:type="dxa"/>
            <w:left w:w="108" w:type="dxa"/>
            <w:bottom w:w="0" w:type="dxa"/>
            <w:right w:w="108" w:type="dxa"/>
          </w:tblCellMar>
        </w:tblPrEx>
        <w:trPr>
          <w:trHeight w:val="615" w:hRule="atLeast"/>
          <w:jc w:val="center"/>
        </w:trPr>
        <w:tc>
          <w:tcPr>
            <w:tcW w:w="4648" w:type="dxa"/>
          </w:tcPr>
          <w:p>
            <w:pPr>
              <w:widowControl/>
              <w:spacing w:after="240" w:line="510" w:lineRule="exact"/>
              <w:jc w:val="left"/>
              <w:rPr>
                <w:szCs w:val="21"/>
              </w:rPr>
            </w:pPr>
            <w:r>
              <w:rPr>
                <w:rFonts w:hint="eastAsia"/>
                <w:szCs w:val="21"/>
              </w:rPr>
              <w:t>签订时间：    年    月    日</w:t>
            </w:r>
          </w:p>
        </w:tc>
        <w:tc>
          <w:tcPr>
            <w:tcW w:w="4649" w:type="dxa"/>
          </w:tcPr>
          <w:p>
            <w:pPr>
              <w:widowControl/>
              <w:spacing w:after="240" w:line="510" w:lineRule="exact"/>
              <w:ind w:right="180"/>
              <w:jc w:val="left"/>
              <w:rPr>
                <w:szCs w:val="21"/>
              </w:rPr>
            </w:pPr>
          </w:p>
        </w:tc>
      </w:tr>
      <w:tr>
        <w:tblPrEx>
          <w:tblCellMar>
            <w:top w:w="0" w:type="dxa"/>
            <w:left w:w="108" w:type="dxa"/>
            <w:bottom w:w="0" w:type="dxa"/>
            <w:right w:w="108" w:type="dxa"/>
          </w:tblCellMar>
        </w:tblPrEx>
        <w:trPr>
          <w:trHeight w:val="615" w:hRule="atLeast"/>
          <w:jc w:val="center"/>
        </w:trPr>
        <w:tc>
          <w:tcPr>
            <w:tcW w:w="4648" w:type="dxa"/>
          </w:tcPr>
          <w:p>
            <w:pPr>
              <w:widowControl/>
              <w:spacing w:after="240" w:line="510" w:lineRule="exact"/>
              <w:jc w:val="left"/>
              <w:rPr>
                <w:rFonts w:hint="eastAsia"/>
                <w:szCs w:val="21"/>
              </w:rPr>
            </w:pPr>
          </w:p>
        </w:tc>
        <w:tc>
          <w:tcPr>
            <w:tcW w:w="4649" w:type="dxa"/>
          </w:tcPr>
          <w:p>
            <w:pPr>
              <w:widowControl/>
              <w:spacing w:after="240" w:line="510" w:lineRule="exact"/>
              <w:ind w:right="180"/>
              <w:jc w:val="left"/>
              <w:rPr>
                <w:szCs w:val="21"/>
              </w:rPr>
            </w:pPr>
          </w:p>
        </w:tc>
      </w:tr>
      <w:tr>
        <w:tblPrEx>
          <w:tblCellMar>
            <w:top w:w="0" w:type="dxa"/>
            <w:left w:w="108" w:type="dxa"/>
            <w:bottom w:w="0" w:type="dxa"/>
            <w:right w:w="108" w:type="dxa"/>
          </w:tblCellMar>
        </w:tblPrEx>
        <w:trPr>
          <w:trHeight w:val="615" w:hRule="atLeast"/>
          <w:jc w:val="center"/>
        </w:trPr>
        <w:tc>
          <w:tcPr>
            <w:tcW w:w="4648" w:type="dxa"/>
            <w:vAlign w:val="top"/>
          </w:tcPr>
          <w:p>
            <w:pPr>
              <w:widowControl/>
              <w:spacing w:after="240" w:line="510" w:lineRule="exact"/>
              <w:jc w:val="left"/>
              <w:rPr>
                <w:szCs w:val="21"/>
              </w:rPr>
            </w:pPr>
            <w:r>
              <w:rPr>
                <w:rFonts w:hint="eastAsia"/>
                <w:szCs w:val="21"/>
                <w:lang w:val="en-US" w:eastAsia="zh-CN"/>
              </w:rPr>
              <w:t>承包</w:t>
            </w:r>
            <w:r>
              <w:rPr>
                <w:rFonts w:hint="eastAsia"/>
                <w:szCs w:val="21"/>
              </w:rPr>
              <w:t>人</w:t>
            </w:r>
            <w:r>
              <w:rPr>
                <w:rFonts w:hint="eastAsia"/>
                <w:kern w:val="18"/>
                <w:szCs w:val="21"/>
              </w:rPr>
              <w:t>：</w:t>
            </w:r>
            <w:r>
              <w:rPr>
                <w:rFonts w:hint="eastAsia"/>
                <w:szCs w:val="21"/>
              </w:rPr>
              <w:t>（盖章）</w:t>
            </w:r>
          </w:p>
          <w:p>
            <w:pPr>
              <w:widowControl/>
              <w:spacing w:after="240" w:line="510" w:lineRule="exact"/>
              <w:jc w:val="left"/>
              <w:rPr>
                <w:rFonts w:hint="eastAsia" w:ascii="宋体" w:hAnsi="宋体" w:eastAsia="宋体" w:cs="宋体"/>
                <w:sz w:val="24"/>
                <w:szCs w:val="21"/>
                <w:lang w:val="en-US" w:eastAsia="zh-CN" w:bidi="ar-SA"/>
              </w:rPr>
            </w:pPr>
            <w:r>
              <w:rPr>
                <w:rFonts w:hint="eastAsia"/>
                <w:szCs w:val="21"/>
                <w:u w:val="single"/>
                <w:lang w:eastAsia="zh-CN"/>
              </w:rPr>
              <w:t>******</w:t>
            </w:r>
          </w:p>
        </w:tc>
        <w:tc>
          <w:tcPr>
            <w:tcW w:w="4649" w:type="dxa"/>
            <w:vAlign w:val="top"/>
          </w:tcPr>
          <w:p>
            <w:pPr>
              <w:widowControl/>
              <w:spacing w:after="240" w:line="510" w:lineRule="exact"/>
              <w:jc w:val="left"/>
              <w:rPr>
                <w:szCs w:val="21"/>
              </w:rPr>
            </w:pPr>
            <w:r>
              <w:rPr>
                <w:rFonts w:hint="eastAsia"/>
                <w:szCs w:val="21"/>
              </w:rPr>
              <w:t>承包人</w:t>
            </w:r>
            <w:r>
              <w:rPr>
                <w:rFonts w:hint="eastAsia"/>
                <w:kern w:val="18"/>
                <w:szCs w:val="21"/>
              </w:rPr>
              <w:t>：</w:t>
            </w:r>
            <w:r>
              <w:rPr>
                <w:rFonts w:hint="eastAsia"/>
                <w:szCs w:val="21"/>
              </w:rPr>
              <w:t>（盖章）</w:t>
            </w:r>
          </w:p>
          <w:p>
            <w:pPr>
              <w:widowControl/>
              <w:spacing w:after="240" w:line="510" w:lineRule="exact"/>
              <w:jc w:val="left"/>
              <w:rPr>
                <w:rFonts w:hint="eastAsia" w:ascii="宋体" w:hAnsi="宋体" w:eastAsia="宋体" w:cs="宋体"/>
                <w:sz w:val="24"/>
                <w:szCs w:val="21"/>
                <w:lang w:val="en-US" w:eastAsia="zh-CN" w:bidi="ar-SA"/>
              </w:rPr>
            </w:pPr>
            <w:r>
              <w:rPr>
                <w:rFonts w:hint="eastAsia"/>
                <w:szCs w:val="21"/>
                <w:u w:val="single"/>
                <w:lang w:eastAsia="zh-CN"/>
              </w:rPr>
              <w:t>******</w:t>
            </w:r>
          </w:p>
        </w:tc>
      </w:tr>
      <w:tr>
        <w:tblPrEx>
          <w:tblCellMar>
            <w:top w:w="0" w:type="dxa"/>
            <w:left w:w="108" w:type="dxa"/>
            <w:bottom w:w="0" w:type="dxa"/>
            <w:right w:w="108" w:type="dxa"/>
          </w:tblCellMar>
        </w:tblPrEx>
        <w:trPr>
          <w:trHeight w:val="615" w:hRule="atLeast"/>
          <w:jc w:val="center"/>
        </w:trPr>
        <w:tc>
          <w:tcPr>
            <w:tcW w:w="4648" w:type="dxa"/>
            <w:vAlign w:val="top"/>
          </w:tcPr>
          <w:p>
            <w:pPr>
              <w:widowControl/>
              <w:spacing w:after="240" w:line="510" w:lineRule="exact"/>
              <w:jc w:val="left"/>
              <w:rPr>
                <w:rFonts w:hint="eastAsia" w:ascii="宋体" w:hAnsi="宋体" w:eastAsia="宋体" w:cs="宋体"/>
                <w:sz w:val="24"/>
                <w:szCs w:val="21"/>
                <w:lang w:val="en-US" w:eastAsia="zh-CN" w:bidi="ar-SA"/>
              </w:rPr>
            </w:pPr>
            <w:r>
              <w:rPr>
                <w:rFonts w:hint="eastAsia"/>
                <w:szCs w:val="21"/>
              </w:rPr>
              <w:t>法定代表人或其委托代理人（签名）：</w:t>
            </w:r>
          </w:p>
        </w:tc>
        <w:tc>
          <w:tcPr>
            <w:tcW w:w="4649" w:type="dxa"/>
            <w:vAlign w:val="top"/>
          </w:tcPr>
          <w:p>
            <w:pPr>
              <w:widowControl/>
              <w:spacing w:after="240" w:line="510" w:lineRule="exact"/>
              <w:jc w:val="left"/>
            </w:pPr>
            <w:r>
              <w:rPr>
                <w:rFonts w:hint="eastAsia"/>
              </w:rPr>
              <w:t>法定代表人或其委托代理人（签名）：</w:t>
            </w:r>
          </w:p>
          <w:p>
            <w:pPr>
              <w:widowControl/>
              <w:ind w:firstLine="420"/>
              <w:jc w:val="left"/>
              <w:rPr>
                <w:szCs w:val="20"/>
              </w:rPr>
            </w:pPr>
          </w:p>
          <w:p>
            <w:pPr>
              <w:widowControl/>
              <w:jc w:val="left"/>
            </w:pPr>
          </w:p>
          <w:p>
            <w:pPr>
              <w:widowControl/>
              <w:ind w:firstLine="420" w:firstLineChars="0"/>
              <w:jc w:val="left"/>
              <w:rPr>
                <w:rFonts w:ascii="宋体" w:hAnsi="宋体" w:eastAsia="宋体" w:cs="宋体"/>
                <w:sz w:val="24"/>
                <w:szCs w:val="20"/>
                <w:lang w:val="en-US" w:eastAsia="zh-CN" w:bidi="ar-SA"/>
              </w:rPr>
            </w:pPr>
          </w:p>
        </w:tc>
      </w:tr>
      <w:tr>
        <w:tblPrEx>
          <w:tblCellMar>
            <w:top w:w="0" w:type="dxa"/>
            <w:left w:w="108" w:type="dxa"/>
            <w:bottom w:w="0" w:type="dxa"/>
            <w:right w:w="108" w:type="dxa"/>
          </w:tblCellMar>
        </w:tblPrEx>
        <w:trPr>
          <w:trHeight w:val="615" w:hRule="atLeast"/>
          <w:jc w:val="center"/>
        </w:trPr>
        <w:tc>
          <w:tcPr>
            <w:tcW w:w="4648" w:type="dxa"/>
            <w:vAlign w:val="top"/>
          </w:tcPr>
          <w:p>
            <w:pPr>
              <w:widowControl/>
              <w:spacing w:after="240" w:line="510" w:lineRule="exact"/>
              <w:jc w:val="left"/>
              <w:rPr>
                <w:rFonts w:hint="eastAsia" w:ascii="宋体" w:hAnsi="宋体" w:eastAsia="宋体" w:cs="宋体"/>
                <w:sz w:val="24"/>
                <w:szCs w:val="21"/>
                <w:lang w:val="en-US" w:eastAsia="zh-CN" w:bidi="ar-SA"/>
              </w:rPr>
            </w:pPr>
            <w:r>
              <w:rPr>
                <w:rFonts w:hint="eastAsia"/>
                <w:szCs w:val="21"/>
              </w:rPr>
              <w:t>签订时间：    年    月    日</w:t>
            </w:r>
          </w:p>
        </w:tc>
        <w:tc>
          <w:tcPr>
            <w:tcW w:w="4649" w:type="dxa"/>
            <w:vAlign w:val="top"/>
          </w:tcPr>
          <w:p>
            <w:pPr>
              <w:widowControl/>
              <w:spacing w:after="240" w:line="510" w:lineRule="exact"/>
              <w:ind w:right="180" w:rightChars="0"/>
              <w:jc w:val="left"/>
              <w:rPr>
                <w:rFonts w:ascii="宋体" w:hAnsi="宋体" w:eastAsia="宋体" w:cs="宋体"/>
                <w:sz w:val="24"/>
                <w:szCs w:val="21"/>
                <w:lang w:val="en-US" w:eastAsia="zh-CN" w:bidi="ar-SA"/>
              </w:rPr>
            </w:pPr>
            <w:r>
              <w:rPr>
                <w:rFonts w:hint="eastAsia"/>
                <w:szCs w:val="21"/>
              </w:rPr>
              <w:t>签订时间：    年    月    日</w:t>
            </w:r>
          </w:p>
        </w:tc>
      </w:tr>
    </w:tbl>
    <w:p>
      <w:pPr>
        <w:widowControl/>
        <w:adjustRightInd w:val="0"/>
        <w:snapToGrid w:val="0"/>
        <w:spacing w:line="500" w:lineRule="exact"/>
        <w:jc w:val="left"/>
        <w:rPr>
          <w:bCs/>
          <w:sz w:val="21"/>
          <w:szCs w:val="21"/>
        </w:rPr>
      </w:pPr>
      <w:r>
        <w:rPr>
          <w:bCs/>
          <w:sz w:val="21"/>
          <w:szCs w:val="21"/>
        </w:rPr>
        <w:fldChar w:fldCharType="begin"/>
      </w:r>
      <w:r>
        <w:rPr>
          <w:rFonts w:hint="eastAsia"/>
          <w:bCs/>
          <w:sz w:val="21"/>
          <w:szCs w:val="21"/>
        </w:rPr>
        <w:instrText xml:space="preserve">AUTOTEXT  工程质量保修书 \* MERGEFORMAT</w:instrText>
      </w:r>
      <w:r>
        <w:rPr>
          <w:bCs/>
          <w:sz w:val="21"/>
          <w:szCs w:val="21"/>
        </w:rPr>
        <w:fldChar w:fldCharType="separate"/>
      </w:r>
      <w:r>
        <w:rPr>
          <w:bCs/>
          <w:sz w:val="21"/>
          <w:szCs w:val="21"/>
        </w:rPr>
        <w:fldChar w:fldCharType="end"/>
      </w:r>
    </w:p>
    <w:p>
      <w:pPr>
        <w:widowControl/>
        <w:jc w:val="left"/>
      </w:pPr>
      <w:r>
        <w:br w:type="page"/>
      </w:r>
    </w:p>
    <w:p>
      <w:pPr>
        <w:widowControl/>
        <w:jc w:val="left"/>
      </w:pPr>
    </w:p>
    <w:p>
      <w:pPr>
        <w:widowControl/>
        <w:jc w:val="left"/>
        <w:outlineLvl w:val="1"/>
        <w:rPr>
          <w:kern w:val="2"/>
          <w:sz w:val="21"/>
          <w:szCs w:val="21"/>
        </w:rPr>
      </w:pPr>
      <w:bookmarkStart w:id="1098" w:name="_Toc6459"/>
      <w:bookmarkStart w:id="1099" w:name="_Toc30288"/>
      <w:bookmarkStart w:id="1100" w:name="_Toc116796952"/>
      <w:bookmarkStart w:id="1101" w:name="_Toc5165"/>
      <w:bookmarkStart w:id="1102" w:name="_Toc28846"/>
      <w:bookmarkStart w:id="1103" w:name="_Toc17704"/>
      <w:bookmarkStart w:id="1104" w:name="_Toc31424"/>
      <w:r>
        <w:rPr>
          <w:rFonts w:hint="eastAsia"/>
          <w:kern w:val="2"/>
          <w:sz w:val="21"/>
          <w:szCs w:val="21"/>
        </w:rPr>
        <w:t>附件5</w:t>
      </w:r>
      <w:bookmarkEnd w:id="1098"/>
      <w:bookmarkEnd w:id="1099"/>
    </w:p>
    <w:p>
      <w:pPr>
        <w:widowControl/>
        <w:jc w:val="center"/>
        <w:outlineLvl w:val="3"/>
        <w:rPr>
          <w:sz w:val="36"/>
          <w:szCs w:val="32"/>
          <w:lang w:val="zh-CN"/>
        </w:rPr>
      </w:pPr>
      <w:bookmarkStart w:id="1105" w:name="_Toc8210"/>
      <w:bookmarkStart w:id="1106" w:name="_Toc7912"/>
      <w:r>
        <w:rPr>
          <w:rFonts w:hint="eastAsia" w:cs="黑体"/>
          <w:color w:val="000000"/>
          <w:sz w:val="30"/>
          <w:szCs w:val="30"/>
        </w:rPr>
        <w:t>工程</w:t>
      </w:r>
      <w:r>
        <w:rPr>
          <w:rFonts w:cs="黑体"/>
          <w:color w:val="000000"/>
          <w:sz w:val="30"/>
          <w:szCs w:val="30"/>
          <w:lang w:val="zh-CN"/>
        </w:rPr>
        <w:t>资金监管协议书</w:t>
      </w:r>
      <w:bookmarkEnd w:id="1100"/>
      <w:bookmarkEnd w:id="1105"/>
      <w:bookmarkEnd w:id="1106"/>
    </w:p>
    <w:p>
      <w:pPr>
        <w:widowControl/>
        <w:adjustRightInd w:val="0"/>
        <w:snapToGrid w:val="0"/>
        <w:spacing w:line="360" w:lineRule="auto"/>
        <w:ind w:firstLine="480" w:firstLineChars="200"/>
        <w:jc w:val="left"/>
        <w:rPr>
          <w:rFonts w:cs="仿宋_GB2312"/>
          <w:color w:val="000000"/>
          <w:szCs w:val="21"/>
        </w:rPr>
      </w:pPr>
      <w:r>
        <w:rPr>
          <w:rFonts w:hint="eastAsia" w:cs="仿宋_GB2312"/>
          <w:color w:val="000000"/>
          <w:szCs w:val="21"/>
        </w:rPr>
        <w:t>（此工程资金监管协议书仅为参考，格式内容可调整，但资金监管方式不得改变，修改内容不得与通知和协议书约定冲突）</w:t>
      </w:r>
    </w:p>
    <w:p>
      <w:pPr>
        <w:widowControl/>
        <w:adjustRightInd w:val="0"/>
        <w:snapToGrid w:val="0"/>
        <w:spacing w:line="360" w:lineRule="auto"/>
        <w:ind w:firstLine="480" w:firstLineChars="200"/>
        <w:jc w:val="left"/>
        <w:rPr>
          <w:rFonts w:cs="黑体"/>
          <w:color w:val="000000"/>
          <w:szCs w:val="21"/>
        </w:rPr>
      </w:pPr>
    </w:p>
    <w:p>
      <w:pPr>
        <w:widowControl/>
        <w:adjustRightInd w:val="0"/>
        <w:snapToGrid w:val="0"/>
        <w:spacing w:line="360" w:lineRule="auto"/>
        <w:ind w:firstLine="480" w:firstLineChars="200"/>
        <w:jc w:val="left"/>
        <w:rPr>
          <w:rFonts w:cs="仿宋_GB2312"/>
          <w:color w:val="000000"/>
          <w:szCs w:val="21"/>
        </w:rPr>
      </w:pPr>
      <w:r>
        <w:rPr>
          <w:rFonts w:hint="eastAsia" w:cs="仿宋_GB2312"/>
          <w:color w:val="000000"/>
          <w:szCs w:val="21"/>
        </w:rPr>
        <w:t>发包人：（以下简称甲方）</w:t>
      </w:r>
    </w:p>
    <w:p>
      <w:pPr>
        <w:widowControl/>
        <w:adjustRightInd w:val="0"/>
        <w:snapToGrid w:val="0"/>
        <w:spacing w:line="360" w:lineRule="auto"/>
        <w:ind w:firstLine="480" w:firstLineChars="200"/>
        <w:jc w:val="left"/>
        <w:rPr>
          <w:rFonts w:cs="仿宋_GB2312"/>
          <w:color w:val="000000"/>
          <w:szCs w:val="21"/>
        </w:rPr>
      </w:pPr>
      <w:r>
        <w:rPr>
          <w:rFonts w:hint="eastAsia" w:cs="仿宋_GB2312"/>
          <w:color w:val="000000"/>
          <w:szCs w:val="21"/>
        </w:rPr>
        <w:t>承包人：（以下简称乙方）</w:t>
      </w:r>
    </w:p>
    <w:p>
      <w:pPr>
        <w:widowControl/>
        <w:adjustRightInd w:val="0"/>
        <w:snapToGrid w:val="0"/>
        <w:spacing w:line="360" w:lineRule="auto"/>
        <w:ind w:firstLine="480" w:firstLineChars="200"/>
        <w:jc w:val="left"/>
        <w:rPr>
          <w:rFonts w:hint="eastAsia" w:cs="仿宋_GB2312"/>
          <w:color w:val="000000"/>
          <w:szCs w:val="21"/>
        </w:rPr>
      </w:pPr>
      <w:r>
        <w:rPr>
          <w:rFonts w:hint="eastAsia" w:cs="仿宋_GB2312"/>
          <w:color w:val="000000"/>
          <w:szCs w:val="21"/>
        </w:rPr>
        <w:t>银  行：（以下简称丙方）</w:t>
      </w:r>
    </w:p>
    <w:p>
      <w:pPr>
        <w:widowControl/>
        <w:adjustRightInd w:val="0"/>
        <w:snapToGrid w:val="0"/>
        <w:spacing w:line="360" w:lineRule="auto"/>
        <w:ind w:firstLine="560" w:firstLineChars="200"/>
        <w:jc w:val="left"/>
        <w:rPr>
          <w:rFonts w:cs="楷体_GB2312"/>
          <w:color w:val="000000"/>
          <w:sz w:val="28"/>
          <w:szCs w:val="28"/>
        </w:rPr>
      </w:pPr>
    </w:p>
    <w:p>
      <w:pPr>
        <w:widowControl/>
        <w:adjustRightInd w:val="0"/>
        <w:snapToGrid w:val="0"/>
        <w:spacing w:line="360" w:lineRule="auto"/>
        <w:ind w:firstLine="480" w:firstLineChars="200"/>
        <w:jc w:val="left"/>
        <w:rPr>
          <w:rFonts w:cs="仿宋_GB2312"/>
          <w:color w:val="000000"/>
          <w:szCs w:val="21"/>
        </w:rPr>
      </w:pPr>
      <w:r>
        <w:rPr>
          <w:rFonts w:hint="eastAsia" w:cs="仿宋_GB2312"/>
          <w:color w:val="000000"/>
          <w:szCs w:val="21"/>
        </w:rPr>
        <w:t>为确保甲方项目建设资金“专款专用”，促进工程的顺利实施，同时使资金监控有力、便捷有效，经甲、乙、丙三方协商，达成协议如下：</w:t>
      </w:r>
    </w:p>
    <w:p>
      <w:pPr>
        <w:widowControl/>
        <w:adjustRightInd w:val="0"/>
        <w:snapToGrid w:val="0"/>
        <w:spacing w:line="360" w:lineRule="auto"/>
        <w:ind w:firstLine="480" w:firstLineChars="200"/>
        <w:jc w:val="left"/>
        <w:rPr>
          <w:rFonts w:cs="黑体"/>
          <w:color w:val="000000"/>
          <w:szCs w:val="21"/>
        </w:rPr>
      </w:pPr>
      <w:r>
        <w:rPr>
          <w:rFonts w:hint="eastAsia" w:cs="黑体"/>
          <w:color w:val="000000"/>
          <w:szCs w:val="21"/>
        </w:rPr>
        <w:t>一、资金监管的内容</w:t>
      </w:r>
    </w:p>
    <w:p>
      <w:pPr>
        <w:widowControl/>
        <w:adjustRightInd w:val="0"/>
        <w:snapToGrid w:val="0"/>
        <w:spacing w:line="360" w:lineRule="auto"/>
        <w:ind w:firstLine="480" w:firstLineChars="200"/>
        <w:jc w:val="left"/>
        <w:rPr>
          <w:rFonts w:cs="仿宋_GB2312"/>
          <w:color w:val="000000"/>
          <w:szCs w:val="21"/>
        </w:rPr>
      </w:pPr>
      <w:r>
        <w:rPr>
          <w:rFonts w:hint="eastAsia" w:cs="仿宋_GB2312"/>
          <w:color w:val="000000"/>
          <w:szCs w:val="21"/>
        </w:rPr>
        <w:t>1.乙方为完成工程在丙方开设监管账户（监管账户的户名为：xxxxxxx，账号：xxxxxxx，开户行：xxxxxxx）；工程的建设资金均通过该账户进行监管。</w:t>
      </w:r>
    </w:p>
    <w:p>
      <w:pPr>
        <w:widowControl/>
        <w:adjustRightInd w:val="0"/>
        <w:snapToGrid w:val="0"/>
        <w:spacing w:line="360" w:lineRule="auto"/>
        <w:ind w:firstLine="480" w:firstLineChars="200"/>
        <w:jc w:val="left"/>
        <w:rPr>
          <w:rFonts w:cs="仿宋_GB2312"/>
          <w:color w:val="000000"/>
          <w:szCs w:val="21"/>
        </w:rPr>
      </w:pPr>
      <w:r>
        <w:rPr>
          <w:rFonts w:hint="eastAsia" w:cs="仿宋_GB2312"/>
          <w:color w:val="000000"/>
          <w:szCs w:val="21"/>
        </w:rPr>
        <w:t>2.乙方应将账户内资金专项用于工程。</w:t>
      </w:r>
    </w:p>
    <w:p>
      <w:pPr>
        <w:widowControl/>
        <w:adjustRightInd w:val="0"/>
        <w:snapToGrid w:val="0"/>
        <w:spacing w:line="360" w:lineRule="auto"/>
        <w:ind w:firstLine="480" w:firstLineChars="200"/>
        <w:jc w:val="left"/>
        <w:rPr>
          <w:rFonts w:cs="仿宋_GB2312"/>
          <w:b/>
          <w:bCs/>
          <w:color w:val="000000"/>
          <w:szCs w:val="21"/>
        </w:rPr>
      </w:pPr>
      <w:r>
        <w:rPr>
          <w:rFonts w:hint="eastAsia" w:cs="仿宋_GB2312"/>
          <w:color w:val="000000"/>
          <w:szCs w:val="21"/>
        </w:rPr>
        <w:t>3.丙方应为乙方提供便捷有效的银行业务服务，并接受甲方委托对乙方在丙方开设的监管账户资金使用情况进行监督。</w:t>
      </w:r>
    </w:p>
    <w:p>
      <w:pPr>
        <w:widowControl/>
        <w:adjustRightInd w:val="0"/>
        <w:snapToGrid w:val="0"/>
        <w:spacing w:line="360" w:lineRule="auto"/>
        <w:ind w:firstLine="480" w:firstLineChars="200"/>
        <w:jc w:val="left"/>
        <w:rPr>
          <w:rFonts w:cs="黑体"/>
          <w:color w:val="000000"/>
          <w:szCs w:val="21"/>
        </w:rPr>
      </w:pPr>
      <w:r>
        <w:rPr>
          <w:rFonts w:hint="eastAsia" w:cs="黑体"/>
          <w:color w:val="000000"/>
          <w:szCs w:val="21"/>
        </w:rPr>
        <w:t>二、资金监管方式（在□内打√）</w:t>
      </w:r>
    </w:p>
    <w:p>
      <w:pPr>
        <w:widowControl/>
        <w:adjustRightInd w:val="0"/>
        <w:snapToGrid w:val="0"/>
        <w:spacing w:line="360" w:lineRule="auto"/>
        <w:ind w:firstLine="480" w:firstLineChars="200"/>
        <w:jc w:val="left"/>
        <w:rPr>
          <w:rFonts w:cs="仿宋_GB2312"/>
          <w:b/>
          <w:bCs/>
          <w:color w:val="000000"/>
          <w:szCs w:val="21"/>
        </w:rPr>
      </w:pPr>
      <w:r>
        <w:rPr>
          <w:rFonts w:hint="eastAsia" w:cs="仿宋_GB2312"/>
          <w:color w:val="000000"/>
          <w:szCs w:val="21"/>
        </w:rPr>
        <w:t>甲方有权根据项目实际情况选择下列任何一种资金监管方式，或合同在履行过程中，甲方有权根据乙方的情况变更资金监管模式，乙丙方不得有异议。</w:t>
      </w:r>
    </w:p>
    <w:p>
      <w:pPr>
        <w:widowControl/>
        <w:adjustRightInd w:val="0"/>
        <w:snapToGrid w:val="0"/>
        <w:spacing w:line="360" w:lineRule="auto"/>
        <w:ind w:firstLine="480" w:firstLineChars="200"/>
        <w:jc w:val="left"/>
        <w:rPr>
          <w:rFonts w:cs="仿宋_GB2312"/>
          <w:szCs w:val="21"/>
        </w:rPr>
      </w:pPr>
      <w:r>
        <w:rPr>
          <w:rFonts w:ascii="Wingdings 2" w:hAnsi="Wingdings 2" w:cs="仿宋_GB2312"/>
          <w:szCs w:val="21"/>
        </w:rPr>
        <w:sym w:font="Wingdings 2" w:char="F0A3"/>
      </w:r>
      <w:r>
        <w:rPr>
          <w:rFonts w:hint="eastAsia" w:cs="仿宋_GB2312"/>
          <w:szCs w:val="21"/>
        </w:rPr>
        <w:t>（单笔支付落地行内审批，即乙方提交支付指令及丙方需要的相关资料（相关合同、票据等），由丙方进行逐笔审批单笔支付；</w:t>
      </w:r>
    </w:p>
    <w:p>
      <w:pPr>
        <w:widowControl/>
        <w:adjustRightInd w:val="0"/>
        <w:snapToGrid w:val="0"/>
        <w:spacing w:line="360" w:lineRule="auto"/>
        <w:ind w:firstLine="480" w:firstLineChars="200"/>
        <w:jc w:val="left"/>
        <w:rPr>
          <w:rFonts w:cs="仿宋_GB2312"/>
          <w:szCs w:val="21"/>
        </w:rPr>
      </w:pPr>
      <w:r>
        <w:rPr>
          <w:rFonts w:ascii="Wingdings 2" w:hAnsi="Wingdings 2" w:cs="仿宋_GB2312"/>
          <w:szCs w:val="21"/>
        </w:rPr>
        <w:sym w:font="Wingdings 2" w:char="F052"/>
      </w:r>
      <w:r>
        <w:rPr>
          <w:rFonts w:hint="eastAsia" w:cs="仿宋_GB2312"/>
          <w:szCs w:val="21"/>
        </w:rPr>
        <w:t>（甲方审批支付名单和《资金使用计划（预算）》的管理。即乙方提交支付名单和《资金使用计划（预算）》给甲方审核；在甲方批准的名单和计划内，乙方提交支付指令及丙方需要的相关资料（相关合同、票据等），由丙方进行逐笔审批单笔支付。</w:t>
      </w:r>
    </w:p>
    <w:p>
      <w:pPr>
        <w:widowControl/>
        <w:adjustRightInd w:val="0"/>
        <w:snapToGrid w:val="0"/>
        <w:spacing w:line="360" w:lineRule="auto"/>
        <w:ind w:firstLine="480" w:firstLineChars="200"/>
        <w:jc w:val="left"/>
        <w:rPr>
          <w:rFonts w:cs="仿宋_GB2312"/>
          <w:color w:val="FF0000"/>
          <w:szCs w:val="21"/>
        </w:rPr>
      </w:pPr>
      <w:r>
        <w:rPr>
          <w:rFonts w:hint="eastAsia" w:cs="仿宋_GB2312"/>
          <w:szCs w:val="21"/>
        </w:rPr>
        <w:t>乙方提交的《资金使用计划（预算）》应包括工程成本、费用付款大类的金额、主要收款单位、用途及现金支用量等内容。乙方提交的支付名单和《资金使用计划（预算）》应附上相关证明文件，如相关合同，金额计算依据等。</w:t>
      </w:r>
    </w:p>
    <w:p>
      <w:pPr>
        <w:widowControl/>
        <w:adjustRightInd w:val="0"/>
        <w:snapToGrid w:val="0"/>
        <w:spacing w:line="360" w:lineRule="auto"/>
        <w:ind w:firstLine="480" w:firstLineChars="200"/>
        <w:jc w:val="left"/>
        <w:rPr>
          <w:rFonts w:cs="黑体"/>
          <w:color w:val="000000"/>
          <w:szCs w:val="21"/>
        </w:rPr>
      </w:pPr>
      <w:r>
        <w:rPr>
          <w:rFonts w:hint="eastAsia" w:cs="黑体"/>
          <w:color w:val="000000"/>
          <w:szCs w:val="21"/>
        </w:rPr>
        <w:t>三、资金监管期限及终止</w:t>
      </w:r>
    </w:p>
    <w:p>
      <w:pPr>
        <w:widowControl/>
        <w:adjustRightInd w:val="0"/>
        <w:snapToGrid w:val="0"/>
        <w:spacing w:line="360" w:lineRule="auto"/>
        <w:ind w:firstLine="480" w:firstLineChars="200"/>
        <w:jc w:val="left"/>
        <w:rPr>
          <w:rFonts w:cs="仿宋_GB2312"/>
          <w:color w:val="000000"/>
          <w:szCs w:val="21"/>
        </w:rPr>
      </w:pPr>
      <w:r>
        <w:rPr>
          <w:rFonts w:hint="eastAsia" w:cs="仿宋_GB2312"/>
          <w:color w:val="000000"/>
          <w:szCs w:val="21"/>
        </w:rPr>
        <w:t>本协议项下丙方对监管账户的监管期限为（在</w:t>
      </w:r>
      <w:r>
        <w:rPr>
          <w:rFonts w:ascii="Wingdings 2" w:hAnsi="Wingdings 2" w:cs="仿宋_GB2312"/>
          <w:color w:val="000000"/>
          <w:szCs w:val="21"/>
        </w:rPr>
        <w:sym w:font="Wingdings 2" w:char="F0A3"/>
      </w:r>
      <w:r>
        <w:rPr>
          <w:rFonts w:hint="eastAsia" w:cs="仿宋_GB2312"/>
          <w:color w:val="000000"/>
          <w:szCs w:val="21"/>
        </w:rPr>
        <w:t>内打√）</w:t>
      </w:r>
    </w:p>
    <w:p>
      <w:pPr>
        <w:widowControl/>
        <w:adjustRightInd w:val="0"/>
        <w:snapToGrid w:val="0"/>
        <w:spacing w:line="360" w:lineRule="auto"/>
        <w:ind w:firstLine="480" w:firstLineChars="200"/>
        <w:jc w:val="left"/>
        <w:rPr>
          <w:rFonts w:cs="仿宋_GB2312"/>
          <w:color w:val="000000"/>
          <w:szCs w:val="21"/>
        </w:rPr>
      </w:pPr>
      <w:r>
        <w:rPr>
          <w:rFonts w:ascii="Wingdings 2" w:hAnsi="Wingdings 2" w:cs="仿宋_GB2312"/>
          <w:color w:val="000000"/>
          <w:szCs w:val="21"/>
        </w:rPr>
        <w:sym w:font="Wingdings 2" w:char="F0A3"/>
      </w:r>
      <w:r>
        <w:rPr>
          <w:rFonts w:hint="eastAsia" w:cs="仿宋_GB2312"/>
          <w:color w:val="000000"/>
          <w:szCs w:val="21"/>
        </w:rPr>
        <w:t>自年月日起至年月日止。</w:t>
      </w:r>
    </w:p>
    <w:p>
      <w:pPr>
        <w:widowControl/>
        <w:adjustRightInd w:val="0"/>
        <w:snapToGrid w:val="0"/>
        <w:spacing w:line="360" w:lineRule="auto"/>
        <w:ind w:firstLine="480" w:firstLineChars="200"/>
        <w:jc w:val="left"/>
        <w:rPr>
          <w:rFonts w:cs="仿宋_GB2312"/>
          <w:color w:val="000000"/>
          <w:szCs w:val="21"/>
        </w:rPr>
      </w:pPr>
      <w:r>
        <w:rPr>
          <w:rFonts w:ascii="Wingdings 2" w:hAnsi="Wingdings 2" w:cs="仿宋_GB2312"/>
          <w:color w:val="000000"/>
          <w:szCs w:val="21"/>
        </w:rPr>
        <w:sym w:font="Wingdings 2" w:char="F052"/>
      </w:r>
      <w:r>
        <w:rPr>
          <w:rFonts w:hint="eastAsia" w:cs="仿宋_GB2312"/>
          <w:color w:val="000000"/>
          <w:szCs w:val="21"/>
        </w:rPr>
        <w:t>自第一笔监管资金进入监管账户之日起至工程竣工验收合格。</w:t>
      </w:r>
    </w:p>
    <w:p>
      <w:pPr>
        <w:widowControl/>
        <w:adjustRightInd w:val="0"/>
        <w:snapToGrid w:val="0"/>
        <w:spacing w:line="360" w:lineRule="auto"/>
        <w:ind w:firstLine="480" w:firstLineChars="200"/>
        <w:jc w:val="left"/>
        <w:rPr>
          <w:rFonts w:cs="仿宋_GB2312"/>
          <w:color w:val="000000"/>
          <w:szCs w:val="21"/>
        </w:rPr>
      </w:pPr>
      <w:r>
        <w:rPr>
          <w:rFonts w:hint="eastAsia" w:cs="仿宋_GB2312"/>
          <w:color w:val="000000"/>
          <w:szCs w:val="21"/>
        </w:rPr>
        <w:t>监管期限届满，丙方的监管责任全部解除。</w:t>
      </w:r>
    </w:p>
    <w:p>
      <w:pPr>
        <w:widowControl/>
        <w:adjustRightInd w:val="0"/>
        <w:snapToGrid w:val="0"/>
        <w:spacing w:line="360" w:lineRule="auto"/>
        <w:ind w:firstLine="480" w:firstLineChars="200"/>
        <w:jc w:val="left"/>
        <w:rPr>
          <w:rFonts w:cs="黑体"/>
          <w:color w:val="000000"/>
          <w:szCs w:val="21"/>
        </w:rPr>
      </w:pPr>
      <w:r>
        <w:rPr>
          <w:rFonts w:hint="eastAsia" w:cs="黑体"/>
          <w:color w:val="000000"/>
          <w:szCs w:val="21"/>
        </w:rPr>
        <w:t>四、甲方权责</w:t>
      </w:r>
    </w:p>
    <w:p>
      <w:pPr>
        <w:widowControl/>
        <w:adjustRightInd w:val="0"/>
        <w:snapToGrid w:val="0"/>
        <w:spacing w:line="360" w:lineRule="auto"/>
        <w:ind w:firstLine="480" w:firstLineChars="200"/>
        <w:jc w:val="left"/>
        <w:rPr>
          <w:rFonts w:cs="仿宋_GB2312"/>
          <w:color w:val="000000"/>
          <w:szCs w:val="21"/>
        </w:rPr>
      </w:pPr>
      <w:r>
        <w:rPr>
          <w:rFonts w:hint="eastAsia" w:cs="仿宋_GB2312"/>
          <w:color w:val="000000"/>
          <w:szCs w:val="21"/>
        </w:rPr>
        <w:t>1.按照   合同直接向监管账户划拨工程款。</w:t>
      </w:r>
    </w:p>
    <w:p>
      <w:pPr>
        <w:widowControl/>
        <w:adjustRightInd w:val="0"/>
        <w:snapToGrid w:val="0"/>
        <w:spacing w:line="360" w:lineRule="auto"/>
        <w:ind w:firstLine="480" w:firstLineChars="200"/>
        <w:jc w:val="left"/>
        <w:rPr>
          <w:rFonts w:cs="仿宋_GB2312"/>
          <w:color w:val="000000"/>
          <w:szCs w:val="21"/>
        </w:rPr>
      </w:pPr>
      <w:r>
        <w:rPr>
          <w:rFonts w:hint="eastAsia" w:cs="仿宋_GB2312"/>
          <w:color w:val="000000"/>
          <w:szCs w:val="21"/>
        </w:rPr>
        <w:t>2.及时审核乙方提交的支付名单及《资金使用计划（预算）》，对甲方认为不合理的名单或计划有权不同意支付。</w:t>
      </w:r>
    </w:p>
    <w:p>
      <w:pPr>
        <w:widowControl/>
        <w:adjustRightInd w:val="0"/>
        <w:snapToGrid w:val="0"/>
        <w:spacing w:line="360" w:lineRule="auto"/>
        <w:ind w:firstLine="480" w:firstLineChars="200"/>
        <w:jc w:val="left"/>
        <w:rPr>
          <w:rFonts w:cs="仿宋_GB2312"/>
          <w:color w:val="000000"/>
          <w:szCs w:val="21"/>
        </w:rPr>
      </w:pPr>
      <w:r>
        <w:rPr>
          <w:rFonts w:hint="eastAsia" w:cs="仿宋_GB2312"/>
          <w:color w:val="000000"/>
          <w:szCs w:val="21"/>
        </w:rPr>
        <w:t>3.甲方有权不定期审查乙方的资金使用情况，在发现乙方将本工程资金挪用、转移、乱用时，或乙方不按本协议接受工程资金监管、不配合提供相关监管资料时，甲方有权中止工程款支付或有权授权丙方在监管期间有权封存（通过冻结或设置账户为“只收不付”等形式）该账户资金，并仅凭协议约定条件，直至乙方改正为止。因此造成的责任由乙方负责。</w:t>
      </w:r>
    </w:p>
    <w:p>
      <w:pPr>
        <w:widowControl/>
        <w:adjustRightInd w:val="0"/>
        <w:snapToGrid w:val="0"/>
        <w:spacing w:line="360" w:lineRule="auto"/>
        <w:ind w:firstLine="480" w:firstLineChars="200"/>
        <w:jc w:val="left"/>
        <w:rPr>
          <w:rFonts w:cs="仿宋_GB2312"/>
          <w:color w:val="000000"/>
          <w:szCs w:val="21"/>
        </w:rPr>
      </w:pPr>
      <w:r>
        <w:rPr>
          <w:rFonts w:hint="eastAsia" w:cs="仿宋_GB2312"/>
          <w:color w:val="000000"/>
          <w:szCs w:val="21"/>
        </w:rPr>
        <w:t>4.有权对丙方履行本协议约定进行监督，如丙方不能履行其责任并在经甲方催告的合理期限内仍不履行的，甲方有权终止本协议，并为乙方另行指定工程资金监管银行。</w:t>
      </w:r>
    </w:p>
    <w:p>
      <w:pPr>
        <w:widowControl/>
        <w:adjustRightInd w:val="0"/>
        <w:snapToGrid w:val="0"/>
        <w:spacing w:line="360" w:lineRule="auto"/>
        <w:ind w:firstLine="480" w:firstLineChars="200"/>
        <w:jc w:val="left"/>
        <w:rPr>
          <w:rFonts w:cs="仿宋_GB2312"/>
          <w:color w:val="000000"/>
          <w:szCs w:val="21"/>
        </w:rPr>
      </w:pPr>
      <w:r>
        <w:rPr>
          <w:rFonts w:hint="eastAsia" w:cs="仿宋_GB2312"/>
          <w:color w:val="000000"/>
          <w:szCs w:val="21"/>
        </w:rPr>
        <w:t>5.就资金监管方面，如乙、丙双方发生争议时，甲方应负责协调、解决。</w:t>
      </w:r>
    </w:p>
    <w:p>
      <w:pPr>
        <w:widowControl/>
        <w:adjustRightInd w:val="0"/>
        <w:snapToGrid w:val="0"/>
        <w:spacing w:line="360" w:lineRule="auto"/>
        <w:ind w:firstLine="480" w:firstLineChars="200"/>
        <w:jc w:val="left"/>
        <w:rPr>
          <w:rFonts w:cs="黑体"/>
          <w:color w:val="000000"/>
          <w:szCs w:val="21"/>
        </w:rPr>
      </w:pPr>
      <w:r>
        <w:rPr>
          <w:rFonts w:hint="eastAsia" w:cs="黑体"/>
          <w:color w:val="000000"/>
          <w:szCs w:val="21"/>
        </w:rPr>
        <w:t>五、乙方权责</w:t>
      </w:r>
    </w:p>
    <w:p>
      <w:pPr>
        <w:widowControl/>
        <w:adjustRightInd w:val="0"/>
        <w:snapToGrid w:val="0"/>
        <w:spacing w:line="360" w:lineRule="auto"/>
        <w:ind w:firstLine="480" w:firstLineChars="200"/>
        <w:jc w:val="left"/>
        <w:rPr>
          <w:rFonts w:cs="仿宋_GB2312"/>
          <w:color w:val="000000"/>
          <w:szCs w:val="21"/>
        </w:rPr>
      </w:pPr>
      <w:r>
        <w:rPr>
          <w:rFonts w:hint="eastAsia" w:cs="仿宋_GB2312"/>
          <w:color w:val="000000"/>
          <w:szCs w:val="21"/>
        </w:rPr>
        <w:t>1.乙方应及时在丙方开设监管账户，承诺并保证严格按本协议约定的监管方式使用监管账户内资金、接受监管。如乙方通过分拆多笔、化整为零等方式支付、转移资金，视作其违约，应承担相应违约责任。</w:t>
      </w:r>
    </w:p>
    <w:p>
      <w:pPr>
        <w:widowControl/>
        <w:adjustRightInd w:val="0"/>
        <w:snapToGrid w:val="0"/>
        <w:spacing w:line="360" w:lineRule="auto"/>
        <w:ind w:firstLine="480" w:firstLineChars="200"/>
        <w:jc w:val="left"/>
        <w:rPr>
          <w:rFonts w:cs="仿宋_GB2312"/>
          <w:color w:val="000000"/>
          <w:szCs w:val="21"/>
        </w:rPr>
      </w:pPr>
      <w:r>
        <w:rPr>
          <w:rFonts w:hint="eastAsia" w:cs="仿宋_GB2312"/>
          <w:color w:val="000000"/>
          <w:szCs w:val="21"/>
        </w:rPr>
        <w:t>2.监管账户不得开通同城通存通兑业务，不得购买任何支付凭证，除代扣税款、代扣水电费等公用事业项目外，不得开通其他代扣代缴功能。</w:t>
      </w:r>
    </w:p>
    <w:p>
      <w:pPr>
        <w:widowControl/>
        <w:adjustRightInd w:val="0"/>
        <w:snapToGrid w:val="0"/>
        <w:spacing w:line="360" w:lineRule="auto"/>
        <w:ind w:firstLine="480" w:firstLineChars="200"/>
        <w:jc w:val="left"/>
        <w:rPr>
          <w:rFonts w:cs="仿宋_GB2312"/>
          <w:color w:val="000000"/>
          <w:szCs w:val="21"/>
        </w:rPr>
      </w:pPr>
      <w:r>
        <w:rPr>
          <w:rFonts w:hint="eastAsia" w:cs="仿宋_GB2312"/>
          <w:color w:val="000000"/>
          <w:szCs w:val="21"/>
        </w:rPr>
        <w:t>3.确保本项目资金专款专用，不得以直接转账、集团支付、银企直联、CBS、现金池等银行工具直接或间接发生挪用、转移资金的现象；除按本协议约定使用监管账户资金外，保证不通过权益转让、抵押、担保承担债务等任何其他方式使用监管账户的资金。</w:t>
      </w:r>
    </w:p>
    <w:p>
      <w:pPr>
        <w:widowControl/>
        <w:adjustRightInd w:val="0"/>
        <w:snapToGrid w:val="0"/>
        <w:spacing w:line="360" w:lineRule="auto"/>
        <w:ind w:firstLine="480" w:firstLineChars="200"/>
        <w:jc w:val="left"/>
        <w:rPr>
          <w:rFonts w:cs="仿宋_GB2312"/>
          <w:color w:val="000000"/>
          <w:szCs w:val="21"/>
        </w:rPr>
      </w:pPr>
      <w:r>
        <w:rPr>
          <w:rFonts w:hint="eastAsia" w:cs="仿宋_GB2312"/>
          <w:color w:val="000000"/>
          <w:szCs w:val="21"/>
        </w:rPr>
        <w:t>4.除符合本协议约定的支付条件外，乙方不得以任何理由、方式支取监管账户的任何款项或领取转账支票或挂失留存于丙方处的预留印鉴等影响丙方履行本协议项下监管义务的行为。</w:t>
      </w:r>
    </w:p>
    <w:p>
      <w:pPr>
        <w:widowControl/>
        <w:adjustRightInd w:val="0"/>
        <w:snapToGrid w:val="0"/>
        <w:spacing w:line="360" w:lineRule="auto"/>
        <w:ind w:firstLine="480" w:firstLineChars="200"/>
        <w:jc w:val="left"/>
        <w:rPr>
          <w:rFonts w:cs="仿宋_GB2312"/>
          <w:color w:val="000000"/>
          <w:szCs w:val="21"/>
        </w:rPr>
      </w:pPr>
      <w:r>
        <w:rPr>
          <w:rFonts w:hint="eastAsia" w:cs="仿宋_GB2312"/>
          <w:color w:val="000000"/>
          <w:szCs w:val="21"/>
        </w:rPr>
        <w:t>5.乙方在资金监管期间内，不得在监管资金及账户上设置任何妨碍丙方履行本协议的事实上或法律上的障碍。不得设置甲方对监管账户检查的障碍。</w:t>
      </w:r>
    </w:p>
    <w:p>
      <w:pPr>
        <w:widowControl/>
        <w:adjustRightInd w:val="0"/>
        <w:snapToGrid w:val="0"/>
        <w:spacing w:line="360" w:lineRule="auto"/>
        <w:ind w:firstLine="480" w:firstLineChars="200"/>
        <w:jc w:val="left"/>
        <w:rPr>
          <w:rFonts w:cs="仿宋_GB2312"/>
          <w:color w:val="000000"/>
          <w:szCs w:val="21"/>
        </w:rPr>
      </w:pPr>
      <w:r>
        <w:rPr>
          <w:rFonts w:hint="eastAsia" w:cs="仿宋_GB2312"/>
          <w:color w:val="000000"/>
          <w:szCs w:val="21"/>
        </w:rPr>
        <w:t>6.乙方保证所付款项仅从丙方会计部门通过线下支票或电汇方式支付，如遇特殊情况需到提，乙方应事先通知丙方再行支付。</w:t>
      </w:r>
    </w:p>
    <w:p>
      <w:pPr>
        <w:widowControl/>
        <w:adjustRightInd w:val="0"/>
        <w:snapToGrid w:val="0"/>
        <w:spacing w:line="360" w:lineRule="auto"/>
        <w:ind w:firstLine="480" w:firstLineChars="200"/>
        <w:jc w:val="left"/>
        <w:rPr>
          <w:rFonts w:cs="仿宋_GB2312"/>
          <w:color w:val="000000"/>
          <w:szCs w:val="21"/>
        </w:rPr>
      </w:pPr>
      <w:r>
        <w:rPr>
          <w:rFonts w:hint="eastAsia" w:cs="仿宋_GB2312"/>
          <w:color w:val="000000"/>
          <w:szCs w:val="21"/>
        </w:rPr>
        <w:t>7.因监管账户使用及所监管资金在汇划过程中产生的银行费用（包括但不限于邮电费、电汇费、账户管理费等），由乙方承担。</w:t>
      </w:r>
    </w:p>
    <w:p>
      <w:pPr>
        <w:widowControl/>
        <w:adjustRightInd w:val="0"/>
        <w:snapToGrid w:val="0"/>
        <w:spacing w:line="360" w:lineRule="auto"/>
        <w:ind w:firstLine="480" w:firstLineChars="200"/>
        <w:jc w:val="left"/>
        <w:rPr>
          <w:rFonts w:cs="仿宋_GB2312"/>
          <w:color w:val="000000"/>
          <w:szCs w:val="21"/>
        </w:rPr>
      </w:pPr>
      <w:r>
        <w:rPr>
          <w:rFonts w:hint="eastAsia" w:cs="仿宋_GB2312"/>
          <w:color w:val="000000"/>
          <w:szCs w:val="21"/>
        </w:rPr>
        <w:t>8.乙方须按本协议要求或甲方和丙方的要求及时提供相关的资料，并保证其向甲方和丙方提供的全部资料（包括但不限于提出的用款申请、相关协议、合同、票据等）均真实、合法、完整、有效。因乙方提交的资料不真实、错误、遗漏、无效、不合法等造成的损失和责任由乙方提自行承担。</w:t>
      </w:r>
    </w:p>
    <w:p>
      <w:pPr>
        <w:widowControl/>
        <w:adjustRightInd w:val="0"/>
        <w:snapToGrid w:val="0"/>
        <w:spacing w:line="360" w:lineRule="auto"/>
        <w:ind w:firstLine="480" w:firstLineChars="200"/>
        <w:jc w:val="left"/>
        <w:rPr>
          <w:rFonts w:cs="仿宋_GB2312"/>
          <w:color w:val="000000"/>
          <w:szCs w:val="21"/>
        </w:rPr>
      </w:pPr>
      <w:r>
        <w:rPr>
          <w:rFonts w:hint="eastAsia" w:cs="仿宋_GB2312"/>
          <w:color w:val="000000"/>
          <w:szCs w:val="21"/>
        </w:rPr>
        <w:t>9.乙方应及时向甲方提交支付名单及</w:t>
      </w:r>
      <w:r>
        <w:rPr>
          <w:rFonts w:hint="eastAsia" w:cs="仿宋_GB2312"/>
          <w:szCs w:val="21"/>
        </w:rPr>
        <w:t>《资金使用计划（预算）》进行审批。如因乙方原因造成支付延误的责任，由乙方负责。</w:t>
      </w:r>
    </w:p>
    <w:p>
      <w:pPr>
        <w:widowControl/>
        <w:adjustRightInd w:val="0"/>
        <w:snapToGrid w:val="0"/>
        <w:spacing w:line="360" w:lineRule="auto"/>
        <w:ind w:firstLine="480" w:firstLineChars="200"/>
        <w:jc w:val="left"/>
        <w:rPr>
          <w:rFonts w:cs="仿宋_GB2312"/>
          <w:color w:val="000000"/>
          <w:szCs w:val="21"/>
        </w:rPr>
      </w:pPr>
      <w:r>
        <w:rPr>
          <w:rFonts w:hint="eastAsia" w:cs="仿宋_GB2312"/>
          <w:color w:val="000000"/>
          <w:szCs w:val="21"/>
        </w:rPr>
        <w:t>10.根据实际情况，如月中需要更新监管账户网银支付名单，需提供更新后的《支付名单》给甲方审核，审核后作为丙方更新名单的依据。</w:t>
      </w:r>
    </w:p>
    <w:p>
      <w:pPr>
        <w:widowControl/>
        <w:adjustRightInd w:val="0"/>
        <w:snapToGrid w:val="0"/>
        <w:spacing w:line="360" w:lineRule="auto"/>
        <w:ind w:firstLine="480" w:firstLineChars="200"/>
        <w:jc w:val="left"/>
        <w:rPr>
          <w:rFonts w:cs="黑体"/>
          <w:color w:val="000000"/>
          <w:szCs w:val="21"/>
        </w:rPr>
      </w:pPr>
      <w:r>
        <w:rPr>
          <w:rFonts w:hint="eastAsia" w:cs="黑体"/>
          <w:color w:val="000000"/>
          <w:szCs w:val="21"/>
        </w:rPr>
        <w:t>六、丙方权责</w:t>
      </w:r>
    </w:p>
    <w:p>
      <w:pPr>
        <w:widowControl/>
        <w:adjustRightInd w:val="0"/>
        <w:snapToGrid w:val="0"/>
        <w:spacing w:line="360" w:lineRule="auto"/>
        <w:ind w:firstLine="480" w:firstLineChars="200"/>
        <w:jc w:val="left"/>
        <w:rPr>
          <w:rFonts w:cs="仿宋_GB2312"/>
          <w:color w:val="000000"/>
          <w:szCs w:val="21"/>
        </w:rPr>
      </w:pPr>
      <w:r>
        <w:rPr>
          <w:rFonts w:hint="eastAsia" w:cs="仿宋_GB2312"/>
          <w:color w:val="000000"/>
          <w:szCs w:val="21"/>
        </w:rPr>
        <w:t>1.丙方须按协议要求监管专用资金、协助完成资金的划转或退回，或对乙方的支付情况进行实时监控。</w:t>
      </w:r>
    </w:p>
    <w:p>
      <w:pPr>
        <w:widowControl/>
        <w:adjustRightInd w:val="0"/>
        <w:snapToGrid w:val="0"/>
        <w:spacing w:line="360" w:lineRule="auto"/>
        <w:ind w:firstLine="480" w:firstLineChars="200"/>
        <w:jc w:val="left"/>
        <w:rPr>
          <w:rFonts w:cs="仿宋_GB2312"/>
          <w:szCs w:val="21"/>
        </w:rPr>
      </w:pPr>
      <w:r>
        <w:rPr>
          <w:rFonts w:hint="eastAsia" w:cs="仿宋_GB2312"/>
          <w:color w:val="000000"/>
          <w:szCs w:val="21"/>
        </w:rPr>
        <w:t>2.</w:t>
      </w:r>
      <w:r>
        <w:rPr>
          <w:rFonts w:hint="eastAsia" w:cs="仿宋_GB2312"/>
          <w:szCs w:val="21"/>
        </w:rPr>
        <w:t>丙方进行逐笔审批单笔支付时，应</w:t>
      </w:r>
      <w:r>
        <w:rPr>
          <w:rFonts w:hint="eastAsia" w:cs="仿宋_GB2312"/>
          <w:color w:val="000000"/>
          <w:szCs w:val="21"/>
        </w:rPr>
        <w:t>指定专人</w:t>
      </w:r>
      <w:r>
        <w:rPr>
          <w:rFonts w:hint="eastAsia" w:cs="仿宋_GB2312"/>
          <w:szCs w:val="21"/>
        </w:rPr>
        <w:t>凭票据（发票、工资单等）和合同进行审批，无相关票据的不予支付，合同和发票可为复印件，乙方需提供原件备查。</w:t>
      </w:r>
    </w:p>
    <w:p>
      <w:pPr>
        <w:widowControl/>
        <w:adjustRightInd w:val="0"/>
        <w:snapToGrid w:val="0"/>
        <w:spacing w:line="360" w:lineRule="auto"/>
        <w:ind w:firstLine="480" w:firstLineChars="200"/>
        <w:jc w:val="left"/>
        <w:rPr>
          <w:rFonts w:cs="仿宋_GB2312"/>
          <w:color w:val="000000"/>
          <w:szCs w:val="21"/>
        </w:rPr>
      </w:pPr>
      <w:r>
        <w:rPr>
          <w:rFonts w:hint="eastAsia" w:cs="仿宋_GB2312"/>
          <w:color w:val="000000"/>
          <w:szCs w:val="21"/>
        </w:rPr>
        <w:t>3.对超过《资金使用计划（预算）》支付的工程款项，丙方须依据甲方在乙方出具的书面说明上签署的支付意见进行支付并登记，不得擅自支付。</w:t>
      </w:r>
    </w:p>
    <w:p>
      <w:pPr>
        <w:widowControl/>
        <w:adjustRightInd w:val="0"/>
        <w:snapToGrid w:val="0"/>
        <w:spacing w:line="360" w:lineRule="auto"/>
        <w:ind w:firstLine="480" w:firstLineChars="200"/>
        <w:jc w:val="left"/>
        <w:rPr>
          <w:rFonts w:cs="仿宋_GB2312"/>
          <w:szCs w:val="21"/>
        </w:rPr>
      </w:pPr>
      <w:r>
        <w:rPr>
          <w:rFonts w:hint="eastAsia" w:cs="仿宋_GB2312"/>
          <w:color w:val="000000"/>
          <w:szCs w:val="21"/>
        </w:rPr>
        <w:t>4.丙方对明显不符合《资金使用计划（预算）》或项目资金范畴的票据款项不得支付，并及时通知甲方。</w:t>
      </w:r>
    </w:p>
    <w:p>
      <w:pPr>
        <w:widowControl/>
        <w:adjustRightInd w:val="0"/>
        <w:snapToGrid w:val="0"/>
        <w:spacing w:line="360" w:lineRule="auto"/>
        <w:ind w:firstLine="480" w:firstLineChars="200"/>
        <w:jc w:val="left"/>
        <w:rPr>
          <w:rFonts w:cs="仿宋_GB2312"/>
          <w:color w:val="000000"/>
          <w:szCs w:val="21"/>
        </w:rPr>
      </w:pPr>
      <w:r>
        <w:rPr>
          <w:rFonts w:hint="eastAsia" w:cs="仿宋_GB2312"/>
          <w:color w:val="000000"/>
          <w:szCs w:val="21"/>
        </w:rPr>
        <w:t>5.按协议，为乙方开通监管账户的网银查询、银企对账等功能。</w:t>
      </w:r>
    </w:p>
    <w:p>
      <w:pPr>
        <w:widowControl/>
        <w:adjustRightInd w:val="0"/>
        <w:snapToGrid w:val="0"/>
        <w:spacing w:line="360" w:lineRule="auto"/>
        <w:ind w:firstLine="480" w:firstLineChars="200"/>
        <w:jc w:val="left"/>
        <w:rPr>
          <w:rFonts w:cs="仿宋_GB2312"/>
          <w:color w:val="000000"/>
          <w:szCs w:val="21"/>
        </w:rPr>
      </w:pPr>
      <w:r>
        <w:rPr>
          <w:rFonts w:hint="eastAsia" w:cs="仿宋_GB2312"/>
          <w:color w:val="000000"/>
          <w:szCs w:val="21"/>
        </w:rPr>
        <w:t>6.丙方的监管责任仅限于对按照本协议约定监管已进入监管账户的资金，并按本协议的约定办理监管资金的解付、划付，除此之外，因甲方和乙方间或甲乙双方中任何一方或双方与其他第三人的任何纠纷以及其他任何原因导致的纠纷，均与丙方无关。</w:t>
      </w:r>
    </w:p>
    <w:p>
      <w:pPr>
        <w:widowControl/>
        <w:adjustRightInd w:val="0"/>
        <w:snapToGrid w:val="0"/>
        <w:spacing w:line="360" w:lineRule="auto"/>
        <w:ind w:firstLine="480" w:firstLineChars="200"/>
        <w:jc w:val="left"/>
        <w:rPr>
          <w:rFonts w:cs="仿宋_GB2312"/>
          <w:color w:val="000000"/>
          <w:szCs w:val="21"/>
        </w:rPr>
      </w:pPr>
      <w:r>
        <w:rPr>
          <w:rFonts w:hint="eastAsia" w:cs="仿宋_GB2312"/>
          <w:color w:val="000000"/>
          <w:szCs w:val="21"/>
        </w:rPr>
        <w:t>7.乙方或甲方采用本协议以外的任何方式（包括但不限于采用支票、本票、汇票等方式）使用监管账户内资金，丙方有权予以拒绝。</w:t>
      </w:r>
    </w:p>
    <w:p>
      <w:pPr>
        <w:widowControl/>
        <w:adjustRightInd w:val="0"/>
        <w:snapToGrid w:val="0"/>
        <w:spacing w:line="360" w:lineRule="auto"/>
        <w:ind w:firstLine="480" w:firstLineChars="200"/>
        <w:jc w:val="left"/>
        <w:rPr>
          <w:rFonts w:cs="仿宋_GB2312"/>
          <w:color w:val="000000"/>
          <w:szCs w:val="21"/>
        </w:rPr>
      </w:pPr>
      <w:r>
        <w:rPr>
          <w:rFonts w:hint="eastAsia" w:cs="仿宋_GB2312"/>
          <w:color w:val="000000"/>
          <w:szCs w:val="21"/>
        </w:rPr>
        <w:t>8.资金监管账户在监管期间不予办理挂失，如遇存单（折）丢失或密码遗忘的情况，在解除封存支付时，办理挂失。</w:t>
      </w:r>
    </w:p>
    <w:p>
      <w:pPr>
        <w:widowControl/>
        <w:adjustRightInd w:val="0"/>
        <w:snapToGrid w:val="0"/>
        <w:spacing w:line="360" w:lineRule="auto"/>
        <w:ind w:firstLine="480" w:firstLineChars="200"/>
        <w:jc w:val="left"/>
        <w:rPr>
          <w:rFonts w:cs="仿宋_GB2312"/>
          <w:color w:val="000000"/>
          <w:szCs w:val="21"/>
        </w:rPr>
      </w:pPr>
      <w:r>
        <w:rPr>
          <w:rFonts w:hint="eastAsia" w:cs="仿宋_GB2312"/>
          <w:color w:val="000000"/>
          <w:szCs w:val="21"/>
        </w:rPr>
        <w:t>9.未经甲乙双方协商一致同意并书面通知丙方，甲乙双方中的任何一方不得变更监管账户预留印鉴。</w:t>
      </w:r>
    </w:p>
    <w:p>
      <w:pPr>
        <w:widowControl/>
        <w:adjustRightInd w:val="0"/>
        <w:snapToGrid w:val="0"/>
        <w:spacing w:line="360" w:lineRule="auto"/>
        <w:ind w:firstLine="480" w:firstLineChars="200"/>
        <w:jc w:val="left"/>
        <w:rPr>
          <w:rFonts w:cs="仿宋_GB2312"/>
          <w:color w:val="000000"/>
          <w:szCs w:val="21"/>
        </w:rPr>
      </w:pPr>
      <w:r>
        <w:rPr>
          <w:rFonts w:hint="eastAsia" w:cs="仿宋_GB2312"/>
          <w:color w:val="000000"/>
          <w:szCs w:val="21"/>
        </w:rPr>
        <w:t>10.监管期间，因法律法规、国家政策限制或监管账户被有权机关查封、冻结、扣划或存在其他情况，致使丙方无法协助完成资金划转，丙方不承担任何法律责任。</w:t>
      </w:r>
    </w:p>
    <w:p>
      <w:pPr>
        <w:widowControl/>
        <w:adjustRightInd w:val="0"/>
        <w:snapToGrid w:val="0"/>
        <w:spacing w:line="360" w:lineRule="auto"/>
        <w:ind w:firstLine="480" w:firstLineChars="200"/>
        <w:jc w:val="left"/>
        <w:rPr>
          <w:rFonts w:cs="仿宋_GB2312"/>
          <w:color w:val="000000"/>
          <w:szCs w:val="21"/>
        </w:rPr>
      </w:pPr>
      <w:r>
        <w:rPr>
          <w:rFonts w:hint="eastAsia" w:cs="仿宋_GB2312"/>
          <w:color w:val="000000"/>
          <w:szCs w:val="21"/>
        </w:rPr>
        <w:t>11、丙方定期将乙方前一个周期（一般为一个月）的支付情况，整理后书面报送甲方，同时报送电子版。</w:t>
      </w:r>
    </w:p>
    <w:p>
      <w:pPr>
        <w:widowControl/>
        <w:adjustRightInd w:val="0"/>
        <w:snapToGrid w:val="0"/>
        <w:spacing w:line="360" w:lineRule="auto"/>
        <w:ind w:firstLine="480" w:firstLineChars="200"/>
        <w:jc w:val="left"/>
        <w:rPr>
          <w:rFonts w:cs="黑体"/>
          <w:color w:val="000000"/>
          <w:szCs w:val="21"/>
        </w:rPr>
      </w:pPr>
      <w:r>
        <w:rPr>
          <w:rFonts w:hint="eastAsia" w:cs="黑体"/>
          <w:color w:val="000000"/>
          <w:szCs w:val="21"/>
        </w:rPr>
        <w:t>七、除本协议外，委托方间或委托方中任何一方与其他第三方签署的任何法律文件，无论本协议是否提及或作为本协议附件，均对丙方不具有约束力，丙方对此不负责任。</w:t>
      </w:r>
    </w:p>
    <w:p>
      <w:pPr>
        <w:widowControl/>
        <w:adjustRightInd w:val="0"/>
        <w:snapToGrid w:val="0"/>
        <w:spacing w:line="360" w:lineRule="auto"/>
        <w:ind w:firstLine="480" w:firstLineChars="200"/>
        <w:jc w:val="left"/>
        <w:rPr>
          <w:rFonts w:cs="黑体"/>
          <w:szCs w:val="21"/>
        </w:rPr>
      </w:pPr>
      <w:r>
        <w:rPr>
          <w:rFonts w:hint="eastAsia" w:cs="黑体"/>
          <w:color w:val="000000"/>
          <w:szCs w:val="21"/>
        </w:rPr>
        <w:t>八、本协议未尽事宜，三方可签订补充协议，补充协议与本协议具同等法律效力。</w:t>
      </w:r>
    </w:p>
    <w:p>
      <w:pPr>
        <w:widowControl/>
        <w:adjustRightInd w:val="0"/>
        <w:snapToGrid w:val="0"/>
        <w:spacing w:line="360" w:lineRule="auto"/>
        <w:ind w:firstLine="480" w:firstLineChars="200"/>
        <w:jc w:val="left"/>
        <w:rPr>
          <w:rFonts w:cs="黑体"/>
          <w:szCs w:val="21"/>
        </w:rPr>
      </w:pPr>
      <w:r>
        <w:rPr>
          <w:rFonts w:hint="eastAsia" w:cs="黑体"/>
          <w:color w:val="000000"/>
          <w:szCs w:val="21"/>
        </w:rPr>
        <w:t>九、本协议自签字、盖章之日起生效。</w:t>
      </w:r>
    </w:p>
    <w:p>
      <w:pPr>
        <w:widowControl/>
        <w:adjustRightInd w:val="0"/>
        <w:snapToGrid w:val="0"/>
        <w:spacing w:line="360" w:lineRule="auto"/>
        <w:ind w:firstLine="480" w:firstLineChars="200"/>
        <w:jc w:val="left"/>
        <w:rPr>
          <w:rFonts w:cs="黑体"/>
          <w:szCs w:val="21"/>
        </w:rPr>
      </w:pPr>
      <w:r>
        <w:rPr>
          <w:rFonts w:hint="eastAsia" w:cs="黑体"/>
          <w:color w:val="000000"/>
          <w:szCs w:val="21"/>
        </w:rPr>
        <w:t>十、本协议一式</w:t>
      </w:r>
      <w:r>
        <w:rPr>
          <w:rFonts w:hint="eastAsia" w:cs="黑体"/>
          <w:color w:val="000000"/>
          <w:szCs w:val="21"/>
          <w:u w:val="single"/>
        </w:rPr>
        <w:t>叁</w:t>
      </w:r>
      <w:r>
        <w:rPr>
          <w:rFonts w:hint="eastAsia" w:cs="黑体"/>
          <w:color w:val="000000"/>
          <w:szCs w:val="21"/>
        </w:rPr>
        <w:t>份，甲、乙、丙三方各执一份为凭。</w:t>
      </w:r>
    </w:p>
    <w:p>
      <w:pPr>
        <w:widowControl/>
        <w:adjustRightInd w:val="0"/>
        <w:snapToGrid w:val="0"/>
        <w:spacing w:line="360" w:lineRule="auto"/>
        <w:ind w:firstLine="538"/>
        <w:jc w:val="left"/>
        <w:rPr>
          <w:rFonts w:cs="仿宋_GB2312"/>
          <w:szCs w:val="21"/>
        </w:rPr>
      </w:pPr>
      <w:r>
        <w:rPr>
          <w:rFonts w:hint="eastAsia" w:cs="仿宋_GB2312"/>
          <w:color w:val="000000"/>
          <w:szCs w:val="21"/>
        </w:rPr>
        <w:t>甲方：_________                           乙方：____________________</w:t>
      </w:r>
    </w:p>
    <w:p>
      <w:pPr>
        <w:widowControl/>
        <w:adjustRightInd w:val="0"/>
        <w:snapToGrid w:val="0"/>
        <w:spacing w:line="360" w:lineRule="auto"/>
        <w:ind w:firstLine="538"/>
        <w:jc w:val="left"/>
        <w:rPr>
          <w:rFonts w:cs="仿宋_GB2312"/>
          <w:szCs w:val="21"/>
        </w:rPr>
      </w:pPr>
      <w:r>
        <w:rPr>
          <w:rFonts w:hint="eastAsia" w:cs="仿宋_GB2312"/>
          <w:color w:val="000000"/>
          <w:szCs w:val="21"/>
        </w:rPr>
        <w:t>法定代表人（签字或盖章）：                法定代表人（签字或盖章）：</w:t>
      </w:r>
    </w:p>
    <w:p>
      <w:pPr>
        <w:widowControl/>
        <w:adjustRightInd w:val="0"/>
        <w:snapToGrid w:val="0"/>
        <w:spacing w:line="360" w:lineRule="auto"/>
        <w:ind w:firstLine="538"/>
        <w:jc w:val="left"/>
        <w:rPr>
          <w:rFonts w:cs="仿宋_GB2312"/>
          <w:szCs w:val="21"/>
        </w:rPr>
      </w:pPr>
      <w:r>
        <w:rPr>
          <w:rFonts w:hint="eastAsia" w:cs="仿宋_GB2312"/>
          <w:color w:val="000000"/>
          <w:szCs w:val="21"/>
        </w:rPr>
        <w:t xml:space="preserve">或其授权代理人（签字）：                  或其授权代理人（签字）：   </w:t>
      </w:r>
    </w:p>
    <w:p>
      <w:pPr>
        <w:widowControl/>
        <w:adjustRightInd w:val="0"/>
        <w:snapToGrid w:val="0"/>
        <w:spacing w:line="360" w:lineRule="auto"/>
        <w:ind w:firstLine="538"/>
        <w:jc w:val="left"/>
        <w:rPr>
          <w:rFonts w:cs="仿宋_GB2312"/>
          <w:szCs w:val="21"/>
        </w:rPr>
      </w:pPr>
      <w:r>
        <w:rPr>
          <w:rFonts w:hint="eastAsia" w:cs="仿宋_GB2312"/>
          <w:color w:val="000000"/>
          <w:szCs w:val="21"/>
        </w:rPr>
        <w:t>二○二年月日                     二○二年月日</w:t>
      </w:r>
    </w:p>
    <w:p>
      <w:pPr>
        <w:widowControl/>
        <w:adjustRightInd w:val="0"/>
        <w:snapToGrid w:val="0"/>
        <w:spacing w:line="360" w:lineRule="auto"/>
        <w:ind w:firstLine="538"/>
        <w:jc w:val="left"/>
        <w:rPr>
          <w:rFonts w:cs="仿宋_GB2312"/>
          <w:szCs w:val="21"/>
        </w:rPr>
      </w:pPr>
    </w:p>
    <w:p>
      <w:pPr>
        <w:widowControl/>
        <w:adjustRightInd w:val="0"/>
        <w:snapToGrid w:val="0"/>
        <w:spacing w:line="360" w:lineRule="auto"/>
        <w:ind w:firstLine="538"/>
        <w:jc w:val="left"/>
        <w:rPr>
          <w:rFonts w:cs="仿宋_GB2312"/>
          <w:szCs w:val="21"/>
        </w:rPr>
      </w:pPr>
      <w:r>
        <w:rPr>
          <w:rFonts w:hint="eastAsia" w:cs="仿宋_GB2312"/>
          <w:color w:val="000000"/>
          <w:szCs w:val="21"/>
        </w:rPr>
        <w:t>丙方：______________________</w:t>
      </w:r>
    </w:p>
    <w:p>
      <w:pPr>
        <w:widowControl/>
        <w:adjustRightInd w:val="0"/>
        <w:snapToGrid w:val="0"/>
        <w:spacing w:line="360" w:lineRule="auto"/>
        <w:ind w:firstLine="538"/>
        <w:jc w:val="left"/>
        <w:rPr>
          <w:rFonts w:cs="仿宋_GB2312"/>
          <w:szCs w:val="21"/>
        </w:rPr>
      </w:pPr>
      <w:r>
        <w:rPr>
          <w:rFonts w:hint="eastAsia" w:cs="仿宋_GB2312"/>
          <w:color w:val="000000"/>
          <w:szCs w:val="21"/>
        </w:rPr>
        <w:t xml:space="preserve">法定代表人（签字或盖章）：           </w:t>
      </w:r>
    </w:p>
    <w:p>
      <w:pPr>
        <w:widowControl/>
        <w:adjustRightInd w:val="0"/>
        <w:snapToGrid w:val="0"/>
        <w:spacing w:line="360" w:lineRule="auto"/>
        <w:ind w:firstLine="538"/>
        <w:jc w:val="left"/>
        <w:rPr>
          <w:rFonts w:cs="仿宋_GB2312"/>
          <w:szCs w:val="21"/>
        </w:rPr>
      </w:pPr>
      <w:r>
        <w:rPr>
          <w:rFonts w:hint="eastAsia" w:cs="仿宋_GB2312"/>
          <w:color w:val="000000"/>
          <w:szCs w:val="21"/>
        </w:rPr>
        <w:t xml:space="preserve">或其授权代理人（签字）：                   </w:t>
      </w:r>
    </w:p>
    <w:p>
      <w:pPr>
        <w:widowControl/>
        <w:adjustRightInd w:val="0"/>
        <w:snapToGrid w:val="0"/>
        <w:spacing w:line="360" w:lineRule="auto"/>
        <w:ind w:firstLine="538"/>
        <w:jc w:val="left"/>
        <w:rPr>
          <w:rFonts w:cs="仿宋_GB2312"/>
          <w:color w:val="000000"/>
          <w:szCs w:val="21"/>
        </w:rPr>
      </w:pPr>
      <w:r>
        <w:rPr>
          <w:rFonts w:hint="eastAsia" w:cs="仿宋_GB2312"/>
          <w:color w:val="000000"/>
          <w:szCs w:val="21"/>
        </w:rPr>
        <w:t>二○二年月日</w:t>
      </w:r>
    </w:p>
    <w:p>
      <w:pPr>
        <w:widowControl/>
        <w:jc w:val="left"/>
        <w:rPr>
          <w:rFonts w:cs="仿宋_GB2312"/>
          <w:color w:val="000000"/>
          <w:szCs w:val="21"/>
        </w:rPr>
      </w:pPr>
      <w:r>
        <w:rPr>
          <w:rFonts w:hint="eastAsia" w:cs="仿宋_GB2312"/>
          <w:color w:val="000000"/>
          <w:szCs w:val="21"/>
        </w:rPr>
        <w:br w:type="page"/>
      </w:r>
    </w:p>
    <w:p>
      <w:pPr>
        <w:widowControl/>
        <w:spacing w:line="480" w:lineRule="auto"/>
        <w:jc w:val="left"/>
        <w:rPr>
          <w:b/>
          <w:szCs w:val="21"/>
        </w:rPr>
      </w:pPr>
      <w:r>
        <w:rPr>
          <w:rFonts w:hint="eastAsia" w:cs="黑体"/>
          <w:szCs w:val="21"/>
        </w:rPr>
        <w:t>附件</w:t>
      </w:r>
      <w:r>
        <w:rPr>
          <w:rFonts w:hint="eastAsia" w:cs="黑体"/>
          <w:szCs w:val="21"/>
          <w:lang w:val="en-US" w:eastAsia="zh-CN"/>
        </w:rPr>
        <w:t>5</w:t>
      </w:r>
      <w:r>
        <w:rPr>
          <w:rFonts w:hint="eastAsia" w:cs="黑体"/>
          <w:szCs w:val="21"/>
        </w:rPr>
        <w:t>.1</w:t>
      </w:r>
    </w:p>
    <w:p>
      <w:pPr>
        <w:widowControl/>
        <w:spacing w:line="480" w:lineRule="auto"/>
        <w:ind w:firstLine="241" w:firstLineChars="100"/>
        <w:jc w:val="center"/>
        <w:rPr>
          <w:b/>
          <w:szCs w:val="21"/>
        </w:rPr>
      </w:pPr>
      <w:r>
        <w:rPr>
          <w:rFonts w:hint="eastAsia"/>
          <w:b/>
          <w:szCs w:val="21"/>
        </w:rPr>
        <w:t>付款名单确认表（格式）</w:t>
      </w:r>
    </w:p>
    <w:p>
      <w:pPr>
        <w:widowControl/>
        <w:spacing w:line="480" w:lineRule="auto"/>
        <w:ind w:firstLine="241" w:firstLineChars="100"/>
        <w:jc w:val="left"/>
        <w:rPr>
          <w:szCs w:val="21"/>
          <w:u w:val="single"/>
        </w:rPr>
      </w:pPr>
      <w:r>
        <w:rPr>
          <w:rFonts w:hint="eastAsia"/>
          <w:b/>
          <w:szCs w:val="21"/>
        </w:rPr>
        <w:t>行</w:t>
      </w:r>
    </w:p>
    <w:p>
      <w:pPr>
        <w:widowControl/>
        <w:spacing w:line="480" w:lineRule="auto"/>
        <w:ind w:firstLine="480" w:firstLineChars="200"/>
        <w:jc w:val="left"/>
        <w:rPr>
          <w:szCs w:val="21"/>
        </w:rPr>
      </w:pPr>
      <w:r>
        <w:rPr>
          <w:rFonts w:hint="eastAsia"/>
          <w:szCs w:val="21"/>
        </w:rPr>
        <w:t>根据我司与</w:t>
      </w:r>
      <w:r>
        <w:rPr>
          <w:rFonts w:hint="eastAsia"/>
          <w:bCs/>
          <w:szCs w:val="21"/>
        </w:rPr>
        <w:t>及贵行签署的编号为</w:t>
      </w:r>
      <w:r>
        <w:rPr>
          <w:rFonts w:hint="eastAsia"/>
          <w:szCs w:val="21"/>
        </w:rPr>
        <w:t xml:space="preserve"> 的《工程资金监管协议》的约定，我司申请支用监管账户资金的材料已审查，同意前述协议约定的监管账户中支付名单下表：</w:t>
      </w:r>
    </w:p>
    <w:tbl>
      <w:tblPr>
        <w:tblStyle w:val="17"/>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2445"/>
        <w:gridCol w:w="2523"/>
        <w:gridCol w:w="1249"/>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tcPr>
          <w:p>
            <w:pPr>
              <w:widowControl/>
              <w:spacing w:line="480" w:lineRule="auto"/>
              <w:jc w:val="center"/>
              <w:rPr>
                <w:b/>
                <w:bCs/>
                <w:sz w:val="21"/>
                <w:szCs w:val="21"/>
              </w:rPr>
            </w:pPr>
            <w:r>
              <w:rPr>
                <w:rFonts w:hint="eastAsia"/>
                <w:b/>
                <w:bCs/>
                <w:sz w:val="21"/>
                <w:szCs w:val="21"/>
              </w:rPr>
              <w:t>序号</w:t>
            </w:r>
          </w:p>
        </w:tc>
        <w:tc>
          <w:tcPr>
            <w:tcW w:w="2445" w:type="dxa"/>
          </w:tcPr>
          <w:p>
            <w:pPr>
              <w:widowControl/>
              <w:spacing w:line="480" w:lineRule="auto"/>
              <w:jc w:val="center"/>
              <w:rPr>
                <w:b/>
                <w:bCs/>
                <w:sz w:val="21"/>
                <w:szCs w:val="21"/>
              </w:rPr>
            </w:pPr>
            <w:r>
              <w:rPr>
                <w:rFonts w:hint="eastAsia"/>
                <w:b/>
                <w:bCs/>
                <w:sz w:val="21"/>
                <w:szCs w:val="21"/>
              </w:rPr>
              <w:t>支付单位名称</w:t>
            </w:r>
          </w:p>
        </w:tc>
        <w:tc>
          <w:tcPr>
            <w:tcW w:w="2523" w:type="dxa"/>
          </w:tcPr>
          <w:p>
            <w:pPr>
              <w:widowControl/>
              <w:spacing w:line="480" w:lineRule="auto"/>
              <w:jc w:val="center"/>
              <w:rPr>
                <w:b/>
                <w:bCs/>
                <w:sz w:val="21"/>
                <w:szCs w:val="21"/>
              </w:rPr>
            </w:pPr>
            <w:r>
              <w:rPr>
                <w:rFonts w:hint="eastAsia"/>
                <w:b/>
                <w:bCs/>
                <w:sz w:val="21"/>
                <w:szCs w:val="21"/>
              </w:rPr>
              <w:t>账号</w:t>
            </w:r>
          </w:p>
        </w:tc>
        <w:tc>
          <w:tcPr>
            <w:tcW w:w="1249" w:type="dxa"/>
          </w:tcPr>
          <w:p>
            <w:pPr>
              <w:widowControl/>
              <w:spacing w:line="480" w:lineRule="auto"/>
              <w:jc w:val="center"/>
              <w:rPr>
                <w:b/>
                <w:bCs/>
                <w:sz w:val="21"/>
                <w:szCs w:val="21"/>
              </w:rPr>
            </w:pPr>
            <w:r>
              <w:rPr>
                <w:rFonts w:hint="eastAsia"/>
                <w:b/>
                <w:bCs/>
                <w:sz w:val="21"/>
                <w:szCs w:val="21"/>
              </w:rPr>
              <w:t>开户行</w:t>
            </w:r>
          </w:p>
        </w:tc>
        <w:tc>
          <w:tcPr>
            <w:tcW w:w="1289" w:type="dxa"/>
          </w:tcPr>
          <w:p>
            <w:pPr>
              <w:widowControl/>
              <w:spacing w:line="480" w:lineRule="auto"/>
              <w:jc w:val="center"/>
              <w:rPr>
                <w:b/>
                <w:bCs/>
                <w:sz w:val="21"/>
                <w:szCs w:val="21"/>
              </w:rPr>
            </w:pPr>
            <w:r>
              <w:rPr>
                <w:rFonts w:hint="eastAsia"/>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tcPr>
          <w:p>
            <w:pPr>
              <w:widowControl/>
              <w:spacing w:line="480" w:lineRule="auto"/>
              <w:jc w:val="center"/>
              <w:rPr>
                <w:sz w:val="21"/>
                <w:szCs w:val="21"/>
              </w:rPr>
            </w:pPr>
            <w:r>
              <w:rPr>
                <w:rFonts w:hint="eastAsia"/>
                <w:sz w:val="21"/>
                <w:szCs w:val="21"/>
              </w:rPr>
              <w:t>1</w:t>
            </w:r>
          </w:p>
        </w:tc>
        <w:tc>
          <w:tcPr>
            <w:tcW w:w="2445" w:type="dxa"/>
          </w:tcPr>
          <w:p>
            <w:pPr>
              <w:widowControl/>
              <w:spacing w:line="480" w:lineRule="auto"/>
              <w:jc w:val="left"/>
              <w:rPr>
                <w:sz w:val="21"/>
                <w:szCs w:val="21"/>
              </w:rPr>
            </w:pPr>
          </w:p>
        </w:tc>
        <w:tc>
          <w:tcPr>
            <w:tcW w:w="2523" w:type="dxa"/>
          </w:tcPr>
          <w:p>
            <w:pPr>
              <w:widowControl/>
              <w:spacing w:line="480" w:lineRule="auto"/>
              <w:jc w:val="left"/>
              <w:rPr>
                <w:sz w:val="21"/>
                <w:szCs w:val="21"/>
              </w:rPr>
            </w:pPr>
          </w:p>
        </w:tc>
        <w:tc>
          <w:tcPr>
            <w:tcW w:w="1249" w:type="dxa"/>
          </w:tcPr>
          <w:p>
            <w:pPr>
              <w:widowControl/>
              <w:spacing w:line="480" w:lineRule="auto"/>
              <w:jc w:val="left"/>
              <w:rPr>
                <w:sz w:val="21"/>
                <w:szCs w:val="21"/>
              </w:rPr>
            </w:pPr>
          </w:p>
        </w:tc>
        <w:tc>
          <w:tcPr>
            <w:tcW w:w="1289" w:type="dxa"/>
          </w:tcPr>
          <w:p>
            <w:pPr>
              <w:widowControl/>
              <w:spacing w:line="48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tcPr>
          <w:p>
            <w:pPr>
              <w:widowControl/>
              <w:spacing w:line="480" w:lineRule="auto"/>
              <w:jc w:val="center"/>
              <w:rPr>
                <w:sz w:val="21"/>
                <w:szCs w:val="21"/>
              </w:rPr>
            </w:pPr>
            <w:r>
              <w:rPr>
                <w:rFonts w:hint="eastAsia"/>
                <w:sz w:val="21"/>
                <w:szCs w:val="21"/>
              </w:rPr>
              <w:t>2</w:t>
            </w:r>
          </w:p>
        </w:tc>
        <w:tc>
          <w:tcPr>
            <w:tcW w:w="2445" w:type="dxa"/>
          </w:tcPr>
          <w:p>
            <w:pPr>
              <w:widowControl/>
              <w:spacing w:line="480" w:lineRule="auto"/>
              <w:jc w:val="left"/>
              <w:rPr>
                <w:sz w:val="21"/>
                <w:szCs w:val="21"/>
              </w:rPr>
            </w:pPr>
          </w:p>
        </w:tc>
        <w:tc>
          <w:tcPr>
            <w:tcW w:w="2523" w:type="dxa"/>
          </w:tcPr>
          <w:p>
            <w:pPr>
              <w:widowControl/>
              <w:spacing w:line="480" w:lineRule="auto"/>
              <w:jc w:val="left"/>
              <w:rPr>
                <w:sz w:val="21"/>
                <w:szCs w:val="21"/>
              </w:rPr>
            </w:pPr>
          </w:p>
        </w:tc>
        <w:tc>
          <w:tcPr>
            <w:tcW w:w="1249" w:type="dxa"/>
          </w:tcPr>
          <w:p>
            <w:pPr>
              <w:widowControl/>
              <w:spacing w:line="480" w:lineRule="auto"/>
              <w:jc w:val="left"/>
              <w:rPr>
                <w:sz w:val="21"/>
                <w:szCs w:val="21"/>
              </w:rPr>
            </w:pPr>
          </w:p>
        </w:tc>
        <w:tc>
          <w:tcPr>
            <w:tcW w:w="1289" w:type="dxa"/>
          </w:tcPr>
          <w:p>
            <w:pPr>
              <w:widowControl/>
              <w:spacing w:line="48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tcPr>
          <w:p>
            <w:pPr>
              <w:widowControl/>
              <w:spacing w:line="480" w:lineRule="auto"/>
              <w:jc w:val="center"/>
              <w:rPr>
                <w:sz w:val="21"/>
                <w:szCs w:val="21"/>
              </w:rPr>
            </w:pPr>
            <w:r>
              <w:rPr>
                <w:rFonts w:hint="eastAsia"/>
                <w:sz w:val="21"/>
                <w:szCs w:val="21"/>
              </w:rPr>
              <w:t>3</w:t>
            </w:r>
          </w:p>
        </w:tc>
        <w:tc>
          <w:tcPr>
            <w:tcW w:w="2445" w:type="dxa"/>
          </w:tcPr>
          <w:p>
            <w:pPr>
              <w:widowControl/>
              <w:spacing w:line="480" w:lineRule="auto"/>
              <w:jc w:val="left"/>
              <w:rPr>
                <w:sz w:val="21"/>
                <w:szCs w:val="21"/>
              </w:rPr>
            </w:pPr>
          </w:p>
        </w:tc>
        <w:tc>
          <w:tcPr>
            <w:tcW w:w="2523" w:type="dxa"/>
          </w:tcPr>
          <w:p>
            <w:pPr>
              <w:widowControl/>
              <w:spacing w:line="480" w:lineRule="auto"/>
              <w:jc w:val="left"/>
              <w:rPr>
                <w:sz w:val="21"/>
                <w:szCs w:val="21"/>
              </w:rPr>
            </w:pPr>
          </w:p>
        </w:tc>
        <w:tc>
          <w:tcPr>
            <w:tcW w:w="1249" w:type="dxa"/>
          </w:tcPr>
          <w:p>
            <w:pPr>
              <w:widowControl/>
              <w:spacing w:line="480" w:lineRule="auto"/>
              <w:jc w:val="left"/>
              <w:rPr>
                <w:sz w:val="21"/>
                <w:szCs w:val="21"/>
              </w:rPr>
            </w:pPr>
          </w:p>
        </w:tc>
        <w:tc>
          <w:tcPr>
            <w:tcW w:w="1289" w:type="dxa"/>
          </w:tcPr>
          <w:p>
            <w:pPr>
              <w:widowControl/>
              <w:spacing w:line="48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tcPr>
          <w:p>
            <w:pPr>
              <w:widowControl/>
              <w:spacing w:line="480" w:lineRule="auto"/>
              <w:jc w:val="center"/>
              <w:rPr>
                <w:sz w:val="21"/>
                <w:szCs w:val="21"/>
              </w:rPr>
            </w:pPr>
            <w:r>
              <w:rPr>
                <w:rFonts w:hint="eastAsia"/>
                <w:sz w:val="21"/>
                <w:szCs w:val="21"/>
              </w:rPr>
              <w:t>4</w:t>
            </w:r>
          </w:p>
        </w:tc>
        <w:tc>
          <w:tcPr>
            <w:tcW w:w="2445" w:type="dxa"/>
          </w:tcPr>
          <w:p>
            <w:pPr>
              <w:widowControl/>
              <w:spacing w:line="480" w:lineRule="auto"/>
              <w:jc w:val="left"/>
              <w:rPr>
                <w:sz w:val="21"/>
                <w:szCs w:val="21"/>
              </w:rPr>
            </w:pPr>
          </w:p>
        </w:tc>
        <w:tc>
          <w:tcPr>
            <w:tcW w:w="2523" w:type="dxa"/>
          </w:tcPr>
          <w:p>
            <w:pPr>
              <w:widowControl/>
              <w:spacing w:line="480" w:lineRule="auto"/>
              <w:jc w:val="left"/>
              <w:rPr>
                <w:sz w:val="21"/>
                <w:szCs w:val="21"/>
              </w:rPr>
            </w:pPr>
          </w:p>
        </w:tc>
        <w:tc>
          <w:tcPr>
            <w:tcW w:w="1249" w:type="dxa"/>
          </w:tcPr>
          <w:p>
            <w:pPr>
              <w:widowControl/>
              <w:spacing w:line="480" w:lineRule="auto"/>
              <w:jc w:val="left"/>
              <w:rPr>
                <w:sz w:val="21"/>
                <w:szCs w:val="21"/>
              </w:rPr>
            </w:pPr>
          </w:p>
        </w:tc>
        <w:tc>
          <w:tcPr>
            <w:tcW w:w="1289" w:type="dxa"/>
          </w:tcPr>
          <w:p>
            <w:pPr>
              <w:widowControl/>
              <w:spacing w:line="480" w:lineRule="auto"/>
              <w:jc w:val="left"/>
              <w:rPr>
                <w:sz w:val="21"/>
                <w:szCs w:val="21"/>
              </w:rPr>
            </w:pPr>
          </w:p>
        </w:tc>
      </w:tr>
    </w:tbl>
    <w:p>
      <w:pPr>
        <w:widowControl/>
        <w:spacing w:line="480" w:lineRule="auto"/>
        <w:jc w:val="left"/>
        <w:rPr>
          <w:szCs w:val="21"/>
        </w:rPr>
      </w:pPr>
    </w:p>
    <w:p>
      <w:pPr>
        <w:widowControl/>
        <w:spacing w:line="480" w:lineRule="auto"/>
        <w:ind w:firstLine="480" w:firstLineChars="200"/>
        <w:jc w:val="left"/>
        <w:rPr>
          <w:szCs w:val="21"/>
        </w:rPr>
      </w:pPr>
      <w:r>
        <w:rPr>
          <w:rFonts w:hint="eastAsia"/>
          <w:szCs w:val="21"/>
        </w:rPr>
        <w:t>请根据本确认表，协助</w:t>
      </w:r>
      <w:r>
        <w:rPr>
          <w:rFonts w:hint="eastAsia"/>
          <w:bCs/>
          <w:szCs w:val="21"/>
        </w:rPr>
        <w:t>我司办理资金支用手续。</w:t>
      </w:r>
    </w:p>
    <w:p>
      <w:pPr>
        <w:widowControl/>
        <w:spacing w:line="480" w:lineRule="auto"/>
        <w:ind w:firstLine="600" w:firstLineChars="250"/>
        <w:jc w:val="left"/>
        <w:rPr>
          <w:szCs w:val="21"/>
        </w:rPr>
      </w:pPr>
      <w:r>
        <w:rPr>
          <w:rFonts w:hint="eastAsia"/>
          <w:szCs w:val="21"/>
        </w:rPr>
        <w:t>特此通知。</w:t>
      </w:r>
    </w:p>
    <w:p>
      <w:pPr>
        <w:widowControl/>
        <w:spacing w:line="480" w:lineRule="auto"/>
        <w:ind w:firstLine="480" w:firstLineChars="200"/>
        <w:jc w:val="center"/>
        <w:rPr>
          <w:szCs w:val="21"/>
        </w:rPr>
      </w:pPr>
    </w:p>
    <w:p>
      <w:pPr>
        <w:widowControl/>
        <w:spacing w:line="480" w:lineRule="auto"/>
        <w:jc w:val="left"/>
        <w:rPr>
          <w:bCs/>
          <w:szCs w:val="21"/>
        </w:rPr>
      </w:pPr>
      <w:r>
        <w:rPr>
          <w:rFonts w:hint="eastAsia"/>
          <w:b/>
          <w:bCs/>
          <w:szCs w:val="21"/>
        </w:rPr>
        <w:t xml:space="preserve">申请单位：        </w:t>
      </w:r>
      <w:r>
        <w:rPr>
          <w:rFonts w:hint="eastAsia"/>
          <w:bCs/>
          <w:szCs w:val="21"/>
        </w:rPr>
        <w:t xml:space="preserve">（公章） </w:t>
      </w:r>
    </w:p>
    <w:p>
      <w:pPr>
        <w:widowControl/>
        <w:spacing w:line="480" w:lineRule="auto"/>
        <w:jc w:val="left"/>
        <w:rPr>
          <w:bCs/>
          <w:szCs w:val="21"/>
        </w:rPr>
      </w:pPr>
      <w:r>
        <w:rPr>
          <w:rFonts w:hint="eastAsia"/>
          <w:bCs/>
          <w:szCs w:val="21"/>
        </w:rPr>
        <w:t>日期：    年    月    日</w:t>
      </w:r>
    </w:p>
    <w:p>
      <w:pPr>
        <w:widowControl/>
        <w:spacing w:line="480" w:lineRule="auto"/>
        <w:jc w:val="left"/>
        <w:rPr>
          <w:bCs/>
          <w:szCs w:val="21"/>
        </w:rPr>
      </w:pPr>
    </w:p>
    <w:p>
      <w:pPr>
        <w:widowControl/>
        <w:spacing w:line="480" w:lineRule="auto"/>
        <w:jc w:val="left"/>
        <w:rPr>
          <w:bCs/>
          <w:szCs w:val="21"/>
        </w:rPr>
      </w:pPr>
      <w:r>
        <w:rPr>
          <w:rFonts w:hint="eastAsia"/>
          <w:b/>
          <w:bCs/>
          <w:szCs w:val="21"/>
        </w:rPr>
        <w:t>审核单位</w:t>
      </w:r>
      <w:r>
        <w:rPr>
          <w:rFonts w:hint="eastAsia"/>
          <w:bCs/>
          <w:szCs w:val="21"/>
        </w:rPr>
        <w:t>：               （预留印鉴）</w:t>
      </w:r>
    </w:p>
    <w:p>
      <w:pPr>
        <w:widowControl/>
        <w:spacing w:line="480" w:lineRule="auto"/>
        <w:jc w:val="left"/>
        <w:rPr>
          <w:bCs/>
          <w:szCs w:val="21"/>
        </w:rPr>
      </w:pPr>
      <w:r>
        <w:rPr>
          <w:rFonts w:hint="eastAsia"/>
          <w:bCs/>
          <w:szCs w:val="21"/>
        </w:rPr>
        <w:t>日期：    年    月    日</w:t>
      </w:r>
    </w:p>
    <w:p>
      <w:pPr>
        <w:widowControl/>
        <w:jc w:val="left"/>
        <w:rPr>
          <w:rFonts w:cs="黑体"/>
          <w:szCs w:val="21"/>
        </w:rPr>
      </w:pPr>
      <w:r>
        <w:rPr>
          <w:rFonts w:hint="eastAsia" w:cs="黑体"/>
          <w:szCs w:val="21"/>
        </w:rPr>
        <w:br w:type="page"/>
      </w:r>
    </w:p>
    <w:p>
      <w:pPr>
        <w:widowControl/>
        <w:spacing w:line="480" w:lineRule="auto"/>
        <w:jc w:val="left"/>
        <w:outlineLvl w:val="9"/>
        <w:rPr>
          <w:rFonts w:ascii="黑体" w:hAnsi="黑体" w:eastAsia="黑体" w:cs="黑体"/>
          <w:szCs w:val="21"/>
        </w:rPr>
      </w:pPr>
      <w:bookmarkStart w:id="1107" w:name="_Toc8212"/>
      <w:r>
        <w:rPr>
          <w:rFonts w:hint="eastAsia" w:ascii="黑体" w:hAnsi="黑体" w:eastAsia="黑体" w:cs="黑体"/>
          <w:szCs w:val="21"/>
        </w:rPr>
        <w:t>附件</w:t>
      </w:r>
      <w:r>
        <w:rPr>
          <w:rFonts w:hint="eastAsia" w:ascii="黑体" w:hAnsi="黑体" w:eastAsia="黑体" w:cs="黑体"/>
          <w:szCs w:val="21"/>
          <w:lang w:val="en-US" w:eastAsia="zh-CN"/>
        </w:rPr>
        <w:t>5</w:t>
      </w:r>
      <w:r>
        <w:rPr>
          <w:rFonts w:hint="eastAsia" w:ascii="黑体" w:hAnsi="黑体" w:eastAsia="黑体" w:cs="黑体"/>
          <w:szCs w:val="21"/>
        </w:rPr>
        <w:t>.2</w:t>
      </w:r>
      <w:bookmarkEnd w:id="1107"/>
    </w:p>
    <w:p>
      <w:pPr>
        <w:widowControl/>
        <w:spacing w:line="480" w:lineRule="auto"/>
        <w:ind w:firstLine="482" w:firstLineChars="200"/>
        <w:jc w:val="center"/>
        <w:rPr>
          <w:b/>
          <w:szCs w:val="21"/>
        </w:rPr>
      </w:pPr>
      <w:r>
        <w:rPr>
          <w:rFonts w:hint="eastAsia"/>
          <w:b/>
          <w:szCs w:val="21"/>
        </w:rPr>
        <w:t>资金使用计划（预算）确认表（格式）</w:t>
      </w:r>
    </w:p>
    <w:p>
      <w:pPr>
        <w:widowControl/>
        <w:spacing w:line="480" w:lineRule="auto"/>
        <w:ind w:firstLine="482" w:firstLineChars="200"/>
        <w:jc w:val="center"/>
        <w:rPr>
          <w:b/>
          <w:szCs w:val="21"/>
        </w:rPr>
      </w:pPr>
    </w:p>
    <w:p>
      <w:pPr>
        <w:widowControl/>
        <w:spacing w:line="480" w:lineRule="auto"/>
        <w:ind w:firstLine="241" w:firstLineChars="100"/>
        <w:jc w:val="left"/>
        <w:rPr>
          <w:szCs w:val="21"/>
          <w:u w:val="single"/>
        </w:rPr>
      </w:pPr>
      <w:r>
        <w:rPr>
          <w:rFonts w:hint="eastAsia"/>
          <w:b/>
          <w:szCs w:val="21"/>
        </w:rPr>
        <w:t>行</w:t>
      </w:r>
    </w:p>
    <w:p>
      <w:pPr>
        <w:widowControl/>
        <w:spacing w:line="480" w:lineRule="auto"/>
        <w:ind w:firstLine="480" w:firstLineChars="200"/>
        <w:jc w:val="left"/>
        <w:rPr>
          <w:szCs w:val="21"/>
        </w:rPr>
      </w:pPr>
      <w:r>
        <w:rPr>
          <w:rFonts w:hint="eastAsia"/>
          <w:szCs w:val="21"/>
        </w:rPr>
        <w:t>根据我司与</w:t>
      </w:r>
      <w:r>
        <w:rPr>
          <w:rFonts w:hint="eastAsia"/>
          <w:bCs/>
          <w:szCs w:val="21"/>
        </w:rPr>
        <w:t>及贵行签署的编号为</w:t>
      </w:r>
      <w:r>
        <w:rPr>
          <w:rFonts w:hint="eastAsia"/>
          <w:szCs w:val="21"/>
        </w:rPr>
        <w:t xml:space="preserve"> 的《工程资金监管协议》的约定，我司申请支用监管账户资金的材料已审查，同意前述协议约定的监管账户中支用资金人民币元，具体明细如下表：</w:t>
      </w:r>
    </w:p>
    <w:tbl>
      <w:tblPr>
        <w:tblStyle w:val="17"/>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559"/>
        <w:gridCol w:w="1419"/>
        <w:gridCol w:w="1249"/>
        <w:gridCol w:w="1112"/>
        <w:gridCol w:w="1530"/>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widowControl/>
              <w:spacing w:line="480" w:lineRule="auto"/>
              <w:jc w:val="center"/>
              <w:rPr>
                <w:b/>
                <w:bCs/>
                <w:sz w:val="21"/>
                <w:szCs w:val="21"/>
              </w:rPr>
            </w:pPr>
            <w:r>
              <w:rPr>
                <w:rFonts w:hint="eastAsia"/>
                <w:b/>
                <w:bCs/>
                <w:sz w:val="21"/>
                <w:szCs w:val="21"/>
              </w:rPr>
              <w:t>序号</w:t>
            </w:r>
          </w:p>
        </w:tc>
        <w:tc>
          <w:tcPr>
            <w:tcW w:w="1559" w:type="dxa"/>
          </w:tcPr>
          <w:p>
            <w:pPr>
              <w:widowControl/>
              <w:spacing w:line="480" w:lineRule="auto"/>
              <w:jc w:val="center"/>
              <w:rPr>
                <w:b/>
                <w:bCs/>
                <w:sz w:val="21"/>
                <w:szCs w:val="21"/>
              </w:rPr>
            </w:pPr>
            <w:r>
              <w:rPr>
                <w:rFonts w:hint="eastAsia"/>
                <w:b/>
                <w:bCs/>
                <w:sz w:val="21"/>
                <w:szCs w:val="21"/>
              </w:rPr>
              <w:t>支付单位名称</w:t>
            </w:r>
          </w:p>
        </w:tc>
        <w:tc>
          <w:tcPr>
            <w:tcW w:w="1419" w:type="dxa"/>
          </w:tcPr>
          <w:p>
            <w:pPr>
              <w:widowControl/>
              <w:spacing w:line="480" w:lineRule="auto"/>
              <w:jc w:val="center"/>
              <w:rPr>
                <w:b/>
                <w:bCs/>
                <w:sz w:val="21"/>
                <w:szCs w:val="21"/>
              </w:rPr>
            </w:pPr>
            <w:r>
              <w:rPr>
                <w:rFonts w:hint="eastAsia"/>
                <w:b/>
                <w:bCs/>
                <w:sz w:val="21"/>
                <w:szCs w:val="21"/>
              </w:rPr>
              <w:t>账号</w:t>
            </w:r>
          </w:p>
        </w:tc>
        <w:tc>
          <w:tcPr>
            <w:tcW w:w="1249" w:type="dxa"/>
          </w:tcPr>
          <w:p>
            <w:pPr>
              <w:widowControl/>
              <w:spacing w:line="480" w:lineRule="auto"/>
              <w:jc w:val="center"/>
              <w:rPr>
                <w:b/>
                <w:bCs/>
                <w:sz w:val="21"/>
                <w:szCs w:val="21"/>
              </w:rPr>
            </w:pPr>
            <w:r>
              <w:rPr>
                <w:rFonts w:hint="eastAsia"/>
                <w:b/>
                <w:bCs/>
                <w:sz w:val="21"/>
                <w:szCs w:val="21"/>
              </w:rPr>
              <w:t>开户行</w:t>
            </w:r>
          </w:p>
        </w:tc>
        <w:tc>
          <w:tcPr>
            <w:tcW w:w="1112" w:type="dxa"/>
          </w:tcPr>
          <w:p>
            <w:pPr>
              <w:widowControl/>
              <w:spacing w:line="480" w:lineRule="auto"/>
              <w:jc w:val="center"/>
              <w:rPr>
                <w:b/>
                <w:bCs/>
                <w:sz w:val="21"/>
                <w:szCs w:val="21"/>
              </w:rPr>
            </w:pPr>
            <w:r>
              <w:rPr>
                <w:rFonts w:hint="eastAsia"/>
                <w:b/>
                <w:bCs/>
                <w:sz w:val="21"/>
                <w:szCs w:val="21"/>
              </w:rPr>
              <w:t>金额</w:t>
            </w:r>
          </w:p>
        </w:tc>
        <w:tc>
          <w:tcPr>
            <w:tcW w:w="1530" w:type="dxa"/>
          </w:tcPr>
          <w:p>
            <w:pPr>
              <w:widowControl/>
              <w:spacing w:line="480" w:lineRule="auto"/>
              <w:jc w:val="center"/>
              <w:rPr>
                <w:b/>
                <w:bCs/>
                <w:sz w:val="21"/>
                <w:szCs w:val="21"/>
              </w:rPr>
            </w:pPr>
            <w:r>
              <w:rPr>
                <w:rFonts w:hint="eastAsia"/>
                <w:b/>
                <w:bCs/>
                <w:sz w:val="21"/>
                <w:szCs w:val="21"/>
              </w:rPr>
              <w:t>预计支付日期</w:t>
            </w:r>
          </w:p>
        </w:tc>
        <w:tc>
          <w:tcPr>
            <w:tcW w:w="1225" w:type="dxa"/>
          </w:tcPr>
          <w:p>
            <w:pPr>
              <w:widowControl/>
              <w:spacing w:line="480" w:lineRule="auto"/>
              <w:jc w:val="center"/>
              <w:rPr>
                <w:b/>
                <w:bCs/>
                <w:sz w:val="21"/>
                <w:szCs w:val="21"/>
              </w:rPr>
            </w:pPr>
            <w:r>
              <w:rPr>
                <w:rFonts w:hint="eastAsia"/>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widowControl/>
              <w:spacing w:line="480" w:lineRule="auto"/>
              <w:jc w:val="center"/>
              <w:rPr>
                <w:sz w:val="21"/>
                <w:szCs w:val="21"/>
              </w:rPr>
            </w:pPr>
            <w:r>
              <w:rPr>
                <w:rFonts w:hint="eastAsia"/>
                <w:sz w:val="21"/>
                <w:szCs w:val="21"/>
              </w:rPr>
              <w:t>1</w:t>
            </w:r>
          </w:p>
        </w:tc>
        <w:tc>
          <w:tcPr>
            <w:tcW w:w="1559" w:type="dxa"/>
          </w:tcPr>
          <w:p>
            <w:pPr>
              <w:widowControl/>
              <w:spacing w:line="480" w:lineRule="auto"/>
              <w:jc w:val="left"/>
              <w:rPr>
                <w:sz w:val="21"/>
                <w:szCs w:val="21"/>
              </w:rPr>
            </w:pPr>
          </w:p>
        </w:tc>
        <w:tc>
          <w:tcPr>
            <w:tcW w:w="1419" w:type="dxa"/>
          </w:tcPr>
          <w:p>
            <w:pPr>
              <w:widowControl/>
              <w:spacing w:line="480" w:lineRule="auto"/>
              <w:jc w:val="left"/>
              <w:rPr>
                <w:sz w:val="21"/>
                <w:szCs w:val="21"/>
              </w:rPr>
            </w:pPr>
          </w:p>
        </w:tc>
        <w:tc>
          <w:tcPr>
            <w:tcW w:w="1249" w:type="dxa"/>
          </w:tcPr>
          <w:p>
            <w:pPr>
              <w:widowControl/>
              <w:spacing w:line="480" w:lineRule="auto"/>
              <w:jc w:val="left"/>
              <w:rPr>
                <w:sz w:val="21"/>
                <w:szCs w:val="21"/>
              </w:rPr>
            </w:pPr>
          </w:p>
        </w:tc>
        <w:tc>
          <w:tcPr>
            <w:tcW w:w="1112" w:type="dxa"/>
          </w:tcPr>
          <w:p>
            <w:pPr>
              <w:widowControl/>
              <w:spacing w:line="480" w:lineRule="auto"/>
              <w:jc w:val="left"/>
              <w:rPr>
                <w:sz w:val="21"/>
                <w:szCs w:val="21"/>
              </w:rPr>
            </w:pPr>
          </w:p>
        </w:tc>
        <w:tc>
          <w:tcPr>
            <w:tcW w:w="1530" w:type="dxa"/>
          </w:tcPr>
          <w:p>
            <w:pPr>
              <w:widowControl/>
              <w:spacing w:line="480" w:lineRule="auto"/>
              <w:jc w:val="left"/>
              <w:rPr>
                <w:sz w:val="21"/>
                <w:szCs w:val="21"/>
              </w:rPr>
            </w:pPr>
          </w:p>
        </w:tc>
        <w:tc>
          <w:tcPr>
            <w:tcW w:w="1225" w:type="dxa"/>
          </w:tcPr>
          <w:p>
            <w:pPr>
              <w:widowControl/>
              <w:spacing w:line="48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widowControl/>
              <w:spacing w:line="480" w:lineRule="auto"/>
              <w:jc w:val="center"/>
              <w:rPr>
                <w:sz w:val="21"/>
                <w:szCs w:val="21"/>
              </w:rPr>
            </w:pPr>
            <w:r>
              <w:rPr>
                <w:rFonts w:hint="eastAsia"/>
                <w:sz w:val="21"/>
                <w:szCs w:val="21"/>
              </w:rPr>
              <w:t>2</w:t>
            </w:r>
          </w:p>
        </w:tc>
        <w:tc>
          <w:tcPr>
            <w:tcW w:w="1559" w:type="dxa"/>
          </w:tcPr>
          <w:p>
            <w:pPr>
              <w:widowControl/>
              <w:spacing w:line="480" w:lineRule="auto"/>
              <w:jc w:val="left"/>
              <w:rPr>
                <w:sz w:val="21"/>
                <w:szCs w:val="21"/>
              </w:rPr>
            </w:pPr>
          </w:p>
        </w:tc>
        <w:tc>
          <w:tcPr>
            <w:tcW w:w="1419" w:type="dxa"/>
          </w:tcPr>
          <w:p>
            <w:pPr>
              <w:widowControl/>
              <w:spacing w:line="480" w:lineRule="auto"/>
              <w:jc w:val="left"/>
              <w:rPr>
                <w:sz w:val="21"/>
                <w:szCs w:val="21"/>
              </w:rPr>
            </w:pPr>
          </w:p>
        </w:tc>
        <w:tc>
          <w:tcPr>
            <w:tcW w:w="1249" w:type="dxa"/>
          </w:tcPr>
          <w:p>
            <w:pPr>
              <w:widowControl/>
              <w:spacing w:line="480" w:lineRule="auto"/>
              <w:jc w:val="left"/>
              <w:rPr>
                <w:sz w:val="21"/>
                <w:szCs w:val="21"/>
              </w:rPr>
            </w:pPr>
          </w:p>
        </w:tc>
        <w:tc>
          <w:tcPr>
            <w:tcW w:w="1112" w:type="dxa"/>
          </w:tcPr>
          <w:p>
            <w:pPr>
              <w:widowControl/>
              <w:spacing w:line="480" w:lineRule="auto"/>
              <w:jc w:val="left"/>
              <w:rPr>
                <w:sz w:val="21"/>
                <w:szCs w:val="21"/>
              </w:rPr>
            </w:pPr>
          </w:p>
        </w:tc>
        <w:tc>
          <w:tcPr>
            <w:tcW w:w="1530" w:type="dxa"/>
          </w:tcPr>
          <w:p>
            <w:pPr>
              <w:widowControl/>
              <w:spacing w:line="480" w:lineRule="auto"/>
              <w:jc w:val="left"/>
              <w:rPr>
                <w:sz w:val="21"/>
                <w:szCs w:val="21"/>
              </w:rPr>
            </w:pPr>
          </w:p>
        </w:tc>
        <w:tc>
          <w:tcPr>
            <w:tcW w:w="1225" w:type="dxa"/>
          </w:tcPr>
          <w:p>
            <w:pPr>
              <w:widowControl/>
              <w:spacing w:line="48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widowControl/>
              <w:spacing w:line="480" w:lineRule="auto"/>
              <w:jc w:val="center"/>
              <w:rPr>
                <w:sz w:val="21"/>
                <w:szCs w:val="21"/>
              </w:rPr>
            </w:pPr>
            <w:r>
              <w:rPr>
                <w:rFonts w:hint="eastAsia"/>
                <w:sz w:val="21"/>
                <w:szCs w:val="21"/>
              </w:rPr>
              <w:t>3</w:t>
            </w:r>
          </w:p>
        </w:tc>
        <w:tc>
          <w:tcPr>
            <w:tcW w:w="1559" w:type="dxa"/>
          </w:tcPr>
          <w:p>
            <w:pPr>
              <w:widowControl/>
              <w:spacing w:line="480" w:lineRule="auto"/>
              <w:jc w:val="left"/>
              <w:rPr>
                <w:sz w:val="21"/>
                <w:szCs w:val="21"/>
              </w:rPr>
            </w:pPr>
          </w:p>
        </w:tc>
        <w:tc>
          <w:tcPr>
            <w:tcW w:w="1419" w:type="dxa"/>
          </w:tcPr>
          <w:p>
            <w:pPr>
              <w:widowControl/>
              <w:spacing w:line="480" w:lineRule="auto"/>
              <w:jc w:val="left"/>
              <w:rPr>
                <w:sz w:val="21"/>
                <w:szCs w:val="21"/>
              </w:rPr>
            </w:pPr>
          </w:p>
        </w:tc>
        <w:tc>
          <w:tcPr>
            <w:tcW w:w="1249" w:type="dxa"/>
          </w:tcPr>
          <w:p>
            <w:pPr>
              <w:widowControl/>
              <w:spacing w:line="480" w:lineRule="auto"/>
              <w:jc w:val="left"/>
              <w:rPr>
                <w:sz w:val="21"/>
                <w:szCs w:val="21"/>
              </w:rPr>
            </w:pPr>
          </w:p>
        </w:tc>
        <w:tc>
          <w:tcPr>
            <w:tcW w:w="1112" w:type="dxa"/>
          </w:tcPr>
          <w:p>
            <w:pPr>
              <w:widowControl/>
              <w:spacing w:line="480" w:lineRule="auto"/>
              <w:jc w:val="left"/>
              <w:rPr>
                <w:sz w:val="21"/>
                <w:szCs w:val="21"/>
              </w:rPr>
            </w:pPr>
          </w:p>
        </w:tc>
        <w:tc>
          <w:tcPr>
            <w:tcW w:w="1530" w:type="dxa"/>
          </w:tcPr>
          <w:p>
            <w:pPr>
              <w:widowControl/>
              <w:spacing w:line="480" w:lineRule="auto"/>
              <w:jc w:val="left"/>
              <w:rPr>
                <w:sz w:val="21"/>
                <w:szCs w:val="21"/>
              </w:rPr>
            </w:pPr>
          </w:p>
        </w:tc>
        <w:tc>
          <w:tcPr>
            <w:tcW w:w="1225" w:type="dxa"/>
          </w:tcPr>
          <w:p>
            <w:pPr>
              <w:widowControl/>
              <w:spacing w:line="48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widowControl/>
              <w:spacing w:line="480" w:lineRule="auto"/>
              <w:jc w:val="center"/>
              <w:rPr>
                <w:sz w:val="21"/>
                <w:szCs w:val="21"/>
              </w:rPr>
            </w:pPr>
            <w:r>
              <w:rPr>
                <w:rFonts w:hint="eastAsia"/>
                <w:sz w:val="21"/>
                <w:szCs w:val="21"/>
              </w:rPr>
              <w:t>4</w:t>
            </w:r>
          </w:p>
        </w:tc>
        <w:tc>
          <w:tcPr>
            <w:tcW w:w="1559" w:type="dxa"/>
          </w:tcPr>
          <w:p>
            <w:pPr>
              <w:widowControl/>
              <w:spacing w:line="480" w:lineRule="auto"/>
              <w:jc w:val="left"/>
              <w:rPr>
                <w:sz w:val="21"/>
                <w:szCs w:val="21"/>
              </w:rPr>
            </w:pPr>
          </w:p>
        </w:tc>
        <w:tc>
          <w:tcPr>
            <w:tcW w:w="1419" w:type="dxa"/>
          </w:tcPr>
          <w:p>
            <w:pPr>
              <w:widowControl/>
              <w:spacing w:line="480" w:lineRule="auto"/>
              <w:jc w:val="left"/>
              <w:rPr>
                <w:sz w:val="21"/>
                <w:szCs w:val="21"/>
              </w:rPr>
            </w:pPr>
          </w:p>
        </w:tc>
        <w:tc>
          <w:tcPr>
            <w:tcW w:w="1249" w:type="dxa"/>
          </w:tcPr>
          <w:p>
            <w:pPr>
              <w:widowControl/>
              <w:spacing w:line="480" w:lineRule="auto"/>
              <w:jc w:val="left"/>
              <w:rPr>
                <w:sz w:val="21"/>
                <w:szCs w:val="21"/>
              </w:rPr>
            </w:pPr>
          </w:p>
        </w:tc>
        <w:tc>
          <w:tcPr>
            <w:tcW w:w="1112" w:type="dxa"/>
          </w:tcPr>
          <w:p>
            <w:pPr>
              <w:widowControl/>
              <w:spacing w:line="480" w:lineRule="auto"/>
              <w:jc w:val="left"/>
              <w:rPr>
                <w:sz w:val="21"/>
                <w:szCs w:val="21"/>
              </w:rPr>
            </w:pPr>
          </w:p>
        </w:tc>
        <w:tc>
          <w:tcPr>
            <w:tcW w:w="1530" w:type="dxa"/>
          </w:tcPr>
          <w:p>
            <w:pPr>
              <w:widowControl/>
              <w:spacing w:line="480" w:lineRule="auto"/>
              <w:jc w:val="left"/>
              <w:rPr>
                <w:sz w:val="21"/>
                <w:szCs w:val="21"/>
              </w:rPr>
            </w:pPr>
          </w:p>
        </w:tc>
        <w:tc>
          <w:tcPr>
            <w:tcW w:w="1225" w:type="dxa"/>
          </w:tcPr>
          <w:p>
            <w:pPr>
              <w:widowControl/>
              <w:spacing w:line="48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widowControl/>
              <w:spacing w:line="480" w:lineRule="auto"/>
              <w:jc w:val="center"/>
              <w:rPr>
                <w:sz w:val="21"/>
                <w:szCs w:val="21"/>
              </w:rPr>
            </w:pPr>
            <w:r>
              <w:rPr>
                <w:rFonts w:hint="eastAsia"/>
                <w:sz w:val="21"/>
                <w:szCs w:val="21"/>
              </w:rPr>
              <w:t>合计</w:t>
            </w:r>
          </w:p>
        </w:tc>
        <w:tc>
          <w:tcPr>
            <w:tcW w:w="1559" w:type="dxa"/>
          </w:tcPr>
          <w:p>
            <w:pPr>
              <w:widowControl/>
              <w:spacing w:line="480" w:lineRule="auto"/>
              <w:jc w:val="left"/>
              <w:rPr>
                <w:sz w:val="21"/>
                <w:szCs w:val="21"/>
              </w:rPr>
            </w:pPr>
          </w:p>
        </w:tc>
        <w:tc>
          <w:tcPr>
            <w:tcW w:w="1419" w:type="dxa"/>
          </w:tcPr>
          <w:p>
            <w:pPr>
              <w:widowControl/>
              <w:spacing w:line="480" w:lineRule="auto"/>
              <w:jc w:val="left"/>
              <w:rPr>
                <w:sz w:val="21"/>
                <w:szCs w:val="21"/>
              </w:rPr>
            </w:pPr>
          </w:p>
        </w:tc>
        <w:tc>
          <w:tcPr>
            <w:tcW w:w="1249" w:type="dxa"/>
          </w:tcPr>
          <w:p>
            <w:pPr>
              <w:widowControl/>
              <w:spacing w:line="480" w:lineRule="auto"/>
              <w:jc w:val="left"/>
              <w:rPr>
                <w:sz w:val="21"/>
                <w:szCs w:val="21"/>
              </w:rPr>
            </w:pPr>
          </w:p>
        </w:tc>
        <w:tc>
          <w:tcPr>
            <w:tcW w:w="1112" w:type="dxa"/>
          </w:tcPr>
          <w:p>
            <w:pPr>
              <w:widowControl/>
              <w:spacing w:line="480" w:lineRule="auto"/>
              <w:jc w:val="left"/>
              <w:rPr>
                <w:sz w:val="21"/>
                <w:szCs w:val="21"/>
              </w:rPr>
            </w:pPr>
          </w:p>
        </w:tc>
        <w:tc>
          <w:tcPr>
            <w:tcW w:w="1530" w:type="dxa"/>
          </w:tcPr>
          <w:p>
            <w:pPr>
              <w:widowControl/>
              <w:spacing w:line="480" w:lineRule="auto"/>
              <w:jc w:val="left"/>
              <w:rPr>
                <w:sz w:val="21"/>
                <w:szCs w:val="21"/>
              </w:rPr>
            </w:pPr>
          </w:p>
        </w:tc>
        <w:tc>
          <w:tcPr>
            <w:tcW w:w="1225" w:type="dxa"/>
          </w:tcPr>
          <w:p>
            <w:pPr>
              <w:widowControl/>
              <w:spacing w:line="480" w:lineRule="auto"/>
              <w:jc w:val="left"/>
              <w:rPr>
                <w:sz w:val="21"/>
                <w:szCs w:val="21"/>
              </w:rPr>
            </w:pPr>
          </w:p>
        </w:tc>
      </w:tr>
    </w:tbl>
    <w:p>
      <w:pPr>
        <w:widowControl/>
        <w:spacing w:line="480" w:lineRule="auto"/>
        <w:jc w:val="left"/>
        <w:rPr>
          <w:szCs w:val="21"/>
        </w:rPr>
      </w:pPr>
    </w:p>
    <w:p>
      <w:pPr>
        <w:widowControl/>
        <w:spacing w:line="480" w:lineRule="auto"/>
        <w:ind w:firstLine="480" w:firstLineChars="200"/>
        <w:jc w:val="left"/>
        <w:rPr>
          <w:szCs w:val="21"/>
        </w:rPr>
      </w:pPr>
      <w:r>
        <w:rPr>
          <w:rFonts w:hint="eastAsia"/>
          <w:szCs w:val="21"/>
        </w:rPr>
        <w:t>请根据本确认表，协助</w:t>
      </w:r>
      <w:r>
        <w:rPr>
          <w:rFonts w:hint="eastAsia"/>
          <w:bCs/>
          <w:szCs w:val="21"/>
        </w:rPr>
        <w:t>我司办理资金支用手续。</w:t>
      </w:r>
    </w:p>
    <w:p>
      <w:pPr>
        <w:widowControl/>
        <w:spacing w:line="480" w:lineRule="auto"/>
        <w:ind w:firstLine="600" w:firstLineChars="250"/>
        <w:jc w:val="left"/>
        <w:rPr>
          <w:szCs w:val="21"/>
        </w:rPr>
      </w:pPr>
      <w:r>
        <w:rPr>
          <w:rFonts w:hint="eastAsia"/>
          <w:szCs w:val="21"/>
        </w:rPr>
        <w:t>特此通知。</w:t>
      </w:r>
    </w:p>
    <w:p>
      <w:pPr>
        <w:widowControl/>
        <w:spacing w:line="480" w:lineRule="auto"/>
        <w:ind w:firstLine="480" w:firstLineChars="200"/>
        <w:jc w:val="center"/>
        <w:rPr>
          <w:szCs w:val="21"/>
        </w:rPr>
      </w:pPr>
    </w:p>
    <w:p>
      <w:pPr>
        <w:widowControl/>
        <w:spacing w:line="480" w:lineRule="auto"/>
        <w:jc w:val="left"/>
        <w:rPr>
          <w:bCs/>
          <w:szCs w:val="21"/>
        </w:rPr>
      </w:pPr>
      <w:r>
        <w:rPr>
          <w:rFonts w:hint="eastAsia"/>
          <w:b/>
          <w:bCs/>
          <w:szCs w:val="21"/>
        </w:rPr>
        <w:t>申请单位：</w:t>
      </w:r>
      <w:r>
        <w:rPr>
          <w:rFonts w:hint="eastAsia"/>
          <w:bCs/>
          <w:szCs w:val="21"/>
        </w:rPr>
        <w:t xml:space="preserve">（部公章） </w:t>
      </w:r>
    </w:p>
    <w:p>
      <w:pPr>
        <w:widowControl/>
        <w:spacing w:line="480" w:lineRule="auto"/>
        <w:jc w:val="left"/>
        <w:rPr>
          <w:bCs/>
          <w:szCs w:val="21"/>
        </w:rPr>
      </w:pPr>
      <w:r>
        <w:rPr>
          <w:rFonts w:hint="eastAsia"/>
          <w:bCs/>
          <w:szCs w:val="21"/>
        </w:rPr>
        <w:t>日期：    年    月    日</w:t>
      </w:r>
    </w:p>
    <w:p>
      <w:pPr>
        <w:widowControl/>
        <w:spacing w:line="480" w:lineRule="auto"/>
        <w:jc w:val="left"/>
        <w:rPr>
          <w:bCs/>
          <w:szCs w:val="21"/>
        </w:rPr>
      </w:pPr>
    </w:p>
    <w:p>
      <w:pPr>
        <w:widowControl/>
        <w:spacing w:line="480" w:lineRule="auto"/>
        <w:jc w:val="left"/>
        <w:rPr>
          <w:bCs/>
          <w:szCs w:val="21"/>
        </w:rPr>
      </w:pPr>
      <w:r>
        <w:rPr>
          <w:rFonts w:hint="eastAsia"/>
          <w:b/>
          <w:bCs/>
          <w:szCs w:val="21"/>
        </w:rPr>
        <w:t>审核单位</w:t>
      </w:r>
      <w:r>
        <w:rPr>
          <w:rFonts w:hint="eastAsia"/>
          <w:bCs/>
          <w:szCs w:val="21"/>
        </w:rPr>
        <w:t>：（预留印鉴）</w:t>
      </w:r>
    </w:p>
    <w:p>
      <w:pPr>
        <w:widowControl/>
        <w:spacing w:line="480" w:lineRule="auto"/>
        <w:jc w:val="left"/>
        <w:rPr>
          <w:snapToGrid w:val="0"/>
          <w:szCs w:val="21"/>
        </w:rPr>
      </w:pPr>
      <w:r>
        <w:rPr>
          <w:rFonts w:hint="eastAsia"/>
          <w:bCs/>
          <w:szCs w:val="21"/>
        </w:rPr>
        <w:t>日期：    年    月    日</w:t>
      </w:r>
    </w:p>
    <w:p>
      <w:pPr>
        <w:widowControl/>
        <w:jc w:val="left"/>
        <w:sectPr>
          <w:footerReference r:id="rId6" w:type="default"/>
          <w:pgSz w:w="11907" w:h="16840"/>
          <w:pgMar w:top="1417" w:right="1417" w:bottom="1417" w:left="1417" w:header="851" w:footer="851" w:gutter="0"/>
          <w:pgNumType w:fmt="numberInDash"/>
          <w:cols w:space="720" w:num="1"/>
          <w:docGrid w:type="lines" w:linePitch="312" w:charSpace="0"/>
        </w:sectPr>
      </w:pPr>
    </w:p>
    <w:p>
      <w:pPr>
        <w:widowControl/>
        <w:spacing w:line="360" w:lineRule="auto"/>
        <w:jc w:val="left"/>
        <w:outlineLvl w:val="1"/>
        <w:rPr>
          <w:kern w:val="2"/>
          <w:sz w:val="21"/>
          <w:szCs w:val="21"/>
        </w:rPr>
      </w:pPr>
      <w:bookmarkStart w:id="1108" w:name="_Toc21612"/>
      <w:bookmarkStart w:id="1109" w:name="_Toc27308"/>
      <w:r>
        <w:rPr>
          <w:rFonts w:hint="eastAsia"/>
          <w:kern w:val="2"/>
          <w:sz w:val="21"/>
          <w:szCs w:val="21"/>
        </w:rPr>
        <w:t>附件6：</w:t>
      </w:r>
      <w:bookmarkEnd w:id="1101"/>
      <w:bookmarkEnd w:id="1102"/>
      <w:bookmarkEnd w:id="1103"/>
      <w:bookmarkEnd w:id="1104"/>
      <w:bookmarkEnd w:id="1108"/>
      <w:bookmarkEnd w:id="1109"/>
    </w:p>
    <w:p>
      <w:pPr>
        <w:widowControl w:val="0"/>
        <w:adjustRightInd w:val="0"/>
        <w:snapToGrid w:val="0"/>
        <w:spacing w:after="200" w:line="360" w:lineRule="auto"/>
        <w:ind w:firstLine="0" w:firstLineChars="0"/>
        <w:jc w:val="center"/>
        <w:textAlignment w:val="baseline"/>
        <w:outlineLvl w:val="4"/>
        <w:rPr>
          <w:rFonts w:ascii="Times New Roman" w:hAnsi="Times New Roman" w:cs="Times New Roman"/>
          <w:b/>
          <w:kern w:val="2"/>
          <w:sz w:val="30"/>
          <w:szCs w:val="22"/>
        </w:rPr>
      </w:pPr>
      <w:r>
        <w:rPr>
          <w:rFonts w:hint="eastAsia" w:ascii="Times New Roman" w:hAnsi="Times New Roman" w:cs="Times New Roman"/>
          <w:b/>
          <w:kern w:val="2"/>
          <w:sz w:val="30"/>
          <w:szCs w:val="22"/>
        </w:rPr>
        <w:t>安全生产、文明施工管理协议书</w:t>
      </w:r>
    </w:p>
    <w:p>
      <w:pPr>
        <w:widowControl w:val="0"/>
        <w:spacing w:line="500" w:lineRule="exact"/>
        <w:ind w:firstLine="480" w:firstLineChars="200"/>
        <w:jc w:val="both"/>
        <w:rPr>
          <w:rFonts w:hint="eastAsia" w:eastAsia="宋体" w:cs="Times New Roman"/>
          <w:kern w:val="2"/>
          <w:u w:val="single"/>
          <w:lang w:eastAsia="zh-CN"/>
        </w:rPr>
      </w:pPr>
      <w:r>
        <w:rPr>
          <w:rFonts w:hint="eastAsia" w:cs="Times New Roman"/>
          <w:kern w:val="2"/>
        </w:rPr>
        <w:t>发包人（甲方）：</w:t>
      </w:r>
      <w:r>
        <w:rPr>
          <w:rFonts w:hint="eastAsia" w:cs="Times New Roman"/>
          <w:kern w:val="2"/>
          <w:u w:val="single"/>
          <w:lang w:eastAsia="zh-CN"/>
        </w:rPr>
        <w:t>深圳市龙华高新技术产业园区开发投资有限公司</w:t>
      </w:r>
    </w:p>
    <w:p>
      <w:pPr>
        <w:widowControl w:val="0"/>
        <w:spacing w:line="500" w:lineRule="exact"/>
        <w:ind w:firstLine="480" w:firstLineChars="200"/>
        <w:jc w:val="both"/>
        <w:rPr>
          <w:rFonts w:hint="eastAsia" w:eastAsia="宋体" w:cs="Times New Roman"/>
          <w:kern w:val="2"/>
          <w:u w:val="single"/>
          <w:lang w:val="en-US" w:eastAsia="zh-CN"/>
        </w:rPr>
      </w:pPr>
      <w:r>
        <w:rPr>
          <w:rFonts w:hint="eastAsia" w:cs="Times New Roman"/>
          <w:kern w:val="2"/>
        </w:rPr>
        <w:t>承包人（乙方）：</w:t>
      </w:r>
      <w:r>
        <w:rPr>
          <w:rFonts w:hint="eastAsia"/>
          <w:bCs/>
          <w:kern w:val="2"/>
          <w:szCs w:val="22"/>
          <w:u w:val="single"/>
          <w:lang w:eastAsia="zh-CN"/>
        </w:rPr>
        <w:t>******</w:t>
      </w:r>
      <w:r>
        <w:rPr>
          <w:rFonts w:hint="eastAsia"/>
          <w:bCs/>
          <w:kern w:val="2"/>
          <w:szCs w:val="22"/>
          <w:u w:val="single"/>
        </w:rPr>
        <w:t>//</w:t>
      </w:r>
      <w:r>
        <w:rPr>
          <w:rFonts w:hint="eastAsia"/>
          <w:bCs/>
          <w:kern w:val="2"/>
          <w:szCs w:val="22"/>
          <w:u w:val="single"/>
          <w:lang w:eastAsia="zh-CN"/>
        </w:rPr>
        <w:t>******</w:t>
      </w:r>
    </w:p>
    <w:p>
      <w:pPr>
        <w:widowControl/>
        <w:spacing w:line="500" w:lineRule="exact"/>
        <w:ind w:firstLine="480" w:firstLineChars="200"/>
        <w:jc w:val="left"/>
      </w:pPr>
      <w:r>
        <w:rPr>
          <w:rFonts w:hint="eastAsia"/>
        </w:rPr>
        <w:t>甲乙双方针对，为明确甲乙双方的权利和义务，保障工程实施及相关作业人员的安全，依据国家和深圳市相关法律的规定，结合工程项目建设的实际情况，经甲乙双方协商一致，达成如下协议：</w:t>
      </w:r>
    </w:p>
    <w:p>
      <w:pPr>
        <w:widowControl w:val="0"/>
        <w:spacing w:line="360" w:lineRule="auto"/>
        <w:ind w:firstLine="480" w:firstLineChars="200"/>
        <w:jc w:val="both"/>
        <w:rPr>
          <w:rFonts w:cs="Times New Roman"/>
          <w:b/>
          <w:color w:val="000000"/>
          <w:kern w:val="2"/>
        </w:rPr>
      </w:pPr>
      <w:bookmarkStart w:id="1110" w:name="_Toc36667932"/>
      <w:r>
        <w:rPr>
          <w:rFonts w:hint="eastAsia" w:cs="Times New Roman"/>
          <w:color w:val="000000"/>
          <w:kern w:val="2"/>
        </w:rPr>
        <w:t>一、</w:t>
      </w:r>
      <w:r>
        <w:rPr>
          <w:rFonts w:hint="eastAsia" w:cs="Times New Roman"/>
          <w:b/>
          <w:color w:val="000000"/>
          <w:kern w:val="2"/>
        </w:rPr>
        <w:t>安全生产目标</w:t>
      </w:r>
      <w:bookmarkEnd w:id="1110"/>
    </w:p>
    <w:p>
      <w:pPr>
        <w:widowControl w:val="0"/>
        <w:spacing w:line="360" w:lineRule="auto"/>
        <w:ind w:firstLine="480" w:firstLineChars="200"/>
        <w:jc w:val="both"/>
        <w:rPr>
          <w:rFonts w:cs="Times New Roman"/>
          <w:color w:val="000000"/>
          <w:kern w:val="2"/>
        </w:rPr>
      </w:pPr>
      <w:r>
        <w:rPr>
          <w:rFonts w:hint="eastAsia" w:cs="Times New Roman"/>
          <w:color w:val="000000"/>
          <w:kern w:val="2"/>
        </w:rPr>
        <w:t>1、不发生一般及以上安全生产责任事故；事故直接经济损失不超过50万元。</w:t>
      </w:r>
    </w:p>
    <w:p>
      <w:pPr>
        <w:widowControl w:val="0"/>
        <w:spacing w:line="360" w:lineRule="auto"/>
        <w:ind w:firstLine="480" w:firstLineChars="200"/>
        <w:jc w:val="both"/>
        <w:rPr>
          <w:rFonts w:cs="Times New Roman"/>
          <w:color w:val="000000"/>
          <w:kern w:val="2"/>
        </w:rPr>
      </w:pPr>
      <w:r>
        <w:rPr>
          <w:rFonts w:hint="eastAsia" w:cs="Times New Roman"/>
          <w:color w:val="000000"/>
          <w:kern w:val="2"/>
        </w:rPr>
        <w:t>2、安全隐患整改率100%。</w:t>
      </w:r>
    </w:p>
    <w:p>
      <w:pPr>
        <w:widowControl w:val="0"/>
        <w:spacing w:line="360" w:lineRule="auto"/>
        <w:ind w:firstLine="480" w:firstLineChars="200"/>
        <w:jc w:val="both"/>
        <w:rPr>
          <w:rFonts w:cs="Times New Roman"/>
          <w:color w:val="000000"/>
          <w:kern w:val="2"/>
        </w:rPr>
      </w:pPr>
      <w:r>
        <w:rPr>
          <w:rFonts w:hint="eastAsia" w:cs="Times New Roman"/>
          <w:color w:val="000000"/>
          <w:kern w:val="2"/>
        </w:rPr>
        <w:t>3、不发生火灾责任事故或后果严重、影响恶劣的安全、健康、环境责任事故。</w:t>
      </w:r>
    </w:p>
    <w:p>
      <w:pPr>
        <w:widowControl w:val="0"/>
        <w:spacing w:line="360" w:lineRule="auto"/>
        <w:ind w:firstLine="480" w:firstLineChars="200"/>
        <w:jc w:val="both"/>
        <w:rPr>
          <w:rFonts w:cs="Times New Roman"/>
          <w:color w:val="000000"/>
          <w:kern w:val="2"/>
        </w:rPr>
      </w:pPr>
      <w:r>
        <w:rPr>
          <w:rFonts w:hint="eastAsia" w:cs="Times New Roman"/>
          <w:color w:val="000000"/>
          <w:kern w:val="2"/>
        </w:rPr>
        <w:t>4、不发生较大群体性事件。</w:t>
      </w:r>
    </w:p>
    <w:p>
      <w:pPr>
        <w:widowControl w:val="0"/>
        <w:spacing w:line="360" w:lineRule="auto"/>
        <w:ind w:firstLine="480" w:firstLineChars="200"/>
        <w:jc w:val="both"/>
        <w:rPr>
          <w:rFonts w:cs="Times New Roman"/>
          <w:color w:val="000000"/>
          <w:kern w:val="2"/>
        </w:rPr>
      </w:pPr>
      <w:r>
        <w:rPr>
          <w:rFonts w:hint="eastAsia" w:cs="Times New Roman"/>
          <w:color w:val="000000"/>
          <w:kern w:val="2"/>
        </w:rPr>
        <w:t>5、不发生员工死亡或重伤的工伤事故。</w:t>
      </w:r>
    </w:p>
    <w:p>
      <w:pPr>
        <w:widowControl w:val="0"/>
        <w:spacing w:line="360" w:lineRule="auto"/>
        <w:ind w:firstLine="480" w:firstLineChars="200"/>
        <w:jc w:val="both"/>
      </w:pPr>
      <w:r>
        <w:rPr>
          <w:rFonts w:hint="eastAsia" w:cs="Times New Roman"/>
          <w:color w:val="000000"/>
          <w:kern w:val="2"/>
        </w:rPr>
        <w:t>6、按合同约定实现安全文明施工创优计划。</w:t>
      </w:r>
    </w:p>
    <w:p>
      <w:pPr>
        <w:widowControl w:val="0"/>
        <w:spacing w:line="360" w:lineRule="auto"/>
        <w:ind w:firstLine="482" w:firstLineChars="200"/>
        <w:jc w:val="both"/>
        <w:rPr>
          <w:rFonts w:cs="Times New Roman"/>
          <w:b/>
          <w:color w:val="000000"/>
          <w:kern w:val="2"/>
        </w:rPr>
      </w:pPr>
      <w:r>
        <w:rPr>
          <w:rFonts w:hint="eastAsia" w:cs="Times New Roman"/>
          <w:b/>
          <w:color w:val="000000"/>
          <w:kern w:val="2"/>
        </w:rPr>
        <w:t>二、双方责任</w:t>
      </w:r>
    </w:p>
    <w:p>
      <w:pPr>
        <w:widowControl w:val="0"/>
        <w:spacing w:line="360" w:lineRule="auto"/>
        <w:ind w:firstLine="602" w:firstLineChars="250"/>
        <w:jc w:val="both"/>
        <w:rPr>
          <w:rFonts w:cs="Times New Roman"/>
          <w:b/>
          <w:color w:val="000000"/>
          <w:kern w:val="2"/>
        </w:rPr>
      </w:pPr>
      <w:r>
        <w:rPr>
          <w:rFonts w:hint="eastAsia" w:cs="Times New Roman"/>
          <w:b/>
          <w:color w:val="000000"/>
          <w:kern w:val="2"/>
        </w:rPr>
        <w:t>1、甲方责任</w:t>
      </w:r>
    </w:p>
    <w:p>
      <w:pPr>
        <w:widowControl w:val="0"/>
        <w:spacing w:line="360" w:lineRule="auto"/>
        <w:ind w:firstLine="480" w:firstLineChars="200"/>
        <w:jc w:val="both"/>
        <w:rPr>
          <w:rFonts w:cs="Times New Roman"/>
          <w:color w:val="000000"/>
          <w:kern w:val="2"/>
        </w:rPr>
      </w:pPr>
      <w:r>
        <w:rPr>
          <w:rFonts w:hint="eastAsia" w:cs="Times New Roman"/>
          <w:color w:val="000000"/>
          <w:kern w:val="2"/>
        </w:rPr>
        <w:t>（1）甲方必须遵守有关法律、法规、强制性标准和政府规范性文件，依法承担建设工程安全生产责任。</w:t>
      </w:r>
    </w:p>
    <w:p>
      <w:pPr>
        <w:widowControl w:val="0"/>
        <w:spacing w:line="360" w:lineRule="auto"/>
        <w:ind w:firstLine="480" w:firstLineChars="200"/>
        <w:jc w:val="both"/>
        <w:rPr>
          <w:rFonts w:cs="Times New Roman"/>
          <w:color w:val="000000"/>
          <w:kern w:val="2"/>
        </w:rPr>
      </w:pPr>
      <w:r>
        <w:rPr>
          <w:rFonts w:hint="eastAsia" w:cs="Times New Roman"/>
          <w:color w:val="000000"/>
          <w:kern w:val="2"/>
        </w:rPr>
        <w:t>（2）甲方必须严格执行基本建设程序，坚持先勘察、后设计、再施工的原则。</w:t>
      </w:r>
    </w:p>
    <w:p>
      <w:pPr>
        <w:widowControl w:val="0"/>
        <w:spacing w:line="360" w:lineRule="auto"/>
        <w:ind w:firstLine="480" w:firstLineChars="200"/>
        <w:jc w:val="both"/>
        <w:rPr>
          <w:rFonts w:cs="Times New Roman"/>
          <w:color w:val="000000"/>
          <w:kern w:val="2"/>
        </w:rPr>
      </w:pPr>
      <w:r>
        <w:rPr>
          <w:rFonts w:hint="eastAsia" w:cs="Times New Roman"/>
          <w:color w:val="000000"/>
          <w:kern w:val="2"/>
        </w:rPr>
        <w:t>（3）甲方应严格落实《安全生产法》“三同时”规定，建设项目的安全设施必须符合国家标准或行业标准，与主体工程同时设计、同时施工、同时投入使用。</w:t>
      </w:r>
    </w:p>
    <w:p>
      <w:pPr>
        <w:widowControl w:val="0"/>
        <w:spacing w:line="360" w:lineRule="auto"/>
        <w:ind w:firstLine="480" w:firstLineChars="200"/>
        <w:jc w:val="both"/>
        <w:rPr>
          <w:rFonts w:cs="Times New Roman"/>
          <w:color w:val="000000"/>
          <w:kern w:val="2"/>
        </w:rPr>
      </w:pPr>
      <w:r>
        <w:rPr>
          <w:rFonts w:hint="eastAsia" w:cs="Times New Roman"/>
          <w:color w:val="000000"/>
          <w:kern w:val="2"/>
        </w:rPr>
        <w:t>（4）甲方在编制工程概算时，应当确定建设工程安全作业环境及安全施工措施所需费用，并按照施工承包合同约定及时对安全文明施工措施费进行审核支付。</w:t>
      </w:r>
    </w:p>
    <w:p>
      <w:pPr>
        <w:widowControl w:val="0"/>
        <w:spacing w:line="360" w:lineRule="auto"/>
        <w:ind w:firstLine="480" w:firstLineChars="200"/>
        <w:jc w:val="both"/>
        <w:rPr>
          <w:rFonts w:cs="Times New Roman"/>
          <w:color w:val="000000"/>
          <w:kern w:val="2"/>
        </w:rPr>
      </w:pPr>
      <w:r>
        <w:rPr>
          <w:rFonts w:hint="eastAsia" w:cs="Times New Roman"/>
          <w:color w:val="000000"/>
          <w:kern w:val="44"/>
        </w:rPr>
        <w:t>（5）</w:t>
      </w:r>
      <w:r>
        <w:rPr>
          <w:rFonts w:hint="eastAsia" w:cs="Times New Roman"/>
          <w:color w:val="000000"/>
          <w:kern w:val="2"/>
        </w:rPr>
        <w:t>甲方</w:t>
      </w:r>
      <w:r>
        <w:rPr>
          <w:rFonts w:hint="eastAsia" w:cs="Times New Roman"/>
          <w:color w:val="000000"/>
          <w:kern w:val="44"/>
        </w:rPr>
        <w:t>应当组织勘察、设计等单位在施工招标文件中列出危大工程清单，要求施工单位在投标时补充完善危大工程清单并明确相应的安全管理措施。</w:t>
      </w:r>
    </w:p>
    <w:p>
      <w:pPr>
        <w:widowControl w:val="0"/>
        <w:spacing w:line="360" w:lineRule="auto"/>
        <w:ind w:firstLine="480" w:firstLineChars="200"/>
        <w:jc w:val="both"/>
        <w:rPr>
          <w:rFonts w:cs="Times New Roman"/>
          <w:color w:val="000000"/>
          <w:kern w:val="2"/>
        </w:rPr>
      </w:pPr>
      <w:r>
        <w:rPr>
          <w:rFonts w:hint="eastAsia" w:cs="Times New Roman"/>
          <w:color w:val="000000"/>
          <w:kern w:val="2"/>
        </w:rPr>
        <w:t>（6）甲方应当将工程发包给具有相应资质（含安全生产资质）的施工、设计、地勘、监理等单位，确保企业资质及经营范围符合。</w:t>
      </w:r>
    </w:p>
    <w:p>
      <w:pPr>
        <w:widowControl w:val="0"/>
        <w:spacing w:line="360" w:lineRule="auto"/>
        <w:ind w:firstLine="480" w:firstLineChars="200"/>
        <w:jc w:val="both"/>
        <w:rPr>
          <w:rFonts w:cs="Times New Roman"/>
          <w:color w:val="000000"/>
          <w:kern w:val="2"/>
        </w:rPr>
      </w:pPr>
      <w:r>
        <w:rPr>
          <w:rFonts w:hint="eastAsia" w:cs="Times New Roman"/>
          <w:color w:val="000000"/>
          <w:kern w:val="2"/>
        </w:rPr>
        <w:t>（7）甲方应与承包、承租、协作等单位签订安全生产管理协议，明确各方在项目建设中安全生产方面的责任，督促其履行安全生产职责。</w:t>
      </w:r>
    </w:p>
    <w:p>
      <w:pPr>
        <w:widowControl w:val="0"/>
        <w:spacing w:line="360" w:lineRule="auto"/>
        <w:ind w:firstLine="480" w:firstLineChars="200"/>
        <w:jc w:val="both"/>
        <w:rPr>
          <w:rFonts w:cs="Times New Roman"/>
          <w:color w:val="000000"/>
          <w:kern w:val="2"/>
        </w:rPr>
      </w:pPr>
      <w:r>
        <w:rPr>
          <w:rFonts w:hint="eastAsia" w:cs="Times New Roman"/>
          <w:color w:val="000000"/>
          <w:kern w:val="2"/>
        </w:rPr>
        <w:t>（8）甲方在工程开工前要切实做好拆、改、移工作，确保场地、水、电、交通条件满足施工要求，减少工程安全质量隐患，为项目顺利施工创造良好外部环境。</w:t>
      </w:r>
    </w:p>
    <w:p>
      <w:pPr>
        <w:widowControl w:val="0"/>
        <w:spacing w:line="360" w:lineRule="auto"/>
        <w:ind w:firstLine="480" w:firstLineChars="200"/>
        <w:jc w:val="both"/>
        <w:rPr>
          <w:rFonts w:cs="Times New Roman"/>
          <w:color w:val="000000"/>
          <w:kern w:val="2"/>
        </w:rPr>
      </w:pPr>
      <w:r>
        <w:rPr>
          <w:rFonts w:hint="eastAsia" w:cs="Times New Roman"/>
          <w:color w:val="000000"/>
          <w:kern w:val="2"/>
        </w:rPr>
        <w:t>（9）甲方应向有关的勘察、设计、施工、工程监理等单位提供与建设工程相关的真实、准确、齐全的原始资料，尤其是地下管线资料。</w:t>
      </w:r>
    </w:p>
    <w:p>
      <w:pPr>
        <w:widowControl w:val="0"/>
        <w:spacing w:line="360" w:lineRule="auto"/>
        <w:ind w:firstLine="480" w:firstLineChars="200"/>
        <w:jc w:val="both"/>
        <w:rPr>
          <w:rFonts w:cs="Times New Roman"/>
          <w:color w:val="000000"/>
          <w:kern w:val="2"/>
        </w:rPr>
      </w:pPr>
      <w:r>
        <w:rPr>
          <w:rFonts w:hint="eastAsia" w:cs="Times New Roman"/>
          <w:color w:val="000000"/>
          <w:kern w:val="2"/>
        </w:rPr>
        <w:t>（10）甲方对于按照规定需要进行第三方监测的危大工程，应当委托具有相应勘察资质的单位进行第三方监测，对工程围（支）护结构等关键部位及重要周边环境等进行监测、分析，并及时采取防范措施。</w:t>
      </w:r>
    </w:p>
    <w:p>
      <w:pPr>
        <w:widowControl w:val="0"/>
        <w:spacing w:line="360" w:lineRule="auto"/>
        <w:ind w:firstLine="480" w:firstLineChars="200"/>
        <w:jc w:val="both"/>
        <w:rPr>
          <w:rFonts w:cs="Times New Roman"/>
          <w:color w:val="000000"/>
          <w:kern w:val="2"/>
        </w:rPr>
      </w:pPr>
      <w:r>
        <w:rPr>
          <w:rFonts w:hint="eastAsia" w:cs="Times New Roman"/>
          <w:color w:val="000000"/>
          <w:kern w:val="2"/>
        </w:rPr>
        <w:t>（11）在燃气管道安全控制范围内施工的，甲方应当会同乙方与管道燃气企业签订安全保护协议，制定燃气管道安全保护方案并采取安全防护措施。</w:t>
      </w:r>
    </w:p>
    <w:p>
      <w:pPr>
        <w:widowControl w:val="0"/>
        <w:spacing w:line="360" w:lineRule="auto"/>
        <w:ind w:firstLine="480" w:firstLineChars="200"/>
        <w:jc w:val="both"/>
        <w:rPr>
          <w:rFonts w:cs="Times New Roman"/>
          <w:color w:val="000000"/>
          <w:kern w:val="2"/>
        </w:rPr>
      </w:pPr>
      <w:r>
        <w:rPr>
          <w:rFonts w:hint="eastAsia" w:cs="Times New Roman"/>
          <w:color w:val="000000"/>
          <w:kern w:val="2"/>
        </w:rPr>
        <w:t>（12）甲方不得对勘察、设计、施工、监理等单位提出不符合有关法律、法规、强制性标准和政府规范性文件的要求，不得明示或者暗示其违反上述要求，不得压缩合同约定的工期。</w:t>
      </w:r>
    </w:p>
    <w:p>
      <w:pPr>
        <w:widowControl w:val="0"/>
        <w:spacing w:line="360" w:lineRule="auto"/>
        <w:ind w:firstLine="480" w:firstLineChars="200"/>
        <w:jc w:val="both"/>
        <w:rPr>
          <w:rFonts w:cs="Times New Roman"/>
          <w:color w:val="000000"/>
          <w:kern w:val="2"/>
        </w:rPr>
      </w:pPr>
      <w:r>
        <w:rPr>
          <w:rFonts w:hint="eastAsia" w:cs="Times New Roman"/>
          <w:color w:val="000000"/>
          <w:kern w:val="2"/>
        </w:rPr>
        <w:t>（13）甲方不得明示或暗示施工单位购买、租赁、使用不符合安全施工要求的安防用具、机械设备、施工机具及配件、消防设施和器材。</w:t>
      </w:r>
    </w:p>
    <w:p>
      <w:pPr>
        <w:widowControl w:val="0"/>
        <w:spacing w:line="360" w:lineRule="auto"/>
        <w:ind w:firstLine="480" w:firstLineChars="200"/>
        <w:jc w:val="both"/>
        <w:rPr>
          <w:rFonts w:cs="Times New Roman"/>
          <w:color w:val="000000"/>
          <w:kern w:val="2"/>
        </w:rPr>
      </w:pPr>
      <w:r>
        <w:rPr>
          <w:rFonts w:hint="eastAsia" w:cs="Times New Roman"/>
          <w:color w:val="000000"/>
          <w:kern w:val="2"/>
        </w:rPr>
        <w:t>（14）甲方应将安全生产管理纳入项目管理的重要内容，并定期组织监理、施工单位开展安全隐患排查活动，督促乙方安全作业，并依照合同和本协议对不符合安全生产管理规定的行为进行处罚。</w:t>
      </w:r>
    </w:p>
    <w:p>
      <w:pPr>
        <w:widowControl w:val="0"/>
        <w:spacing w:line="360" w:lineRule="auto"/>
        <w:ind w:firstLine="480" w:firstLineChars="200"/>
        <w:jc w:val="both"/>
        <w:rPr>
          <w:rFonts w:cs="Times New Roman"/>
          <w:b/>
          <w:color w:val="000000"/>
          <w:kern w:val="2"/>
        </w:rPr>
      </w:pPr>
      <w:r>
        <w:rPr>
          <w:rFonts w:hint="eastAsia" w:cs="Times New Roman"/>
          <w:color w:val="000000"/>
          <w:kern w:val="2"/>
        </w:rPr>
        <w:t>（15）甲方应按规定进行事故的统计、报告和处理，并建立事故档案。</w:t>
      </w:r>
    </w:p>
    <w:p>
      <w:pPr>
        <w:widowControl w:val="0"/>
        <w:spacing w:line="360" w:lineRule="auto"/>
        <w:ind w:left="540"/>
        <w:jc w:val="both"/>
        <w:rPr>
          <w:rFonts w:cs="Times New Roman"/>
          <w:b/>
          <w:color w:val="000000"/>
          <w:kern w:val="2"/>
        </w:rPr>
      </w:pPr>
      <w:r>
        <w:rPr>
          <w:rFonts w:hint="eastAsia" w:cs="Times New Roman"/>
          <w:color w:val="000000"/>
          <w:kern w:val="2"/>
        </w:rPr>
        <w:t>2、</w:t>
      </w:r>
      <w:r>
        <w:rPr>
          <w:rFonts w:hint="eastAsia" w:cs="Times New Roman"/>
          <w:b/>
          <w:color w:val="000000"/>
          <w:kern w:val="2"/>
        </w:rPr>
        <w:t>乙方责任</w:t>
      </w:r>
    </w:p>
    <w:p>
      <w:pPr>
        <w:widowControl w:val="0"/>
        <w:spacing w:line="360" w:lineRule="auto"/>
        <w:ind w:left="1" w:firstLine="482" w:firstLineChars="200"/>
        <w:jc w:val="both"/>
        <w:rPr>
          <w:rFonts w:cs="Times New Roman"/>
          <w:b/>
          <w:color w:val="000000"/>
          <w:kern w:val="2"/>
        </w:rPr>
      </w:pPr>
      <w:r>
        <w:rPr>
          <w:rFonts w:hint="eastAsia" w:cs="Times New Roman"/>
          <w:b/>
          <w:color w:val="000000"/>
          <w:kern w:val="2"/>
        </w:rPr>
        <w:t>（一）工程安全管理</w:t>
      </w:r>
    </w:p>
    <w:p>
      <w:pPr>
        <w:widowControl w:val="0"/>
        <w:spacing w:line="360" w:lineRule="auto"/>
        <w:ind w:left="1" w:firstLine="480" w:firstLineChars="200"/>
        <w:jc w:val="both"/>
        <w:rPr>
          <w:rFonts w:cs="Times New Roman"/>
          <w:color w:val="000000"/>
          <w:kern w:val="2"/>
        </w:rPr>
      </w:pPr>
      <w:r>
        <w:rPr>
          <w:rFonts w:hint="eastAsia" w:cs="Times New Roman"/>
          <w:color w:val="000000"/>
          <w:kern w:val="2"/>
        </w:rPr>
        <w:t>（1）乙方必须贯彻执行建设工程安全相关法律、法规、规章和标准，以及施工承包合同有关规定和要求，服从甲方及甲方委托的第三方监理单位对安全文明施工的管理，并全面遵守甲方及甲方委托的监理单位有关工程安全的各项规定。</w:t>
      </w:r>
    </w:p>
    <w:p>
      <w:pPr>
        <w:widowControl w:val="0"/>
        <w:spacing w:line="360" w:lineRule="auto"/>
        <w:ind w:left="1" w:firstLine="480" w:firstLineChars="200"/>
        <w:jc w:val="both"/>
        <w:rPr>
          <w:rFonts w:cs="Times New Roman"/>
          <w:color w:val="000000"/>
          <w:kern w:val="2"/>
        </w:rPr>
      </w:pPr>
      <w:r>
        <w:rPr>
          <w:rFonts w:hint="eastAsia" w:cs="Times New Roman"/>
          <w:color w:val="000000"/>
          <w:kern w:val="2"/>
        </w:rPr>
        <w:t>（2）乙方应按照《建筑施工企业安全生产管理机构设置及专职安全生产管理人员配备办法》与合同条款要求，设置专业齐全、功能完善的安全管理机构，配置具有相关经验、管理能力且有较强责任心的安全管理人员。</w:t>
      </w:r>
    </w:p>
    <w:p>
      <w:pPr>
        <w:widowControl w:val="0"/>
        <w:spacing w:line="360" w:lineRule="auto"/>
        <w:ind w:left="1" w:firstLine="480" w:firstLineChars="200"/>
        <w:jc w:val="both"/>
        <w:rPr>
          <w:rFonts w:cs="Times New Roman"/>
          <w:color w:val="000000"/>
          <w:kern w:val="2"/>
        </w:rPr>
      </w:pPr>
      <w:r>
        <w:rPr>
          <w:rFonts w:hint="eastAsia" w:cs="Times New Roman"/>
          <w:color w:val="000000"/>
          <w:kern w:val="2"/>
        </w:rPr>
        <w:t>（3）乙方应向建设单位提交安全管理人员资质证明文件，如果安全管理人员不能满足岗位需求，乙方应按照建设单位的要求更换。</w:t>
      </w:r>
    </w:p>
    <w:p>
      <w:pPr>
        <w:widowControl w:val="0"/>
        <w:spacing w:line="360" w:lineRule="auto"/>
        <w:ind w:firstLine="480" w:firstLineChars="200"/>
        <w:jc w:val="both"/>
        <w:rPr>
          <w:rFonts w:cs="Times New Roman"/>
          <w:color w:val="000000"/>
          <w:kern w:val="2"/>
        </w:rPr>
      </w:pPr>
      <w:r>
        <w:rPr>
          <w:rFonts w:hint="eastAsia" w:cs="Times New Roman"/>
          <w:color w:val="000000"/>
          <w:kern w:val="2"/>
        </w:rPr>
        <w:t>（4）乙方项目部安全总监（安全主任）应具有工程师及以上职称，且有8年以上建设工程安全管理工作经验。</w:t>
      </w:r>
    </w:p>
    <w:p>
      <w:pPr>
        <w:widowControl w:val="0"/>
        <w:spacing w:line="360" w:lineRule="auto"/>
        <w:ind w:firstLine="480" w:firstLineChars="200"/>
        <w:jc w:val="both"/>
        <w:rPr>
          <w:rFonts w:cs="Times New Roman"/>
          <w:color w:val="000000"/>
          <w:kern w:val="2"/>
        </w:rPr>
      </w:pPr>
      <w:r>
        <w:rPr>
          <w:rFonts w:hint="eastAsia" w:cs="Times New Roman"/>
          <w:color w:val="000000"/>
          <w:kern w:val="2"/>
        </w:rPr>
        <w:t>（5）乙方安全管理人员若发生变动或安全总监（安全主任）请假应及时报告监理单位和建设单位，但必须确保在国家法定节假日期间，有专职安全人员在现场跟班监控。</w:t>
      </w:r>
    </w:p>
    <w:p>
      <w:pPr>
        <w:widowControl w:val="0"/>
        <w:spacing w:line="360" w:lineRule="auto"/>
        <w:ind w:firstLine="480" w:firstLineChars="200"/>
        <w:jc w:val="both"/>
        <w:rPr>
          <w:rFonts w:cs="Times New Roman"/>
          <w:color w:val="000000"/>
          <w:kern w:val="2"/>
        </w:rPr>
      </w:pPr>
      <w:r>
        <w:rPr>
          <w:rFonts w:hint="eastAsia" w:cs="Times New Roman"/>
          <w:color w:val="000000"/>
          <w:kern w:val="2"/>
        </w:rPr>
        <w:t>（6）乙方施工管理人员、专职安全员每年度应进行安全教育培训和考核，培训考核记录报监理单位审查备案。</w:t>
      </w:r>
    </w:p>
    <w:p>
      <w:pPr>
        <w:widowControl w:val="0"/>
        <w:spacing w:line="360" w:lineRule="auto"/>
        <w:ind w:firstLine="480" w:firstLineChars="200"/>
        <w:jc w:val="both"/>
        <w:rPr>
          <w:rFonts w:cs="Times New Roman"/>
          <w:color w:val="000000"/>
          <w:kern w:val="2"/>
        </w:rPr>
      </w:pPr>
      <w:r>
        <w:rPr>
          <w:rFonts w:hint="eastAsia" w:cs="Times New Roman"/>
          <w:color w:val="000000"/>
          <w:kern w:val="2"/>
        </w:rPr>
        <w:t>（7）乙方应建立以企业法人为第一责任人、项目经理为直接责任人的项目安全生产管理体系，制定目标与建立、健全和落实安全生产责任制、安全检查、教育培训、安全资金保障、设备进场报验和点检维修、特种设备及危险性设备管理、高危作业申报审批、应急预案、事故调查处理及安全考核奖惩等安全管理规章制度和安全操作规程。安全管理规章制度报监理单位审批，法律法规、规章制度学习记录真实、完整。</w:t>
      </w:r>
    </w:p>
    <w:p>
      <w:pPr>
        <w:widowControl w:val="0"/>
        <w:spacing w:line="360" w:lineRule="auto"/>
        <w:ind w:firstLine="480" w:firstLineChars="200"/>
        <w:jc w:val="both"/>
        <w:rPr>
          <w:rFonts w:cs="Times New Roman"/>
          <w:color w:val="000000"/>
          <w:kern w:val="2"/>
        </w:rPr>
      </w:pPr>
      <w:r>
        <w:rPr>
          <w:rFonts w:hint="eastAsia" w:cs="Times New Roman"/>
          <w:color w:val="000000"/>
          <w:kern w:val="2"/>
        </w:rPr>
        <w:t>（8）乙方应按照《危险性较大的分部分项工程安全管理办法》有关规定，对危险性较大的分部分项工程编制专项施工方案，报监理单位审批。</w:t>
      </w:r>
    </w:p>
    <w:p>
      <w:pPr>
        <w:widowControl w:val="0"/>
        <w:spacing w:line="360" w:lineRule="auto"/>
        <w:ind w:firstLine="480" w:firstLineChars="200"/>
        <w:jc w:val="both"/>
        <w:rPr>
          <w:rFonts w:cs="Times New Roman"/>
          <w:color w:val="000000"/>
          <w:kern w:val="2"/>
        </w:rPr>
      </w:pPr>
      <w:r>
        <w:rPr>
          <w:rFonts w:hint="eastAsia" w:cs="Times New Roman"/>
          <w:color w:val="000000"/>
          <w:kern w:val="2"/>
        </w:rPr>
        <w:t>（9）乙方对超过一定规模的危险性较大的分部分项工程应组织专家论证，并严格按照论证方案组织施工。</w:t>
      </w:r>
    </w:p>
    <w:p>
      <w:pPr>
        <w:widowControl w:val="0"/>
        <w:spacing w:line="360" w:lineRule="auto"/>
        <w:ind w:firstLine="480" w:firstLineChars="200"/>
        <w:jc w:val="both"/>
        <w:rPr>
          <w:rFonts w:cs="Times New Roman"/>
          <w:color w:val="000000"/>
          <w:kern w:val="2"/>
        </w:rPr>
      </w:pPr>
      <w:r>
        <w:rPr>
          <w:rFonts w:hint="eastAsia" w:cs="Times New Roman"/>
          <w:color w:val="000000"/>
          <w:kern w:val="2"/>
        </w:rPr>
        <w:t>（10）乙方应加强对重大危险源的控制与管理，制定重大危险源的管理制度，对施工现场的重大危险源进行辨识、登记、公示、控制。</w:t>
      </w:r>
    </w:p>
    <w:p>
      <w:pPr>
        <w:widowControl w:val="0"/>
        <w:spacing w:line="360" w:lineRule="auto"/>
        <w:ind w:firstLine="480" w:firstLineChars="200"/>
        <w:jc w:val="both"/>
        <w:rPr>
          <w:rFonts w:cs="Times New Roman"/>
          <w:color w:val="000000"/>
          <w:kern w:val="2"/>
        </w:rPr>
      </w:pPr>
      <w:r>
        <w:rPr>
          <w:rFonts w:hint="eastAsia" w:cs="Times New Roman"/>
          <w:color w:val="000000"/>
          <w:kern w:val="2"/>
        </w:rPr>
        <w:t>（11）乙方必须严格遵循施工作业防护在先，作业在后的顺序，禁止先作业，后补防护或无防护冒险施工的情况发生。</w:t>
      </w:r>
    </w:p>
    <w:p>
      <w:pPr>
        <w:widowControl w:val="0"/>
        <w:spacing w:line="360" w:lineRule="auto"/>
        <w:ind w:firstLine="480" w:firstLineChars="200"/>
        <w:jc w:val="both"/>
        <w:rPr>
          <w:rFonts w:cs="Times New Roman"/>
          <w:color w:val="000000"/>
          <w:kern w:val="2"/>
        </w:rPr>
      </w:pPr>
      <w:r>
        <w:rPr>
          <w:rFonts w:hint="eastAsia" w:cs="Times New Roman"/>
          <w:color w:val="000000"/>
          <w:kern w:val="2"/>
        </w:rPr>
        <w:t>（12）乙方应在监理单位见证下及时将脚手架钢管、扣件、安全网、安全帽、安全带等安全用具送检，经检验合格后方可投入使用。</w:t>
      </w:r>
    </w:p>
    <w:p>
      <w:pPr>
        <w:widowControl w:val="0"/>
        <w:spacing w:line="360" w:lineRule="auto"/>
        <w:ind w:firstLine="480" w:firstLineChars="200"/>
        <w:jc w:val="both"/>
        <w:rPr>
          <w:rFonts w:cs="Times New Roman"/>
          <w:color w:val="000000"/>
          <w:kern w:val="2"/>
        </w:rPr>
      </w:pPr>
      <w:r>
        <w:rPr>
          <w:rFonts w:hint="eastAsia" w:cs="Times New Roman"/>
          <w:color w:val="000000"/>
          <w:kern w:val="2"/>
        </w:rPr>
        <w:t>（13）乙方进场的施工机具、设施设备投入使用前，应报监理单位验收。</w:t>
      </w:r>
    </w:p>
    <w:p>
      <w:pPr>
        <w:widowControl w:val="0"/>
        <w:spacing w:line="360" w:lineRule="auto"/>
        <w:ind w:firstLine="480" w:firstLineChars="200"/>
        <w:jc w:val="both"/>
        <w:rPr>
          <w:rFonts w:cs="Times New Roman"/>
          <w:color w:val="000000"/>
          <w:kern w:val="2"/>
        </w:rPr>
      </w:pPr>
      <w:r>
        <w:rPr>
          <w:rFonts w:hint="eastAsia" w:cs="Times New Roman"/>
          <w:color w:val="000000"/>
          <w:kern w:val="2"/>
        </w:rPr>
        <w:t>（14）乙方应加强安全生产教育培训，对新进场、转岗工人进行三级安全教育，并按照《深圳市住房和建设局关于试行建筑从业人员安全教育数字化教材强化实名制安全教育培训的通知》，落实实名制安全教育培训工作。</w:t>
      </w:r>
    </w:p>
    <w:p>
      <w:pPr>
        <w:widowControl w:val="0"/>
        <w:spacing w:line="360" w:lineRule="auto"/>
        <w:ind w:firstLine="480" w:firstLineChars="200"/>
        <w:jc w:val="both"/>
        <w:rPr>
          <w:rFonts w:cs="Times New Roman"/>
          <w:color w:val="000000"/>
          <w:kern w:val="2"/>
        </w:rPr>
      </w:pPr>
      <w:r>
        <w:rPr>
          <w:rFonts w:hint="eastAsia" w:cs="Times New Roman"/>
          <w:color w:val="000000"/>
          <w:kern w:val="2"/>
        </w:rPr>
        <w:t>（15）乙方每天应开展班前安全交底，每月开展岗位操作规程培训，监理旁站见证。</w:t>
      </w:r>
    </w:p>
    <w:p>
      <w:pPr>
        <w:widowControl w:val="0"/>
        <w:spacing w:line="360" w:lineRule="auto"/>
        <w:ind w:firstLine="480" w:firstLineChars="200"/>
        <w:jc w:val="both"/>
        <w:rPr>
          <w:rFonts w:cs="Times New Roman"/>
          <w:color w:val="000000"/>
          <w:kern w:val="2"/>
        </w:rPr>
      </w:pPr>
      <w:r>
        <w:rPr>
          <w:rFonts w:hint="eastAsia" w:cs="Times New Roman"/>
          <w:color w:val="000000"/>
          <w:kern w:val="2"/>
        </w:rPr>
        <w:t>（16）乙方专项方案实施前，编制人员或项目技术负责人应当向现场管理人员和作业人员进行安全技术交底，需监理旁站见证。</w:t>
      </w:r>
    </w:p>
    <w:p>
      <w:pPr>
        <w:widowControl w:val="0"/>
        <w:spacing w:line="360" w:lineRule="auto"/>
        <w:ind w:firstLine="480" w:firstLineChars="200"/>
        <w:jc w:val="both"/>
        <w:rPr>
          <w:rFonts w:cs="Times New Roman"/>
          <w:color w:val="000000"/>
          <w:kern w:val="2"/>
        </w:rPr>
      </w:pPr>
      <w:r>
        <w:rPr>
          <w:rFonts w:hint="eastAsia" w:cs="Times New Roman"/>
          <w:color w:val="000000"/>
          <w:kern w:val="2"/>
        </w:rPr>
        <w:t>（17）乙方特种作业人员应持证上岗，上岗前应对其进行安全技术交底，每月对其进行安全教育培训。</w:t>
      </w:r>
    </w:p>
    <w:p>
      <w:pPr>
        <w:widowControl w:val="0"/>
        <w:spacing w:line="360" w:lineRule="auto"/>
        <w:ind w:firstLine="480" w:firstLineChars="200"/>
        <w:jc w:val="both"/>
        <w:rPr>
          <w:rFonts w:cs="Times New Roman"/>
          <w:color w:val="000000"/>
          <w:kern w:val="2"/>
        </w:rPr>
      </w:pPr>
      <w:r>
        <w:rPr>
          <w:rFonts w:hint="eastAsia" w:cs="Times New Roman"/>
          <w:color w:val="000000"/>
          <w:kern w:val="2"/>
        </w:rPr>
        <w:t>（18）乙方安全员应每日对现场进行安全巡查，并填写安全巡查日志。</w:t>
      </w:r>
    </w:p>
    <w:p>
      <w:pPr>
        <w:widowControl w:val="0"/>
        <w:spacing w:line="360" w:lineRule="auto"/>
        <w:ind w:firstLine="480" w:firstLineChars="200"/>
        <w:jc w:val="both"/>
        <w:rPr>
          <w:rFonts w:cs="Times New Roman"/>
          <w:color w:val="000000"/>
          <w:kern w:val="2"/>
        </w:rPr>
      </w:pPr>
      <w:r>
        <w:rPr>
          <w:rFonts w:hint="eastAsia" w:cs="Times New Roman"/>
          <w:color w:val="000000"/>
          <w:kern w:val="2"/>
        </w:rPr>
        <w:t>（19）乙方项目部应每周开展安全检查，每月开展安全自评。</w:t>
      </w:r>
    </w:p>
    <w:p>
      <w:pPr>
        <w:widowControl w:val="0"/>
        <w:spacing w:line="360" w:lineRule="auto"/>
        <w:ind w:firstLine="480" w:firstLineChars="200"/>
        <w:jc w:val="both"/>
        <w:rPr>
          <w:rFonts w:cs="Times New Roman"/>
          <w:color w:val="000000"/>
          <w:kern w:val="2"/>
        </w:rPr>
      </w:pPr>
      <w:r>
        <w:rPr>
          <w:rFonts w:hint="eastAsia" w:cs="Times New Roman"/>
          <w:color w:val="000000"/>
          <w:kern w:val="2"/>
        </w:rPr>
        <w:t>（20）乙方对于施工现场的外脚手架、塔吊、施工电梯、模板支撑系统、施工机具、临时用电等进行安全自检，并做好检查记录。</w:t>
      </w:r>
    </w:p>
    <w:p>
      <w:pPr>
        <w:widowControl w:val="0"/>
        <w:spacing w:line="360" w:lineRule="auto"/>
        <w:ind w:left="1" w:firstLine="480" w:firstLineChars="200"/>
        <w:jc w:val="both"/>
        <w:rPr>
          <w:rFonts w:cs="Times New Roman"/>
          <w:color w:val="000000"/>
          <w:kern w:val="2"/>
        </w:rPr>
      </w:pPr>
      <w:r>
        <w:rPr>
          <w:rFonts w:hint="eastAsia" w:cs="Times New Roman"/>
          <w:color w:val="000000"/>
          <w:kern w:val="2"/>
        </w:rPr>
        <w:t>（21）乙方应定期召开安全会议，分析安全形势，在计划、布置、检查、总结和评比生产工作的同时，计划、布置、检查、总结和评比安全工作。积极宣传党和国家关于建设工程安全生产工作的方针政策，及时传达上级关于安全工作的通知和会议精神。</w:t>
      </w:r>
    </w:p>
    <w:p>
      <w:pPr>
        <w:widowControl w:val="0"/>
        <w:spacing w:line="360" w:lineRule="auto"/>
        <w:ind w:firstLine="480" w:firstLineChars="200"/>
        <w:jc w:val="both"/>
        <w:rPr>
          <w:rFonts w:cs="Times New Roman"/>
          <w:color w:val="000000"/>
          <w:kern w:val="2"/>
        </w:rPr>
      </w:pPr>
      <w:r>
        <w:rPr>
          <w:rFonts w:hint="eastAsia" w:cs="Times New Roman"/>
          <w:color w:val="000000"/>
          <w:kern w:val="2"/>
        </w:rPr>
        <w:t>（22）乙方应参加监理单位组织的项目定期安全检查和项目安全生产专题会议，对检查发现的各项安全隐患按照“三定”原则进行整改。</w:t>
      </w:r>
    </w:p>
    <w:p>
      <w:pPr>
        <w:widowControl w:val="0"/>
        <w:spacing w:line="360" w:lineRule="auto"/>
        <w:ind w:firstLine="480" w:firstLineChars="200"/>
        <w:jc w:val="both"/>
        <w:rPr>
          <w:rFonts w:cs="Times New Roman"/>
          <w:color w:val="000000"/>
          <w:kern w:val="2"/>
        </w:rPr>
      </w:pPr>
      <w:r>
        <w:rPr>
          <w:rFonts w:hint="eastAsia" w:cs="Times New Roman"/>
          <w:color w:val="000000"/>
          <w:kern w:val="2"/>
        </w:rPr>
        <w:t>（23）乙方应严格执行工伤保险和建筑工程意外伤害险制度，依法为现场施工人员办理保险，支付保险费，做好施工现场安全保卫工作。</w:t>
      </w:r>
    </w:p>
    <w:p>
      <w:pPr>
        <w:widowControl w:val="0"/>
        <w:spacing w:line="360" w:lineRule="auto"/>
        <w:ind w:firstLine="480" w:firstLineChars="200"/>
        <w:jc w:val="both"/>
        <w:rPr>
          <w:rFonts w:cs="Times New Roman"/>
          <w:color w:val="000000"/>
          <w:kern w:val="2"/>
        </w:rPr>
      </w:pPr>
      <w:r>
        <w:rPr>
          <w:rFonts w:hint="eastAsia" w:cs="Times New Roman"/>
          <w:color w:val="000000"/>
          <w:kern w:val="2"/>
        </w:rPr>
        <w:t>（24）乙方应对安全文明措施费用专款专用，在财务管理中单独列出安全文明施工措施项目费用清单，每月报安全资金使用计划清单及上月安全资金使用情况清单，并附票据复印件。</w:t>
      </w:r>
    </w:p>
    <w:p>
      <w:pPr>
        <w:widowControl w:val="0"/>
        <w:spacing w:line="360" w:lineRule="auto"/>
        <w:ind w:firstLine="480" w:firstLineChars="200"/>
        <w:jc w:val="both"/>
        <w:rPr>
          <w:rFonts w:cs="Times New Roman"/>
          <w:color w:val="000000"/>
          <w:kern w:val="2"/>
        </w:rPr>
      </w:pPr>
      <w:r>
        <w:rPr>
          <w:rFonts w:hint="eastAsia" w:cs="Times New Roman"/>
          <w:color w:val="000000"/>
          <w:kern w:val="2"/>
        </w:rPr>
        <w:t>（25）乙方应对分包单位进行资质、安全生产许可证和相关人员安全生产资格的审查，并报监理单位审核。</w:t>
      </w:r>
    </w:p>
    <w:p>
      <w:pPr>
        <w:widowControl w:val="0"/>
        <w:spacing w:line="360" w:lineRule="auto"/>
        <w:ind w:firstLine="480" w:firstLineChars="200"/>
        <w:jc w:val="both"/>
        <w:rPr>
          <w:rFonts w:cs="Times New Roman"/>
          <w:color w:val="000000"/>
          <w:kern w:val="2"/>
        </w:rPr>
      </w:pPr>
      <w:r>
        <w:rPr>
          <w:rFonts w:hint="eastAsia" w:cs="Times New Roman"/>
          <w:color w:val="000000"/>
          <w:kern w:val="2"/>
        </w:rPr>
        <w:t>（26）乙方应与分包单位（含甲方专业分包）签订安全生产协议、消防协议，并报建设单位备案，并负责分包单位（含甲方专业分包）统一协调、管理。</w:t>
      </w:r>
    </w:p>
    <w:p>
      <w:pPr>
        <w:widowControl w:val="0"/>
        <w:spacing w:line="360" w:lineRule="auto"/>
        <w:ind w:firstLine="480" w:firstLineChars="200"/>
        <w:jc w:val="both"/>
        <w:rPr>
          <w:rFonts w:cs="Times New Roman"/>
          <w:color w:val="000000"/>
          <w:kern w:val="2"/>
        </w:rPr>
      </w:pPr>
      <w:r>
        <w:rPr>
          <w:rFonts w:hint="eastAsia" w:cs="Times New Roman"/>
          <w:color w:val="000000"/>
          <w:kern w:val="2"/>
        </w:rPr>
        <w:t>（27）乙方分包单位应按规定建立安全管理机构，配备项目经理和专职安全员，项目经理和专职安全员应具有B证、C证。</w:t>
      </w:r>
    </w:p>
    <w:p>
      <w:pPr>
        <w:widowControl w:val="0"/>
        <w:spacing w:line="360" w:lineRule="auto"/>
        <w:ind w:firstLine="480" w:firstLineChars="200"/>
        <w:jc w:val="both"/>
        <w:rPr>
          <w:rFonts w:cs="Times New Roman"/>
          <w:color w:val="000000"/>
          <w:kern w:val="2"/>
        </w:rPr>
      </w:pPr>
      <w:r>
        <w:rPr>
          <w:rFonts w:hint="eastAsia" w:cs="Times New Roman"/>
          <w:color w:val="000000"/>
          <w:kern w:val="2"/>
        </w:rPr>
        <w:t>（28）乙方应对建筑工程安全文明施工措施费的使用负总责，按规定及合同约定及时向分包单位支付安全文明施工措施费，否则，因此造成分包单位不能及时落实安全防护措施导致发生事故的，由乙方负主要责任。</w:t>
      </w:r>
    </w:p>
    <w:p>
      <w:pPr>
        <w:widowControl w:val="0"/>
        <w:spacing w:line="360" w:lineRule="auto"/>
        <w:ind w:firstLine="480" w:firstLineChars="200"/>
        <w:jc w:val="both"/>
        <w:rPr>
          <w:rFonts w:cs="Times New Roman"/>
          <w:color w:val="000000"/>
          <w:kern w:val="2"/>
        </w:rPr>
      </w:pPr>
      <w:r>
        <w:rPr>
          <w:rFonts w:hint="eastAsia" w:cs="Times New Roman"/>
          <w:color w:val="000000"/>
          <w:kern w:val="2"/>
        </w:rPr>
        <w:t>（29）乙方应关心项目管理人员和操作工人的身体、心理健康，定期组织身体、心理健康状态筛查。严禁患有心脏病、癫痫、高血压、恐高、肢体残疾、心理扭曲、思想极端、狂躁易怒或其它疾病的工人从事高空、临边、操作施工机械等高危工作，对不适应工地工作环境的带病人员给予劝退。</w:t>
      </w:r>
    </w:p>
    <w:p>
      <w:pPr>
        <w:widowControl w:val="0"/>
        <w:spacing w:line="360" w:lineRule="auto"/>
        <w:ind w:firstLine="480" w:firstLineChars="200"/>
        <w:jc w:val="both"/>
        <w:rPr>
          <w:rFonts w:cs="Times New Roman"/>
          <w:color w:val="000000"/>
          <w:kern w:val="2"/>
        </w:rPr>
      </w:pPr>
      <w:r>
        <w:rPr>
          <w:rFonts w:hint="eastAsia" w:cs="Times New Roman"/>
          <w:color w:val="000000"/>
          <w:kern w:val="2"/>
        </w:rPr>
        <w:t>（30）乙方应严格执行深圳市关于劳务工实名制和分账制的有关规定和要求，建立劳务工实名制和分账制，设立工人工资支付专用账户，配备劳资管理员，建立劳动用工管理台账，确保劳务工工资按时按月足额拨付到工人工资专户，并按月将工人工资支付明细表报甲方备案。</w:t>
      </w:r>
    </w:p>
    <w:p>
      <w:pPr>
        <w:widowControl w:val="0"/>
        <w:spacing w:line="360" w:lineRule="auto"/>
        <w:ind w:firstLine="480" w:firstLineChars="200"/>
        <w:jc w:val="both"/>
        <w:rPr>
          <w:rFonts w:cs="Times New Roman"/>
          <w:color w:val="000000"/>
          <w:kern w:val="2"/>
        </w:rPr>
      </w:pPr>
      <w:r>
        <w:rPr>
          <w:rFonts w:hint="eastAsia" w:cs="Times New Roman"/>
          <w:color w:val="000000"/>
          <w:kern w:val="2"/>
        </w:rPr>
        <w:t>（31）乙方应按规定设置劳务工维权信息牌，关心工人、加强沟通交流，保障工人的基本生活条件。时刻保持维稳工作的敏感性，发现不稳定因素密切跟踪，出现不稳定苗头及时制止，防止矛盾激化或不稳的因素扩大。</w:t>
      </w:r>
    </w:p>
    <w:p>
      <w:pPr>
        <w:widowControl w:val="0"/>
        <w:spacing w:line="360" w:lineRule="auto"/>
        <w:ind w:firstLine="480" w:firstLineChars="200"/>
        <w:jc w:val="both"/>
        <w:rPr>
          <w:rFonts w:cs="Times New Roman"/>
          <w:color w:val="000000"/>
          <w:kern w:val="2"/>
        </w:rPr>
      </w:pPr>
      <w:r>
        <w:rPr>
          <w:rFonts w:hint="eastAsia" w:cs="Times New Roman"/>
          <w:color w:val="000000"/>
          <w:kern w:val="2"/>
        </w:rPr>
        <w:t>（32）乙方应针对工程特点，制定防触电、防坍塌、防高处坠落、防起重及机械伤害、防火灾、防物体打击等主要内容的专项应急救援预案。</w:t>
      </w:r>
    </w:p>
    <w:p>
      <w:pPr>
        <w:widowControl w:val="0"/>
        <w:spacing w:line="360" w:lineRule="auto"/>
        <w:ind w:firstLine="480" w:firstLineChars="200"/>
        <w:jc w:val="both"/>
        <w:rPr>
          <w:rFonts w:cs="Times New Roman"/>
          <w:color w:val="000000"/>
          <w:kern w:val="2"/>
        </w:rPr>
      </w:pPr>
      <w:r>
        <w:rPr>
          <w:rFonts w:hint="eastAsia" w:cs="Times New Roman"/>
          <w:color w:val="000000"/>
          <w:kern w:val="2"/>
        </w:rPr>
        <w:t>（33）乙方应建立应急救援组织，培训、配备应急救援人员，定期组织员工进行应急救援演练，并做好演练记录。</w:t>
      </w:r>
    </w:p>
    <w:p>
      <w:pPr>
        <w:widowControl w:val="0"/>
        <w:spacing w:line="360" w:lineRule="auto"/>
        <w:ind w:firstLine="480" w:firstLineChars="200"/>
        <w:jc w:val="both"/>
        <w:rPr>
          <w:rFonts w:cs="Times New Roman"/>
          <w:color w:val="000000"/>
          <w:kern w:val="2"/>
        </w:rPr>
      </w:pPr>
      <w:r>
        <w:rPr>
          <w:rFonts w:hint="eastAsia" w:cs="Times New Roman"/>
          <w:color w:val="000000"/>
          <w:kern w:val="2"/>
        </w:rPr>
        <w:t>（34）乙方应按应急救援预案要求，配备应急救援器材和设备。</w:t>
      </w:r>
    </w:p>
    <w:p>
      <w:pPr>
        <w:widowControl w:val="0"/>
        <w:spacing w:line="360" w:lineRule="auto"/>
        <w:ind w:firstLine="480" w:firstLineChars="200"/>
        <w:jc w:val="both"/>
        <w:rPr>
          <w:rFonts w:cs="Times New Roman"/>
          <w:color w:val="000000"/>
          <w:kern w:val="2"/>
        </w:rPr>
      </w:pPr>
      <w:r>
        <w:rPr>
          <w:rFonts w:hint="eastAsia" w:cs="Times New Roman"/>
          <w:color w:val="000000"/>
          <w:kern w:val="2"/>
        </w:rPr>
        <w:t>（35）事故发生后，乙方应全力开展应急抢险救援，及时将事故原因、抢险措施上报政府有关部门和甲方，按“四不放过”原则做好事故调查处理工作。</w:t>
      </w:r>
    </w:p>
    <w:p>
      <w:pPr>
        <w:widowControl w:val="0"/>
        <w:spacing w:line="360" w:lineRule="auto"/>
        <w:ind w:firstLine="482" w:firstLineChars="200"/>
        <w:jc w:val="both"/>
        <w:rPr>
          <w:rFonts w:cs="Times New Roman"/>
          <w:color w:val="000000"/>
          <w:kern w:val="2"/>
        </w:rPr>
      </w:pPr>
      <w:r>
        <w:rPr>
          <w:rFonts w:hint="eastAsia" w:cs="Times New Roman"/>
          <w:b/>
          <w:color w:val="000000"/>
          <w:kern w:val="2"/>
        </w:rPr>
        <w:t>（二）文明施工管理</w:t>
      </w:r>
    </w:p>
    <w:p>
      <w:pPr>
        <w:widowControl w:val="0"/>
        <w:spacing w:line="360" w:lineRule="auto"/>
        <w:ind w:firstLine="480" w:firstLineChars="200"/>
        <w:jc w:val="both"/>
        <w:rPr>
          <w:rFonts w:cs="Times New Roman"/>
          <w:color w:val="000000"/>
          <w:kern w:val="2"/>
        </w:rPr>
      </w:pPr>
      <w:r>
        <w:rPr>
          <w:rFonts w:hint="eastAsia" w:cs="Times New Roman"/>
          <w:color w:val="000000"/>
          <w:kern w:val="2"/>
        </w:rPr>
        <w:t>（1）严格执行工程建设文明施工、城市管理、环境保护、道路交通等方面的法律、法规、规章和规范性文件，有效解决环境卫生、扬尘、噪音扰民、泥浆排放、土方外运、泥头车管理等存在的问题。</w:t>
      </w:r>
    </w:p>
    <w:p>
      <w:pPr>
        <w:widowControl w:val="0"/>
        <w:spacing w:line="360" w:lineRule="auto"/>
        <w:ind w:firstLine="480" w:firstLineChars="200"/>
        <w:jc w:val="both"/>
        <w:rPr>
          <w:rFonts w:cs="Times New Roman"/>
          <w:color w:val="000000"/>
          <w:kern w:val="2"/>
        </w:rPr>
      </w:pPr>
      <w:r>
        <w:rPr>
          <w:rFonts w:hint="eastAsia" w:cs="Times New Roman"/>
          <w:color w:val="000000"/>
          <w:kern w:val="2"/>
        </w:rPr>
        <w:t>（2）乙方应当按照《深圳市建设工程现场文明施工管理办法》、《深圳市建设工程安全文明施工标准》、《深圳市建设工程扬尘污染防治专项方案》等有关规定，结合工程特点和作业环境要求，对安全施工、文明施工进行设计，编制文明施工专项方案及安全施工专项方案，报监理单位审批，并征得甲方同意，严格落实安全文明施工标准化措施。</w:t>
      </w:r>
    </w:p>
    <w:p>
      <w:pPr>
        <w:widowControl w:val="0"/>
        <w:spacing w:line="360" w:lineRule="auto"/>
        <w:ind w:firstLine="480" w:firstLineChars="200"/>
        <w:jc w:val="both"/>
        <w:rPr>
          <w:rFonts w:cs="Times New Roman"/>
          <w:color w:val="000000"/>
          <w:kern w:val="2"/>
        </w:rPr>
      </w:pPr>
      <w:r>
        <w:rPr>
          <w:rFonts w:hint="eastAsia" w:cs="Times New Roman"/>
          <w:color w:val="000000"/>
          <w:kern w:val="2"/>
        </w:rPr>
        <w:t>（3）乙方</w:t>
      </w:r>
      <w:r>
        <w:rPr>
          <w:rFonts w:hint="eastAsia" w:cs="Times New Roman"/>
          <w:color w:val="000000"/>
          <w:kern w:val="44"/>
        </w:rPr>
        <w:t>对现场安全防护、文明施工设施、现场安全文化等除严格按照</w:t>
      </w:r>
      <w:r>
        <w:rPr>
          <w:rFonts w:hint="eastAsia" w:cs="Times New Roman"/>
          <w:color w:val="000000"/>
          <w:kern w:val="2"/>
        </w:rPr>
        <w:t>《深圳市建设工程安全文明施工标准》</w:t>
      </w:r>
      <w:r>
        <w:rPr>
          <w:rFonts w:hint="eastAsia" w:cs="Times New Roman"/>
          <w:color w:val="000000"/>
          <w:kern w:val="44"/>
        </w:rPr>
        <w:t>要求进行标准化设置外，其中大门、围挡、工地制度牌、塔吊塔身公示牌及楼宇企业表示牌等应符合《深圳市人才安居集团有限公司视觉形象识别手册》的统一形象设计要求。</w:t>
      </w:r>
    </w:p>
    <w:p>
      <w:pPr>
        <w:widowControl w:val="0"/>
        <w:spacing w:line="360" w:lineRule="auto"/>
        <w:ind w:firstLine="480" w:firstLineChars="200"/>
        <w:jc w:val="both"/>
        <w:rPr>
          <w:rFonts w:cs="Times New Roman"/>
          <w:color w:val="000000"/>
          <w:kern w:val="2"/>
        </w:rPr>
      </w:pPr>
      <w:r>
        <w:rPr>
          <w:rFonts w:hint="eastAsia" w:cs="Times New Roman"/>
          <w:color w:val="000000"/>
          <w:kern w:val="2"/>
        </w:rPr>
        <w:t>（4）乙方在工地应设有铁制双开大门、洗车台、冲洗池、喷枪等设施，做好泥浆外运和泥头车管理，保证工地周边市政道路不受污染。</w:t>
      </w:r>
    </w:p>
    <w:p>
      <w:pPr>
        <w:widowControl w:val="0"/>
        <w:spacing w:line="360" w:lineRule="auto"/>
        <w:ind w:firstLine="480" w:firstLineChars="200"/>
        <w:jc w:val="both"/>
        <w:rPr>
          <w:rFonts w:cs="Times New Roman"/>
          <w:color w:val="000000"/>
          <w:kern w:val="2"/>
        </w:rPr>
      </w:pPr>
      <w:r>
        <w:rPr>
          <w:rFonts w:hint="eastAsia" w:cs="Times New Roman"/>
          <w:color w:val="000000"/>
          <w:kern w:val="2"/>
        </w:rPr>
        <w:t>（5）乙方应按规定落实场地硬化，道路畅通、不积水，各种材料分类堆放，场地容貌整洁卫生，泥浆、污水排放达标。</w:t>
      </w:r>
    </w:p>
    <w:p>
      <w:pPr>
        <w:widowControl w:val="0"/>
        <w:spacing w:line="360" w:lineRule="auto"/>
        <w:ind w:firstLine="480" w:firstLineChars="200"/>
        <w:jc w:val="both"/>
        <w:rPr>
          <w:rFonts w:cs="Times New Roman"/>
          <w:color w:val="000000"/>
          <w:kern w:val="2"/>
        </w:rPr>
      </w:pPr>
      <w:r>
        <w:rPr>
          <w:rFonts w:hint="eastAsia" w:cs="Times New Roman"/>
          <w:color w:val="000000"/>
          <w:kern w:val="2"/>
        </w:rPr>
        <w:t>（6）乙方在工地设置的“五小”设施（办公室、宿舍、厕所、浴室、食堂）应齐全，做好防暑降温、防台防汛、消灭“四害”、卫生防疫工作，杜绝中毒事件，现场办公生活区满足卫生防疫的相关规定。</w:t>
      </w:r>
    </w:p>
    <w:p>
      <w:pPr>
        <w:widowControl w:val="0"/>
        <w:spacing w:line="360" w:lineRule="auto"/>
        <w:ind w:firstLine="480" w:firstLineChars="200"/>
        <w:jc w:val="both"/>
        <w:rPr>
          <w:rFonts w:cs="Times New Roman"/>
          <w:color w:val="000000"/>
          <w:kern w:val="2"/>
        </w:rPr>
      </w:pPr>
      <w:r>
        <w:rPr>
          <w:rFonts w:hint="eastAsia" w:cs="Times New Roman"/>
          <w:color w:val="000000"/>
          <w:kern w:val="2"/>
        </w:rPr>
        <w:t>（7）乙方施工现场应对主要道路洒水降尘。</w:t>
      </w:r>
    </w:p>
    <w:p>
      <w:pPr>
        <w:widowControl w:val="0"/>
        <w:spacing w:line="360" w:lineRule="auto"/>
        <w:ind w:firstLine="480" w:firstLineChars="200"/>
        <w:jc w:val="both"/>
        <w:rPr>
          <w:rFonts w:cs="Times New Roman"/>
          <w:color w:val="000000"/>
          <w:kern w:val="2"/>
        </w:rPr>
      </w:pPr>
      <w:r>
        <w:rPr>
          <w:rFonts w:hint="eastAsia" w:cs="Times New Roman"/>
          <w:color w:val="000000"/>
          <w:kern w:val="2"/>
        </w:rPr>
        <w:t>（8）乙方应根据《深圳市建设工程扬尘污染防治专项方案》的要求，做到施工围挡及外架100%全封闭，出入口及车行道100%硬底化，出入口100%安装冲洗设施，易起尘作业面100%湿法施工，裸露土及易起尘物料100%覆盖，出入口100%安装TSP在线监测和视频监控系统。</w:t>
      </w:r>
    </w:p>
    <w:p>
      <w:pPr>
        <w:widowControl w:val="0"/>
        <w:spacing w:line="360" w:lineRule="auto"/>
        <w:ind w:firstLine="480" w:firstLineChars="200"/>
        <w:jc w:val="both"/>
        <w:rPr>
          <w:rFonts w:cs="Times New Roman"/>
          <w:color w:val="000000"/>
          <w:kern w:val="2"/>
        </w:rPr>
      </w:pPr>
      <w:r>
        <w:rPr>
          <w:rFonts w:hint="eastAsia" w:cs="Times New Roman"/>
          <w:color w:val="000000"/>
          <w:kern w:val="2"/>
        </w:rPr>
        <w:t>（9）乙方生活区应明确责任人。食堂应办理卫生许可证，炊事人员应办理健康证，食物留样。宿舍应干净整洁，严禁存放易燃易爆物品。</w:t>
      </w:r>
    </w:p>
    <w:p>
      <w:pPr>
        <w:widowControl w:val="0"/>
        <w:spacing w:line="360" w:lineRule="auto"/>
        <w:ind w:firstLine="480" w:firstLineChars="200"/>
        <w:jc w:val="both"/>
        <w:rPr>
          <w:rFonts w:cs="Times New Roman"/>
          <w:color w:val="000000"/>
          <w:kern w:val="2"/>
        </w:rPr>
      </w:pPr>
      <w:r>
        <w:rPr>
          <w:rFonts w:hint="eastAsia" w:cs="Times New Roman"/>
          <w:color w:val="000000"/>
          <w:kern w:val="2"/>
        </w:rPr>
        <w:t>（10）乙方办公、生活区应绿化，并与施工区隔离，在塔吊回转半径内或外脚手架坠落半径内应搭设双层防护棚。</w:t>
      </w:r>
    </w:p>
    <w:p>
      <w:pPr>
        <w:widowControl w:val="0"/>
        <w:spacing w:line="360" w:lineRule="auto"/>
        <w:ind w:firstLine="480" w:firstLineChars="200"/>
        <w:jc w:val="both"/>
        <w:rPr>
          <w:rFonts w:cs="Times New Roman"/>
          <w:color w:val="000000"/>
          <w:kern w:val="2"/>
        </w:rPr>
      </w:pPr>
      <w:r>
        <w:rPr>
          <w:rFonts w:hint="eastAsia" w:cs="Times New Roman"/>
          <w:color w:val="000000"/>
          <w:kern w:val="2"/>
        </w:rPr>
        <w:t>（11）乙方应定期对施工现场文明施工情况进行检查，及时对检查发现问题和隐患进行整改。</w:t>
      </w:r>
    </w:p>
    <w:p>
      <w:pPr>
        <w:widowControl/>
        <w:spacing w:line="500" w:lineRule="exact"/>
        <w:ind w:firstLine="480" w:firstLineChars="200"/>
        <w:jc w:val="left"/>
      </w:pPr>
      <w:r>
        <w:rPr>
          <w:rFonts w:hint="eastAsia"/>
        </w:rPr>
        <w:t>（三）事故处理</w:t>
      </w:r>
    </w:p>
    <w:p>
      <w:pPr>
        <w:widowControl/>
        <w:spacing w:line="500" w:lineRule="exact"/>
        <w:ind w:firstLine="480" w:firstLineChars="200"/>
        <w:jc w:val="left"/>
      </w:pPr>
      <w:r>
        <w:rPr>
          <w:rFonts w:hint="eastAsia"/>
        </w:rPr>
        <w:t>1．工程施工过程中发生事故事件的，乙方应立即通知甲方，执行甲方的事故事件报送要求。甲乙双方应立即组织人员和设备进行紧急抢救和抢修，减少人员伤亡和财产损失，防止事故扩大，并保护事故现场。需要移动现场物品时，应做出标记和书面或视频影像记录，妥善保管有关证据。</w:t>
      </w:r>
    </w:p>
    <w:p>
      <w:pPr>
        <w:widowControl/>
        <w:spacing w:line="500" w:lineRule="exact"/>
        <w:ind w:firstLine="480" w:firstLineChars="200"/>
        <w:jc w:val="left"/>
      </w:pPr>
      <w:r>
        <w:rPr>
          <w:rFonts w:hint="eastAsia"/>
        </w:rPr>
        <w:t>2．甲乙双方应按国家有关规定，及时如实地向有关部门报告事故发生的情况，以及正在采取的紧急措施等，按规定组织调查处理并统计上报，并协助政府部门事故调查组进行事故调查。</w:t>
      </w:r>
    </w:p>
    <w:p>
      <w:pPr>
        <w:widowControl/>
        <w:spacing w:line="500" w:lineRule="exact"/>
        <w:ind w:firstLine="480" w:firstLineChars="200"/>
        <w:jc w:val="left"/>
      </w:pPr>
      <w:r>
        <w:rPr>
          <w:rFonts w:hint="eastAsia"/>
        </w:rPr>
        <w:t>3．涉及甲乙双方的事故，按照事故处理权限由甲乙双方共同组成调查组，查明事故原因，确定主要责任者、提出事故处理意见和防范措施的建议，编制事故调查报告并提交甲乙双方备案。</w:t>
      </w:r>
    </w:p>
    <w:p>
      <w:pPr>
        <w:widowControl/>
        <w:spacing w:line="500" w:lineRule="exact"/>
        <w:ind w:firstLine="480" w:firstLineChars="200"/>
        <w:jc w:val="left"/>
      </w:pPr>
      <w:r>
        <w:rPr>
          <w:rFonts w:hint="eastAsia"/>
        </w:rPr>
        <w:t>三、因乙方的过错，造成甲方或他人财产或人身损害或甲方被处罚，乙方应负赔偿责任。</w:t>
      </w:r>
    </w:p>
    <w:p>
      <w:pPr>
        <w:widowControl/>
        <w:spacing w:line="500" w:lineRule="exact"/>
        <w:ind w:firstLine="480" w:firstLineChars="200"/>
        <w:jc w:val="left"/>
      </w:pPr>
      <w:r>
        <w:rPr>
          <w:rFonts w:hint="eastAsia"/>
        </w:rPr>
        <w:t>四、奖励与处罚：按照拆迁施工合同及发包方相关管理制度执行。</w:t>
      </w:r>
    </w:p>
    <w:p>
      <w:pPr>
        <w:widowControl/>
        <w:spacing w:line="500" w:lineRule="exact"/>
        <w:ind w:firstLine="480" w:firstLineChars="200"/>
        <w:jc w:val="left"/>
      </w:pPr>
      <w:r>
        <w:rPr>
          <w:rFonts w:hint="eastAsia"/>
        </w:rPr>
        <w:t>五、本协议为主合同的从合同，随主合同生效而生效，主合同解除之日起，本协议自然失效，但因乙方违背协议，造成主合同终止，不影响本协议责任条款的效力。</w:t>
      </w:r>
    </w:p>
    <w:p>
      <w:pPr>
        <w:widowControl/>
        <w:spacing w:line="500" w:lineRule="exact"/>
        <w:ind w:firstLine="480" w:firstLineChars="200"/>
        <w:jc w:val="left"/>
      </w:pPr>
      <w:r>
        <w:rPr>
          <w:rFonts w:hint="eastAsia"/>
        </w:rPr>
        <w:t>六、本协议一式拾陆份，甲、乙双方各持捌份。</w:t>
      </w:r>
    </w:p>
    <w:tbl>
      <w:tblPr>
        <w:tblStyle w:val="17"/>
        <w:tblW w:w="9039" w:type="dxa"/>
        <w:jc w:val="center"/>
        <w:tblLayout w:type="fixed"/>
        <w:tblCellMar>
          <w:top w:w="0" w:type="dxa"/>
          <w:left w:w="108" w:type="dxa"/>
          <w:bottom w:w="0" w:type="dxa"/>
          <w:right w:w="108" w:type="dxa"/>
        </w:tblCellMar>
      </w:tblPr>
      <w:tblGrid>
        <w:gridCol w:w="4519"/>
        <w:gridCol w:w="4520"/>
      </w:tblGrid>
      <w:tr>
        <w:tblPrEx>
          <w:tblCellMar>
            <w:top w:w="0" w:type="dxa"/>
            <w:left w:w="108" w:type="dxa"/>
            <w:bottom w:w="0" w:type="dxa"/>
            <w:right w:w="108" w:type="dxa"/>
          </w:tblCellMar>
        </w:tblPrEx>
        <w:trPr>
          <w:trHeight w:val="1217" w:hRule="atLeast"/>
          <w:jc w:val="center"/>
        </w:trPr>
        <w:tc>
          <w:tcPr>
            <w:tcW w:w="4519" w:type="dxa"/>
            <w:vAlign w:val="top"/>
          </w:tcPr>
          <w:p>
            <w:pPr>
              <w:widowControl/>
              <w:spacing w:after="0" w:line="500" w:lineRule="exact"/>
              <w:ind w:firstLine="0" w:firstLineChars="0"/>
              <w:jc w:val="left"/>
              <w:rPr>
                <w:szCs w:val="21"/>
              </w:rPr>
            </w:pPr>
            <w:r>
              <w:rPr>
                <w:rFonts w:hint="eastAsia"/>
                <w:szCs w:val="21"/>
              </w:rPr>
              <w:t>发包人</w:t>
            </w:r>
            <w:r>
              <w:rPr>
                <w:rFonts w:hint="eastAsia"/>
                <w:kern w:val="18"/>
                <w:szCs w:val="21"/>
              </w:rPr>
              <w:t>：</w:t>
            </w:r>
            <w:r>
              <w:rPr>
                <w:rFonts w:hint="eastAsia"/>
                <w:szCs w:val="21"/>
              </w:rPr>
              <w:t>（盖章）</w:t>
            </w:r>
          </w:p>
          <w:p>
            <w:pPr>
              <w:widowControl/>
              <w:spacing w:after="0" w:line="500" w:lineRule="exact"/>
              <w:ind w:firstLine="0" w:firstLineChars="0"/>
              <w:jc w:val="left"/>
              <w:rPr>
                <w:rFonts w:hint="eastAsia" w:eastAsia="宋体"/>
                <w:szCs w:val="21"/>
                <w:lang w:eastAsia="zh-CN"/>
              </w:rPr>
            </w:pPr>
            <w:r>
              <w:rPr>
                <w:rFonts w:hint="eastAsia"/>
                <w:szCs w:val="21"/>
                <w:u w:val="single"/>
                <w:lang w:eastAsia="zh-CN"/>
              </w:rPr>
              <w:t>深圳市龙华高新技术产业园区开发投资有限公司</w:t>
            </w:r>
          </w:p>
        </w:tc>
        <w:tc>
          <w:tcPr>
            <w:tcW w:w="4520" w:type="dxa"/>
            <w:vAlign w:val="top"/>
          </w:tcPr>
          <w:p>
            <w:pPr>
              <w:widowControl/>
              <w:spacing w:after="0" w:line="500" w:lineRule="exact"/>
              <w:ind w:firstLine="480" w:firstLineChars="200"/>
              <w:jc w:val="left"/>
              <w:rPr>
                <w:szCs w:val="21"/>
              </w:rPr>
            </w:pPr>
          </w:p>
        </w:tc>
      </w:tr>
      <w:tr>
        <w:tblPrEx>
          <w:tblCellMar>
            <w:top w:w="0" w:type="dxa"/>
            <w:left w:w="108" w:type="dxa"/>
            <w:bottom w:w="0" w:type="dxa"/>
            <w:right w:w="108" w:type="dxa"/>
          </w:tblCellMar>
        </w:tblPrEx>
        <w:trPr>
          <w:trHeight w:val="1063" w:hRule="atLeast"/>
          <w:jc w:val="center"/>
        </w:trPr>
        <w:tc>
          <w:tcPr>
            <w:tcW w:w="4519" w:type="dxa"/>
            <w:vAlign w:val="top"/>
          </w:tcPr>
          <w:p>
            <w:pPr>
              <w:spacing w:after="240" w:line="240" w:lineRule="auto"/>
              <w:rPr>
                <w:rFonts w:hint="eastAsia"/>
              </w:rPr>
            </w:pPr>
            <w:r>
              <w:rPr>
                <w:rFonts w:hint="eastAsia"/>
              </w:rPr>
              <w:t>法定代表人或其委托代理人（签名）：</w:t>
            </w:r>
          </w:p>
          <w:p/>
        </w:tc>
        <w:tc>
          <w:tcPr>
            <w:tcW w:w="4520" w:type="dxa"/>
            <w:vAlign w:val="top"/>
          </w:tcPr>
          <w:p>
            <w:pPr>
              <w:widowControl/>
              <w:spacing w:line="240" w:lineRule="auto"/>
              <w:ind w:firstLine="420"/>
              <w:jc w:val="left"/>
              <w:rPr>
                <w:szCs w:val="20"/>
              </w:rPr>
            </w:pPr>
          </w:p>
        </w:tc>
      </w:tr>
      <w:tr>
        <w:tblPrEx>
          <w:tblCellMar>
            <w:top w:w="0" w:type="dxa"/>
            <w:left w:w="108" w:type="dxa"/>
            <w:bottom w:w="0" w:type="dxa"/>
            <w:right w:w="108" w:type="dxa"/>
          </w:tblCellMar>
        </w:tblPrEx>
        <w:trPr>
          <w:trHeight w:val="1358" w:hRule="atLeast"/>
          <w:jc w:val="center"/>
        </w:trPr>
        <w:tc>
          <w:tcPr>
            <w:tcW w:w="4519" w:type="dxa"/>
            <w:vAlign w:val="top"/>
          </w:tcPr>
          <w:p>
            <w:pPr>
              <w:widowControl/>
              <w:spacing w:after="240" w:line="240" w:lineRule="auto"/>
              <w:jc w:val="left"/>
              <w:rPr>
                <w:szCs w:val="21"/>
              </w:rPr>
            </w:pPr>
            <w:r>
              <w:rPr>
                <w:rFonts w:hint="eastAsia"/>
                <w:szCs w:val="21"/>
              </w:rPr>
              <w:t>签订时间：    年    月    日</w:t>
            </w:r>
          </w:p>
        </w:tc>
        <w:tc>
          <w:tcPr>
            <w:tcW w:w="4520" w:type="dxa"/>
            <w:vAlign w:val="top"/>
          </w:tcPr>
          <w:p>
            <w:pPr>
              <w:widowControl/>
              <w:spacing w:after="240" w:line="240" w:lineRule="auto"/>
              <w:ind w:right="180"/>
              <w:jc w:val="left"/>
              <w:rPr>
                <w:szCs w:val="21"/>
              </w:rPr>
            </w:pPr>
          </w:p>
        </w:tc>
      </w:tr>
      <w:tr>
        <w:tblPrEx>
          <w:tblCellMar>
            <w:top w:w="0" w:type="dxa"/>
            <w:left w:w="108" w:type="dxa"/>
            <w:bottom w:w="0" w:type="dxa"/>
            <w:right w:w="108" w:type="dxa"/>
          </w:tblCellMar>
        </w:tblPrEx>
        <w:trPr>
          <w:trHeight w:val="1204" w:hRule="atLeast"/>
          <w:jc w:val="center"/>
        </w:trPr>
        <w:tc>
          <w:tcPr>
            <w:tcW w:w="4519" w:type="dxa"/>
            <w:vAlign w:val="top"/>
          </w:tcPr>
          <w:p>
            <w:pPr>
              <w:widowControl/>
              <w:spacing w:after="240" w:line="240" w:lineRule="auto"/>
              <w:jc w:val="left"/>
              <w:rPr>
                <w:szCs w:val="21"/>
              </w:rPr>
            </w:pPr>
            <w:r>
              <w:rPr>
                <w:rFonts w:hint="eastAsia"/>
                <w:szCs w:val="21"/>
                <w:lang w:val="en-US" w:eastAsia="zh-CN"/>
              </w:rPr>
              <w:t>承包</w:t>
            </w:r>
            <w:r>
              <w:rPr>
                <w:rFonts w:hint="eastAsia"/>
                <w:szCs w:val="21"/>
              </w:rPr>
              <w:t>人</w:t>
            </w:r>
            <w:r>
              <w:rPr>
                <w:rFonts w:hint="eastAsia"/>
                <w:kern w:val="18"/>
                <w:szCs w:val="21"/>
              </w:rPr>
              <w:t>：</w:t>
            </w:r>
            <w:r>
              <w:rPr>
                <w:rFonts w:hint="eastAsia"/>
                <w:szCs w:val="21"/>
              </w:rPr>
              <w:t>（盖章）</w:t>
            </w:r>
          </w:p>
          <w:p>
            <w:pPr>
              <w:widowControl/>
              <w:spacing w:after="240" w:line="240" w:lineRule="auto"/>
              <w:jc w:val="left"/>
              <w:rPr>
                <w:rFonts w:hint="eastAsia" w:ascii="宋体" w:hAnsi="宋体" w:eastAsia="宋体" w:cs="宋体"/>
                <w:sz w:val="24"/>
                <w:szCs w:val="21"/>
                <w:lang w:val="en-US" w:eastAsia="zh-CN" w:bidi="ar-SA"/>
              </w:rPr>
            </w:pPr>
            <w:r>
              <w:rPr>
                <w:rFonts w:hint="eastAsia"/>
                <w:szCs w:val="21"/>
                <w:u w:val="single"/>
                <w:lang w:eastAsia="zh-CN"/>
              </w:rPr>
              <w:t>******</w:t>
            </w:r>
          </w:p>
        </w:tc>
        <w:tc>
          <w:tcPr>
            <w:tcW w:w="4520" w:type="dxa"/>
            <w:vAlign w:val="top"/>
          </w:tcPr>
          <w:p>
            <w:pPr>
              <w:widowControl/>
              <w:spacing w:after="240" w:line="240" w:lineRule="auto"/>
              <w:jc w:val="left"/>
              <w:rPr>
                <w:szCs w:val="21"/>
              </w:rPr>
            </w:pPr>
            <w:r>
              <w:rPr>
                <w:rFonts w:hint="eastAsia"/>
                <w:szCs w:val="21"/>
              </w:rPr>
              <w:t>承包人</w:t>
            </w:r>
            <w:r>
              <w:rPr>
                <w:rFonts w:hint="eastAsia"/>
                <w:kern w:val="18"/>
                <w:szCs w:val="21"/>
              </w:rPr>
              <w:t>：</w:t>
            </w:r>
            <w:r>
              <w:rPr>
                <w:rFonts w:hint="eastAsia"/>
                <w:szCs w:val="21"/>
              </w:rPr>
              <w:t>（盖章）</w:t>
            </w:r>
          </w:p>
          <w:p>
            <w:pPr>
              <w:widowControl/>
              <w:spacing w:after="240" w:line="240" w:lineRule="auto"/>
              <w:jc w:val="left"/>
              <w:rPr>
                <w:rFonts w:hint="eastAsia" w:ascii="宋体" w:hAnsi="宋体" w:eastAsia="宋体" w:cs="宋体"/>
                <w:sz w:val="24"/>
                <w:szCs w:val="21"/>
                <w:lang w:val="en-US" w:eastAsia="zh-CN" w:bidi="ar-SA"/>
              </w:rPr>
            </w:pPr>
            <w:r>
              <w:rPr>
                <w:rFonts w:hint="eastAsia"/>
                <w:szCs w:val="21"/>
                <w:u w:val="single"/>
                <w:lang w:eastAsia="zh-CN"/>
              </w:rPr>
              <w:t>******</w:t>
            </w:r>
          </w:p>
        </w:tc>
      </w:tr>
      <w:tr>
        <w:tblPrEx>
          <w:tblCellMar>
            <w:top w:w="0" w:type="dxa"/>
            <w:left w:w="108" w:type="dxa"/>
            <w:bottom w:w="0" w:type="dxa"/>
            <w:right w:w="108" w:type="dxa"/>
          </w:tblCellMar>
        </w:tblPrEx>
        <w:trPr>
          <w:trHeight w:val="1480" w:hRule="atLeast"/>
          <w:jc w:val="center"/>
        </w:trPr>
        <w:tc>
          <w:tcPr>
            <w:tcW w:w="4519" w:type="dxa"/>
            <w:vAlign w:val="top"/>
          </w:tcPr>
          <w:p>
            <w:pPr>
              <w:spacing w:after="240" w:line="240" w:lineRule="auto"/>
              <w:rPr>
                <w:rFonts w:hint="eastAsia"/>
              </w:rPr>
            </w:pPr>
            <w:r>
              <w:rPr>
                <w:rFonts w:hint="eastAsia"/>
              </w:rPr>
              <w:t>法定代表人或其委托代理人（签名）：</w:t>
            </w:r>
          </w:p>
          <w:p>
            <w:pPr>
              <w:rPr>
                <w:rFonts w:hint="eastAsia"/>
                <w:lang w:val="en-US" w:eastAsia="zh-CN"/>
              </w:rPr>
            </w:pPr>
          </w:p>
        </w:tc>
        <w:tc>
          <w:tcPr>
            <w:tcW w:w="4520" w:type="dxa"/>
            <w:vAlign w:val="top"/>
          </w:tcPr>
          <w:p>
            <w:pPr>
              <w:widowControl/>
              <w:spacing w:line="240" w:lineRule="auto"/>
              <w:jc w:val="left"/>
            </w:pPr>
            <w:r>
              <w:rPr>
                <w:rFonts w:hint="eastAsia"/>
              </w:rPr>
              <w:t>法定代表人或其委托代理人（签名）：</w:t>
            </w:r>
          </w:p>
          <w:p>
            <w:pPr>
              <w:widowControl/>
              <w:spacing w:line="240" w:lineRule="auto"/>
              <w:ind w:firstLine="420" w:firstLineChars="0"/>
              <w:jc w:val="left"/>
              <w:rPr>
                <w:rFonts w:ascii="宋体" w:hAnsi="宋体" w:eastAsia="宋体" w:cs="宋体"/>
                <w:sz w:val="24"/>
                <w:szCs w:val="20"/>
                <w:lang w:val="en-US" w:eastAsia="zh-CN" w:bidi="ar-SA"/>
              </w:rPr>
            </w:pPr>
          </w:p>
        </w:tc>
      </w:tr>
      <w:tr>
        <w:tblPrEx>
          <w:tblCellMar>
            <w:top w:w="0" w:type="dxa"/>
            <w:left w:w="108" w:type="dxa"/>
            <w:bottom w:w="0" w:type="dxa"/>
            <w:right w:w="108" w:type="dxa"/>
          </w:tblCellMar>
        </w:tblPrEx>
        <w:trPr>
          <w:trHeight w:val="512" w:hRule="atLeast"/>
          <w:jc w:val="center"/>
        </w:trPr>
        <w:tc>
          <w:tcPr>
            <w:tcW w:w="4519" w:type="dxa"/>
            <w:vAlign w:val="top"/>
          </w:tcPr>
          <w:p>
            <w:pPr>
              <w:widowControl/>
              <w:spacing w:after="240" w:line="240" w:lineRule="auto"/>
              <w:jc w:val="left"/>
              <w:rPr>
                <w:rFonts w:hint="eastAsia" w:ascii="宋体" w:hAnsi="宋体" w:eastAsia="宋体" w:cs="宋体"/>
                <w:sz w:val="24"/>
                <w:szCs w:val="21"/>
                <w:lang w:val="en-US" w:eastAsia="zh-CN" w:bidi="ar-SA"/>
              </w:rPr>
            </w:pPr>
            <w:r>
              <w:rPr>
                <w:rFonts w:hint="eastAsia"/>
                <w:szCs w:val="21"/>
              </w:rPr>
              <w:t>签订时间：    年    月    日</w:t>
            </w:r>
          </w:p>
        </w:tc>
        <w:tc>
          <w:tcPr>
            <w:tcW w:w="4520" w:type="dxa"/>
            <w:vAlign w:val="top"/>
          </w:tcPr>
          <w:p>
            <w:pPr>
              <w:widowControl/>
              <w:spacing w:after="240" w:line="240" w:lineRule="auto"/>
              <w:ind w:right="180" w:rightChars="0"/>
              <w:jc w:val="left"/>
              <w:rPr>
                <w:rFonts w:ascii="宋体" w:hAnsi="宋体" w:eastAsia="宋体" w:cs="宋体"/>
                <w:sz w:val="24"/>
                <w:szCs w:val="21"/>
                <w:lang w:val="en-US" w:eastAsia="zh-CN" w:bidi="ar-SA"/>
              </w:rPr>
            </w:pPr>
            <w:r>
              <w:rPr>
                <w:rFonts w:hint="eastAsia"/>
                <w:szCs w:val="21"/>
              </w:rPr>
              <w:t>签订时间：    年    月    日</w:t>
            </w:r>
          </w:p>
        </w:tc>
      </w:tr>
    </w:tbl>
    <w:p>
      <w:pPr>
        <w:widowControl/>
        <w:spacing w:line="240" w:lineRule="auto"/>
        <w:ind w:firstLine="0" w:firstLineChars="0"/>
        <w:jc w:val="left"/>
      </w:pPr>
    </w:p>
    <w:p>
      <w:pPr>
        <w:widowControl/>
        <w:adjustRightInd w:val="0"/>
        <w:snapToGrid w:val="0"/>
        <w:spacing w:line="500" w:lineRule="exact"/>
        <w:ind w:firstLine="420" w:firstLineChars="200"/>
        <w:jc w:val="left"/>
        <w:rPr>
          <w:sz w:val="21"/>
          <w:szCs w:val="21"/>
        </w:rPr>
      </w:pPr>
      <w:r>
        <w:rPr>
          <w:sz w:val="21"/>
          <w:szCs w:val="21"/>
        </w:rPr>
        <w:br w:type="page"/>
      </w:r>
    </w:p>
    <w:p>
      <w:pPr>
        <w:widowControl/>
        <w:spacing w:line="360" w:lineRule="auto"/>
        <w:jc w:val="left"/>
        <w:outlineLvl w:val="1"/>
        <w:rPr>
          <w:kern w:val="2"/>
          <w:sz w:val="21"/>
          <w:szCs w:val="21"/>
        </w:rPr>
      </w:pPr>
      <w:bookmarkStart w:id="1111" w:name="_Toc30549"/>
      <w:bookmarkStart w:id="1112" w:name="_Toc26985"/>
      <w:bookmarkStart w:id="1113" w:name="_Toc26338"/>
      <w:bookmarkStart w:id="1114" w:name="_Toc25272"/>
      <w:bookmarkStart w:id="1115" w:name="_Toc4744"/>
      <w:bookmarkStart w:id="1116" w:name="_Toc8285"/>
      <w:r>
        <w:rPr>
          <w:rFonts w:hint="eastAsia"/>
          <w:kern w:val="2"/>
          <w:sz w:val="21"/>
          <w:szCs w:val="21"/>
        </w:rPr>
        <w:t>附件7：</w:t>
      </w:r>
      <w:bookmarkEnd w:id="1111"/>
      <w:bookmarkEnd w:id="1112"/>
      <w:bookmarkEnd w:id="1113"/>
      <w:bookmarkEnd w:id="1114"/>
      <w:bookmarkEnd w:id="1115"/>
      <w:bookmarkEnd w:id="1116"/>
    </w:p>
    <w:p>
      <w:pPr>
        <w:widowControl w:val="0"/>
        <w:adjustRightInd w:val="0"/>
        <w:snapToGrid w:val="0"/>
        <w:spacing w:after="200" w:line="360" w:lineRule="auto"/>
        <w:ind w:firstLine="3012" w:firstLineChars="1000"/>
        <w:jc w:val="both"/>
        <w:textAlignment w:val="baseline"/>
        <w:outlineLvl w:val="4"/>
        <w:rPr>
          <w:rFonts w:ascii="Times New Roman" w:hAnsi="Times New Roman" w:cs="Times New Roman"/>
          <w:b/>
          <w:kern w:val="2"/>
          <w:sz w:val="30"/>
          <w:szCs w:val="22"/>
        </w:rPr>
      </w:pPr>
      <w:r>
        <w:rPr>
          <w:rFonts w:hint="eastAsia" w:ascii="Times New Roman" w:hAnsi="Times New Roman" w:cs="Times New Roman"/>
          <w:b/>
          <w:kern w:val="2"/>
          <w:sz w:val="30"/>
          <w:szCs w:val="22"/>
        </w:rPr>
        <w:t>安全生产管理承诺书</w:t>
      </w:r>
    </w:p>
    <w:p>
      <w:pPr>
        <w:widowControl w:val="0"/>
        <w:spacing w:line="500" w:lineRule="exact"/>
        <w:jc w:val="both"/>
        <w:rPr>
          <w:rFonts w:cs="Times New Roman"/>
          <w:kern w:val="2"/>
          <w:u w:val="single"/>
        </w:rPr>
      </w:pPr>
      <w:r>
        <w:rPr>
          <w:rFonts w:hint="eastAsia" w:cs="Times New Roman"/>
          <w:kern w:val="2"/>
        </w:rPr>
        <w:t>致</w:t>
      </w:r>
      <w:r>
        <w:rPr>
          <w:rFonts w:hint="eastAsia" w:cs="Times New Roman"/>
          <w:kern w:val="2"/>
          <w:u w:val="single"/>
        </w:rPr>
        <w:t>：</w:t>
      </w:r>
      <w:r>
        <w:rPr>
          <w:rFonts w:hint="eastAsia"/>
          <w:szCs w:val="21"/>
          <w:u w:val="single"/>
          <w:lang w:eastAsia="zh-CN"/>
        </w:rPr>
        <w:t>深圳市龙华高新技术产业园区开发投资有限公司</w:t>
      </w:r>
      <w:r>
        <w:rPr>
          <w:rFonts w:hint="eastAsia" w:cs="Times New Roman"/>
          <w:kern w:val="2"/>
          <w:u w:val="single"/>
        </w:rPr>
        <w:t xml:space="preserve"> </w:t>
      </w:r>
    </w:p>
    <w:p>
      <w:pPr>
        <w:widowControl w:val="0"/>
        <w:spacing w:line="500" w:lineRule="exact"/>
        <w:ind w:firstLine="480" w:firstLineChars="200"/>
        <w:jc w:val="both"/>
        <w:rPr>
          <w:rFonts w:cs="Times New Roman"/>
          <w:kern w:val="2"/>
        </w:rPr>
      </w:pPr>
      <w:r>
        <w:rPr>
          <w:rFonts w:hint="eastAsia" w:cs="Times New Roman"/>
          <w:kern w:val="2"/>
        </w:rPr>
        <w:t>我司承接贵司的</w:t>
      </w:r>
      <w:r>
        <w:rPr>
          <w:rFonts w:hint="eastAsia"/>
          <w:u w:val="single"/>
          <w:lang w:eastAsia="zh-CN"/>
        </w:rPr>
        <w:t>******</w:t>
      </w:r>
      <w:r>
        <w:rPr>
          <w:rFonts w:hint="eastAsia" w:cs="Times New Roman"/>
          <w:kern w:val="2"/>
        </w:rPr>
        <w:t>。我司承诺：我司将认真贯彻执行国家和广东省、深圳市有关安全文明生产的法律、法规和强制性标准、安全操作规程等，遵守贵司的现场管理制度，建立安全生产责任制，健全施工现场安全文明生产保障体系，落实各项具体措施，切实履行安全文明生产责任和义务，保护职工身体健康和生命安全，以及社会公众安全，保持施工现场整齐有序，做到文明施工。</w:t>
      </w:r>
    </w:p>
    <w:p>
      <w:pPr>
        <w:widowControl w:val="0"/>
        <w:spacing w:line="500" w:lineRule="exact"/>
        <w:ind w:firstLine="480" w:firstLineChars="200"/>
        <w:jc w:val="both"/>
        <w:rPr>
          <w:rFonts w:cs="Times New Roman"/>
          <w:kern w:val="2"/>
        </w:rPr>
      </w:pPr>
      <w:r>
        <w:rPr>
          <w:rFonts w:hint="eastAsia" w:cs="Times New Roman"/>
          <w:kern w:val="2"/>
        </w:rPr>
        <w:t>因违反上述承诺而造成的一切人员伤亡和财产损失，均由我司承担，与贵司无关。</w:t>
      </w:r>
    </w:p>
    <w:p>
      <w:pPr>
        <w:widowControl w:val="0"/>
        <w:spacing w:line="500" w:lineRule="exact"/>
        <w:ind w:firstLine="480" w:firstLineChars="200"/>
        <w:jc w:val="both"/>
        <w:rPr>
          <w:rFonts w:cs="Times New Roman"/>
          <w:kern w:val="2"/>
        </w:rPr>
      </w:pPr>
      <w:r>
        <w:rPr>
          <w:rFonts w:hint="eastAsia" w:cs="Times New Roman"/>
          <w:kern w:val="2"/>
        </w:rPr>
        <w:t>特此承诺。</w:t>
      </w:r>
    </w:p>
    <w:p>
      <w:pPr>
        <w:widowControl w:val="0"/>
        <w:spacing w:line="560" w:lineRule="exact"/>
        <w:ind w:firstLine="480" w:firstLineChars="200"/>
        <w:jc w:val="both"/>
        <w:rPr>
          <w:rFonts w:cs="Times New Roman"/>
          <w:kern w:val="2"/>
        </w:rPr>
      </w:pPr>
    </w:p>
    <w:tbl>
      <w:tblPr>
        <w:tblStyle w:val="17"/>
        <w:tblW w:w="9039" w:type="dxa"/>
        <w:jc w:val="center"/>
        <w:tblLayout w:type="fixed"/>
        <w:tblCellMar>
          <w:top w:w="0" w:type="dxa"/>
          <w:left w:w="108" w:type="dxa"/>
          <w:bottom w:w="0" w:type="dxa"/>
          <w:right w:w="108" w:type="dxa"/>
        </w:tblCellMar>
      </w:tblPr>
      <w:tblGrid>
        <w:gridCol w:w="4519"/>
        <w:gridCol w:w="4520"/>
      </w:tblGrid>
      <w:tr>
        <w:tblPrEx>
          <w:tblCellMar>
            <w:top w:w="0" w:type="dxa"/>
            <w:left w:w="108" w:type="dxa"/>
            <w:bottom w:w="0" w:type="dxa"/>
            <w:right w:w="108" w:type="dxa"/>
          </w:tblCellMar>
        </w:tblPrEx>
        <w:trPr>
          <w:trHeight w:val="1204" w:hRule="atLeast"/>
          <w:jc w:val="center"/>
        </w:trPr>
        <w:tc>
          <w:tcPr>
            <w:tcW w:w="4519" w:type="dxa"/>
            <w:vAlign w:val="top"/>
          </w:tcPr>
          <w:p>
            <w:pPr>
              <w:widowControl/>
              <w:spacing w:after="240" w:line="240" w:lineRule="auto"/>
              <w:jc w:val="left"/>
              <w:rPr>
                <w:szCs w:val="21"/>
              </w:rPr>
            </w:pPr>
            <w:r>
              <w:rPr>
                <w:rFonts w:hint="eastAsia"/>
                <w:szCs w:val="21"/>
                <w:lang w:val="en-US" w:eastAsia="zh-CN"/>
              </w:rPr>
              <w:t>承诺</w:t>
            </w:r>
            <w:r>
              <w:rPr>
                <w:rFonts w:hint="eastAsia"/>
                <w:szCs w:val="21"/>
              </w:rPr>
              <w:t>人</w:t>
            </w:r>
            <w:r>
              <w:rPr>
                <w:rFonts w:hint="eastAsia"/>
                <w:kern w:val="18"/>
                <w:szCs w:val="21"/>
              </w:rPr>
              <w:t>：</w:t>
            </w:r>
            <w:r>
              <w:rPr>
                <w:rFonts w:hint="eastAsia"/>
                <w:szCs w:val="21"/>
              </w:rPr>
              <w:t>（盖章）</w:t>
            </w:r>
          </w:p>
          <w:p>
            <w:pPr>
              <w:widowControl/>
              <w:spacing w:after="240" w:line="240" w:lineRule="auto"/>
              <w:jc w:val="left"/>
              <w:rPr>
                <w:rFonts w:hint="eastAsia" w:ascii="宋体" w:hAnsi="宋体" w:eastAsia="宋体" w:cs="宋体"/>
                <w:sz w:val="24"/>
                <w:szCs w:val="21"/>
                <w:lang w:val="en-US" w:eastAsia="zh-CN" w:bidi="ar-SA"/>
              </w:rPr>
            </w:pPr>
            <w:r>
              <w:rPr>
                <w:rFonts w:hint="eastAsia"/>
                <w:szCs w:val="21"/>
                <w:u w:val="single"/>
                <w:lang w:eastAsia="zh-CN"/>
              </w:rPr>
              <w:t>******</w:t>
            </w:r>
          </w:p>
        </w:tc>
        <w:tc>
          <w:tcPr>
            <w:tcW w:w="4520" w:type="dxa"/>
            <w:vAlign w:val="top"/>
          </w:tcPr>
          <w:p>
            <w:pPr>
              <w:widowControl/>
              <w:spacing w:after="240" w:line="240" w:lineRule="auto"/>
              <w:jc w:val="left"/>
              <w:rPr>
                <w:szCs w:val="21"/>
              </w:rPr>
            </w:pPr>
            <w:r>
              <w:rPr>
                <w:rFonts w:hint="eastAsia"/>
                <w:szCs w:val="21"/>
                <w:lang w:val="en-US" w:eastAsia="zh-CN"/>
              </w:rPr>
              <w:t>承诺</w:t>
            </w:r>
            <w:r>
              <w:rPr>
                <w:rFonts w:hint="eastAsia"/>
                <w:szCs w:val="21"/>
              </w:rPr>
              <w:t>人</w:t>
            </w:r>
            <w:r>
              <w:rPr>
                <w:rFonts w:hint="eastAsia"/>
                <w:kern w:val="18"/>
                <w:szCs w:val="21"/>
              </w:rPr>
              <w:t>：</w:t>
            </w:r>
            <w:r>
              <w:rPr>
                <w:rFonts w:hint="eastAsia"/>
                <w:szCs w:val="21"/>
              </w:rPr>
              <w:t>（盖章）</w:t>
            </w:r>
          </w:p>
          <w:p>
            <w:pPr>
              <w:widowControl/>
              <w:spacing w:after="240" w:line="240" w:lineRule="auto"/>
              <w:jc w:val="left"/>
              <w:rPr>
                <w:rFonts w:hint="eastAsia" w:ascii="宋体" w:hAnsi="宋体" w:eastAsia="宋体" w:cs="宋体"/>
                <w:sz w:val="24"/>
                <w:szCs w:val="21"/>
                <w:lang w:val="en-US" w:eastAsia="zh-CN" w:bidi="ar-SA"/>
              </w:rPr>
            </w:pPr>
            <w:r>
              <w:rPr>
                <w:rFonts w:hint="eastAsia"/>
                <w:szCs w:val="21"/>
                <w:u w:val="single"/>
                <w:lang w:eastAsia="zh-CN"/>
              </w:rPr>
              <w:t>******</w:t>
            </w:r>
          </w:p>
        </w:tc>
      </w:tr>
      <w:tr>
        <w:tblPrEx>
          <w:tblCellMar>
            <w:top w:w="0" w:type="dxa"/>
            <w:left w:w="108" w:type="dxa"/>
            <w:bottom w:w="0" w:type="dxa"/>
            <w:right w:w="108" w:type="dxa"/>
          </w:tblCellMar>
        </w:tblPrEx>
        <w:trPr>
          <w:trHeight w:val="1480" w:hRule="atLeast"/>
          <w:jc w:val="center"/>
        </w:trPr>
        <w:tc>
          <w:tcPr>
            <w:tcW w:w="4519" w:type="dxa"/>
            <w:vAlign w:val="top"/>
          </w:tcPr>
          <w:p>
            <w:pPr>
              <w:spacing w:after="240" w:line="240" w:lineRule="auto"/>
              <w:rPr>
                <w:rFonts w:hint="eastAsia"/>
              </w:rPr>
            </w:pPr>
            <w:r>
              <w:rPr>
                <w:rFonts w:hint="eastAsia"/>
              </w:rPr>
              <w:t>法定代表人或其委托代理人</w:t>
            </w:r>
            <w:r>
              <w:rPr>
                <w:rFonts w:hint="eastAsia" w:cs="Times New Roman"/>
                <w:kern w:val="2"/>
              </w:rPr>
              <w:t>（签名或盖章）</w:t>
            </w:r>
            <w:r>
              <w:rPr>
                <w:rFonts w:hint="eastAsia"/>
              </w:rPr>
              <w:t>：</w:t>
            </w:r>
          </w:p>
          <w:p>
            <w:pPr>
              <w:rPr>
                <w:rFonts w:hint="eastAsia"/>
                <w:lang w:val="en-US" w:eastAsia="zh-CN"/>
              </w:rPr>
            </w:pPr>
          </w:p>
        </w:tc>
        <w:tc>
          <w:tcPr>
            <w:tcW w:w="4520" w:type="dxa"/>
            <w:vAlign w:val="top"/>
          </w:tcPr>
          <w:p>
            <w:pPr>
              <w:widowControl/>
              <w:spacing w:line="240" w:lineRule="auto"/>
              <w:jc w:val="left"/>
            </w:pPr>
            <w:r>
              <w:rPr>
                <w:rFonts w:hint="eastAsia"/>
              </w:rPr>
              <w:t>法定代表人或其委托代理人</w:t>
            </w:r>
            <w:r>
              <w:rPr>
                <w:rFonts w:hint="eastAsia" w:cs="Times New Roman"/>
                <w:kern w:val="2"/>
              </w:rPr>
              <w:t>（签名或盖章）</w:t>
            </w:r>
            <w:r>
              <w:rPr>
                <w:rFonts w:hint="eastAsia"/>
              </w:rPr>
              <w:t>：</w:t>
            </w:r>
          </w:p>
          <w:p>
            <w:pPr>
              <w:widowControl/>
              <w:spacing w:line="240" w:lineRule="auto"/>
              <w:ind w:firstLine="420" w:firstLineChars="0"/>
              <w:jc w:val="left"/>
              <w:rPr>
                <w:rFonts w:ascii="宋体" w:hAnsi="宋体" w:eastAsia="宋体" w:cs="宋体"/>
                <w:sz w:val="24"/>
                <w:szCs w:val="20"/>
                <w:lang w:val="en-US" w:eastAsia="zh-CN" w:bidi="ar-SA"/>
              </w:rPr>
            </w:pPr>
          </w:p>
        </w:tc>
      </w:tr>
      <w:tr>
        <w:tblPrEx>
          <w:tblCellMar>
            <w:top w:w="0" w:type="dxa"/>
            <w:left w:w="108" w:type="dxa"/>
            <w:bottom w:w="0" w:type="dxa"/>
            <w:right w:w="108" w:type="dxa"/>
          </w:tblCellMar>
        </w:tblPrEx>
        <w:trPr>
          <w:trHeight w:val="613" w:hRule="atLeast"/>
          <w:jc w:val="center"/>
        </w:trPr>
        <w:tc>
          <w:tcPr>
            <w:tcW w:w="4519" w:type="dxa"/>
            <w:vAlign w:val="top"/>
          </w:tcPr>
          <w:p>
            <w:pPr>
              <w:rPr>
                <w:rFonts w:hint="default"/>
                <w:lang w:val="en-US" w:eastAsia="zh-CN"/>
              </w:rPr>
            </w:pPr>
            <w:r>
              <w:rPr>
                <w:rFonts w:hint="eastAsia"/>
                <w:lang w:val="en-US" w:eastAsia="zh-CN"/>
              </w:rPr>
              <w:t>联系电话：</w:t>
            </w:r>
          </w:p>
        </w:tc>
        <w:tc>
          <w:tcPr>
            <w:tcW w:w="4520" w:type="dxa"/>
            <w:vAlign w:val="top"/>
          </w:tcPr>
          <w:p>
            <w:pPr>
              <w:widowControl/>
              <w:spacing w:line="240" w:lineRule="auto"/>
              <w:ind w:firstLine="0" w:firstLineChars="0"/>
              <w:jc w:val="left"/>
              <w:rPr>
                <w:rFonts w:ascii="宋体" w:hAnsi="宋体" w:eastAsia="宋体" w:cs="宋体"/>
                <w:sz w:val="24"/>
                <w:szCs w:val="20"/>
                <w:lang w:val="en-US" w:eastAsia="zh-CN" w:bidi="ar-SA"/>
              </w:rPr>
            </w:pPr>
            <w:r>
              <w:rPr>
                <w:rFonts w:hint="eastAsia"/>
                <w:lang w:val="en-US" w:eastAsia="zh-CN"/>
              </w:rPr>
              <w:t>联系电话：</w:t>
            </w:r>
          </w:p>
        </w:tc>
      </w:tr>
      <w:tr>
        <w:tblPrEx>
          <w:tblCellMar>
            <w:top w:w="0" w:type="dxa"/>
            <w:left w:w="108" w:type="dxa"/>
            <w:bottom w:w="0" w:type="dxa"/>
            <w:right w:w="108" w:type="dxa"/>
          </w:tblCellMar>
        </w:tblPrEx>
        <w:trPr>
          <w:trHeight w:val="512" w:hRule="atLeast"/>
          <w:jc w:val="center"/>
        </w:trPr>
        <w:tc>
          <w:tcPr>
            <w:tcW w:w="4519" w:type="dxa"/>
            <w:vAlign w:val="top"/>
          </w:tcPr>
          <w:p>
            <w:pPr>
              <w:widowControl/>
              <w:spacing w:after="240" w:line="240" w:lineRule="auto"/>
              <w:jc w:val="left"/>
              <w:rPr>
                <w:rFonts w:hint="eastAsia" w:ascii="宋体" w:hAnsi="宋体" w:eastAsia="宋体" w:cs="宋体"/>
                <w:sz w:val="24"/>
                <w:szCs w:val="21"/>
                <w:lang w:val="en-US" w:eastAsia="zh-CN" w:bidi="ar-SA"/>
              </w:rPr>
            </w:pPr>
            <w:r>
              <w:rPr>
                <w:rFonts w:hint="eastAsia"/>
                <w:szCs w:val="21"/>
              </w:rPr>
              <w:t>时间：    年    月    日</w:t>
            </w:r>
          </w:p>
        </w:tc>
        <w:tc>
          <w:tcPr>
            <w:tcW w:w="4520" w:type="dxa"/>
            <w:vAlign w:val="top"/>
          </w:tcPr>
          <w:p>
            <w:pPr>
              <w:widowControl/>
              <w:spacing w:after="240" w:line="240" w:lineRule="auto"/>
              <w:ind w:right="180" w:rightChars="0"/>
              <w:jc w:val="left"/>
              <w:rPr>
                <w:rFonts w:ascii="宋体" w:hAnsi="宋体" w:eastAsia="宋体" w:cs="宋体"/>
                <w:sz w:val="24"/>
                <w:szCs w:val="21"/>
                <w:lang w:val="en-US" w:eastAsia="zh-CN" w:bidi="ar-SA"/>
              </w:rPr>
            </w:pPr>
            <w:r>
              <w:rPr>
                <w:rFonts w:hint="eastAsia"/>
                <w:szCs w:val="21"/>
              </w:rPr>
              <w:t>时间：    年    月    日</w:t>
            </w:r>
          </w:p>
        </w:tc>
      </w:tr>
    </w:tbl>
    <w:p>
      <w:pPr>
        <w:widowControl w:val="0"/>
        <w:spacing w:line="560" w:lineRule="exact"/>
        <w:ind w:firstLine="480" w:firstLineChars="200"/>
        <w:jc w:val="both"/>
        <w:rPr>
          <w:rFonts w:cs="Times New Roman"/>
          <w:kern w:val="2"/>
        </w:rPr>
      </w:pPr>
    </w:p>
    <w:p>
      <w:pPr>
        <w:widowControl w:val="0"/>
        <w:spacing w:line="560" w:lineRule="exact"/>
        <w:ind w:firstLine="480" w:firstLineChars="200"/>
        <w:jc w:val="both"/>
        <w:rPr>
          <w:rFonts w:cs="Times New Roman"/>
          <w:kern w:val="2"/>
        </w:rPr>
      </w:pPr>
    </w:p>
    <w:p>
      <w:pPr>
        <w:widowControl w:val="0"/>
        <w:spacing w:line="560" w:lineRule="exact"/>
        <w:ind w:firstLine="480" w:firstLineChars="200"/>
        <w:jc w:val="both"/>
        <w:rPr>
          <w:rFonts w:cs="Times New Roman"/>
          <w:kern w:val="2"/>
        </w:rPr>
      </w:pPr>
    </w:p>
    <w:p>
      <w:pPr>
        <w:widowControl/>
        <w:spacing w:line="240" w:lineRule="auto"/>
        <w:ind w:firstLine="0" w:firstLineChars="0"/>
        <w:jc w:val="left"/>
        <w:rPr>
          <w:rFonts w:hint="eastAsia" w:cs="Times New Roman"/>
          <w:kern w:val="2"/>
        </w:rPr>
      </w:pPr>
      <w:r>
        <w:rPr>
          <w:rFonts w:hint="eastAsia" w:cs="Times New Roman"/>
          <w:kern w:val="2"/>
        </w:rPr>
        <w:br w:type="page"/>
      </w:r>
    </w:p>
    <w:p>
      <w:pPr>
        <w:widowControl/>
        <w:spacing w:line="360" w:lineRule="auto"/>
        <w:jc w:val="left"/>
        <w:outlineLvl w:val="1"/>
        <w:rPr>
          <w:kern w:val="2"/>
          <w:sz w:val="21"/>
          <w:szCs w:val="21"/>
        </w:rPr>
      </w:pPr>
      <w:bookmarkStart w:id="1117" w:name="_Toc7356"/>
      <w:bookmarkStart w:id="1118" w:name="_Toc15878"/>
      <w:bookmarkStart w:id="1119" w:name="_Toc28422"/>
      <w:bookmarkStart w:id="1120" w:name="_Toc9430"/>
      <w:bookmarkStart w:id="1121" w:name="_Toc3069"/>
      <w:bookmarkStart w:id="1122" w:name="_Toc29019"/>
      <w:r>
        <w:rPr>
          <w:rFonts w:hint="eastAsia"/>
          <w:kern w:val="2"/>
          <w:sz w:val="21"/>
          <w:szCs w:val="21"/>
        </w:rPr>
        <w:t>附件8：</w:t>
      </w:r>
      <w:bookmarkEnd w:id="1117"/>
      <w:bookmarkEnd w:id="1118"/>
      <w:bookmarkEnd w:id="1119"/>
      <w:bookmarkEnd w:id="1120"/>
      <w:bookmarkEnd w:id="1121"/>
      <w:bookmarkEnd w:id="1122"/>
    </w:p>
    <w:p>
      <w:pPr>
        <w:widowControl w:val="0"/>
        <w:adjustRightInd w:val="0"/>
        <w:snapToGrid w:val="0"/>
        <w:spacing w:after="200" w:line="360" w:lineRule="auto"/>
        <w:ind w:firstLine="3012" w:firstLineChars="1000"/>
        <w:jc w:val="both"/>
        <w:textAlignment w:val="baseline"/>
        <w:outlineLvl w:val="4"/>
        <w:rPr>
          <w:rFonts w:ascii="Times New Roman" w:hAnsi="Times New Roman" w:cs="Times New Roman"/>
          <w:b/>
          <w:kern w:val="2"/>
          <w:sz w:val="30"/>
          <w:szCs w:val="22"/>
        </w:rPr>
      </w:pPr>
      <w:r>
        <w:rPr>
          <w:rFonts w:hint="eastAsia" w:ascii="Times New Roman" w:hAnsi="Times New Roman" w:cs="Times New Roman"/>
          <w:b/>
          <w:kern w:val="2"/>
          <w:sz w:val="30"/>
          <w:szCs w:val="22"/>
        </w:rPr>
        <w:t>消防安全管理承诺书</w:t>
      </w:r>
    </w:p>
    <w:p>
      <w:pPr>
        <w:widowControl w:val="0"/>
        <w:spacing w:line="500" w:lineRule="exact"/>
        <w:jc w:val="both"/>
        <w:rPr>
          <w:rFonts w:cs="Times New Roman"/>
          <w:kern w:val="2"/>
          <w:u w:val="single"/>
        </w:rPr>
      </w:pPr>
      <w:r>
        <w:rPr>
          <w:rFonts w:hint="eastAsia" w:cs="Times New Roman"/>
          <w:kern w:val="2"/>
        </w:rPr>
        <w:t>致：</w:t>
      </w:r>
      <w:r>
        <w:rPr>
          <w:rFonts w:hint="eastAsia"/>
          <w:szCs w:val="21"/>
          <w:u w:val="single"/>
          <w:lang w:eastAsia="zh-CN"/>
        </w:rPr>
        <w:t>深圳市龙华高新技术产业园区开发投资有限公司</w:t>
      </w:r>
      <w:r>
        <w:rPr>
          <w:rFonts w:hint="eastAsia" w:cs="Times New Roman"/>
          <w:kern w:val="2"/>
          <w:u w:val="single"/>
        </w:rPr>
        <w:t xml:space="preserve"> </w:t>
      </w:r>
    </w:p>
    <w:p>
      <w:pPr>
        <w:widowControl w:val="0"/>
        <w:spacing w:line="500" w:lineRule="exact"/>
        <w:ind w:firstLine="480" w:firstLineChars="200"/>
        <w:jc w:val="both"/>
        <w:rPr>
          <w:rFonts w:cs="Times New Roman"/>
          <w:kern w:val="2"/>
        </w:rPr>
      </w:pPr>
      <w:r>
        <w:rPr>
          <w:rFonts w:hint="eastAsia" w:cs="Times New Roman"/>
          <w:kern w:val="2"/>
        </w:rPr>
        <w:t>我司承接贵司的</w:t>
      </w:r>
      <w:r>
        <w:rPr>
          <w:rFonts w:hint="eastAsia"/>
          <w:u w:val="single"/>
          <w:lang w:eastAsia="zh-CN"/>
        </w:rPr>
        <w:t>******</w:t>
      </w:r>
      <w:r>
        <w:rPr>
          <w:rFonts w:hint="eastAsia" w:cs="Times New Roman"/>
          <w:kern w:val="2"/>
        </w:rPr>
        <w:t>。我司承诺：我司将认真执行国家和广东省、深圳市有关消防安全的法律、法规和强制性标准等，贯彻“预防为主、防消结合”的工作方针，按照政府统一领导、部门依法监管、单位全面负责、公民积极参与的原则，实行消防安全责任制，健全消防安全体系，制定并落实各项具体消防措施，完善并经常维护消防设施。完善并遵守现场消防管理制度，切实做好现场的消防安全。</w:t>
      </w:r>
    </w:p>
    <w:p>
      <w:pPr>
        <w:widowControl w:val="0"/>
        <w:spacing w:line="500" w:lineRule="exact"/>
        <w:ind w:firstLine="480" w:firstLineChars="200"/>
        <w:jc w:val="both"/>
        <w:rPr>
          <w:rFonts w:cs="Times New Roman"/>
          <w:kern w:val="2"/>
        </w:rPr>
      </w:pPr>
      <w:r>
        <w:rPr>
          <w:rFonts w:hint="eastAsia" w:cs="Times New Roman"/>
          <w:kern w:val="2"/>
        </w:rPr>
        <w:t>因违反上述承诺而造成的一切消防安全事故，以及由此引发的一切人员伤亡和财产损失，均由我司承担，与贵司无关。</w:t>
      </w:r>
    </w:p>
    <w:p>
      <w:pPr>
        <w:widowControl w:val="0"/>
        <w:spacing w:line="500" w:lineRule="exact"/>
        <w:ind w:firstLine="480" w:firstLineChars="200"/>
        <w:jc w:val="both"/>
        <w:rPr>
          <w:rFonts w:cs="Times New Roman"/>
          <w:kern w:val="2"/>
        </w:rPr>
      </w:pPr>
      <w:r>
        <w:rPr>
          <w:rFonts w:hint="eastAsia" w:cs="Times New Roman"/>
          <w:kern w:val="2"/>
        </w:rPr>
        <w:t>特此承诺！</w:t>
      </w:r>
    </w:p>
    <w:p>
      <w:pPr>
        <w:widowControl w:val="0"/>
        <w:spacing w:line="500" w:lineRule="exact"/>
        <w:ind w:firstLine="480" w:firstLineChars="200"/>
        <w:jc w:val="both"/>
        <w:rPr>
          <w:rFonts w:cs="Times New Roman"/>
          <w:kern w:val="2"/>
        </w:rPr>
      </w:pPr>
    </w:p>
    <w:p>
      <w:pPr>
        <w:widowControl w:val="0"/>
        <w:spacing w:line="500" w:lineRule="exact"/>
        <w:ind w:firstLine="480" w:firstLineChars="200"/>
        <w:jc w:val="both"/>
        <w:rPr>
          <w:rFonts w:cs="Times New Roman"/>
          <w:kern w:val="2"/>
        </w:rPr>
      </w:pPr>
    </w:p>
    <w:tbl>
      <w:tblPr>
        <w:tblStyle w:val="17"/>
        <w:tblW w:w="9039" w:type="dxa"/>
        <w:jc w:val="center"/>
        <w:tblLayout w:type="fixed"/>
        <w:tblCellMar>
          <w:top w:w="0" w:type="dxa"/>
          <w:left w:w="108" w:type="dxa"/>
          <w:bottom w:w="0" w:type="dxa"/>
          <w:right w:w="108" w:type="dxa"/>
        </w:tblCellMar>
      </w:tblPr>
      <w:tblGrid>
        <w:gridCol w:w="4519"/>
        <w:gridCol w:w="4520"/>
      </w:tblGrid>
      <w:tr>
        <w:tblPrEx>
          <w:tblCellMar>
            <w:top w:w="0" w:type="dxa"/>
            <w:left w:w="108" w:type="dxa"/>
            <w:bottom w:w="0" w:type="dxa"/>
            <w:right w:w="108" w:type="dxa"/>
          </w:tblCellMar>
        </w:tblPrEx>
        <w:trPr>
          <w:trHeight w:val="1204" w:hRule="atLeast"/>
          <w:jc w:val="center"/>
        </w:trPr>
        <w:tc>
          <w:tcPr>
            <w:tcW w:w="4519" w:type="dxa"/>
            <w:vAlign w:val="top"/>
          </w:tcPr>
          <w:p>
            <w:pPr>
              <w:widowControl/>
              <w:spacing w:after="240" w:line="240" w:lineRule="auto"/>
              <w:jc w:val="left"/>
              <w:rPr>
                <w:szCs w:val="21"/>
              </w:rPr>
            </w:pPr>
            <w:r>
              <w:rPr>
                <w:rFonts w:hint="eastAsia"/>
                <w:szCs w:val="21"/>
                <w:lang w:val="en-US" w:eastAsia="zh-CN"/>
              </w:rPr>
              <w:t>承诺</w:t>
            </w:r>
            <w:r>
              <w:rPr>
                <w:rFonts w:hint="eastAsia"/>
                <w:szCs w:val="21"/>
              </w:rPr>
              <w:t>人</w:t>
            </w:r>
            <w:r>
              <w:rPr>
                <w:rFonts w:hint="eastAsia"/>
                <w:kern w:val="18"/>
                <w:szCs w:val="21"/>
              </w:rPr>
              <w:t>：</w:t>
            </w:r>
            <w:r>
              <w:rPr>
                <w:rFonts w:hint="eastAsia"/>
                <w:szCs w:val="21"/>
              </w:rPr>
              <w:t>（盖章）</w:t>
            </w:r>
          </w:p>
          <w:p>
            <w:pPr>
              <w:widowControl/>
              <w:spacing w:after="240" w:line="240" w:lineRule="auto"/>
              <w:jc w:val="left"/>
              <w:rPr>
                <w:rFonts w:hint="eastAsia" w:ascii="宋体" w:hAnsi="宋体" w:eastAsia="宋体" w:cs="宋体"/>
                <w:sz w:val="24"/>
                <w:szCs w:val="21"/>
                <w:lang w:val="en-US" w:eastAsia="zh-CN" w:bidi="ar-SA"/>
              </w:rPr>
            </w:pPr>
            <w:r>
              <w:rPr>
                <w:rFonts w:hint="eastAsia"/>
                <w:szCs w:val="21"/>
                <w:u w:val="single"/>
                <w:lang w:eastAsia="zh-CN"/>
              </w:rPr>
              <w:t>******</w:t>
            </w:r>
          </w:p>
        </w:tc>
        <w:tc>
          <w:tcPr>
            <w:tcW w:w="4520" w:type="dxa"/>
            <w:vAlign w:val="top"/>
          </w:tcPr>
          <w:p>
            <w:pPr>
              <w:widowControl/>
              <w:spacing w:after="240" w:line="240" w:lineRule="auto"/>
              <w:jc w:val="left"/>
              <w:rPr>
                <w:szCs w:val="21"/>
              </w:rPr>
            </w:pPr>
            <w:r>
              <w:rPr>
                <w:rFonts w:hint="eastAsia"/>
                <w:szCs w:val="21"/>
                <w:lang w:val="en-US" w:eastAsia="zh-CN"/>
              </w:rPr>
              <w:t>承诺</w:t>
            </w:r>
            <w:r>
              <w:rPr>
                <w:rFonts w:hint="eastAsia"/>
                <w:szCs w:val="21"/>
              </w:rPr>
              <w:t>人</w:t>
            </w:r>
            <w:r>
              <w:rPr>
                <w:rFonts w:hint="eastAsia"/>
                <w:kern w:val="18"/>
                <w:szCs w:val="21"/>
              </w:rPr>
              <w:t>：</w:t>
            </w:r>
            <w:r>
              <w:rPr>
                <w:rFonts w:hint="eastAsia"/>
                <w:szCs w:val="21"/>
              </w:rPr>
              <w:t>（盖章）</w:t>
            </w:r>
          </w:p>
          <w:p>
            <w:pPr>
              <w:widowControl/>
              <w:spacing w:after="240" w:line="240" w:lineRule="auto"/>
              <w:jc w:val="left"/>
              <w:rPr>
                <w:rFonts w:hint="eastAsia" w:ascii="宋体" w:hAnsi="宋体" w:eastAsia="宋体" w:cs="宋体"/>
                <w:sz w:val="24"/>
                <w:szCs w:val="21"/>
                <w:lang w:val="en-US" w:eastAsia="zh-CN" w:bidi="ar-SA"/>
              </w:rPr>
            </w:pPr>
            <w:r>
              <w:rPr>
                <w:rFonts w:hint="eastAsia"/>
                <w:szCs w:val="21"/>
                <w:u w:val="single"/>
                <w:lang w:eastAsia="zh-CN"/>
              </w:rPr>
              <w:t>******</w:t>
            </w:r>
          </w:p>
        </w:tc>
      </w:tr>
      <w:tr>
        <w:tblPrEx>
          <w:tblCellMar>
            <w:top w:w="0" w:type="dxa"/>
            <w:left w:w="108" w:type="dxa"/>
            <w:bottom w:w="0" w:type="dxa"/>
            <w:right w:w="108" w:type="dxa"/>
          </w:tblCellMar>
        </w:tblPrEx>
        <w:trPr>
          <w:trHeight w:val="1480" w:hRule="atLeast"/>
          <w:jc w:val="center"/>
        </w:trPr>
        <w:tc>
          <w:tcPr>
            <w:tcW w:w="4519" w:type="dxa"/>
            <w:vAlign w:val="top"/>
          </w:tcPr>
          <w:p>
            <w:pPr>
              <w:spacing w:after="240" w:line="240" w:lineRule="auto"/>
              <w:rPr>
                <w:rFonts w:hint="eastAsia"/>
              </w:rPr>
            </w:pPr>
            <w:r>
              <w:rPr>
                <w:rFonts w:hint="eastAsia"/>
              </w:rPr>
              <w:t>法定代表人或其委托代理人</w:t>
            </w:r>
            <w:r>
              <w:rPr>
                <w:rFonts w:hint="eastAsia" w:cs="Times New Roman"/>
                <w:kern w:val="2"/>
              </w:rPr>
              <w:t>（签名或盖章）</w:t>
            </w:r>
            <w:r>
              <w:rPr>
                <w:rFonts w:hint="eastAsia"/>
              </w:rPr>
              <w:t>：</w:t>
            </w:r>
          </w:p>
          <w:p>
            <w:pPr>
              <w:rPr>
                <w:rFonts w:hint="eastAsia"/>
                <w:lang w:val="en-US" w:eastAsia="zh-CN"/>
              </w:rPr>
            </w:pPr>
          </w:p>
        </w:tc>
        <w:tc>
          <w:tcPr>
            <w:tcW w:w="4520" w:type="dxa"/>
            <w:vAlign w:val="top"/>
          </w:tcPr>
          <w:p>
            <w:pPr>
              <w:widowControl/>
              <w:spacing w:line="240" w:lineRule="auto"/>
              <w:jc w:val="left"/>
            </w:pPr>
            <w:r>
              <w:rPr>
                <w:rFonts w:hint="eastAsia"/>
              </w:rPr>
              <w:t>法定代表人或其委托代理人</w:t>
            </w:r>
            <w:r>
              <w:rPr>
                <w:rFonts w:hint="eastAsia" w:cs="Times New Roman"/>
                <w:kern w:val="2"/>
              </w:rPr>
              <w:t>（签名或盖章）</w:t>
            </w:r>
            <w:r>
              <w:rPr>
                <w:rFonts w:hint="eastAsia"/>
              </w:rPr>
              <w:t>：</w:t>
            </w:r>
          </w:p>
          <w:p>
            <w:pPr>
              <w:widowControl/>
              <w:spacing w:line="240" w:lineRule="auto"/>
              <w:ind w:firstLine="420" w:firstLineChars="0"/>
              <w:jc w:val="left"/>
              <w:rPr>
                <w:rFonts w:ascii="宋体" w:hAnsi="宋体" w:eastAsia="宋体" w:cs="宋体"/>
                <w:sz w:val="24"/>
                <w:szCs w:val="20"/>
                <w:lang w:val="en-US" w:eastAsia="zh-CN" w:bidi="ar-SA"/>
              </w:rPr>
            </w:pPr>
          </w:p>
        </w:tc>
      </w:tr>
      <w:tr>
        <w:tblPrEx>
          <w:tblCellMar>
            <w:top w:w="0" w:type="dxa"/>
            <w:left w:w="108" w:type="dxa"/>
            <w:bottom w:w="0" w:type="dxa"/>
            <w:right w:w="108" w:type="dxa"/>
          </w:tblCellMar>
        </w:tblPrEx>
        <w:trPr>
          <w:trHeight w:val="613" w:hRule="atLeast"/>
          <w:jc w:val="center"/>
        </w:trPr>
        <w:tc>
          <w:tcPr>
            <w:tcW w:w="4519" w:type="dxa"/>
            <w:vAlign w:val="top"/>
          </w:tcPr>
          <w:p>
            <w:pPr>
              <w:rPr>
                <w:rFonts w:hint="default"/>
                <w:lang w:val="en-US" w:eastAsia="zh-CN"/>
              </w:rPr>
            </w:pPr>
            <w:r>
              <w:rPr>
                <w:rFonts w:hint="eastAsia"/>
                <w:lang w:val="en-US" w:eastAsia="zh-CN"/>
              </w:rPr>
              <w:t>联系电话：</w:t>
            </w:r>
          </w:p>
        </w:tc>
        <w:tc>
          <w:tcPr>
            <w:tcW w:w="4520" w:type="dxa"/>
            <w:vAlign w:val="top"/>
          </w:tcPr>
          <w:p>
            <w:pPr>
              <w:widowControl/>
              <w:spacing w:line="240" w:lineRule="auto"/>
              <w:ind w:firstLine="0" w:firstLineChars="0"/>
              <w:jc w:val="left"/>
              <w:rPr>
                <w:rFonts w:ascii="宋体" w:hAnsi="宋体" w:eastAsia="宋体" w:cs="宋体"/>
                <w:sz w:val="24"/>
                <w:szCs w:val="20"/>
                <w:lang w:val="en-US" w:eastAsia="zh-CN" w:bidi="ar-SA"/>
              </w:rPr>
            </w:pPr>
            <w:r>
              <w:rPr>
                <w:rFonts w:hint="eastAsia"/>
                <w:lang w:val="en-US" w:eastAsia="zh-CN"/>
              </w:rPr>
              <w:t>联系电话：</w:t>
            </w:r>
          </w:p>
        </w:tc>
      </w:tr>
      <w:tr>
        <w:tblPrEx>
          <w:tblCellMar>
            <w:top w:w="0" w:type="dxa"/>
            <w:left w:w="108" w:type="dxa"/>
            <w:bottom w:w="0" w:type="dxa"/>
            <w:right w:w="108" w:type="dxa"/>
          </w:tblCellMar>
        </w:tblPrEx>
        <w:trPr>
          <w:trHeight w:val="512" w:hRule="atLeast"/>
          <w:jc w:val="center"/>
        </w:trPr>
        <w:tc>
          <w:tcPr>
            <w:tcW w:w="4519" w:type="dxa"/>
            <w:vAlign w:val="top"/>
          </w:tcPr>
          <w:p>
            <w:pPr>
              <w:widowControl/>
              <w:spacing w:after="240" w:line="240" w:lineRule="auto"/>
              <w:jc w:val="left"/>
              <w:rPr>
                <w:rFonts w:hint="eastAsia" w:ascii="宋体" w:hAnsi="宋体" w:eastAsia="宋体" w:cs="宋体"/>
                <w:sz w:val="24"/>
                <w:szCs w:val="21"/>
                <w:lang w:val="en-US" w:eastAsia="zh-CN" w:bidi="ar-SA"/>
              </w:rPr>
            </w:pPr>
            <w:r>
              <w:rPr>
                <w:rFonts w:hint="eastAsia"/>
                <w:szCs w:val="21"/>
              </w:rPr>
              <w:t>时间：    年    月    日</w:t>
            </w:r>
          </w:p>
        </w:tc>
        <w:tc>
          <w:tcPr>
            <w:tcW w:w="4520" w:type="dxa"/>
            <w:vAlign w:val="top"/>
          </w:tcPr>
          <w:p>
            <w:pPr>
              <w:widowControl/>
              <w:spacing w:after="240" w:line="240" w:lineRule="auto"/>
              <w:ind w:right="180" w:rightChars="0"/>
              <w:jc w:val="left"/>
              <w:rPr>
                <w:rFonts w:ascii="宋体" w:hAnsi="宋体" w:eastAsia="宋体" w:cs="宋体"/>
                <w:sz w:val="24"/>
                <w:szCs w:val="21"/>
                <w:lang w:val="en-US" w:eastAsia="zh-CN" w:bidi="ar-SA"/>
              </w:rPr>
            </w:pPr>
            <w:r>
              <w:rPr>
                <w:rFonts w:hint="eastAsia"/>
                <w:szCs w:val="21"/>
              </w:rPr>
              <w:t>时间：    年    月    日</w:t>
            </w:r>
          </w:p>
        </w:tc>
      </w:tr>
    </w:tbl>
    <w:p>
      <w:pPr>
        <w:widowControl w:val="0"/>
        <w:spacing w:line="500" w:lineRule="exact"/>
        <w:ind w:firstLine="420" w:firstLineChars="200"/>
        <w:jc w:val="both"/>
        <w:rPr>
          <w:rFonts w:cs="Times New Roman"/>
          <w:kern w:val="2"/>
          <w:sz w:val="21"/>
          <w:szCs w:val="21"/>
        </w:rPr>
      </w:pPr>
      <w:r>
        <w:rPr>
          <w:rFonts w:cs="Times New Roman"/>
          <w:kern w:val="2"/>
          <w:sz w:val="21"/>
          <w:szCs w:val="21"/>
        </w:rPr>
        <w:br w:type="page"/>
      </w:r>
    </w:p>
    <w:p>
      <w:pPr>
        <w:widowControl/>
        <w:spacing w:line="360" w:lineRule="auto"/>
        <w:jc w:val="left"/>
        <w:outlineLvl w:val="1"/>
        <w:rPr>
          <w:kern w:val="2"/>
          <w:sz w:val="21"/>
          <w:szCs w:val="21"/>
        </w:rPr>
      </w:pPr>
      <w:bookmarkStart w:id="1123" w:name="_Toc15928"/>
      <w:bookmarkStart w:id="1124" w:name="_Toc17853"/>
      <w:bookmarkStart w:id="1125" w:name="_Toc22261"/>
      <w:bookmarkStart w:id="1126" w:name="_Toc3605"/>
      <w:bookmarkStart w:id="1127" w:name="_Toc21222"/>
      <w:bookmarkStart w:id="1128" w:name="_Toc8417"/>
      <w:r>
        <w:rPr>
          <w:rFonts w:hint="eastAsia"/>
          <w:kern w:val="2"/>
          <w:sz w:val="21"/>
          <w:szCs w:val="21"/>
        </w:rPr>
        <w:t>附件9：</w:t>
      </w:r>
      <w:bookmarkEnd w:id="1123"/>
      <w:bookmarkEnd w:id="1124"/>
      <w:bookmarkEnd w:id="1125"/>
      <w:bookmarkEnd w:id="1126"/>
      <w:bookmarkEnd w:id="1127"/>
      <w:bookmarkEnd w:id="1128"/>
    </w:p>
    <w:p>
      <w:pPr>
        <w:widowControl w:val="0"/>
        <w:adjustRightInd w:val="0"/>
        <w:snapToGrid w:val="0"/>
        <w:spacing w:after="200" w:line="360" w:lineRule="auto"/>
        <w:ind w:firstLine="0" w:firstLineChars="0"/>
        <w:jc w:val="center"/>
        <w:textAlignment w:val="baseline"/>
        <w:outlineLvl w:val="4"/>
        <w:rPr>
          <w:rFonts w:ascii="Times New Roman" w:hAnsi="Times New Roman" w:cs="Times New Roman"/>
          <w:b/>
          <w:kern w:val="2"/>
          <w:sz w:val="30"/>
          <w:szCs w:val="22"/>
        </w:rPr>
      </w:pPr>
      <w:r>
        <w:rPr>
          <w:rFonts w:hint="eastAsia" w:ascii="Times New Roman" w:hAnsi="Times New Roman" w:cs="Times New Roman"/>
          <w:b/>
          <w:kern w:val="2"/>
          <w:sz w:val="30"/>
          <w:szCs w:val="22"/>
        </w:rPr>
        <w:t>项目开发建设廉洁协议书</w:t>
      </w:r>
    </w:p>
    <w:p>
      <w:pPr>
        <w:widowControl w:val="0"/>
        <w:snapToGrid w:val="0"/>
        <w:spacing w:line="500" w:lineRule="exact"/>
        <w:ind w:firstLine="480" w:firstLineChars="200"/>
        <w:jc w:val="both"/>
        <w:rPr>
          <w:rFonts w:hint="eastAsia" w:eastAsia="宋体" w:cs="Times New Roman"/>
          <w:kern w:val="2"/>
          <w:u w:val="single"/>
          <w:lang w:eastAsia="zh-CN"/>
        </w:rPr>
      </w:pPr>
      <w:r>
        <w:rPr>
          <w:rFonts w:hint="eastAsia" w:cs="Times New Roman"/>
          <w:kern w:val="2"/>
        </w:rPr>
        <w:t>发包人</w:t>
      </w:r>
      <w:r>
        <w:rPr>
          <w:rFonts w:cs="Times New Roman"/>
          <w:kern w:val="2"/>
        </w:rPr>
        <w:t>(</w:t>
      </w:r>
      <w:r>
        <w:rPr>
          <w:rFonts w:hint="eastAsia" w:cs="Times New Roman"/>
          <w:kern w:val="2"/>
        </w:rPr>
        <w:t>甲方</w:t>
      </w:r>
      <w:r>
        <w:rPr>
          <w:rFonts w:cs="Times New Roman"/>
          <w:kern w:val="2"/>
        </w:rPr>
        <w:t>)：</w:t>
      </w:r>
      <w:r>
        <w:rPr>
          <w:rFonts w:hint="eastAsia" w:cs="Times New Roman"/>
          <w:kern w:val="2"/>
          <w:u w:val="single"/>
          <w:lang w:eastAsia="zh-CN"/>
        </w:rPr>
        <w:t>深圳市龙华高新技术产业园区开发投资有限公司</w:t>
      </w:r>
    </w:p>
    <w:p>
      <w:pPr>
        <w:widowControl w:val="0"/>
        <w:snapToGrid w:val="0"/>
        <w:spacing w:line="500" w:lineRule="exact"/>
        <w:ind w:firstLine="480" w:firstLineChars="200"/>
        <w:jc w:val="both"/>
        <w:rPr>
          <w:rFonts w:hint="eastAsia" w:eastAsia="宋体" w:cs="Times New Roman"/>
          <w:kern w:val="2"/>
          <w:lang w:val="en-US" w:eastAsia="zh-CN"/>
        </w:rPr>
      </w:pPr>
      <w:r>
        <w:rPr>
          <w:rFonts w:hint="eastAsia" w:cs="Times New Roman"/>
          <w:kern w:val="2"/>
        </w:rPr>
        <w:t>承包人</w:t>
      </w:r>
      <w:r>
        <w:rPr>
          <w:rFonts w:cs="Times New Roman"/>
          <w:kern w:val="2"/>
        </w:rPr>
        <w:t>(</w:t>
      </w:r>
      <w:r>
        <w:rPr>
          <w:rFonts w:hint="eastAsia" w:cs="Times New Roman"/>
          <w:kern w:val="2"/>
        </w:rPr>
        <w:t>乙方</w:t>
      </w:r>
      <w:r>
        <w:rPr>
          <w:rFonts w:cs="Times New Roman"/>
          <w:kern w:val="2"/>
        </w:rPr>
        <w:t>)：</w:t>
      </w:r>
      <w:r>
        <w:rPr>
          <w:rFonts w:hint="eastAsia"/>
          <w:bCs/>
          <w:kern w:val="2"/>
          <w:szCs w:val="22"/>
          <w:u w:val="single"/>
          <w:lang w:eastAsia="zh-CN"/>
        </w:rPr>
        <w:t>******</w:t>
      </w:r>
      <w:r>
        <w:rPr>
          <w:rFonts w:hint="eastAsia"/>
          <w:bCs/>
          <w:kern w:val="2"/>
          <w:szCs w:val="22"/>
          <w:u w:val="single"/>
        </w:rPr>
        <w:t>//</w:t>
      </w:r>
      <w:r>
        <w:rPr>
          <w:rFonts w:hint="eastAsia"/>
          <w:bCs/>
          <w:kern w:val="2"/>
          <w:szCs w:val="22"/>
          <w:u w:val="single"/>
          <w:lang w:eastAsia="zh-CN"/>
        </w:rPr>
        <w:t>******</w:t>
      </w:r>
    </w:p>
    <w:p>
      <w:pPr>
        <w:widowControl w:val="0"/>
        <w:spacing w:line="500" w:lineRule="exact"/>
        <w:ind w:firstLine="480" w:firstLineChars="200"/>
        <w:jc w:val="both"/>
        <w:rPr>
          <w:rFonts w:cs="Times New Roman"/>
          <w:kern w:val="2"/>
        </w:rPr>
      </w:pPr>
      <w:r>
        <w:rPr>
          <w:rFonts w:hint="eastAsia" w:cs="Times New Roman"/>
          <w:kern w:val="2"/>
        </w:rPr>
        <w:t>为加强廉洁建设，规范双方的活动，防止发生各种谋取不正当利益的违法违纪行为，保护双方的合法权益，保证国有资产的安全和有效使用，根据国家有关规定和廉洁从业的各项要求，双方签订本廉洁协议。</w:t>
      </w:r>
    </w:p>
    <w:p>
      <w:pPr>
        <w:widowControl w:val="0"/>
        <w:spacing w:line="500" w:lineRule="exact"/>
        <w:ind w:firstLine="480" w:firstLineChars="200"/>
        <w:jc w:val="both"/>
        <w:rPr>
          <w:rFonts w:cs="Times New Roman"/>
          <w:kern w:val="2"/>
        </w:rPr>
      </w:pPr>
      <w:r>
        <w:rPr>
          <w:rFonts w:hint="eastAsia" w:cs="Times New Roman"/>
          <w:kern w:val="2"/>
        </w:rPr>
        <w:t>第一条 双方的权利和责任</w:t>
      </w:r>
    </w:p>
    <w:p>
      <w:pPr>
        <w:widowControl w:val="0"/>
        <w:spacing w:line="500" w:lineRule="exact"/>
        <w:ind w:firstLine="480" w:firstLineChars="200"/>
        <w:jc w:val="both"/>
        <w:rPr>
          <w:rFonts w:cs="Times New Roman"/>
          <w:kern w:val="2"/>
        </w:rPr>
      </w:pPr>
      <w:r>
        <w:rPr>
          <w:rFonts w:hint="eastAsia" w:cs="Times New Roman"/>
          <w:kern w:val="2"/>
        </w:rPr>
        <w:t>（一）严格遵守国家法律法规、廉洁从业规定以及相关行业规定。</w:t>
      </w:r>
    </w:p>
    <w:p>
      <w:pPr>
        <w:widowControl w:val="0"/>
        <w:spacing w:line="500" w:lineRule="exact"/>
        <w:ind w:firstLine="480" w:firstLineChars="200"/>
        <w:jc w:val="both"/>
        <w:rPr>
          <w:rFonts w:cs="Times New Roman"/>
          <w:kern w:val="2"/>
        </w:rPr>
      </w:pPr>
      <w:r>
        <w:rPr>
          <w:rFonts w:hint="eastAsia" w:cs="Times New Roman"/>
          <w:kern w:val="2"/>
        </w:rPr>
        <w:t>（二）严格执行一切合同文件及本协议条款，自觉履行权利和责任。</w:t>
      </w:r>
    </w:p>
    <w:p>
      <w:pPr>
        <w:widowControl w:val="0"/>
        <w:spacing w:line="500" w:lineRule="exact"/>
        <w:ind w:firstLine="480" w:firstLineChars="200"/>
        <w:jc w:val="both"/>
        <w:rPr>
          <w:rFonts w:cs="Times New Roman"/>
          <w:kern w:val="2"/>
        </w:rPr>
      </w:pPr>
      <w:r>
        <w:rPr>
          <w:rFonts w:hint="eastAsia" w:cs="Times New Roman"/>
          <w:kern w:val="2"/>
        </w:rPr>
        <w:t>（三）双方的业务活动应坚持公平、公开、公正和诚信的原则（法律法规另有规定除外），不得损害国家、集体和对方利益，不得违反项目开发建设管理的有关规章制度。</w:t>
      </w:r>
    </w:p>
    <w:p>
      <w:pPr>
        <w:widowControl w:val="0"/>
        <w:spacing w:line="500" w:lineRule="exact"/>
        <w:ind w:firstLine="480" w:firstLineChars="200"/>
        <w:jc w:val="both"/>
        <w:rPr>
          <w:rFonts w:cs="Times New Roman"/>
          <w:kern w:val="2"/>
        </w:rPr>
      </w:pPr>
      <w:r>
        <w:rPr>
          <w:rFonts w:hint="eastAsia" w:cs="Times New Roman"/>
          <w:kern w:val="2"/>
        </w:rPr>
        <w:t>（四）建立健全廉洁制度，开展廉洁教育，公布监督部门和电话，监督并认真查处违纪违法行为。</w:t>
      </w:r>
    </w:p>
    <w:p>
      <w:pPr>
        <w:widowControl w:val="0"/>
        <w:spacing w:line="500" w:lineRule="exact"/>
        <w:ind w:firstLine="480" w:firstLineChars="200"/>
        <w:jc w:val="both"/>
        <w:rPr>
          <w:rFonts w:cs="Times New Roman"/>
          <w:kern w:val="2"/>
        </w:rPr>
      </w:pPr>
      <w:r>
        <w:rPr>
          <w:rFonts w:hint="eastAsia" w:cs="Times New Roman"/>
          <w:kern w:val="2"/>
        </w:rPr>
        <w:t>（五）发现对方在业务活动中有违反本协议的行为倾向，有权利和义务及时给予提醒和纠正。</w:t>
      </w:r>
    </w:p>
    <w:p>
      <w:pPr>
        <w:widowControl w:val="0"/>
        <w:spacing w:line="500" w:lineRule="exact"/>
        <w:ind w:firstLine="480" w:firstLineChars="200"/>
        <w:jc w:val="both"/>
        <w:rPr>
          <w:rFonts w:cs="Times New Roman"/>
          <w:kern w:val="2"/>
        </w:rPr>
      </w:pPr>
      <w:r>
        <w:rPr>
          <w:rFonts w:hint="eastAsia" w:cs="Times New Roman"/>
          <w:kern w:val="2"/>
        </w:rPr>
        <w:t>（六）发现对方有违反本协议的行为，应及时向指定的监督部门举报控告，也有权向纪检监察或司法机关举报控告。</w:t>
      </w:r>
    </w:p>
    <w:p>
      <w:pPr>
        <w:widowControl w:val="0"/>
        <w:spacing w:line="500" w:lineRule="exact"/>
        <w:ind w:firstLine="480" w:firstLineChars="200"/>
        <w:jc w:val="both"/>
        <w:rPr>
          <w:rFonts w:cs="Times New Roman"/>
          <w:kern w:val="2"/>
        </w:rPr>
      </w:pPr>
      <w:r>
        <w:rPr>
          <w:rFonts w:hint="eastAsia" w:cs="Times New Roman"/>
          <w:kern w:val="2"/>
        </w:rPr>
        <w:t>（七）双方应互相配合，积极开展廉洁教育、学习和宣传活动，有配合对方履行本协议的责任。</w:t>
      </w:r>
    </w:p>
    <w:p>
      <w:pPr>
        <w:widowControl w:val="0"/>
        <w:spacing w:line="500" w:lineRule="exact"/>
        <w:ind w:firstLine="480" w:firstLineChars="200"/>
        <w:jc w:val="both"/>
        <w:rPr>
          <w:rFonts w:cs="Times New Roman"/>
          <w:kern w:val="2"/>
        </w:rPr>
      </w:pPr>
      <w:r>
        <w:rPr>
          <w:rFonts w:hint="eastAsia" w:cs="Times New Roman"/>
          <w:kern w:val="2"/>
        </w:rPr>
        <w:t>（八）一方有不履行或不完全履行廉洁宣传教育责任的，另一方有权利和责任要求对方履行和督促改进。</w:t>
      </w:r>
    </w:p>
    <w:p>
      <w:pPr>
        <w:widowControl w:val="0"/>
        <w:spacing w:line="500" w:lineRule="exact"/>
        <w:ind w:firstLine="480" w:firstLineChars="200"/>
        <w:jc w:val="both"/>
        <w:rPr>
          <w:rFonts w:cs="Times New Roman"/>
          <w:kern w:val="2"/>
        </w:rPr>
      </w:pPr>
      <w:r>
        <w:rPr>
          <w:rFonts w:hint="eastAsia" w:cs="Times New Roman"/>
          <w:kern w:val="2"/>
        </w:rPr>
        <w:t>第二条 甲方的责任</w:t>
      </w:r>
    </w:p>
    <w:p>
      <w:pPr>
        <w:widowControl w:val="0"/>
        <w:spacing w:line="500" w:lineRule="exact"/>
        <w:ind w:firstLine="480" w:firstLineChars="200"/>
        <w:jc w:val="both"/>
        <w:rPr>
          <w:rFonts w:cs="Times New Roman"/>
          <w:kern w:val="2"/>
        </w:rPr>
      </w:pPr>
      <w:r>
        <w:rPr>
          <w:rFonts w:hint="eastAsia" w:cs="Times New Roman"/>
          <w:kern w:val="2"/>
        </w:rPr>
        <w:t>（一）甲方作为项目的建设单位，全面负责项目开发建设的进度、质量和资金管理，认真履行合同规定的甲方责任。</w:t>
      </w:r>
    </w:p>
    <w:p>
      <w:pPr>
        <w:widowControl w:val="0"/>
        <w:spacing w:line="500" w:lineRule="exact"/>
        <w:ind w:firstLine="480" w:firstLineChars="200"/>
        <w:jc w:val="both"/>
        <w:rPr>
          <w:rFonts w:cs="Times New Roman"/>
          <w:kern w:val="2"/>
        </w:rPr>
      </w:pPr>
      <w:r>
        <w:rPr>
          <w:rFonts w:hint="eastAsia" w:cs="Times New Roman"/>
          <w:kern w:val="2"/>
        </w:rPr>
        <w:t>（二）甲方人员不得违反规定变更规划设计、材料设备供应或改变项目开发建设的投资规模、变更工程量等；不得违反规定与项目承担单位商谈项目施工、资金拨付、工程验收、工程质量处理、工程决算等事项，也不得违反规定干预、决定。</w:t>
      </w:r>
    </w:p>
    <w:p>
      <w:pPr>
        <w:widowControl w:val="0"/>
        <w:spacing w:line="500" w:lineRule="exact"/>
        <w:ind w:firstLine="480" w:firstLineChars="200"/>
        <w:jc w:val="both"/>
        <w:rPr>
          <w:rFonts w:cs="Times New Roman"/>
          <w:kern w:val="2"/>
        </w:rPr>
      </w:pPr>
      <w:r>
        <w:rPr>
          <w:rFonts w:hint="eastAsia" w:cs="Times New Roman"/>
          <w:kern w:val="2"/>
        </w:rPr>
        <w:t>（三）甲方人员不得要求项目承担单位购买合同约定以外的商品、物品、设备和服务等。</w:t>
      </w:r>
    </w:p>
    <w:p>
      <w:pPr>
        <w:widowControl w:val="0"/>
        <w:spacing w:line="500" w:lineRule="exact"/>
        <w:ind w:firstLine="480" w:firstLineChars="200"/>
        <w:jc w:val="both"/>
        <w:rPr>
          <w:rFonts w:cs="Times New Roman"/>
          <w:kern w:val="2"/>
        </w:rPr>
      </w:pPr>
      <w:r>
        <w:rPr>
          <w:rFonts w:hint="eastAsia" w:cs="Times New Roman"/>
          <w:kern w:val="2"/>
        </w:rPr>
        <w:t>（四）甲方人员不得索要、接受项目承担单位违反法规赠送的现金、有价证券、支付凭证或股份等各种财物；不得索要、接受项目承担单位违反法规提供的通讯工具、交通工具、高档办公用品。</w:t>
      </w:r>
    </w:p>
    <w:p>
      <w:pPr>
        <w:widowControl w:val="0"/>
        <w:spacing w:line="500" w:lineRule="exact"/>
        <w:ind w:firstLine="480" w:firstLineChars="200"/>
        <w:jc w:val="both"/>
        <w:rPr>
          <w:rFonts w:cs="Times New Roman"/>
          <w:kern w:val="2"/>
        </w:rPr>
      </w:pPr>
      <w:r>
        <w:rPr>
          <w:rFonts w:hint="eastAsia" w:cs="Times New Roman"/>
          <w:kern w:val="2"/>
        </w:rPr>
        <w:t>（五）甲方人员不得索要、接受乙方对个人或配偶子女等亲属亲友的馈赠、赞助、费用报销、装修、旅游、疗养、健身以及各种高消费娱乐等活动。</w:t>
      </w:r>
    </w:p>
    <w:p>
      <w:pPr>
        <w:widowControl w:val="0"/>
        <w:spacing w:line="500" w:lineRule="exact"/>
        <w:ind w:firstLine="480" w:firstLineChars="200"/>
        <w:jc w:val="both"/>
        <w:rPr>
          <w:rFonts w:cs="Times New Roman"/>
          <w:kern w:val="2"/>
        </w:rPr>
      </w:pPr>
      <w:r>
        <w:rPr>
          <w:rFonts w:hint="eastAsia" w:cs="Times New Roman"/>
          <w:kern w:val="2"/>
        </w:rPr>
        <w:t>（六）甲方人员不得索要、接受项目承担单位为本人配偶子女等亲属亲友提供工作的安排、照顾和便利等；本人及配偶子女等亲属亲友不得从事与项目承担单位有关的工程材料设备供应、工程分包与施工、劳务等经济活动。</w:t>
      </w:r>
    </w:p>
    <w:p>
      <w:pPr>
        <w:widowControl w:val="0"/>
        <w:spacing w:line="500" w:lineRule="exact"/>
        <w:ind w:firstLine="480" w:firstLineChars="200"/>
        <w:jc w:val="both"/>
        <w:rPr>
          <w:rFonts w:cs="Times New Roman"/>
          <w:kern w:val="2"/>
        </w:rPr>
      </w:pPr>
      <w:r>
        <w:rPr>
          <w:rFonts w:hint="eastAsia" w:cs="Times New Roman"/>
          <w:kern w:val="2"/>
        </w:rPr>
        <w:t>第三条 乙方的责任</w:t>
      </w:r>
    </w:p>
    <w:p>
      <w:pPr>
        <w:widowControl w:val="0"/>
        <w:spacing w:line="500" w:lineRule="exact"/>
        <w:ind w:firstLine="480" w:firstLineChars="200"/>
        <w:jc w:val="both"/>
        <w:rPr>
          <w:rFonts w:cs="Times New Roman"/>
          <w:kern w:val="2"/>
        </w:rPr>
      </w:pPr>
      <w:r>
        <w:rPr>
          <w:rFonts w:hint="eastAsia" w:cs="Times New Roman"/>
          <w:kern w:val="2"/>
        </w:rPr>
        <w:t>（一）乙方作为项目的施工责任主体，严格执行工程建设法律、法规和强制性标准与规范，依照合同负责承担项目开发建设工程的进度、质量、资金控制。</w:t>
      </w:r>
    </w:p>
    <w:p>
      <w:pPr>
        <w:widowControl w:val="0"/>
        <w:spacing w:line="500" w:lineRule="exact"/>
        <w:ind w:firstLine="480" w:firstLineChars="200"/>
        <w:jc w:val="both"/>
        <w:rPr>
          <w:rFonts w:cs="Times New Roman"/>
          <w:kern w:val="2"/>
        </w:rPr>
      </w:pPr>
      <w:r>
        <w:rPr>
          <w:rFonts w:hint="eastAsia" w:cs="Times New Roman"/>
          <w:kern w:val="2"/>
        </w:rPr>
        <w:t>（二）乙方不得违反规定变更规划设计、材料设备供应或改变项目开发建设的投资规模、变更工程量等；不得违反规定与建设单位商谈项目施工、资金拨付、工程验收、工程质量处理、工程决算等事项，也不得违反规定干预、决定。</w:t>
      </w:r>
    </w:p>
    <w:p>
      <w:pPr>
        <w:widowControl w:val="0"/>
        <w:spacing w:line="500" w:lineRule="exact"/>
        <w:ind w:firstLine="480" w:firstLineChars="200"/>
        <w:jc w:val="both"/>
        <w:rPr>
          <w:rFonts w:cs="Times New Roman"/>
          <w:kern w:val="2"/>
        </w:rPr>
      </w:pPr>
      <w:r>
        <w:rPr>
          <w:rFonts w:hint="eastAsia" w:cs="Times New Roman"/>
          <w:kern w:val="2"/>
        </w:rPr>
        <w:t>（三）乙方不得接受建设单位要求购买合同约定以外的商品、物品、设备和服务等要求。</w:t>
      </w:r>
    </w:p>
    <w:p>
      <w:pPr>
        <w:widowControl w:val="0"/>
        <w:spacing w:line="500" w:lineRule="exact"/>
        <w:ind w:firstLine="480" w:firstLineChars="200"/>
        <w:jc w:val="both"/>
        <w:rPr>
          <w:rFonts w:cs="Times New Roman"/>
          <w:kern w:val="2"/>
        </w:rPr>
      </w:pPr>
      <w:r>
        <w:rPr>
          <w:rFonts w:hint="eastAsia" w:cs="Times New Roman"/>
          <w:kern w:val="2"/>
        </w:rPr>
        <w:t>（四）乙方不得以任何理由违反法规向甲方人员赠送现金、有价证券、支付凭证或股份等各种财物；不得违反法规向甲方人员提供通讯工具、交通工具、高档办公用品等。</w:t>
      </w:r>
    </w:p>
    <w:p>
      <w:pPr>
        <w:widowControl w:val="0"/>
        <w:spacing w:line="500" w:lineRule="exact"/>
        <w:ind w:firstLine="480" w:firstLineChars="200"/>
        <w:jc w:val="both"/>
        <w:rPr>
          <w:rFonts w:cs="Times New Roman"/>
          <w:kern w:val="2"/>
        </w:rPr>
      </w:pPr>
      <w:r>
        <w:rPr>
          <w:rFonts w:hint="eastAsia" w:cs="Times New Roman"/>
          <w:kern w:val="2"/>
        </w:rPr>
        <w:t>（五）乙方不得对甲方人员个人或其配偶子女等亲属亲友提供馈赠、赞助、费用报销、装修、旅游、疗养、健身以及各种高消费娱乐等活动。</w:t>
      </w:r>
    </w:p>
    <w:p>
      <w:pPr>
        <w:widowControl w:val="0"/>
        <w:spacing w:line="500" w:lineRule="exact"/>
        <w:ind w:firstLine="480" w:firstLineChars="200"/>
        <w:jc w:val="both"/>
        <w:rPr>
          <w:rFonts w:cs="Times New Roman"/>
          <w:kern w:val="2"/>
        </w:rPr>
      </w:pPr>
      <w:r>
        <w:rPr>
          <w:rFonts w:hint="eastAsia" w:cs="Times New Roman"/>
          <w:kern w:val="2"/>
        </w:rPr>
        <w:t>（六）乙方不得为甲方人员个人的配偶子女等亲属亲友提供工作的安排、照顾和便利等；不得接受甲方人员个人及配偶子女等亲属亲友从事与项目承担单位有关的工程材料设备供应、工程分包与施工、劳务等经济活动的要求。</w:t>
      </w:r>
    </w:p>
    <w:p>
      <w:pPr>
        <w:widowControl w:val="0"/>
        <w:spacing w:line="500" w:lineRule="exact"/>
        <w:ind w:firstLine="480" w:firstLineChars="200"/>
        <w:jc w:val="both"/>
        <w:rPr>
          <w:rFonts w:cs="Times New Roman"/>
          <w:kern w:val="2"/>
        </w:rPr>
      </w:pPr>
      <w:r>
        <w:rPr>
          <w:rFonts w:hint="eastAsia" w:cs="Times New Roman"/>
          <w:kern w:val="2"/>
        </w:rPr>
        <w:t>第四条 违约责任</w:t>
      </w:r>
    </w:p>
    <w:p>
      <w:pPr>
        <w:widowControl w:val="0"/>
        <w:spacing w:line="500" w:lineRule="exact"/>
        <w:ind w:firstLine="480" w:firstLineChars="200"/>
        <w:jc w:val="both"/>
        <w:rPr>
          <w:rFonts w:cs="Times New Roman"/>
          <w:kern w:val="2"/>
        </w:rPr>
      </w:pPr>
      <w:r>
        <w:rPr>
          <w:rFonts w:hint="eastAsia" w:cs="Times New Roman"/>
          <w:kern w:val="2"/>
        </w:rPr>
        <w:t>（一）甲方人员违反本协议第一条和第二条规定的，由甲方按照管理权限，依据有关法律和规定给予党纪、政纪处分或组织处理，涉嫌犯罪的，移交司法机关追究刑事责任；给乙方造成经济损失的，应予赔偿。</w:t>
      </w:r>
    </w:p>
    <w:p>
      <w:pPr>
        <w:widowControl w:val="0"/>
        <w:spacing w:line="500" w:lineRule="exact"/>
        <w:ind w:firstLine="480" w:firstLineChars="200"/>
        <w:jc w:val="both"/>
        <w:rPr>
          <w:rFonts w:cs="Times New Roman"/>
          <w:kern w:val="2"/>
        </w:rPr>
      </w:pPr>
      <w:r>
        <w:rPr>
          <w:rFonts w:hint="eastAsia" w:cs="Times New Roman"/>
          <w:kern w:val="2"/>
        </w:rPr>
        <w:t>（二）乙方人员违反本协议第一条和第三条规定的，由乙方按照管理权限，依据有关法律和规定给予党纪、政纪处分或组织处理，涉嫌犯罪的，移交司法机关追究刑事责任；给甲方造成经济损失的，应予赔偿。</w:t>
      </w:r>
    </w:p>
    <w:p>
      <w:pPr>
        <w:widowControl w:val="0"/>
        <w:spacing w:line="500" w:lineRule="exact"/>
        <w:ind w:firstLine="480" w:firstLineChars="200"/>
        <w:jc w:val="both"/>
        <w:rPr>
          <w:rFonts w:cs="Times New Roman"/>
          <w:kern w:val="2"/>
        </w:rPr>
      </w:pPr>
      <w:r>
        <w:rPr>
          <w:rFonts w:hint="eastAsia" w:cs="Times New Roman"/>
          <w:kern w:val="2"/>
        </w:rPr>
        <w:t>第五条 本协议书作为项目开发建设工程合同的附件，在双方签署工程合同的同时签署本协议，经双方签署后生效，有效时间以双方签订的工程施工合同的有效期限为准。</w:t>
      </w:r>
    </w:p>
    <w:tbl>
      <w:tblPr>
        <w:tblStyle w:val="17"/>
        <w:tblW w:w="9297" w:type="dxa"/>
        <w:jc w:val="center"/>
        <w:tblLayout w:type="fixed"/>
        <w:tblCellMar>
          <w:top w:w="0" w:type="dxa"/>
          <w:left w:w="108" w:type="dxa"/>
          <w:bottom w:w="0" w:type="dxa"/>
          <w:right w:w="108" w:type="dxa"/>
        </w:tblCellMar>
      </w:tblPr>
      <w:tblGrid>
        <w:gridCol w:w="4519"/>
        <w:gridCol w:w="4520"/>
      </w:tblGrid>
      <w:tr>
        <w:tblPrEx>
          <w:tblCellMar>
            <w:top w:w="0" w:type="dxa"/>
            <w:left w:w="108" w:type="dxa"/>
            <w:bottom w:w="0" w:type="dxa"/>
            <w:right w:w="108" w:type="dxa"/>
          </w:tblCellMar>
        </w:tblPrEx>
        <w:trPr>
          <w:trHeight w:val="1217" w:hRule="atLeast"/>
          <w:jc w:val="center"/>
        </w:trPr>
        <w:tc>
          <w:tcPr>
            <w:tcW w:w="4519" w:type="dxa"/>
            <w:vAlign w:val="top"/>
          </w:tcPr>
          <w:p>
            <w:pPr>
              <w:widowControl/>
              <w:spacing w:after="0" w:line="500" w:lineRule="exact"/>
              <w:ind w:firstLine="0" w:firstLineChars="0"/>
              <w:jc w:val="left"/>
              <w:rPr>
                <w:szCs w:val="21"/>
              </w:rPr>
            </w:pPr>
            <w:r>
              <w:rPr>
                <w:rFonts w:hint="eastAsia"/>
                <w:szCs w:val="21"/>
              </w:rPr>
              <w:t>发包人</w:t>
            </w:r>
            <w:r>
              <w:rPr>
                <w:rFonts w:hint="eastAsia"/>
                <w:kern w:val="18"/>
                <w:szCs w:val="21"/>
              </w:rPr>
              <w:t>：</w:t>
            </w:r>
            <w:r>
              <w:rPr>
                <w:rFonts w:hint="eastAsia"/>
                <w:szCs w:val="21"/>
              </w:rPr>
              <w:t>（盖章）</w:t>
            </w:r>
          </w:p>
          <w:p>
            <w:pPr>
              <w:widowControl/>
              <w:spacing w:after="0" w:line="500" w:lineRule="exact"/>
              <w:ind w:firstLine="0" w:firstLineChars="0"/>
              <w:jc w:val="left"/>
              <w:rPr>
                <w:rFonts w:hint="eastAsia" w:eastAsia="宋体"/>
                <w:szCs w:val="21"/>
                <w:lang w:eastAsia="zh-CN"/>
              </w:rPr>
            </w:pPr>
            <w:r>
              <w:rPr>
                <w:rFonts w:hint="eastAsia"/>
                <w:szCs w:val="21"/>
                <w:u w:val="single"/>
                <w:lang w:eastAsia="zh-CN"/>
              </w:rPr>
              <w:t>深圳市龙华高新技术产业园区开发投资有限公司</w:t>
            </w:r>
          </w:p>
        </w:tc>
        <w:tc>
          <w:tcPr>
            <w:tcW w:w="4520" w:type="dxa"/>
            <w:vAlign w:val="top"/>
          </w:tcPr>
          <w:p>
            <w:pPr>
              <w:widowControl/>
              <w:spacing w:after="0" w:line="500" w:lineRule="exact"/>
              <w:ind w:firstLine="480" w:firstLineChars="200"/>
              <w:jc w:val="left"/>
              <w:rPr>
                <w:szCs w:val="21"/>
              </w:rPr>
            </w:pPr>
          </w:p>
        </w:tc>
      </w:tr>
      <w:tr>
        <w:tblPrEx>
          <w:tblCellMar>
            <w:top w:w="0" w:type="dxa"/>
            <w:left w:w="108" w:type="dxa"/>
            <w:bottom w:w="0" w:type="dxa"/>
            <w:right w:w="108" w:type="dxa"/>
          </w:tblCellMar>
        </w:tblPrEx>
        <w:trPr>
          <w:trHeight w:val="1063" w:hRule="atLeast"/>
          <w:jc w:val="center"/>
        </w:trPr>
        <w:tc>
          <w:tcPr>
            <w:tcW w:w="4519" w:type="dxa"/>
            <w:vAlign w:val="top"/>
          </w:tcPr>
          <w:p>
            <w:pPr>
              <w:spacing w:after="240" w:line="240" w:lineRule="auto"/>
              <w:rPr>
                <w:rFonts w:hint="eastAsia"/>
              </w:rPr>
            </w:pPr>
            <w:r>
              <w:rPr>
                <w:rFonts w:hint="eastAsia"/>
              </w:rPr>
              <w:t>法定代表人或其委托代理人（签名）：</w:t>
            </w:r>
          </w:p>
          <w:p/>
        </w:tc>
        <w:tc>
          <w:tcPr>
            <w:tcW w:w="4520" w:type="dxa"/>
            <w:vAlign w:val="top"/>
          </w:tcPr>
          <w:p>
            <w:pPr>
              <w:widowControl/>
              <w:spacing w:line="240" w:lineRule="auto"/>
              <w:ind w:firstLine="420"/>
              <w:jc w:val="left"/>
              <w:rPr>
                <w:szCs w:val="20"/>
              </w:rPr>
            </w:pPr>
          </w:p>
        </w:tc>
      </w:tr>
      <w:tr>
        <w:tblPrEx>
          <w:tblCellMar>
            <w:top w:w="0" w:type="dxa"/>
            <w:left w:w="108" w:type="dxa"/>
            <w:bottom w:w="0" w:type="dxa"/>
            <w:right w:w="108" w:type="dxa"/>
          </w:tblCellMar>
        </w:tblPrEx>
        <w:trPr>
          <w:trHeight w:val="1358" w:hRule="atLeast"/>
          <w:jc w:val="center"/>
        </w:trPr>
        <w:tc>
          <w:tcPr>
            <w:tcW w:w="4519" w:type="dxa"/>
            <w:vAlign w:val="top"/>
          </w:tcPr>
          <w:p>
            <w:pPr>
              <w:widowControl/>
              <w:spacing w:after="240" w:line="240" w:lineRule="auto"/>
              <w:jc w:val="left"/>
              <w:rPr>
                <w:szCs w:val="21"/>
              </w:rPr>
            </w:pPr>
            <w:r>
              <w:rPr>
                <w:rFonts w:hint="eastAsia"/>
                <w:szCs w:val="21"/>
              </w:rPr>
              <w:t>签订时间：    年    月    日</w:t>
            </w:r>
          </w:p>
        </w:tc>
        <w:tc>
          <w:tcPr>
            <w:tcW w:w="4520" w:type="dxa"/>
            <w:vAlign w:val="top"/>
          </w:tcPr>
          <w:p>
            <w:pPr>
              <w:widowControl/>
              <w:spacing w:after="240" w:line="240" w:lineRule="auto"/>
              <w:ind w:right="180"/>
              <w:jc w:val="left"/>
              <w:rPr>
                <w:szCs w:val="21"/>
              </w:rPr>
            </w:pPr>
          </w:p>
        </w:tc>
      </w:tr>
      <w:tr>
        <w:tblPrEx>
          <w:tblCellMar>
            <w:top w:w="0" w:type="dxa"/>
            <w:left w:w="108" w:type="dxa"/>
            <w:bottom w:w="0" w:type="dxa"/>
            <w:right w:w="108" w:type="dxa"/>
          </w:tblCellMar>
        </w:tblPrEx>
        <w:trPr>
          <w:trHeight w:val="1204" w:hRule="atLeast"/>
          <w:jc w:val="center"/>
        </w:trPr>
        <w:tc>
          <w:tcPr>
            <w:tcW w:w="4519" w:type="dxa"/>
            <w:vAlign w:val="top"/>
          </w:tcPr>
          <w:p>
            <w:pPr>
              <w:widowControl/>
              <w:spacing w:after="240" w:line="240" w:lineRule="auto"/>
              <w:jc w:val="left"/>
              <w:rPr>
                <w:szCs w:val="21"/>
              </w:rPr>
            </w:pPr>
            <w:r>
              <w:rPr>
                <w:rFonts w:hint="eastAsia"/>
                <w:szCs w:val="21"/>
                <w:lang w:val="en-US" w:eastAsia="zh-CN"/>
              </w:rPr>
              <w:t>承包</w:t>
            </w:r>
            <w:r>
              <w:rPr>
                <w:rFonts w:hint="eastAsia"/>
                <w:szCs w:val="21"/>
              </w:rPr>
              <w:t>人</w:t>
            </w:r>
            <w:r>
              <w:rPr>
                <w:rFonts w:hint="eastAsia"/>
                <w:kern w:val="18"/>
                <w:szCs w:val="21"/>
              </w:rPr>
              <w:t>：</w:t>
            </w:r>
            <w:r>
              <w:rPr>
                <w:rFonts w:hint="eastAsia"/>
                <w:szCs w:val="21"/>
              </w:rPr>
              <w:t>（盖章）</w:t>
            </w:r>
          </w:p>
          <w:p>
            <w:pPr>
              <w:widowControl/>
              <w:spacing w:after="240" w:line="240" w:lineRule="auto"/>
              <w:jc w:val="left"/>
              <w:rPr>
                <w:rFonts w:hint="eastAsia" w:ascii="宋体" w:hAnsi="宋体" w:eastAsia="宋体" w:cs="宋体"/>
                <w:sz w:val="24"/>
                <w:szCs w:val="21"/>
                <w:lang w:val="en-US" w:eastAsia="zh-CN" w:bidi="ar-SA"/>
              </w:rPr>
            </w:pPr>
            <w:r>
              <w:rPr>
                <w:rFonts w:hint="eastAsia"/>
                <w:szCs w:val="21"/>
                <w:u w:val="single"/>
                <w:lang w:eastAsia="zh-CN"/>
              </w:rPr>
              <w:t>******</w:t>
            </w:r>
          </w:p>
        </w:tc>
        <w:tc>
          <w:tcPr>
            <w:tcW w:w="4520" w:type="dxa"/>
            <w:vAlign w:val="top"/>
          </w:tcPr>
          <w:p>
            <w:pPr>
              <w:widowControl/>
              <w:spacing w:after="240" w:line="240" w:lineRule="auto"/>
              <w:jc w:val="left"/>
              <w:rPr>
                <w:szCs w:val="21"/>
              </w:rPr>
            </w:pPr>
            <w:r>
              <w:rPr>
                <w:rFonts w:hint="eastAsia"/>
                <w:szCs w:val="21"/>
              </w:rPr>
              <w:t>承包人</w:t>
            </w:r>
            <w:r>
              <w:rPr>
                <w:rFonts w:hint="eastAsia"/>
                <w:kern w:val="18"/>
                <w:szCs w:val="21"/>
              </w:rPr>
              <w:t>：</w:t>
            </w:r>
            <w:r>
              <w:rPr>
                <w:rFonts w:hint="eastAsia"/>
                <w:szCs w:val="21"/>
              </w:rPr>
              <w:t>（盖章）</w:t>
            </w:r>
          </w:p>
          <w:p>
            <w:pPr>
              <w:widowControl/>
              <w:spacing w:after="240" w:line="240" w:lineRule="auto"/>
              <w:jc w:val="left"/>
              <w:rPr>
                <w:rFonts w:hint="eastAsia" w:ascii="宋体" w:hAnsi="宋体" w:eastAsia="宋体" w:cs="宋体"/>
                <w:sz w:val="24"/>
                <w:szCs w:val="21"/>
                <w:lang w:val="en-US" w:eastAsia="zh-CN" w:bidi="ar-SA"/>
              </w:rPr>
            </w:pPr>
            <w:r>
              <w:rPr>
                <w:rFonts w:hint="eastAsia"/>
                <w:szCs w:val="21"/>
                <w:u w:val="single"/>
                <w:lang w:eastAsia="zh-CN"/>
              </w:rPr>
              <w:t>******</w:t>
            </w:r>
          </w:p>
        </w:tc>
      </w:tr>
      <w:tr>
        <w:tblPrEx>
          <w:tblCellMar>
            <w:top w:w="0" w:type="dxa"/>
            <w:left w:w="108" w:type="dxa"/>
            <w:bottom w:w="0" w:type="dxa"/>
            <w:right w:w="108" w:type="dxa"/>
          </w:tblCellMar>
        </w:tblPrEx>
        <w:trPr>
          <w:trHeight w:val="1480" w:hRule="atLeast"/>
          <w:jc w:val="center"/>
        </w:trPr>
        <w:tc>
          <w:tcPr>
            <w:tcW w:w="4519" w:type="dxa"/>
            <w:vAlign w:val="top"/>
          </w:tcPr>
          <w:p>
            <w:pPr>
              <w:spacing w:after="240" w:line="240" w:lineRule="auto"/>
              <w:rPr>
                <w:rFonts w:hint="eastAsia"/>
              </w:rPr>
            </w:pPr>
            <w:r>
              <w:rPr>
                <w:rFonts w:hint="eastAsia"/>
              </w:rPr>
              <w:t>法定代表人或其委托代理人（签名）：</w:t>
            </w:r>
          </w:p>
          <w:p>
            <w:pPr>
              <w:rPr>
                <w:rFonts w:hint="eastAsia"/>
                <w:lang w:val="en-US" w:eastAsia="zh-CN"/>
              </w:rPr>
            </w:pPr>
          </w:p>
        </w:tc>
        <w:tc>
          <w:tcPr>
            <w:tcW w:w="4520" w:type="dxa"/>
            <w:vAlign w:val="top"/>
          </w:tcPr>
          <w:p>
            <w:pPr>
              <w:widowControl/>
              <w:spacing w:line="240" w:lineRule="auto"/>
              <w:jc w:val="left"/>
            </w:pPr>
            <w:r>
              <w:rPr>
                <w:rFonts w:hint="eastAsia"/>
              </w:rPr>
              <w:t>法定代表人或其委托代理人（签名）：</w:t>
            </w:r>
          </w:p>
          <w:p>
            <w:pPr>
              <w:widowControl/>
              <w:spacing w:line="240" w:lineRule="auto"/>
              <w:ind w:firstLine="420" w:firstLineChars="0"/>
              <w:jc w:val="left"/>
              <w:rPr>
                <w:rFonts w:ascii="宋体" w:hAnsi="宋体" w:eastAsia="宋体" w:cs="宋体"/>
                <w:sz w:val="24"/>
                <w:szCs w:val="20"/>
                <w:lang w:val="en-US" w:eastAsia="zh-CN" w:bidi="ar-SA"/>
              </w:rPr>
            </w:pPr>
          </w:p>
        </w:tc>
      </w:tr>
      <w:tr>
        <w:tblPrEx>
          <w:tblCellMar>
            <w:top w:w="0" w:type="dxa"/>
            <w:left w:w="108" w:type="dxa"/>
            <w:bottom w:w="0" w:type="dxa"/>
            <w:right w:w="108" w:type="dxa"/>
          </w:tblCellMar>
        </w:tblPrEx>
        <w:trPr>
          <w:trHeight w:val="512" w:hRule="atLeast"/>
          <w:jc w:val="center"/>
        </w:trPr>
        <w:tc>
          <w:tcPr>
            <w:tcW w:w="4519" w:type="dxa"/>
            <w:vAlign w:val="top"/>
          </w:tcPr>
          <w:p>
            <w:pPr>
              <w:widowControl/>
              <w:spacing w:after="240" w:line="240" w:lineRule="auto"/>
              <w:jc w:val="left"/>
              <w:rPr>
                <w:rFonts w:hint="eastAsia" w:ascii="宋体" w:hAnsi="宋体" w:eastAsia="宋体" w:cs="宋体"/>
                <w:sz w:val="24"/>
                <w:szCs w:val="21"/>
                <w:lang w:val="en-US" w:eastAsia="zh-CN" w:bidi="ar-SA"/>
              </w:rPr>
            </w:pPr>
            <w:r>
              <w:rPr>
                <w:rFonts w:hint="eastAsia"/>
                <w:szCs w:val="21"/>
              </w:rPr>
              <w:t>签订时间：    年    月    日</w:t>
            </w:r>
          </w:p>
        </w:tc>
        <w:tc>
          <w:tcPr>
            <w:tcW w:w="4520" w:type="dxa"/>
            <w:vAlign w:val="top"/>
          </w:tcPr>
          <w:p>
            <w:pPr>
              <w:widowControl/>
              <w:spacing w:after="240" w:line="240" w:lineRule="auto"/>
              <w:ind w:right="180" w:rightChars="0"/>
              <w:jc w:val="left"/>
              <w:rPr>
                <w:rFonts w:ascii="宋体" w:hAnsi="宋体" w:eastAsia="宋体" w:cs="宋体"/>
                <w:sz w:val="24"/>
                <w:szCs w:val="21"/>
                <w:lang w:val="en-US" w:eastAsia="zh-CN" w:bidi="ar-SA"/>
              </w:rPr>
            </w:pPr>
            <w:r>
              <w:rPr>
                <w:rFonts w:hint="eastAsia"/>
                <w:szCs w:val="21"/>
              </w:rPr>
              <w:t>签订时间：    年    月    日</w:t>
            </w:r>
          </w:p>
        </w:tc>
      </w:tr>
    </w:tbl>
    <w:p>
      <w:pPr>
        <w:widowControl/>
        <w:adjustRightInd w:val="0"/>
        <w:snapToGrid w:val="0"/>
        <w:spacing w:line="500" w:lineRule="exact"/>
        <w:ind w:firstLine="480" w:firstLineChars="200"/>
        <w:jc w:val="left"/>
      </w:pPr>
      <w:r>
        <w:br w:type="page"/>
      </w:r>
    </w:p>
    <w:p>
      <w:pPr>
        <w:widowControl/>
        <w:spacing w:line="360" w:lineRule="auto"/>
        <w:jc w:val="left"/>
        <w:outlineLvl w:val="1"/>
        <w:rPr>
          <w:kern w:val="2"/>
          <w:sz w:val="21"/>
          <w:szCs w:val="21"/>
        </w:rPr>
      </w:pPr>
      <w:bookmarkStart w:id="1129" w:name="_Toc18742"/>
      <w:bookmarkStart w:id="1130" w:name="_Toc2801"/>
      <w:bookmarkStart w:id="1131" w:name="_Toc22736"/>
      <w:bookmarkStart w:id="1132" w:name="_Toc7105"/>
      <w:bookmarkStart w:id="1133" w:name="_Toc10920"/>
      <w:bookmarkStart w:id="1134" w:name="_Toc30477"/>
      <w:r>
        <w:rPr>
          <w:rFonts w:hint="eastAsia"/>
          <w:kern w:val="2"/>
          <w:sz w:val="21"/>
          <w:szCs w:val="21"/>
        </w:rPr>
        <w:t>附件10：</w:t>
      </w:r>
      <w:bookmarkEnd w:id="1129"/>
      <w:bookmarkEnd w:id="1130"/>
      <w:bookmarkEnd w:id="1131"/>
      <w:bookmarkEnd w:id="1132"/>
      <w:bookmarkEnd w:id="1133"/>
      <w:bookmarkEnd w:id="1134"/>
    </w:p>
    <w:p>
      <w:pPr>
        <w:widowControl w:val="0"/>
        <w:adjustRightInd w:val="0"/>
        <w:snapToGrid w:val="0"/>
        <w:spacing w:after="200" w:line="360" w:lineRule="auto"/>
        <w:ind w:firstLine="3012" w:firstLineChars="1000"/>
        <w:jc w:val="both"/>
        <w:textAlignment w:val="baseline"/>
        <w:outlineLvl w:val="4"/>
        <w:rPr>
          <w:rFonts w:ascii="Times New Roman" w:hAnsi="Times New Roman" w:cs="Times New Roman"/>
          <w:b/>
          <w:kern w:val="2"/>
          <w:sz w:val="30"/>
          <w:szCs w:val="22"/>
        </w:rPr>
      </w:pPr>
      <w:r>
        <w:rPr>
          <w:rFonts w:hint="eastAsia" w:ascii="Times New Roman" w:hAnsi="Times New Roman" w:cs="Times New Roman"/>
          <w:b/>
          <w:kern w:val="2"/>
          <w:sz w:val="30"/>
          <w:szCs w:val="22"/>
        </w:rPr>
        <w:t>项目管理机构配备情况表</w:t>
      </w:r>
    </w:p>
    <w:p>
      <w:pPr>
        <w:widowControl/>
        <w:adjustRightInd w:val="0"/>
        <w:snapToGrid w:val="0"/>
        <w:spacing w:line="440" w:lineRule="exact"/>
        <w:ind w:firstLine="420" w:firstLineChars="200"/>
        <w:jc w:val="left"/>
        <w:rPr>
          <w:rFonts w:cs="楷体_GB2312"/>
          <w:sz w:val="21"/>
          <w:szCs w:val="21"/>
        </w:rPr>
      </w:pPr>
      <w:r>
        <w:rPr>
          <w:rFonts w:hint="eastAsia" w:cs="楷体_GB2312"/>
          <w:sz w:val="21"/>
          <w:szCs w:val="21"/>
        </w:rPr>
        <w:t>注：1.本表填报项目管理机构应与提交投标文件时投标填报一致。</w:t>
      </w:r>
    </w:p>
    <w:p>
      <w:pPr>
        <w:widowControl/>
        <w:adjustRightInd w:val="0"/>
        <w:snapToGrid w:val="0"/>
        <w:spacing w:line="440" w:lineRule="exact"/>
        <w:ind w:firstLine="420" w:firstLineChars="200"/>
        <w:jc w:val="left"/>
        <w:rPr>
          <w:rFonts w:cs="楷体_GB2312"/>
          <w:sz w:val="21"/>
          <w:szCs w:val="21"/>
        </w:rPr>
      </w:pPr>
    </w:p>
    <w:p>
      <w:pPr>
        <w:widowControl/>
        <w:numPr>
          <w:ilvl w:val="12"/>
          <w:numId w:val="0"/>
        </w:numPr>
        <w:ind w:left="0" w:firstLine="0"/>
        <w:jc w:val="left"/>
        <w:rPr>
          <w:rFonts w:cs="Times New Roman"/>
          <w:b/>
          <w:color w:val="FF0000"/>
          <w:kern w:val="2"/>
          <w:sz w:val="21"/>
          <w:szCs w:val="21"/>
        </w:rPr>
      </w:pPr>
      <w:r>
        <w:rPr>
          <w:rFonts w:hint="eastAsia" w:cs="Times New Roman"/>
          <w:b/>
          <w:color w:val="FF0000"/>
          <w:kern w:val="2"/>
          <w:sz w:val="21"/>
          <w:szCs w:val="21"/>
        </w:rPr>
        <w:br w:type="page"/>
      </w:r>
    </w:p>
    <w:p>
      <w:pPr>
        <w:widowControl/>
        <w:spacing w:line="360" w:lineRule="auto"/>
        <w:jc w:val="left"/>
        <w:outlineLvl w:val="1"/>
        <w:rPr>
          <w:kern w:val="2"/>
          <w:sz w:val="21"/>
          <w:szCs w:val="21"/>
        </w:rPr>
      </w:pPr>
      <w:bookmarkStart w:id="1135" w:name="_Toc71"/>
      <w:bookmarkStart w:id="1136" w:name="_Toc20786"/>
      <w:bookmarkStart w:id="1137" w:name="_Toc25236"/>
      <w:bookmarkStart w:id="1138" w:name="_Toc32171"/>
      <w:bookmarkStart w:id="1139" w:name="_Toc28411"/>
      <w:bookmarkStart w:id="1140" w:name="_Toc14592"/>
      <w:r>
        <w:rPr>
          <w:rFonts w:hint="eastAsia"/>
          <w:kern w:val="2"/>
          <w:sz w:val="21"/>
          <w:szCs w:val="21"/>
        </w:rPr>
        <w:t>附件11：</w:t>
      </w:r>
      <w:bookmarkEnd w:id="1135"/>
      <w:bookmarkEnd w:id="1136"/>
      <w:bookmarkEnd w:id="1137"/>
      <w:bookmarkEnd w:id="1138"/>
      <w:bookmarkEnd w:id="1139"/>
      <w:bookmarkEnd w:id="1140"/>
    </w:p>
    <w:p>
      <w:pPr>
        <w:widowControl/>
        <w:adjustRightInd w:val="0"/>
        <w:snapToGrid w:val="0"/>
        <w:spacing w:after="200" w:line="360" w:lineRule="auto"/>
        <w:ind w:firstLine="0" w:firstLineChars="0"/>
        <w:jc w:val="center"/>
        <w:textAlignment w:val="baseline"/>
        <w:outlineLvl w:val="4"/>
        <w:rPr>
          <w:rFonts w:ascii="Times New Roman" w:hAnsi="Times New Roman"/>
          <w:b/>
          <w:sz w:val="30"/>
          <w:szCs w:val="22"/>
        </w:rPr>
      </w:pPr>
      <w:r>
        <w:rPr>
          <w:rFonts w:hint="eastAsia" w:ascii="Times New Roman" w:hAnsi="Times New Roman" w:cs="Times New Roman"/>
          <w:b/>
          <w:kern w:val="2"/>
          <w:sz w:val="30"/>
          <w:szCs w:val="22"/>
        </w:rPr>
        <w:t>维护农民工合法权益承诺书</w:t>
      </w:r>
    </w:p>
    <w:p>
      <w:pPr>
        <w:widowControl w:val="0"/>
        <w:spacing w:line="360" w:lineRule="auto"/>
        <w:ind w:firstLine="470" w:firstLineChars="196"/>
        <w:jc w:val="both"/>
        <w:rPr>
          <w:rFonts w:cs="Times New Roman"/>
          <w:kern w:val="2"/>
          <w:u w:val="none"/>
        </w:rPr>
      </w:pPr>
      <w:r>
        <w:rPr>
          <w:rFonts w:hint="eastAsia" w:cs="Times New Roman"/>
          <w:kern w:val="2"/>
          <w:u w:val="none"/>
        </w:rPr>
        <w:t>农民工合法权益，事关人民群众切身利益，事关社会公平正义，事关社会和谐稳定，事关经济和社会发展全局。为维护建设市场秩序，构建行业自律环境，提高社会公德力和企业诚信度，在本单位承建的工程建设中，我们承诺:</w:t>
      </w:r>
    </w:p>
    <w:p>
      <w:pPr>
        <w:widowControl w:val="0"/>
        <w:spacing w:line="360" w:lineRule="auto"/>
        <w:ind w:firstLine="470" w:firstLineChars="196"/>
        <w:jc w:val="both"/>
        <w:rPr>
          <w:rFonts w:cs="Times New Roman"/>
          <w:kern w:val="2"/>
          <w:u w:val="none"/>
        </w:rPr>
      </w:pPr>
      <w:r>
        <w:rPr>
          <w:rFonts w:hint="eastAsia" w:cs="Times New Roman"/>
          <w:kern w:val="2"/>
          <w:u w:val="none"/>
        </w:rPr>
        <w:t>一、严格按照《中华人民共和国劳动法》、《中华人民共和国劳动合同法》和有关规定，经平等协商一致，与所雇佣农民工签订劳动合同。合同条款应包括:劳动合同期限、工作内容和工作时间、劳动保护和劳动条件、劳动报酬、劳动纪律、违反劳动合同的责任等。</w:t>
      </w:r>
    </w:p>
    <w:p>
      <w:pPr>
        <w:widowControl w:val="0"/>
        <w:spacing w:line="360" w:lineRule="auto"/>
        <w:ind w:firstLine="470" w:firstLineChars="196"/>
        <w:jc w:val="both"/>
        <w:rPr>
          <w:rFonts w:cs="Times New Roman"/>
          <w:kern w:val="2"/>
          <w:u w:val="none"/>
        </w:rPr>
      </w:pPr>
      <w:r>
        <w:rPr>
          <w:rFonts w:hint="eastAsia" w:cs="Times New Roman"/>
          <w:kern w:val="2"/>
          <w:u w:val="none"/>
        </w:rPr>
        <w:t>二、严格按照《中华人民共和国劳动法》、《中华人民共和国劳动合同法》、《建设领域农民工工资支付管理暂行办法》、《工资支付暂行规定》等有关规定雇用农民工，按时、足额向履约农民工支付工资报酬（包括加班、加点工资），支付给农民工的工资不得低于深圳市最低工资标准，不得无故拖欠或克扣农民工工资。拖欠农民工薪酬相关费用一经查实，发包方有权扣回工程款用于直接支付农民工工资。</w:t>
      </w:r>
    </w:p>
    <w:p>
      <w:pPr>
        <w:widowControl w:val="0"/>
        <w:spacing w:line="360" w:lineRule="auto"/>
        <w:ind w:firstLine="470" w:firstLineChars="196"/>
        <w:jc w:val="both"/>
        <w:rPr>
          <w:rFonts w:cs="Times New Roman"/>
          <w:kern w:val="2"/>
          <w:u w:val="none"/>
        </w:rPr>
      </w:pPr>
      <w:r>
        <w:rPr>
          <w:rFonts w:hint="eastAsia" w:cs="Times New Roman"/>
          <w:kern w:val="2"/>
          <w:u w:val="none"/>
        </w:rPr>
        <w:t>三、将工资直接发放给农民工本人，本人因故不能领取工资时，可由其亲属或委托他人代领，也可委托银行发放农民工工资。严禁发放给“包工头”或其他不具备用工主体资格的组织和个人。</w:t>
      </w:r>
    </w:p>
    <w:p>
      <w:pPr>
        <w:widowControl w:val="0"/>
        <w:spacing w:line="360" w:lineRule="auto"/>
        <w:ind w:firstLine="470" w:firstLineChars="196"/>
        <w:jc w:val="both"/>
        <w:rPr>
          <w:rFonts w:cs="Times New Roman"/>
          <w:kern w:val="2"/>
          <w:u w:val="none"/>
        </w:rPr>
      </w:pPr>
      <w:r>
        <w:rPr>
          <w:rFonts w:hint="eastAsia" w:cs="Times New Roman"/>
          <w:kern w:val="2"/>
          <w:u w:val="none"/>
        </w:rPr>
        <w:t>(一)支付农民工工资应编制工资支付表，如实记录支付单位、支付时间、支付对象、支付数额等工资支付情况，并保存备查。</w:t>
      </w:r>
    </w:p>
    <w:p>
      <w:pPr>
        <w:widowControl w:val="0"/>
        <w:spacing w:line="360" w:lineRule="auto"/>
        <w:ind w:firstLine="470" w:firstLineChars="196"/>
        <w:jc w:val="both"/>
        <w:rPr>
          <w:rFonts w:cs="Times New Roman"/>
          <w:kern w:val="2"/>
          <w:u w:val="none"/>
        </w:rPr>
      </w:pPr>
      <w:r>
        <w:rPr>
          <w:rFonts w:hint="eastAsia" w:cs="Times New Roman"/>
          <w:kern w:val="2"/>
          <w:u w:val="none"/>
        </w:rPr>
        <w:t>(二)按深圳市政府规定的标准为履约农民工缴纳社会保险（包括基本养老、医疗保险及工伤保险等），同时须为所雇用农民工办理建筑工程人身意外伤害保险。</w:t>
      </w:r>
    </w:p>
    <w:p>
      <w:pPr>
        <w:widowControl w:val="0"/>
        <w:spacing w:line="360" w:lineRule="auto"/>
        <w:ind w:firstLine="470" w:firstLineChars="196"/>
        <w:jc w:val="both"/>
        <w:rPr>
          <w:rFonts w:cs="Times New Roman"/>
          <w:kern w:val="2"/>
          <w:u w:val="none"/>
        </w:rPr>
      </w:pPr>
      <w:r>
        <w:rPr>
          <w:rFonts w:hint="eastAsia" w:cs="Times New Roman"/>
          <w:kern w:val="2"/>
          <w:u w:val="none"/>
        </w:rPr>
        <w:t>(三)按政策规定和行业要求向履约农民工发放劳动保护器具和费用（包括高温、高危津贴等）；</w:t>
      </w:r>
    </w:p>
    <w:p>
      <w:pPr>
        <w:widowControl w:val="0"/>
        <w:spacing w:line="360" w:lineRule="auto"/>
        <w:ind w:firstLine="470" w:firstLineChars="196"/>
        <w:jc w:val="both"/>
        <w:rPr>
          <w:rFonts w:cs="Times New Roman"/>
          <w:kern w:val="2"/>
          <w:u w:val="none"/>
        </w:rPr>
      </w:pPr>
      <w:r>
        <w:rPr>
          <w:rFonts w:hint="eastAsia" w:cs="Times New Roman"/>
          <w:kern w:val="2"/>
          <w:u w:val="none"/>
        </w:rPr>
        <w:t>(四)采取安全生产和保卫措施，确保履约农民工照章操作和人身安全。</w:t>
      </w:r>
    </w:p>
    <w:p>
      <w:pPr>
        <w:widowControl w:val="0"/>
        <w:spacing w:line="360" w:lineRule="auto"/>
        <w:ind w:firstLine="470" w:firstLineChars="196"/>
        <w:jc w:val="both"/>
        <w:rPr>
          <w:rFonts w:cs="Times New Roman"/>
          <w:kern w:val="2"/>
          <w:u w:val="none"/>
        </w:rPr>
      </w:pPr>
      <w:r>
        <w:rPr>
          <w:rFonts w:hint="eastAsia" w:cs="Times New Roman"/>
          <w:kern w:val="2"/>
          <w:u w:val="none"/>
        </w:rPr>
        <w:t>四、主动接受发包人及建设主管部门的全方位监督，若发生因我单位违反上述保证事项造成拖欠农民工工资的，我单位承担全部责任，并无条件同意发包人用我单位应得进度款先行垫付农民工工资，并自愿接受建设单位及建设主管部门的处罚。</w:t>
      </w:r>
    </w:p>
    <w:p>
      <w:pPr>
        <w:widowControl w:val="0"/>
        <w:spacing w:line="360" w:lineRule="auto"/>
        <w:ind w:firstLine="470" w:firstLineChars="196"/>
        <w:jc w:val="both"/>
        <w:rPr>
          <w:rFonts w:cs="Times New Roman"/>
          <w:kern w:val="2"/>
          <w:u w:val="none"/>
        </w:rPr>
      </w:pPr>
    </w:p>
    <w:tbl>
      <w:tblPr>
        <w:tblStyle w:val="17"/>
        <w:tblW w:w="9039" w:type="dxa"/>
        <w:jc w:val="center"/>
        <w:tblLayout w:type="fixed"/>
        <w:tblCellMar>
          <w:top w:w="0" w:type="dxa"/>
          <w:left w:w="108" w:type="dxa"/>
          <w:bottom w:w="0" w:type="dxa"/>
          <w:right w:w="108" w:type="dxa"/>
        </w:tblCellMar>
      </w:tblPr>
      <w:tblGrid>
        <w:gridCol w:w="4519"/>
        <w:gridCol w:w="4520"/>
      </w:tblGrid>
      <w:tr>
        <w:tblPrEx>
          <w:tblCellMar>
            <w:top w:w="0" w:type="dxa"/>
            <w:left w:w="108" w:type="dxa"/>
            <w:bottom w:w="0" w:type="dxa"/>
            <w:right w:w="108" w:type="dxa"/>
          </w:tblCellMar>
        </w:tblPrEx>
        <w:trPr>
          <w:trHeight w:val="1204" w:hRule="atLeast"/>
          <w:jc w:val="center"/>
        </w:trPr>
        <w:tc>
          <w:tcPr>
            <w:tcW w:w="4519" w:type="dxa"/>
            <w:vAlign w:val="top"/>
          </w:tcPr>
          <w:p>
            <w:pPr>
              <w:widowControl/>
              <w:spacing w:after="240" w:line="240" w:lineRule="auto"/>
              <w:jc w:val="left"/>
              <w:rPr>
                <w:szCs w:val="21"/>
              </w:rPr>
            </w:pPr>
            <w:r>
              <w:rPr>
                <w:rFonts w:hint="eastAsia"/>
                <w:szCs w:val="21"/>
                <w:lang w:val="en-US" w:eastAsia="zh-CN"/>
              </w:rPr>
              <w:t>承诺</w:t>
            </w:r>
            <w:r>
              <w:rPr>
                <w:rFonts w:hint="eastAsia"/>
                <w:szCs w:val="21"/>
              </w:rPr>
              <w:t>人</w:t>
            </w:r>
            <w:r>
              <w:rPr>
                <w:rFonts w:hint="eastAsia"/>
                <w:kern w:val="18"/>
                <w:szCs w:val="21"/>
              </w:rPr>
              <w:t>：</w:t>
            </w:r>
            <w:r>
              <w:rPr>
                <w:rFonts w:hint="eastAsia"/>
                <w:szCs w:val="21"/>
              </w:rPr>
              <w:t>（盖章）</w:t>
            </w:r>
          </w:p>
          <w:p>
            <w:pPr>
              <w:widowControl/>
              <w:spacing w:after="240" w:line="240" w:lineRule="auto"/>
              <w:jc w:val="left"/>
              <w:rPr>
                <w:rFonts w:hint="eastAsia" w:ascii="宋体" w:hAnsi="宋体" w:eastAsia="宋体" w:cs="宋体"/>
                <w:sz w:val="24"/>
                <w:szCs w:val="21"/>
                <w:lang w:val="en-US" w:eastAsia="zh-CN" w:bidi="ar-SA"/>
              </w:rPr>
            </w:pPr>
            <w:r>
              <w:rPr>
                <w:rFonts w:hint="eastAsia"/>
                <w:szCs w:val="21"/>
                <w:u w:val="single"/>
                <w:lang w:eastAsia="zh-CN"/>
              </w:rPr>
              <w:t>******</w:t>
            </w:r>
          </w:p>
        </w:tc>
        <w:tc>
          <w:tcPr>
            <w:tcW w:w="4520" w:type="dxa"/>
            <w:vAlign w:val="top"/>
          </w:tcPr>
          <w:p>
            <w:pPr>
              <w:widowControl/>
              <w:spacing w:after="240" w:line="240" w:lineRule="auto"/>
              <w:jc w:val="left"/>
              <w:rPr>
                <w:szCs w:val="21"/>
              </w:rPr>
            </w:pPr>
            <w:r>
              <w:rPr>
                <w:rFonts w:hint="eastAsia"/>
                <w:szCs w:val="21"/>
                <w:lang w:val="en-US" w:eastAsia="zh-CN"/>
              </w:rPr>
              <w:t>承诺</w:t>
            </w:r>
            <w:r>
              <w:rPr>
                <w:rFonts w:hint="eastAsia"/>
                <w:szCs w:val="21"/>
              </w:rPr>
              <w:t>人</w:t>
            </w:r>
            <w:r>
              <w:rPr>
                <w:rFonts w:hint="eastAsia"/>
                <w:kern w:val="18"/>
                <w:szCs w:val="21"/>
              </w:rPr>
              <w:t>：</w:t>
            </w:r>
            <w:r>
              <w:rPr>
                <w:rFonts w:hint="eastAsia"/>
                <w:szCs w:val="21"/>
              </w:rPr>
              <w:t>（盖章）</w:t>
            </w:r>
          </w:p>
          <w:p>
            <w:pPr>
              <w:widowControl/>
              <w:spacing w:after="240" w:line="240" w:lineRule="auto"/>
              <w:jc w:val="left"/>
              <w:rPr>
                <w:rFonts w:hint="eastAsia" w:ascii="宋体" w:hAnsi="宋体" w:eastAsia="宋体" w:cs="宋体"/>
                <w:sz w:val="24"/>
                <w:szCs w:val="21"/>
                <w:lang w:val="en-US" w:eastAsia="zh-CN" w:bidi="ar-SA"/>
              </w:rPr>
            </w:pPr>
            <w:r>
              <w:rPr>
                <w:rFonts w:hint="eastAsia"/>
                <w:szCs w:val="21"/>
                <w:u w:val="single"/>
                <w:lang w:eastAsia="zh-CN"/>
              </w:rPr>
              <w:t>******</w:t>
            </w:r>
          </w:p>
        </w:tc>
      </w:tr>
      <w:tr>
        <w:tblPrEx>
          <w:tblCellMar>
            <w:top w:w="0" w:type="dxa"/>
            <w:left w:w="108" w:type="dxa"/>
            <w:bottom w:w="0" w:type="dxa"/>
            <w:right w:w="108" w:type="dxa"/>
          </w:tblCellMar>
        </w:tblPrEx>
        <w:trPr>
          <w:trHeight w:val="1480" w:hRule="atLeast"/>
          <w:jc w:val="center"/>
        </w:trPr>
        <w:tc>
          <w:tcPr>
            <w:tcW w:w="4519" w:type="dxa"/>
            <w:vAlign w:val="top"/>
          </w:tcPr>
          <w:p>
            <w:pPr>
              <w:spacing w:after="240" w:line="240" w:lineRule="auto"/>
              <w:rPr>
                <w:rFonts w:hint="eastAsia"/>
              </w:rPr>
            </w:pPr>
            <w:r>
              <w:rPr>
                <w:rFonts w:hint="eastAsia"/>
              </w:rPr>
              <w:t>法定代表人</w:t>
            </w:r>
            <w:r>
              <w:rPr>
                <w:rFonts w:hint="eastAsia" w:cs="Times New Roman"/>
                <w:kern w:val="2"/>
              </w:rPr>
              <w:t>（签名）</w:t>
            </w:r>
            <w:r>
              <w:rPr>
                <w:rFonts w:hint="eastAsia"/>
              </w:rPr>
              <w:t>：</w:t>
            </w:r>
          </w:p>
          <w:p>
            <w:pPr>
              <w:rPr>
                <w:rFonts w:hint="eastAsia"/>
                <w:lang w:val="en-US" w:eastAsia="zh-CN"/>
              </w:rPr>
            </w:pPr>
          </w:p>
        </w:tc>
        <w:tc>
          <w:tcPr>
            <w:tcW w:w="4520" w:type="dxa"/>
            <w:vAlign w:val="top"/>
          </w:tcPr>
          <w:p>
            <w:pPr>
              <w:widowControl/>
              <w:spacing w:line="240" w:lineRule="auto"/>
              <w:jc w:val="left"/>
            </w:pPr>
            <w:r>
              <w:rPr>
                <w:rFonts w:hint="eastAsia"/>
              </w:rPr>
              <w:t>法定代表人</w:t>
            </w:r>
            <w:r>
              <w:rPr>
                <w:rFonts w:hint="eastAsia" w:cs="Times New Roman"/>
                <w:kern w:val="2"/>
              </w:rPr>
              <w:t>（签名）</w:t>
            </w:r>
            <w:r>
              <w:rPr>
                <w:rFonts w:hint="eastAsia"/>
              </w:rPr>
              <w:t>：</w:t>
            </w:r>
          </w:p>
          <w:p>
            <w:pPr>
              <w:widowControl/>
              <w:spacing w:line="240" w:lineRule="auto"/>
              <w:ind w:firstLine="420" w:firstLineChars="0"/>
              <w:jc w:val="left"/>
              <w:rPr>
                <w:rFonts w:ascii="宋体" w:hAnsi="宋体" w:eastAsia="宋体" w:cs="宋体"/>
                <w:sz w:val="24"/>
                <w:szCs w:val="20"/>
                <w:lang w:val="en-US" w:eastAsia="zh-CN" w:bidi="ar-SA"/>
              </w:rPr>
            </w:pPr>
          </w:p>
        </w:tc>
      </w:tr>
      <w:tr>
        <w:tblPrEx>
          <w:tblCellMar>
            <w:top w:w="0" w:type="dxa"/>
            <w:left w:w="108" w:type="dxa"/>
            <w:bottom w:w="0" w:type="dxa"/>
            <w:right w:w="108" w:type="dxa"/>
          </w:tblCellMar>
        </w:tblPrEx>
        <w:trPr>
          <w:trHeight w:val="613" w:hRule="atLeast"/>
          <w:jc w:val="center"/>
        </w:trPr>
        <w:tc>
          <w:tcPr>
            <w:tcW w:w="4519" w:type="dxa"/>
            <w:vAlign w:val="top"/>
          </w:tcPr>
          <w:p>
            <w:pPr>
              <w:rPr>
                <w:rFonts w:hint="default"/>
                <w:lang w:val="en-US" w:eastAsia="zh-CN"/>
              </w:rPr>
            </w:pPr>
            <w:r>
              <w:rPr>
                <w:rFonts w:hint="eastAsia"/>
                <w:lang w:val="en-US" w:eastAsia="zh-CN"/>
              </w:rPr>
              <w:t>联系电话：</w:t>
            </w:r>
          </w:p>
        </w:tc>
        <w:tc>
          <w:tcPr>
            <w:tcW w:w="4520" w:type="dxa"/>
            <w:vAlign w:val="top"/>
          </w:tcPr>
          <w:p>
            <w:pPr>
              <w:widowControl/>
              <w:spacing w:line="240" w:lineRule="auto"/>
              <w:ind w:firstLine="0" w:firstLineChars="0"/>
              <w:jc w:val="left"/>
              <w:rPr>
                <w:rFonts w:ascii="宋体" w:hAnsi="宋体" w:eastAsia="宋体" w:cs="宋体"/>
                <w:sz w:val="24"/>
                <w:szCs w:val="20"/>
                <w:lang w:val="en-US" w:eastAsia="zh-CN" w:bidi="ar-SA"/>
              </w:rPr>
            </w:pPr>
            <w:r>
              <w:rPr>
                <w:rFonts w:hint="eastAsia"/>
                <w:lang w:val="en-US" w:eastAsia="zh-CN"/>
              </w:rPr>
              <w:t>联系电话：</w:t>
            </w:r>
          </w:p>
        </w:tc>
      </w:tr>
      <w:tr>
        <w:tblPrEx>
          <w:tblCellMar>
            <w:top w:w="0" w:type="dxa"/>
            <w:left w:w="108" w:type="dxa"/>
            <w:bottom w:w="0" w:type="dxa"/>
            <w:right w:w="108" w:type="dxa"/>
          </w:tblCellMar>
        </w:tblPrEx>
        <w:trPr>
          <w:trHeight w:val="512" w:hRule="atLeast"/>
          <w:jc w:val="center"/>
        </w:trPr>
        <w:tc>
          <w:tcPr>
            <w:tcW w:w="4519" w:type="dxa"/>
            <w:vAlign w:val="top"/>
          </w:tcPr>
          <w:p>
            <w:pPr>
              <w:widowControl/>
              <w:spacing w:after="240" w:line="240" w:lineRule="auto"/>
              <w:jc w:val="left"/>
              <w:rPr>
                <w:rFonts w:hint="eastAsia" w:ascii="宋体" w:hAnsi="宋体" w:eastAsia="宋体" w:cs="宋体"/>
                <w:sz w:val="24"/>
                <w:szCs w:val="21"/>
                <w:lang w:val="en-US" w:eastAsia="zh-CN" w:bidi="ar-SA"/>
              </w:rPr>
            </w:pPr>
            <w:r>
              <w:rPr>
                <w:rFonts w:hint="eastAsia"/>
                <w:szCs w:val="21"/>
              </w:rPr>
              <w:t>时间：    年    月    日</w:t>
            </w:r>
          </w:p>
        </w:tc>
        <w:tc>
          <w:tcPr>
            <w:tcW w:w="4520" w:type="dxa"/>
            <w:vAlign w:val="top"/>
          </w:tcPr>
          <w:p>
            <w:pPr>
              <w:widowControl/>
              <w:spacing w:after="240" w:line="240" w:lineRule="auto"/>
              <w:ind w:right="180" w:rightChars="0"/>
              <w:jc w:val="left"/>
              <w:rPr>
                <w:rFonts w:ascii="宋体" w:hAnsi="宋体" w:eastAsia="宋体" w:cs="宋体"/>
                <w:sz w:val="24"/>
                <w:szCs w:val="21"/>
                <w:lang w:val="en-US" w:eastAsia="zh-CN" w:bidi="ar-SA"/>
              </w:rPr>
            </w:pPr>
            <w:r>
              <w:rPr>
                <w:rFonts w:hint="eastAsia"/>
                <w:szCs w:val="21"/>
              </w:rPr>
              <w:t>时间：    年    月    日</w:t>
            </w:r>
          </w:p>
        </w:tc>
      </w:tr>
    </w:tbl>
    <w:p>
      <w:pPr>
        <w:widowControl/>
        <w:jc w:val="left"/>
      </w:pPr>
      <w:r>
        <w:br w:type="page"/>
      </w:r>
    </w:p>
    <w:p>
      <w:pPr>
        <w:widowControl/>
        <w:spacing w:line="360" w:lineRule="auto"/>
        <w:jc w:val="left"/>
        <w:outlineLvl w:val="1"/>
        <w:rPr>
          <w:kern w:val="2"/>
          <w:sz w:val="21"/>
          <w:szCs w:val="21"/>
        </w:rPr>
      </w:pPr>
      <w:bookmarkStart w:id="1141" w:name="_Toc5539"/>
      <w:bookmarkStart w:id="1142" w:name="_Toc31881"/>
      <w:bookmarkStart w:id="1143" w:name="_Toc14125"/>
      <w:bookmarkStart w:id="1144" w:name="_Toc4023"/>
      <w:bookmarkStart w:id="1145" w:name="_Toc27012"/>
      <w:bookmarkStart w:id="1146" w:name="_Toc11748"/>
      <w:r>
        <w:rPr>
          <w:rFonts w:hint="eastAsia"/>
          <w:kern w:val="2"/>
          <w:sz w:val="21"/>
          <w:szCs w:val="21"/>
        </w:rPr>
        <w:t>附件12：</w:t>
      </w:r>
      <w:bookmarkEnd w:id="1141"/>
      <w:bookmarkEnd w:id="1142"/>
      <w:bookmarkEnd w:id="1143"/>
      <w:bookmarkEnd w:id="1144"/>
      <w:bookmarkEnd w:id="1145"/>
      <w:bookmarkEnd w:id="1146"/>
    </w:p>
    <w:p>
      <w:pPr>
        <w:widowControl/>
        <w:adjustRightInd w:val="0"/>
        <w:snapToGrid w:val="0"/>
        <w:spacing w:after="200" w:line="360" w:lineRule="auto"/>
        <w:jc w:val="center"/>
        <w:textAlignment w:val="baseline"/>
        <w:outlineLvl w:val="4"/>
        <w:rPr>
          <w:rFonts w:ascii="Times New Roman" w:hAnsi="Times New Roman" w:cs="Times New Roman"/>
          <w:b/>
          <w:kern w:val="2"/>
          <w:sz w:val="30"/>
          <w:szCs w:val="22"/>
        </w:rPr>
      </w:pPr>
      <w:r>
        <w:rPr>
          <w:rFonts w:hint="eastAsia" w:ascii="Times New Roman" w:hAnsi="Times New Roman" w:cs="Times New Roman"/>
          <w:b/>
          <w:kern w:val="2"/>
          <w:sz w:val="30"/>
          <w:szCs w:val="22"/>
        </w:rPr>
        <w:t>《关于设计文件审核及变更管理的投标承诺函》</w:t>
      </w:r>
    </w:p>
    <w:p>
      <w:pPr>
        <w:widowControl w:val="0"/>
        <w:spacing w:line="360" w:lineRule="auto"/>
        <w:jc w:val="both"/>
        <w:rPr>
          <w:rFonts w:hint="eastAsia" w:eastAsia="宋体" w:cs="Times New Roman"/>
          <w:kern w:val="2"/>
          <w:szCs w:val="22"/>
          <w:lang w:eastAsia="zh-CN"/>
        </w:rPr>
      </w:pPr>
      <w:r>
        <w:rPr>
          <w:rFonts w:hint="eastAsia" w:cs="Times New Roman"/>
          <w:kern w:val="2"/>
          <w:szCs w:val="22"/>
        </w:rPr>
        <w:t>致：</w:t>
      </w:r>
      <w:r>
        <w:rPr>
          <w:rFonts w:hint="eastAsia"/>
          <w:szCs w:val="21"/>
          <w:u w:val="single"/>
          <w:lang w:eastAsia="zh-CN"/>
        </w:rPr>
        <w:t>深圳市龙华高新技术产业园区开发投资有限公司</w:t>
      </w:r>
    </w:p>
    <w:p>
      <w:pPr>
        <w:widowControl w:val="0"/>
        <w:spacing w:line="360" w:lineRule="auto"/>
        <w:ind w:firstLine="480" w:firstLineChars="200"/>
        <w:jc w:val="both"/>
        <w:rPr>
          <w:rFonts w:cs="Times New Roman"/>
          <w:kern w:val="2"/>
          <w:szCs w:val="22"/>
        </w:rPr>
      </w:pPr>
      <w:r>
        <w:rPr>
          <w:rFonts w:hint="eastAsia" w:cs="Times New Roman"/>
          <w:kern w:val="2"/>
          <w:szCs w:val="22"/>
        </w:rPr>
        <w:t>根据已收到贵公司项目的招标文件，我公司已详细审核全部招标文件，包括修改文件，及有关附件，对设计文件进行了全面审核，并对设计的完备性和功能性问题全部以招标答疑方式进行了质询，对贵公司的答疑文件也已全面理解。一旦我公司中标，我公司承诺如下：</w:t>
      </w:r>
    </w:p>
    <w:p>
      <w:pPr>
        <w:widowControl w:val="0"/>
        <w:spacing w:line="360" w:lineRule="auto"/>
        <w:ind w:firstLine="480" w:firstLineChars="200"/>
        <w:jc w:val="both"/>
        <w:rPr>
          <w:rFonts w:cs="Times New Roman"/>
          <w:kern w:val="2"/>
          <w:szCs w:val="22"/>
        </w:rPr>
      </w:pPr>
      <w:r>
        <w:rPr>
          <w:rFonts w:hint="eastAsia" w:cs="Times New Roman"/>
          <w:kern w:val="2"/>
          <w:szCs w:val="22"/>
        </w:rPr>
        <w:t>后续施工过程中如果我公司承包范围内施工图纸存在错误，包括且不限于节点和大样冲突、不同图号间尺寸偏差和冲突、节点深化、地质及水文资料、施工工法要求等能在审图阶段发现的设计错误，则由此而引起的一切工程变更的损失与费用（包括对其它专业设计的修正与变更费用）和工期损失均由我公司自行承担。</w:t>
      </w:r>
    </w:p>
    <w:p>
      <w:pPr>
        <w:widowControl w:val="0"/>
        <w:spacing w:line="360" w:lineRule="auto"/>
        <w:ind w:firstLine="424" w:firstLineChars="177"/>
        <w:jc w:val="both"/>
        <w:rPr>
          <w:rFonts w:cs="Times New Roman"/>
          <w:kern w:val="2"/>
          <w:szCs w:val="22"/>
        </w:rPr>
      </w:pPr>
      <w:r>
        <w:rPr>
          <w:rFonts w:hint="eastAsia" w:cs="Times New Roman"/>
          <w:kern w:val="2"/>
          <w:szCs w:val="22"/>
        </w:rPr>
        <w:t>我公司保证所递交的投标文件所反映的内容真实可靠，否则将承担由此引起的一切后果和相应的法律责任。</w:t>
      </w:r>
    </w:p>
    <w:tbl>
      <w:tblPr>
        <w:tblStyle w:val="17"/>
        <w:tblW w:w="9039" w:type="dxa"/>
        <w:jc w:val="center"/>
        <w:tblLayout w:type="fixed"/>
        <w:tblCellMar>
          <w:top w:w="0" w:type="dxa"/>
          <w:left w:w="108" w:type="dxa"/>
          <w:bottom w:w="0" w:type="dxa"/>
          <w:right w:w="108" w:type="dxa"/>
        </w:tblCellMar>
      </w:tblPr>
      <w:tblGrid>
        <w:gridCol w:w="4519"/>
        <w:gridCol w:w="4520"/>
      </w:tblGrid>
      <w:tr>
        <w:tblPrEx>
          <w:tblCellMar>
            <w:top w:w="0" w:type="dxa"/>
            <w:left w:w="108" w:type="dxa"/>
            <w:bottom w:w="0" w:type="dxa"/>
            <w:right w:w="108" w:type="dxa"/>
          </w:tblCellMar>
        </w:tblPrEx>
        <w:trPr>
          <w:trHeight w:val="1204" w:hRule="atLeast"/>
          <w:jc w:val="center"/>
        </w:trPr>
        <w:tc>
          <w:tcPr>
            <w:tcW w:w="4519" w:type="dxa"/>
            <w:vAlign w:val="top"/>
          </w:tcPr>
          <w:p>
            <w:pPr>
              <w:widowControl/>
              <w:spacing w:after="240" w:line="240" w:lineRule="auto"/>
              <w:jc w:val="left"/>
              <w:rPr>
                <w:szCs w:val="21"/>
              </w:rPr>
            </w:pPr>
            <w:r>
              <w:rPr>
                <w:rFonts w:hint="eastAsia"/>
                <w:szCs w:val="21"/>
                <w:lang w:val="en-US" w:eastAsia="zh-CN"/>
              </w:rPr>
              <w:t>承诺</w:t>
            </w:r>
            <w:r>
              <w:rPr>
                <w:rFonts w:hint="eastAsia"/>
                <w:szCs w:val="21"/>
              </w:rPr>
              <w:t>人</w:t>
            </w:r>
            <w:r>
              <w:rPr>
                <w:rFonts w:hint="eastAsia"/>
                <w:kern w:val="18"/>
                <w:szCs w:val="21"/>
              </w:rPr>
              <w:t>：</w:t>
            </w:r>
            <w:r>
              <w:rPr>
                <w:rFonts w:hint="eastAsia"/>
                <w:szCs w:val="21"/>
              </w:rPr>
              <w:t>（盖章）</w:t>
            </w:r>
          </w:p>
          <w:p>
            <w:pPr>
              <w:widowControl/>
              <w:spacing w:after="240" w:line="240" w:lineRule="auto"/>
              <w:jc w:val="left"/>
              <w:rPr>
                <w:rFonts w:hint="eastAsia" w:ascii="宋体" w:hAnsi="宋体" w:eastAsia="宋体" w:cs="宋体"/>
                <w:sz w:val="24"/>
                <w:szCs w:val="21"/>
                <w:lang w:val="en-US" w:eastAsia="zh-CN" w:bidi="ar-SA"/>
              </w:rPr>
            </w:pPr>
            <w:r>
              <w:rPr>
                <w:rFonts w:hint="eastAsia"/>
                <w:szCs w:val="21"/>
                <w:u w:val="single"/>
                <w:lang w:eastAsia="zh-CN"/>
              </w:rPr>
              <w:t>******</w:t>
            </w:r>
          </w:p>
        </w:tc>
        <w:tc>
          <w:tcPr>
            <w:tcW w:w="4520" w:type="dxa"/>
            <w:vAlign w:val="top"/>
          </w:tcPr>
          <w:p>
            <w:pPr>
              <w:widowControl/>
              <w:spacing w:after="240" w:line="240" w:lineRule="auto"/>
              <w:jc w:val="left"/>
              <w:rPr>
                <w:szCs w:val="21"/>
              </w:rPr>
            </w:pPr>
            <w:r>
              <w:rPr>
                <w:rFonts w:hint="eastAsia"/>
                <w:szCs w:val="21"/>
                <w:lang w:val="en-US" w:eastAsia="zh-CN"/>
              </w:rPr>
              <w:t>承诺</w:t>
            </w:r>
            <w:r>
              <w:rPr>
                <w:rFonts w:hint="eastAsia"/>
                <w:szCs w:val="21"/>
              </w:rPr>
              <w:t>人</w:t>
            </w:r>
            <w:r>
              <w:rPr>
                <w:rFonts w:hint="eastAsia"/>
                <w:kern w:val="18"/>
                <w:szCs w:val="21"/>
              </w:rPr>
              <w:t>：</w:t>
            </w:r>
            <w:r>
              <w:rPr>
                <w:rFonts w:hint="eastAsia"/>
                <w:szCs w:val="21"/>
              </w:rPr>
              <w:t>（盖章）</w:t>
            </w:r>
          </w:p>
          <w:p>
            <w:pPr>
              <w:widowControl/>
              <w:spacing w:after="240" w:line="240" w:lineRule="auto"/>
              <w:jc w:val="left"/>
              <w:rPr>
                <w:rFonts w:hint="eastAsia" w:ascii="宋体" w:hAnsi="宋体" w:eastAsia="宋体" w:cs="宋体"/>
                <w:sz w:val="24"/>
                <w:szCs w:val="21"/>
                <w:lang w:val="en-US" w:eastAsia="zh-CN" w:bidi="ar-SA"/>
              </w:rPr>
            </w:pPr>
            <w:r>
              <w:rPr>
                <w:rFonts w:hint="eastAsia"/>
                <w:szCs w:val="21"/>
                <w:u w:val="single"/>
                <w:lang w:eastAsia="zh-CN"/>
              </w:rPr>
              <w:t>******</w:t>
            </w:r>
          </w:p>
        </w:tc>
      </w:tr>
      <w:tr>
        <w:tblPrEx>
          <w:tblCellMar>
            <w:top w:w="0" w:type="dxa"/>
            <w:left w:w="108" w:type="dxa"/>
            <w:bottom w:w="0" w:type="dxa"/>
            <w:right w:w="108" w:type="dxa"/>
          </w:tblCellMar>
        </w:tblPrEx>
        <w:trPr>
          <w:trHeight w:val="1480" w:hRule="atLeast"/>
          <w:jc w:val="center"/>
        </w:trPr>
        <w:tc>
          <w:tcPr>
            <w:tcW w:w="4519" w:type="dxa"/>
            <w:vAlign w:val="top"/>
          </w:tcPr>
          <w:p>
            <w:pPr>
              <w:spacing w:after="240" w:line="240" w:lineRule="auto"/>
              <w:rPr>
                <w:rFonts w:hint="eastAsia"/>
              </w:rPr>
            </w:pPr>
            <w:r>
              <w:rPr>
                <w:rFonts w:hint="eastAsia"/>
              </w:rPr>
              <w:t>法定代表人或其委托代理人（签名）：</w:t>
            </w:r>
          </w:p>
          <w:p>
            <w:pPr>
              <w:rPr>
                <w:rFonts w:hint="eastAsia"/>
                <w:lang w:val="en-US" w:eastAsia="zh-CN"/>
              </w:rPr>
            </w:pPr>
          </w:p>
        </w:tc>
        <w:tc>
          <w:tcPr>
            <w:tcW w:w="4520" w:type="dxa"/>
            <w:vAlign w:val="top"/>
          </w:tcPr>
          <w:p>
            <w:pPr>
              <w:widowControl/>
              <w:spacing w:line="240" w:lineRule="auto"/>
              <w:jc w:val="left"/>
            </w:pPr>
            <w:r>
              <w:rPr>
                <w:rFonts w:hint="eastAsia"/>
              </w:rPr>
              <w:t>法定代表人或其委托代理人（签名）：</w:t>
            </w:r>
          </w:p>
          <w:p>
            <w:pPr>
              <w:widowControl/>
              <w:spacing w:line="240" w:lineRule="auto"/>
              <w:ind w:firstLine="420" w:firstLineChars="0"/>
              <w:jc w:val="left"/>
              <w:rPr>
                <w:rFonts w:ascii="宋体" w:hAnsi="宋体" w:eastAsia="宋体" w:cs="宋体"/>
                <w:sz w:val="24"/>
                <w:szCs w:val="20"/>
                <w:lang w:val="en-US" w:eastAsia="zh-CN" w:bidi="ar-SA"/>
              </w:rPr>
            </w:pPr>
          </w:p>
        </w:tc>
      </w:tr>
      <w:tr>
        <w:tblPrEx>
          <w:tblCellMar>
            <w:top w:w="0" w:type="dxa"/>
            <w:left w:w="108" w:type="dxa"/>
            <w:bottom w:w="0" w:type="dxa"/>
            <w:right w:w="108" w:type="dxa"/>
          </w:tblCellMar>
        </w:tblPrEx>
        <w:trPr>
          <w:trHeight w:val="512" w:hRule="atLeast"/>
          <w:jc w:val="center"/>
        </w:trPr>
        <w:tc>
          <w:tcPr>
            <w:tcW w:w="4519" w:type="dxa"/>
            <w:vAlign w:val="top"/>
          </w:tcPr>
          <w:p>
            <w:pPr>
              <w:widowControl/>
              <w:spacing w:after="240" w:line="240" w:lineRule="auto"/>
              <w:jc w:val="left"/>
              <w:rPr>
                <w:rFonts w:hint="eastAsia" w:ascii="宋体" w:hAnsi="宋体" w:eastAsia="宋体" w:cs="宋体"/>
                <w:sz w:val="24"/>
                <w:szCs w:val="21"/>
                <w:lang w:val="en-US" w:eastAsia="zh-CN" w:bidi="ar-SA"/>
              </w:rPr>
            </w:pPr>
            <w:r>
              <w:rPr>
                <w:rFonts w:hint="eastAsia"/>
                <w:szCs w:val="21"/>
              </w:rPr>
              <w:t>签订时间：    年    月    日</w:t>
            </w:r>
          </w:p>
        </w:tc>
        <w:tc>
          <w:tcPr>
            <w:tcW w:w="4520" w:type="dxa"/>
            <w:vAlign w:val="top"/>
          </w:tcPr>
          <w:p>
            <w:pPr>
              <w:widowControl/>
              <w:spacing w:after="240" w:line="240" w:lineRule="auto"/>
              <w:ind w:right="180" w:rightChars="0"/>
              <w:jc w:val="left"/>
              <w:rPr>
                <w:rFonts w:ascii="宋体" w:hAnsi="宋体" w:eastAsia="宋体" w:cs="宋体"/>
                <w:sz w:val="24"/>
                <w:szCs w:val="21"/>
                <w:lang w:val="en-US" w:eastAsia="zh-CN" w:bidi="ar-SA"/>
              </w:rPr>
            </w:pPr>
            <w:r>
              <w:rPr>
                <w:rFonts w:hint="eastAsia"/>
                <w:szCs w:val="21"/>
              </w:rPr>
              <w:t>签订时间：    年    月    日</w:t>
            </w:r>
          </w:p>
        </w:tc>
      </w:tr>
    </w:tbl>
    <w:p>
      <w:pPr>
        <w:widowControl w:val="0"/>
        <w:jc w:val="both"/>
        <w:rPr>
          <w:rFonts w:ascii="Calibri" w:hAnsi="Calibri" w:cs="Times New Roman"/>
          <w:kern w:val="2"/>
          <w:sz w:val="21"/>
          <w:szCs w:val="22"/>
        </w:rPr>
      </w:pPr>
    </w:p>
    <w:p>
      <w:pPr>
        <w:adjustRightInd w:val="0"/>
        <w:snapToGrid w:val="0"/>
        <w:spacing w:line="360" w:lineRule="auto"/>
        <w:rPr>
          <w:snapToGrid w:val="0"/>
          <w:szCs w:val="21"/>
        </w:rPr>
      </w:pPr>
      <w:r>
        <w:rPr>
          <w:snapToGrid w:val="0"/>
          <w:szCs w:val="21"/>
        </w:rPr>
        <w:fldChar w:fldCharType="begin"/>
      </w:r>
      <w:r>
        <w:rPr>
          <w:snapToGrid w:val="0"/>
          <w:szCs w:val="21"/>
        </w:rPr>
        <w:instrText xml:space="preserve"> </w:instrText>
      </w:r>
      <w:r>
        <w:rPr>
          <w:rFonts w:hint="eastAsia"/>
          <w:snapToGrid w:val="0"/>
          <w:szCs w:val="21"/>
        </w:rPr>
        <w:instrText xml:space="preserve">AUTOTEXT  补充条款 \* MERGEFORMAT</w:instrText>
      </w:r>
      <w:r>
        <w:rPr>
          <w:snapToGrid w:val="0"/>
          <w:szCs w:val="21"/>
        </w:rPr>
        <w:instrText xml:space="preserve"> </w:instrText>
      </w:r>
      <w:r>
        <w:rPr>
          <w:snapToGrid w:val="0"/>
          <w:szCs w:val="21"/>
        </w:rPr>
        <w:fldChar w:fldCharType="separate"/>
      </w:r>
      <w:r>
        <w:rPr>
          <w:snapToGrid w:val="0"/>
          <w:szCs w:val="21"/>
        </w:rPr>
        <w:fldChar w:fldCharType="end"/>
      </w:r>
      <w:r>
        <w:rPr>
          <w:snapToGrid w:val="0"/>
          <w:szCs w:val="21"/>
        </w:rPr>
        <w:br w:type="page"/>
      </w:r>
    </w:p>
    <w:p>
      <w:pPr>
        <w:spacing w:line="360" w:lineRule="auto"/>
        <w:jc w:val="center"/>
        <w:outlineLvl w:val="0"/>
        <w:rPr>
          <w:rFonts w:ascii="黑体" w:hAnsi="黑体" w:eastAsia="黑体"/>
          <w:sz w:val="32"/>
        </w:rPr>
      </w:pPr>
      <w:bookmarkStart w:id="1147" w:name="_Toc31873"/>
      <w:bookmarkStart w:id="1148" w:name="_Toc27297"/>
      <w:bookmarkStart w:id="1149" w:name="_Toc24967"/>
      <w:bookmarkStart w:id="1150" w:name="_Toc30788"/>
      <w:bookmarkStart w:id="1151" w:name="_Toc11542"/>
      <w:r>
        <w:rPr>
          <w:rFonts w:hint="eastAsia" w:ascii="黑体" w:hAnsi="黑体" w:eastAsia="黑体"/>
          <w:sz w:val="32"/>
        </w:rPr>
        <w:t>第五部分</w:t>
      </w:r>
      <w:r>
        <w:rPr>
          <w:rFonts w:hint="eastAsia" w:ascii="黑体" w:hAnsi="黑体" w:eastAsia="黑体"/>
          <w:sz w:val="32"/>
          <w:lang w:val="en-US" w:eastAsia="zh-CN"/>
        </w:rPr>
        <w:t xml:space="preserve">  </w:t>
      </w:r>
      <w:r>
        <w:rPr>
          <w:rFonts w:hint="eastAsia" w:ascii="黑体" w:hAnsi="黑体" w:eastAsia="黑体"/>
          <w:sz w:val="32"/>
        </w:rPr>
        <w:t>其他附件</w:t>
      </w:r>
    </w:p>
    <w:p>
      <w:pPr>
        <w:widowControl/>
        <w:jc w:val="left"/>
        <w:outlineLvl w:val="1"/>
        <w:rPr>
          <w:rFonts w:ascii="Arial" w:hAnsi="Arial" w:eastAsia="楷体_GB2312" w:cs="Arial"/>
          <w:b/>
          <w:bCs/>
          <w:szCs w:val="32"/>
          <w:lang w:val="sq-AL"/>
        </w:rPr>
      </w:pPr>
      <w:r>
        <w:rPr>
          <w:rFonts w:hint="eastAsia" w:ascii="Arial" w:hAnsi="Arial" w:eastAsia="楷体_GB2312" w:cs="Arial"/>
          <w:b/>
          <w:bCs/>
          <w:szCs w:val="32"/>
          <w:lang w:val="sq-AL"/>
        </w:rPr>
        <w:t>附件</w:t>
      </w:r>
      <w:r>
        <w:rPr>
          <w:rFonts w:hint="eastAsia" w:ascii="Arial" w:hAnsi="Arial" w:eastAsia="楷体_GB2312" w:cs="Arial"/>
          <w:b/>
          <w:bCs/>
          <w:szCs w:val="32"/>
        </w:rPr>
        <w:t>1</w:t>
      </w:r>
      <w:r>
        <w:rPr>
          <w:rFonts w:hint="eastAsia" w:ascii="Arial" w:hAnsi="Arial" w:eastAsia="楷体_GB2312" w:cs="Arial"/>
          <w:b/>
          <w:bCs/>
          <w:szCs w:val="32"/>
          <w:lang w:val="sq-AL"/>
        </w:rPr>
        <w:t>：不可撤销的预付款保函</w:t>
      </w:r>
      <w:bookmarkEnd w:id="1147"/>
      <w:bookmarkEnd w:id="1148"/>
      <w:bookmarkEnd w:id="1149"/>
      <w:bookmarkEnd w:id="1150"/>
      <w:bookmarkEnd w:id="1151"/>
    </w:p>
    <w:p>
      <w:pPr>
        <w:widowControl/>
        <w:ind w:firstLine="420"/>
        <w:jc w:val="left"/>
        <w:rPr>
          <w:szCs w:val="20"/>
          <w:lang w:val="sq-AL"/>
        </w:rPr>
      </w:pPr>
    </w:p>
    <w:p>
      <w:pPr>
        <w:widowControl/>
        <w:snapToGrid w:val="0"/>
        <w:spacing w:line="345" w:lineRule="auto"/>
        <w:jc w:val="center"/>
        <w:rPr>
          <w:rFonts w:cs="Courier New"/>
          <w:b/>
          <w:bCs/>
          <w:iCs/>
        </w:rPr>
      </w:pPr>
      <w:bookmarkStart w:id="1152" w:name="_Toc517528615"/>
      <w:bookmarkStart w:id="1153" w:name="_Toc517531946"/>
      <w:bookmarkStart w:id="1154" w:name="_Toc517529708"/>
      <w:bookmarkStart w:id="1155" w:name="_Toc517530670"/>
      <w:bookmarkStart w:id="1156" w:name="_Toc405968565"/>
      <w:r>
        <w:rPr>
          <w:rFonts w:hint="eastAsia" w:cs="Courier New"/>
          <w:b/>
          <w:iCs/>
        </w:rPr>
        <w:t>不可撤销预付款保函</w:t>
      </w:r>
      <w:bookmarkEnd w:id="1152"/>
      <w:bookmarkEnd w:id="1153"/>
      <w:bookmarkEnd w:id="1154"/>
      <w:bookmarkEnd w:id="1155"/>
      <w:bookmarkEnd w:id="1156"/>
      <w:r>
        <w:rPr>
          <w:rFonts w:hint="eastAsia" w:cs="Courier New"/>
          <w:b/>
          <w:bCs/>
          <w:iCs/>
        </w:rPr>
        <w:t>（格式）</w:t>
      </w:r>
    </w:p>
    <w:p>
      <w:pPr>
        <w:widowControl/>
        <w:spacing w:line="360" w:lineRule="auto"/>
        <w:jc w:val="center"/>
        <w:rPr>
          <w:b/>
          <w:iCs/>
        </w:rPr>
      </w:pPr>
    </w:p>
    <w:p>
      <w:pPr>
        <w:widowControl/>
        <w:spacing w:line="360" w:lineRule="auto"/>
        <w:ind w:left="648" w:leftChars="270" w:right="-4" w:firstLine="5760" w:firstLineChars="2400"/>
        <w:jc w:val="left"/>
        <w:rPr>
          <w:b/>
          <w:iCs/>
        </w:rPr>
      </w:pPr>
      <w:r>
        <w:rPr>
          <w:rFonts w:hint="eastAsia"/>
          <w:iCs/>
        </w:rPr>
        <w:t>编号：</w:t>
      </w:r>
    </w:p>
    <w:p>
      <w:pPr>
        <w:widowControl/>
        <w:spacing w:line="360" w:lineRule="auto"/>
        <w:jc w:val="left"/>
        <w:rPr>
          <w:iCs/>
        </w:rPr>
      </w:pPr>
      <w:r>
        <w:rPr>
          <w:rFonts w:hint="eastAsia"/>
          <w:bCs/>
          <w:iCs/>
        </w:rPr>
        <w:t>致（下称受益人）：</w:t>
      </w:r>
    </w:p>
    <w:p>
      <w:pPr>
        <w:widowControl/>
        <w:spacing w:line="360" w:lineRule="auto"/>
        <w:ind w:firstLine="480" w:firstLineChars="200"/>
        <w:jc w:val="left"/>
        <w:rPr>
          <w:iCs/>
          <w:spacing w:val="-8"/>
        </w:rPr>
      </w:pPr>
      <w:r>
        <w:rPr>
          <w:rFonts w:hint="eastAsia"/>
          <w:iCs/>
        </w:rPr>
        <w:t>鉴于（下称“被保证人”）同意与受益人签订的合同协议书。我行愿意出具保函为被保证人担保，担保金额为（与预付款等额）人民币（大写）</w:t>
      </w:r>
      <w:r>
        <w:rPr>
          <w:rFonts w:hint="eastAsia"/>
          <w:iCs/>
          <w:spacing w:val="-8"/>
        </w:rPr>
        <w:t>元（小写）￥元。</w:t>
      </w:r>
    </w:p>
    <w:p>
      <w:pPr>
        <w:widowControl/>
        <w:spacing w:line="360" w:lineRule="auto"/>
        <w:ind w:firstLine="480" w:firstLineChars="200"/>
        <w:jc w:val="left"/>
        <w:rPr>
          <w:iCs/>
        </w:rPr>
      </w:pPr>
      <w:r>
        <w:rPr>
          <w:rFonts w:hint="eastAsia"/>
          <w:iCs/>
        </w:rPr>
        <w:t>本保函的义务是：本行在收到受益人提出的因被保证人在履行合同过程中未能履约或违背合同规定的责任和义务而要求索赔的书面通知和付款凭证后的</w:t>
      </w:r>
      <w:r>
        <w:rPr>
          <w:iCs/>
        </w:rPr>
        <w:t>28天内，在上述担保金的限额内向受益人支付任何数量的金额，无须受益人出具证明或陈述理由，也无须受益人事先办理法律或行政手续。本行立即支付所要求的金额，决不拖迟。</w:t>
      </w:r>
    </w:p>
    <w:p>
      <w:pPr>
        <w:widowControl/>
        <w:spacing w:line="360" w:lineRule="auto"/>
        <w:ind w:firstLine="480" w:firstLineChars="200"/>
        <w:jc w:val="left"/>
        <w:rPr>
          <w:iCs/>
        </w:rPr>
      </w:pPr>
      <w:r>
        <w:rPr>
          <w:rFonts w:hint="eastAsia"/>
          <w:iCs/>
        </w:rPr>
        <w:t>本行并不坚持受益人向本行提出付款要求之前，首先应向被保证人索要上述欠款。</w:t>
      </w:r>
    </w:p>
    <w:p>
      <w:pPr>
        <w:widowControl/>
        <w:spacing w:line="360" w:lineRule="auto"/>
        <w:ind w:firstLine="480" w:firstLineChars="200"/>
        <w:jc w:val="left"/>
        <w:rPr>
          <w:iCs/>
        </w:rPr>
      </w:pPr>
      <w:r>
        <w:rPr>
          <w:rFonts w:hint="eastAsia"/>
          <w:iCs/>
        </w:rPr>
        <w:t>本行确认：合同条款的任何更改和修正，都不能免除本行根据本保函所应承担的责任。因此，我们并不坚持一定要得到有关上述更改、修正的通知。</w:t>
      </w:r>
    </w:p>
    <w:p>
      <w:pPr>
        <w:widowControl/>
        <w:spacing w:line="360" w:lineRule="auto"/>
        <w:ind w:firstLine="240" w:firstLineChars="100"/>
        <w:jc w:val="left"/>
        <w:rPr>
          <w:iCs/>
        </w:rPr>
      </w:pPr>
      <w:r>
        <w:rPr>
          <w:rFonts w:hint="eastAsia"/>
          <w:iCs/>
        </w:rPr>
        <w:t>本保函自我行签字盖章之日起生效，在担保金额支付完毕，或预付款按合同条款抵扣完毕之前，并在  年   月   日（合同中约定的竣工日期）前一直有效。</w:t>
      </w:r>
    </w:p>
    <w:p>
      <w:pPr>
        <w:widowControl/>
        <w:spacing w:line="360" w:lineRule="auto"/>
        <w:ind w:firstLine="480" w:firstLineChars="200"/>
        <w:jc w:val="left"/>
        <w:rPr>
          <w:iCs/>
        </w:rPr>
      </w:pPr>
      <w:r>
        <w:rPr>
          <w:rFonts w:hint="eastAsia"/>
          <w:iCs/>
        </w:rPr>
        <w:t>为此，本行签字盖章，以资证明。</w:t>
      </w:r>
    </w:p>
    <w:p>
      <w:pPr>
        <w:widowControl/>
        <w:spacing w:line="360" w:lineRule="auto"/>
        <w:jc w:val="left"/>
        <w:rPr>
          <w:iCs/>
        </w:rPr>
      </w:pPr>
    </w:p>
    <w:p>
      <w:pPr>
        <w:widowControl/>
        <w:spacing w:line="360" w:lineRule="auto"/>
        <w:ind w:firstLine="3360" w:firstLineChars="1400"/>
        <w:jc w:val="left"/>
        <w:rPr>
          <w:iCs/>
        </w:rPr>
      </w:pPr>
      <w:r>
        <w:rPr>
          <w:rFonts w:hint="eastAsia"/>
          <w:iCs/>
        </w:rPr>
        <w:t>保证人：银行深圳市分行（盖章）</w:t>
      </w:r>
    </w:p>
    <w:p>
      <w:pPr>
        <w:widowControl/>
        <w:spacing w:line="360" w:lineRule="auto"/>
        <w:ind w:firstLine="3360" w:firstLineChars="1400"/>
        <w:jc w:val="left"/>
        <w:rPr>
          <w:iCs/>
        </w:rPr>
      </w:pPr>
      <w:r>
        <w:rPr>
          <w:rFonts w:hint="eastAsia"/>
          <w:iCs/>
        </w:rPr>
        <w:t>负责人或委托代理人：（签字或盖章）</w:t>
      </w:r>
    </w:p>
    <w:p>
      <w:pPr>
        <w:widowControl/>
        <w:spacing w:line="360" w:lineRule="auto"/>
        <w:ind w:firstLine="3360" w:firstLineChars="1400"/>
        <w:jc w:val="left"/>
        <w:rPr>
          <w:bCs/>
          <w:iCs/>
        </w:rPr>
      </w:pPr>
      <w:r>
        <w:rPr>
          <w:rFonts w:hint="eastAsia"/>
          <w:bCs/>
          <w:iCs/>
        </w:rPr>
        <w:t>银行地址：</w:t>
      </w:r>
    </w:p>
    <w:p>
      <w:pPr>
        <w:widowControl/>
        <w:spacing w:line="360" w:lineRule="auto"/>
        <w:ind w:firstLine="3360" w:firstLineChars="1400"/>
        <w:jc w:val="left"/>
        <w:rPr>
          <w:bCs/>
          <w:iCs/>
        </w:rPr>
      </w:pPr>
      <w:r>
        <w:rPr>
          <w:rFonts w:hint="eastAsia"/>
          <w:bCs/>
          <w:iCs/>
        </w:rPr>
        <w:t>邮编：</w:t>
      </w:r>
    </w:p>
    <w:p>
      <w:pPr>
        <w:widowControl/>
        <w:spacing w:line="360" w:lineRule="auto"/>
        <w:ind w:firstLine="3360" w:firstLineChars="1400"/>
        <w:jc w:val="left"/>
        <w:rPr>
          <w:bCs/>
          <w:iCs/>
        </w:rPr>
      </w:pPr>
      <w:r>
        <w:rPr>
          <w:rFonts w:hint="eastAsia"/>
          <w:bCs/>
          <w:iCs/>
        </w:rPr>
        <w:t>联系电话：</w:t>
      </w:r>
    </w:p>
    <w:p>
      <w:pPr>
        <w:widowControl/>
        <w:spacing w:line="360" w:lineRule="auto"/>
        <w:ind w:firstLine="3360" w:firstLineChars="1400"/>
        <w:jc w:val="left"/>
        <w:rPr>
          <w:bCs/>
          <w:iCs/>
        </w:rPr>
      </w:pPr>
      <w:r>
        <w:rPr>
          <w:rFonts w:hint="eastAsia"/>
          <w:bCs/>
          <w:iCs/>
        </w:rPr>
        <w:t>传真：</w:t>
      </w:r>
    </w:p>
    <w:p>
      <w:pPr>
        <w:widowControl/>
        <w:spacing w:line="360" w:lineRule="auto"/>
        <w:ind w:firstLine="3360" w:firstLineChars="1400"/>
        <w:jc w:val="left"/>
        <w:rPr>
          <w:bCs/>
          <w:i/>
          <w:iCs/>
        </w:rPr>
      </w:pPr>
      <w:r>
        <w:rPr>
          <w:rFonts w:hint="eastAsia"/>
          <w:bCs/>
          <w:iCs/>
        </w:rPr>
        <w:t>日期：    年   月   日</w:t>
      </w:r>
    </w:p>
    <w:p>
      <w:pPr>
        <w:widowControl/>
        <w:jc w:val="left"/>
        <w:rPr>
          <w:rFonts w:ascii="Arial" w:hAnsi="Arial" w:eastAsia="楷体_GB2312" w:cs="Arial"/>
          <w:b/>
          <w:bCs/>
          <w:szCs w:val="32"/>
          <w:lang w:val="sq-AL"/>
        </w:rPr>
      </w:pPr>
      <w:r>
        <w:rPr>
          <w:rFonts w:hint="eastAsia" w:ascii="Arial" w:hAnsi="Arial" w:eastAsia="楷体_GB2312" w:cs="Arial"/>
          <w:b/>
          <w:bCs/>
          <w:szCs w:val="32"/>
          <w:lang w:val="sq-AL"/>
        </w:rPr>
        <w:br w:type="page"/>
      </w:r>
    </w:p>
    <w:p>
      <w:pPr>
        <w:widowControl/>
        <w:jc w:val="left"/>
        <w:outlineLvl w:val="1"/>
        <w:rPr>
          <w:rFonts w:ascii="Arial" w:hAnsi="Arial" w:eastAsia="楷体_GB2312" w:cs="Arial"/>
          <w:b/>
          <w:bCs/>
          <w:szCs w:val="32"/>
          <w:lang w:val="sq-AL"/>
        </w:rPr>
      </w:pPr>
      <w:r>
        <w:rPr>
          <w:rFonts w:hint="eastAsia" w:ascii="Arial" w:hAnsi="Arial" w:eastAsia="楷体_GB2312" w:cs="Arial"/>
          <w:b/>
          <w:bCs/>
          <w:szCs w:val="32"/>
          <w:lang w:val="sq-AL"/>
        </w:rPr>
        <w:t>附件</w:t>
      </w:r>
      <w:r>
        <w:rPr>
          <w:rFonts w:hint="eastAsia" w:ascii="Arial" w:hAnsi="Arial" w:eastAsia="楷体_GB2312" w:cs="Arial"/>
          <w:b/>
          <w:bCs/>
          <w:szCs w:val="32"/>
        </w:rPr>
        <w:t>2</w:t>
      </w:r>
      <w:r>
        <w:rPr>
          <w:rFonts w:hint="eastAsia" w:ascii="Arial" w:hAnsi="Arial" w:eastAsia="楷体_GB2312" w:cs="Arial"/>
          <w:b/>
          <w:bCs/>
          <w:szCs w:val="32"/>
          <w:lang w:val="sq-AL"/>
        </w:rPr>
        <w:t>：</w:t>
      </w:r>
      <w:r>
        <w:rPr>
          <w:rFonts w:hint="eastAsia" w:ascii="Arial" w:hAnsi="Arial" w:eastAsia="楷体_GB2312" w:cs="Arial"/>
          <w:b/>
          <w:bCs/>
          <w:szCs w:val="32"/>
        </w:rPr>
        <w:t>履约</w:t>
      </w:r>
      <w:r>
        <w:rPr>
          <w:rFonts w:hint="eastAsia" w:ascii="Arial" w:hAnsi="Arial" w:eastAsia="楷体_GB2312" w:cs="Arial"/>
          <w:b/>
          <w:bCs/>
          <w:szCs w:val="32"/>
          <w:lang w:val="sq-AL"/>
        </w:rPr>
        <w:t>保函</w:t>
      </w:r>
    </w:p>
    <w:p>
      <w:pPr>
        <w:widowControl/>
        <w:spacing w:after="312" w:afterLines="100" w:line="360" w:lineRule="atLeast"/>
        <w:jc w:val="center"/>
        <w:rPr>
          <w:rFonts w:ascii="华文细黑" w:eastAsia="华文细黑" w:cs="Courier New"/>
          <w:sz w:val="32"/>
          <w:szCs w:val="32"/>
        </w:rPr>
      </w:pPr>
      <w:r>
        <w:rPr>
          <w:rFonts w:hint="eastAsia" w:ascii="华文细黑" w:eastAsia="华文细黑" w:cs="Courier New"/>
          <w:sz w:val="32"/>
          <w:szCs w:val="32"/>
        </w:rPr>
        <w:t>不可撤销履约保函</w:t>
      </w:r>
      <w:r>
        <w:rPr>
          <w:rFonts w:hint="eastAsia" w:cs="Courier New"/>
          <w:b/>
          <w:bCs/>
          <w:iCs/>
          <w:szCs w:val="21"/>
        </w:rPr>
        <w:t>（格式）</w:t>
      </w:r>
    </w:p>
    <w:p>
      <w:pPr>
        <w:widowControl/>
        <w:spacing w:before="156" w:beforeLines="50" w:after="156" w:afterLines="50" w:line="360" w:lineRule="atLeast"/>
        <w:jc w:val="left"/>
        <w:rPr>
          <w:rFonts w:hAnsi="Courier New" w:cs="Courier New"/>
          <w:szCs w:val="21"/>
        </w:rPr>
      </w:pPr>
      <w:r>
        <w:rPr>
          <w:rFonts w:hint="eastAsia" w:hAnsi="Courier New" w:cs="Courier New"/>
          <w:szCs w:val="21"/>
        </w:rPr>
        <w:t>致</w:t>
      </w:r>
      <w:r>
        <w:rPr>
          <w:rFonts w:hint="eastAsia" w:hAnsi="Courier New" w:cs="Courier New"/>
          <w:szCs w:val="21"/>
          <w:u w:val="single"/>
        </w:rPr>
        <w:t xml:space="preserve">             </w:t>
      </w:r>
      <w:r>
        <w:rPr>
          <w:rFonts w:hint="eastAsia" w:hAnsi="Courier New" w:cs="Courier New"/>
          <w:u w:val="single"/>
        </w:rPr>
        <w:t>（</w:t>
      </w:r>
      <w:r>
        <w:rPr>
          <w:rFonts w:hint="eastAsia" w:hAnsi="Courier New" w:cs="Courier New"/>
          <w:szCs w:val="21"/>
        </w:rPr>
        <w:t>下称受益人)：</w:t>
      </w:r>
    </w:p>
    <w:p>
      <w:pPr>
        <w:widowControl/>
        <w:spacing w:before="156" w:beforeLines="50" w:after="156" w:afterLines="50" w:line="360" w:lineRule="atLeast"/>
        <w:ind w:firstLine="482"/>
        <w:jc w:val="left"/>
        <w:rPr>
          <w:rFonts w:hAnsi="Courier New" w:cs="Courier New"/>
          <w:szCs w:val="21"/>
        </w:rPr>
      </w:pPr>
      <w:r>
        <w:rPr>
          <w:rFonts w:hint="eastAsia" w:hAnsi="Courier New" w:cs="Courier New"/>
          <w:szCs w:val="21"/>
        </w:rPr>
        <w:t>鉴于</w:t>
      </w:r>
      <w:r>
        <w:rPr>
          <w:rFonts w:hint="eastAsia" w:hAnsi="Courier New" w:cs="Courier New"/>
          <w:szCs w:val="21"/>
          <w:u w:val="single"/>
        </w:rPr>
        <w:t xml:space="preserve">                  </w:t>
      </w:r>
      <w:r>
        <w:rPr>
          <w:rFonts w:hint="eastAsia" w:hAnsi="Courier New" w:cs="Courier New"/>
          <w:szCs w:val="21"/>
        </w:rPr>
        <w:t>(下称被保证人)已与贵方签订了</w:t>
      </w:r>
      <w:r>
        <w:rPr>
          <w:rFonts w:hint="eastAsia" w:hAnsi="Courier New" w:cs="Courier New"/>
          <w:szCs w:val="21"/>
          <w:u w:val="single"/>
        </w:rPr>
        <w:t xml:space="preserve">               </w:t>
      </w:r>
      <w:r>
        <w:rPr>
          <w:rFonts w:hint="eastAsia" w:hAnsi="Courier New" w:cs="Courier New"/>
        </w:rPr>
        <w:t>的合同（下称合同）。我方接受被保证人的委托，在此向受益人提供不可撤销的履约保证:</w:t>
      </w:r>
    </w:p>
    <w:p>
      <w:pPr>
        <w:widowControl/>
        <w:spacing w:line="360" w:lineRule="atLeast"/>
        <w:ind w:firstLine="482"/>
        <w:jc w:val="left"/>
        <w:rPr>
          <w:rFonts w:hAnsi="Courier New" w:cs="Courier New"/>
          <w:szCs w:val="21"/>
        </w:rPr>
      </w:pPr>
      <w:r>
        <w:rPr>
          <w:rFonts w:hint="eastAsia" w:hAnsi="Courier New" w:cs="Courier New"/>
          <w:szCs w:val="21"/>
        </w:rPr>
        <w:t>一、本保证担保的最高担保金额为</w:t>
      </w:r>
      <w:r>
        <w:rPr>
          <w:rFonts w:hint="eastAsia" w:hAnsi="Courier New" w:cs="Courier New"/>
          <w:szCs w:val="21"/>
          <w:u w:val="single"/>
        </w:rPr>
        <w:t xml:space="preserve"> 人民币 </w:t>
      </w:r>
      <w:r>
        <w:rPr>
          <w:rFonts w:hint="eastAsia" w:hAnsi="Courier New" w:cs="Courier New"/>
          <w:szCs w:val="21"/>
        </w:rPr>
        <w:t>(币种)</w:t>
      </w:r>
      <w:r>
        <w:rPr>
          <w:rFonts w:hint="eastAsia" w:hAnsi="Courier New" w:cs="Courier New"/>
          <w:szCs w:val="21"/>
          <w:u w:val="single"/>
        </w:rPr>
        <w:t xml:space="preserve">             </w:t>
      </w:r>
      <w:r>
        <w:rPr>
          <w:rFonts w:hint="eastAsia" w:hAnsi="Courier New" w:cs="Courier New"/>
          <w:szCs w:val="21"/>
        </w:rPr>
        <w:t>元(小写)</w:t>
      </w:r>
      <w:r>
        <w:rPr>
          <w:rFonts w:hint="eastAsia" w:hAnsi="Courier New" w:cs="Courier New"/>
          <w:bCs/>
          <w:szCs w:val="21"/>
          <w:u w:val="single"/>
        </w:rPr>
        <w:t xml:space="preserve">    </w:t>
      </w:r>
      <w:r>
        <w:rPr>
          <w:rFonts w:hint="eastAsia" w:hAnsi="Courier New" w:cs="Courier New"/>
          <w:szCs w:val="21"/>
        </w:rPr>
        <w:t xml:space="preserve">(大写)。 </w:t>
      </w:r>
    </w:p>
    <w:p>
      <w:pPr>
        <w:widowControl/>
        <w:ind w:right="480" w:firstLine="480"/>
        <w:jc w:val="left"/>
      </w:pPr>
      <w:r>
        <w:rPr>
          <w:rFonts w:hint="eastAsia"/>
        </w:rPr>
        <w:t>二、本保函自我行负责人签字并加盖公章之日起生效，保函最终有效期不超过</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widowControl/>
        <w:spacing w:line="360" w:lineRule="atLeast"/>
        <w:ind w:firstLine="482"/>
        <w:jc w:val="left"/>
        <w:rPr>
          <w:rFonts w:hAnsi="Courier New" w:cs="Courier New"/>
          <w:szCs w:val="21"/>
        </w:rPr>
      </w:pPr>
      <w:r>
        <w:rPr>
          <w:rFonts w:hint="eastAsia" w:hAnsi="Courier New" w:cs="Courier New"/>
          <w:szCs w:val="21"/>
        </w:rPr>
        <w:t>三、在本保证担保的保证期间内，我方将在收到受益人法定代表人或其授权委托代理人签字确认并加盖公章的书面索赔通知后</w:t>
      </w:r>
      <w:r>
        <w:rPr>
          <w:rFonts w:hint="eastAsia" w:hAnsi="Courier New" w:cs="Courier New"/>
          <w:szCs w:val="21"/>
          <w:u w:val="single"/>
        </w:rPr>
        <w:t xml:space="preserve">     </w:t>
      </w:r>
      <w:r>
        <w:rPr>
          <w:rFonts w:hint="eastAsia" w:hAnsi="Courier New" w:cs="Courier New"/>
          <w:szCs w:val="21"/>
        </w:rPr>
        <w:t>个工作日内，不争辩、不挑剔、不可撤销地向受益人支付索赔款，直至本保证担保的最高担保金额。</w:t>
      </w:r>
    </w:p>
    <w:p>
      <w:pPr>
        <w:widowControl/>
        <w:spacing w:line="360" w:lineRule="atLeast"/>
        <w:ind w:firstLine="482"/>
        <w:jc w:val="left"/>
        <w:rPr>
          <w:rFonts w:hAnsi="Courier New" w:cs="Courier New"/>
          <w:szCs w:val="21"/>
        </w:rPr>
      </w:pPr>
      <w:r>
        <w:rPr>
          <w:rFonts w:hint="eastAsia" w:hAnsi="Courier New" w:cs="Courier New"/>
          <w:szCs w:val="21"/>
        </w:rPr>
        <w:t>四、索赔通知应当说明索赔理由、索赔款额的计算方法，并必须在本保证担保的保证期间内送达我方。</w:t>
      </w:r>
    </w:p>
    <w:p>
      <w:pPr>
        <w:widowControl/>
        <w:spacing w:line="360" w:lineRule="atLeast"/>
        <w:ind w:firstLine="482"/>
        <w:jc w:val="left"/>
        <w:rPr>
          <w:rFonts w:hAnsi="Courier New" w:cs="Courier New"/>
          <w:szCs w:val="21"/>
        </w:rPr>
      </w:pPr>
      <w:r>
        <w:rPr>
          <w:rFonts w:hint="eastAsia" w:hAnsi="Courier New" w:cs="Courier New"/>
          <w:szCs w:val="21"/>
        </w:rPr>
        <w:t>五、本保证担保项下的权利不得转让。</w:t>
      </w:r>
    </w:p>
    <w:p>
      <w:pPr>
        <w:widowControl/>
        <w:spacing w:line="360" w:lineRule="atLeast"/>
        <w:ind w:firstLine="482"/>
        <w:jc w:val="left"/>
        <w:rPr>
          <w:rFonts w:hAnsi="Courier New" w:cs="Courier New"/>
          <w:szCs w:val="21"/>
        </w:rPr>
      </w:pPr>
      <w:r>
        <w:rPr>
          <w:rFonts w:hint="eastAsia" w:hAnsi="Courier New" w:cs="Courier New"/>
          <w:szCs w:val="21"/>
        </w:rPr>
        <w:t>六、我方提供本保证担保后，受益人与被保证人对合同进行修订的，应当将修订后的合同原件送我方备案。</w:t>
      </w:r>
    </w:p>
    <w:p>
      <w:pPr>
        <w:widowControl/>
        <w:spacing w:line="360" w:lineRule="atLeast"/>
        <w:ind w:firstLine="482"/>
        <w:jc w:val="left"/>
        <w:rPr>
          <w:rFonts w:hAnsi="Courier New" w:cs="Courier New"/>
          <w:szCs w:val="21"/>
        </w:rPr>
      </w:pPr>
      <w:r>
        <w:rPr>
          <w:rFonts w:hint="eastAsia" w:hAnsi="Courier New" w:cs="Courier New"/>
          <w:szCs w:val="21"/>
        </w:rPr>
        <w:t>七、本保证担保的保证期间届满，或我方向受益人支付的索赔款已达本保证担保的最高担保金额，我方的保证责任免除。</w:t>
      </w:r>
    </w:p>
    <w:p>
      <w:pPr>
        <w:widowControl/>
        <w:spacing w:line="360" w:lineRule="atLeast"/>
        <w:ind w:firstLine="482"/>
        <w:jc w:val="left"/>
        <w:rPr>
          <w:rFonts w:hAnsi="Courier New" w:cs="Courier New"/>
          <w:szCs w:val="21"/>
        </w:rPr>
      </w:pPr>
      <w:r>
        <w:rPr>
          <w:rFonts w:hint="eastAsia" w:hAnsi="Courier New" w:cs="Courier New"/>
          <w:szCs w:val="21"/>
        </w:rPr>
        <w:t>八、本保证担保适用中华人民共和国法律。</w:t>
      </w:r>
    </w:p>
    <w:p>
      <w:pPr>
        <w:widowControl/>
        <w:spacing w:line="360" w:lineRule="atLeast"/>
        <w:ind w:firstLine="480" w:firstLineChars="200"/>
        <w:jc w:val="left"/>
        <w:rPr>
          <w:rFonts w:hAnsi="Courier New" w:cs="Courier New"/>
          <w:bCs/>
          <w:szCs w:val="21"/>
        </w:rPr>
      </w:pPr>
      <w:r>
        <w:rPr>
          <w:rFonts w:hint="eastAsia" w:hAnsi="Courier New" w:cs="Courier New"/>
          <w:szCs w:val="21"/>
        </w:rPr>
        <w:t>九、本保证担保以中文文本为准，涂改无效。</w:t>
      </w:r>
    </w:p>
    <w:p>
      <w:pPr>
        <w:widowControl/>
        <w:spacing w:line="360" w:lineRule="atLeast"/>
        <w:jc w:val="left"/>
        <w:rPr>
          <w:rFonts w:hAnsi="Courier New" w:cs="Courier New"/>
          <w:szCs w:val="21"/>
        </w:rPr>
      </w:pPr>
    </w:p>
    <w:p>
      <w:pPr>
        <w:widowControl/>
        <w:spacing w:line="360" w:lineRule="atLeast"/>
        <w:ind w:firstLine="480" w:firstLineChars="200"/>
        <w:jc w:val="left"/>
        <w:rPr>
          <w:rFonts w:hAnsi="Courier New" w:cs="Courier New"/>
          <w:szCs w:val="21"/>
        </w:rPr>
      </w:pPr>
      <w:r>
        <w:rPr>
          <w:rFonts w:hint="eastAsia" w:hAnsi="Courier New" w:cs="Courier New"/>
          <w:szCs w:val="21"/>
        </w:rPr>
        <w:t>保证人：</w:t>
      </w:r>
      <w:r>
        <w:rPr>
          <w:rFonts w:hint="eastAsia" w:hAnsi="Courier New" w:cs="Courier New"/>
          <w:szCs w:val="21"/>
          <w:u w:val="single"/>
        </w:rPr>
        <w:t xml:space="preserve">                                 </w:t>
      </w:r>
      <w:r>
        <w:rPr>
          <w:rFonts w:hint="eastAsia" w:hAnsi="Courier New" w:cs="Courier New"/>
          <w:szCs w:val="21"/>
        </w:rPr>
        <w:t>(盖章)</w:t>
      </w:r>
    </w:p>
    <w:p>
      <w:pPr>
        <w:widowControl/>
        <w:spacing w:line="360" w:lineRule="atLeast"/>
        <w:jc w:val="left"/>
        <w:rPr>
          <w:rFonts w:hAnsi="Courier New" w:cs="Courier New"/>
          <w:szCs w:val="21"/>
          <w:u w:val="single"/>
        </w:rPr>
      </w:pPr>
      <w:r>
        <w:rPr>
          <w:rFonts w:hint="eastAsia" w:hAnsi="Courier New" w:cs="Courier New"/>
          <w:szCs w:val="21"/>
        </w:rPr>
        <w:t xml:space="preserve">    法定代表人或其授权委托代理人(签字或盖章)：</w:t>
      </w:r>
      <w:r>
        <w:rPr>
          <w:rFonts w:hint="eastAsia" w:hAnsi="Courier New" w:cs="Courier New"/>
          <w:szCs w:val="21"/>
          <w:u w:val="single"/>
        </w:rPr>
        <w:t xml:space="preserve">            </w:t>
      </w:r>
    </w:p>
    <w:p>
      <w:pPr>
        <w:widowControl/>
        <w:spacing w:line="360" w:lineRule="atLeast"/>
        <w:jc w:val="left"/>
        <w:rPr>
          <w:rFonts w:hAnsi="Courier New" w:cs="Courier New"/>
          <w:szCs w:val="21"/>
          <w:u w:val="single"/>
        </w:rPr>
      </w:pPr>
      <w:r>
        <w:rPr>
          <w:rFonts w:hint="eastAsia" w:hAnsi="Courier New" w:cs="Courier New"/>
          <w:szCs w:val="21"/>
        </w:rPr>
        <w:t xml:space="preserve">    单位地址：</w:t>
      </w:r>
      <w:r>
        <w:rPr>
          <w:rFonts w:hint="eastAsia" w:hAnsi="Courier New" w:cs="Courier New"/>
          <w:szCs w:val="21"/>
          <w:u w:val="single"/>
        </w:rPr>
        <w:t xml:space="preserve">                              </w:t>
      </w:r>
    </w:p>
    <w:p>
      <w:pPr>
        <w:widowControl/>
        <w:spacing w:line="360" w:lineRule="atLeast"/>
        <w:ind w:firstLine="482"/>
        <w:jc w:val="left"/>
        <w:rPr>
          <w:rFonts w:hAnsi="Courier New" w:cs="Courier New"/>
          <w:szCs w:val="21"/>
          <w:u w:val="single"/>
        </w:rPr>
      </w:pPr>
      <w:r>
        <w:rPr>
          <w:rFonts w:hint="eastAsia" w:hAnsi="Courier New" w:cs="Courier New"/>
          <w:szCs w:val="21"/>
        </w:rPr>
        <w:t>邮政编码：</w:t>
      </w:r>
      <w:r>
        <w:rPr>
          <w:rFonts w:hint="eastAsia" w:hAnsi="Courier New" w:cs="Courier New"/>
          <w:szCs w:val="21"/>
          <w:u w:val="single"/>
        </w:rPr>
        <w:t xml:space="preserve">          </w:t>
      </w:r>
      <w:r>
        <w:rPr>
          <w:rFonts w:hint="eastAsia" w:hAnsi="Courier New" w:cs="Courier New"/>
          <w:szCs w:val="21"/>
        </w:rPr>
        <w:t>电话：</w:t>
      </w:r>
      <w:r>
        <w:rPr>
          <w:rFonts w:hint="eastAsia" w:hAnsi="Courier New" w:cs="Courier New"/>
          <w:szCs w:val="21"/>
          <w:u w:val="single"/>
        </w:rPr>
        <w:t xml:space="preserve">          </w:t>
      </w:r>
      <w:r>
        <w:rPr>
          <w:rFonts w:hint="eastAsia" w:hAnsi="Courier New" w:cs="Courier New"/>
          <w:szCs w:val="21"/>
        </w:rPr>
        <w:t>传真：</w:t>
      </w:r>
      <w:r>
        <w:rPr>
          <w:rFonts w:hint="eastAsia" w:hAnsi="Courier New" w:cs="Courier New"/>
          <w:szCs w:val="21"/>
          <w:u w:val="single"/>
        </w:rPr>
        <w:t xml:space="preserve">           </w:t>
      </w:r>
    </w:p>
    <w:p>
      <w:pPr>
        <w:widowControl/>
        <w:spacing w:line="360" w:lineRule="atLeast"/>
        <w:ind w:right="641" w:firstLine="480" w:firstLineChars="200"/>
        <w:jc w:val="left"/>
      </w:pPr>
      <w:r>
        <w:rPr>
          <w:rFonts w:hint="eastAsia"/>
        </w:rPr>
        <w:t>日期：</w:t>
      </w:r>
      <w:r>
        <w:rPr>
          <w:rFonts w:hint="eastAsia"/>
          <w:u w:val="single"/>
        </w:rPr>
        <w:t xml:space="preserve">    </w:t>
      </w:r>
      <w:r>
        <w:rPr>
          <w:rFonts w:hint="eastAsia"/>
        </w:rPr>
        <w:t xml:space="preserve">年 </w:t>
      </w:r>
      <w:r>
        <w:rPr>
          <w:rFonts w:hint="eastAsia"/>
          <w:u w:val="single"/>
        </w:rPr>
        <w:t xml:space="preserve">   </w:t>
      </w:r>
      <w:r>
        <w:rPr>
          <w:rFonts w:hint="eastAsia"/>
        </w:rPr>
        <w:t>月</w:t>
      </w:r>
      <w:r>
        <w:rPr>
          <w:rFonts w:hint="eastAsia"/>
          <w:u w:val="single"/>
        </w:rPr>
        <w:t xml:space="preserve">   </w:t>
      </w:r>
      <w:r>
        <w:rPr>
          <w:rFonts w:hint="eastAsia"/>
        </w:rPr>
        <w:t>日</w:t>
      </w:r>
    </w:p>
    <w:p>
      <w:pPr>
        <w:widowControl/>
        <w:spacing w:line="360" w:lineRule="atLeast"/>
        <w:ind w:right="641" w:firstLine="480" w:firstLineChars="200"/>
        <w:jc w:val="left"/>
      </w:pPr>
    </w:p>
    <w:p>
      <w:pPr>
        <w:widowControl/>
        <w:spacing w:line="360" w:lineRule="atLeast"/>
        <w:jc w:val="center"/>
      </w:pPr>
      <w:r>
        <w:rPr>
          <w:rFonts w:hint="eastAsia"/>
        </w:rPr>
        <w:t>(本保函失效后，请将原件退回我方注销)</w:t>
      </w:r>
    </w:p>
    <w:p>
      <w:pPr>
        <w:widowControl w:val="0"/>
        <w:jc w:val="both"/>
        <w:rPr>
          <w:rFonts w:asciiTheme="minorHAnsi" w:hAnsiTheme="minorHAnsi" w:eastAsiaTheme="minorEastAsia" w:cstheme="minorBidi"/>
          <w:kern w:val="2"/>
          <w:sz w:val="21"/>
          <w:szCs w:val="22"/>
        </w:rPr>
      </w:pPr>
    </w:p>
    <w:p>
      <w:pPr>
        <w:rPr>
          <w:rFonts w:hint="default" w:eastAsia="宋体"/>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6"/>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- 125 -</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pPr>
                      <w:pStyle w:val="16"/>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- 125 -</w:t>
                    </w:r>
                    <w:r>
                      <w:rPr>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360"/>
      <w:jc w:val="center"/>
      <w:rPr>
        <w:sz w:val="18"/>
        <w:szCs w:val="18"/>
      </w:rPr>
    </w:pPr>
    <w:r>
      <w:rPr>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ind w:firstLine="360"/>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- 129 -</w:t>
                          </w:r>
                          <w:r>
                            <w:rPr>
                              <w:sz w:val="21"/>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NkyfDfTAQAApgMAAA4AAAAAAAAAAQAgAAAAHwEA&#10;AGRycy9lMm9Eb2MueG1sUEsFBgAAAAAGAAYAWQEAAGQFAAAAAA==&#10;">
              <v:fill on="f" focussize="0,0"/>
              <v:stroke on="f" weight="0.5pt"/>
              <v:imagedata o:title=""/>
              <o:lock v:ext="edit" aspectratio="f"/>
              <v:textbox inset="0mm,0mm,0mm,0mm" style="mso-fit-shape-to-text:t;">
                <w:txbxContent>
                  <w:p>
                    <w:pPr>
                      <w:snapToGrid w:val="0"/>
                      <w:ind w:firstLine="360"/>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- 129 -</w:t>
                    </w:r>
                    <w:r>
                      <w:rPr>
                        <w:sz w:val="21"/>
                        <w:szCs w:val="21"/>
                      </w:rPr>
                      <w:fldChar w:fldCharType="end"/>
                    </w:r>
                  </w:p>
                </w:txbxContent>
              </v:textbox>
            </v:shape>
          </w:pict>
        </mc:Fallback>
      </mc:AlternateContent>
    </w:r>
  </w:p>
  <w:p>
    <w:pPr>
      <w:snapToGrid w:val="0"/>
      <w:ind w:firstLine="360"/>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7EEDB"/>
    <w:multiLevelType w:val="multilevel"/>
    <w:tmpl w:val="BAE7EEDB"/>
    <w:lvl w:ilvl="0" w:tentative="0">
      <w:start w:val="1"/>
      <w:numFmt w:val="chineseCounting"/>
      <w:pStyle w:val="4"/>
      <w:suff w:val="nothing"/>
      <w:lvlText w:val="%1、"/>
      <w:lvlJc w:val="left"/>
      <w:pPr>
        <w:tabs>
          <w:tab w:val="left" w:pos="0"/>
        </w:tabs>
        <w:ind w:left="420" w:firstLine="0"/>
      </w:pPr>
      <w:rPr>
        <w:rFonts w:hint="eastAsia"/>
      </w:rPr>
    </w:lvl>
    <w:lvl w:ilvl="1" w:tentative="0">
      <w:start w:val="1"/>
      <w:numFmt w:val="chineseCounting"/>
      <w:pStyle w:val="5"/>
      <w:suff w:val="nothing"/>
      <w:lvlText w:val="（%2）"/>
      <w:lvlJc w:val="left"/>
      <w:pPr>
        <w:ind w:left="420" w:firstLine="0"/>
      </w:pPr>
      <w:rPr>
        <w:rFonts w:hint="eastAsia"/>
      </w:rPr>
    </w:lvl>
    <w:lvl w:ilvl="2" w:tentative="0">
      <w:start w:val="1"/>
      <w:numFmt w:val="decimal"/>
      <w:pStyle w:val="6"/>
      <w:suff w:val="nothing"/>
      <w:lvlText w:val="%3．"/>
      <w:lvlJc w:val="left"/>
      <w:pPr>
        <w:ind w:left="420" w:firstLine="400"/>
      </w:pPr>
      <w:rPr>
        <w:rFonts w:hint="eastAsia"/>
      </w:rPr>
    </w:lvl>
    <w:lvl w:ilvl="3" w:tentative="0">
      <w:start w:val="1"/>
      <w:numFmt w:val="decimal"/>
      <w:pStyle w:val="7"/>
      <w:suff w:val="nothing"/>
      <w:lvlText w:val="（%4）"/>
      <w:lvlJc w:val="left"/>
      <w:pPr>
        <w:ind w:left="420" w:firstLine="402"/>
      </w:pPr>
      <w:rPr>
        <w:rFonts w:hint="eastAsia"/>
      </w:rPr>
    </w:lvl>
    <w:lvl w:ilvl="4" w:tentative="0">
      <w:start w:val="1"/>
      <w:numFmt w:val="decimalEnclosedCircleChinese"/>
      <w:pStyle w:val="8"/>
      <w:suff w:val="nothing"/>
      <w:lvlText w:val="%5"/>
      <w:lvlJc w:val="left"/>
      <w:pPr>
        <w:ind w:left="420" w:firstLine="402"/>
      </w:pPr>
      <w:rPr>
        <w:rFonts w:hint="eastAsia"/>
      </w:rPr>
    </w:lvl>
    <w:lvl w:ilvl="5" w:tentative="0">
      <w:start w:val="1"/>
      <w:numFmt w:val="decimal"/>
      <w:pStyle w:val="9"/>
      <w:suff w:val="nothing"/>
      <w:lvlText w:val="%6）"/>
      <w:lvlJc w:val="left"/>
      <w:pPr>
        <w:ind w:left="420" w:firstLine="402"/>
      </w:pPr>
      <w:rPr>
        <w:rFonts w:hint="eastAsia"/>
      </w:rPr>
    </w:lvl>
    <w:lvl w:ilvl="6" w:tentative="0">
      <w:start w:val="1"/>
      <w:numFmt w:val="lowerLetter"/>
      <w:pStyle w:val="10"/>
      <w:suff w:val="nothing"/>
      <w:lvlText w:val="%7．"/>
      <w:lvlJc w:val="left"/>
      <w:pPr>
        <w:ind w:left="420" w:firstLine="402"/>
      </w:pPr>
      <w:rPr>
        <w:rFonts w:hint="eastAsia"/>
      </w:rPr>
    </w:lvl>
    <w:lvl w:ilvl="7" w:tentative="0">
      <w:start w:val="1"/>
      <w:numFmt w:val="lowerLetter"/>
      <w:pStyle w:val="11"/>
      <w:suff w:val="nothing"/>
      <w:lvlText w:val="%8）"/>
      <w:lvlJc w:val="left"/>
      <w:pPr>
        <w:ind w:left="420" w:firstLine="402"/>
      </w:pPr>
      <w:rPr>
        <w:rFonts w:hint="eastAsia"/>
      </w:rPr>
    </w:lvl>
    <w:lvl w:ilvl="8" w:tentative="0">
      <w:start w:val="1"/>
      <w:numFmt w:val="lowerRoman"/>
      <w:pStyle w:val="12"/>
      <w:suff w:val="nothing"/>
      <w:lvlText w:val="%9 "/>
      <w:lvlJc w:val="left"/>
      <w:pPr>
        <w:ind w:left="420" w:firstLine="402"/>
      </w:pPr>
      <w:rPr>
        <w:rFonts w:hint="eastAsia"/>
      </w:rPr>
    </w:lvl>
  </w:abstractNum>
  <w:abstractNum w:abstractNumId="1">
    <w:nsid w:val="E6AC358B"/>
    <w:multiLevelType w:val="singleLevel"/>
    <w:tmpl w:val="E6AC358B"/>
    <w:lvl w:ilvl="0" w:tentative="0">
      <w:start w:val="1"/>
      <w:numFmt w:val="decimal"/>
      <w:lvlText w:val="%1."/>
      <w:lvlJc w:val="left"/>
      <w:pPr>
        <w:ind w:left="425" w:hanging="425"/>
      </w:pPr>
      <w:rPr>
        <w:rFonts w:hint="default"/>
      </w:rPr>
    </w:lvl>
  </w:abstractNum>
  <w:abstractNum w:abstractNumId="2">
    <w:nsid w:val="EC6DBC11"/>
    <w:multiLevelType w:val="singleLevel"/>
    <w:tmpl w:val="EC6DBC11"/>
    <w:lvl w:ilvl="0" w:tentative="0">
      <w:start w:val="1"/>
      <w:numFmt w:val="decimal"/>
      <w:lvlText w:val="%1"/>
      <w:lvlJc w:val="left"/>
      <w:pPr>
        <w:tabs>
          <w:tab w:val="left" w:pos="420"/>
        </w:tabs>
        <w:ind w:left="425" w:leftChars="0" w:hanging="425" w:firstLineChars="0"/>
      </w:pPr>
      <w:rPr>
        <w:rFonts w:hint="default"/>
      </w:rPr>
    </w:lvl>
  </w:abstractNum>
  <w:abstractNum w:abstractNumId="3">
    <w:nsid w:val="F1388472"/>
    <w:multiLevelType w:val="singleLevel"/>
    <w:tmpl w:val="F1388472"/>
    <w:lvl w:ilvl="0" w:tentative="0">
      <w:start w:val="1"/>
      <w:numFmt w:val="decimal"/>
      <w:lvlText w:val="%1"/>
      <w:lvlJc w:val="left"/>
      <w:pPr>
        <w:tabs>
          <w:tab w:val="left" w:pos="420"/>
        </w:tabs>
        <w:ind w:left="425" w:leftChars="0" w:hanging="425" w:firstLineChars="0"/>
      </w:pPr>
      <w:rPr>
        <w:rFonts w:hint="default"/>
      </w:rPr>
    </w:lvl>
  </w:abstractNum>
  <w:abstractNum w:abstractNumId="4">
    <w:nsid w:val="F3B30506"/>
    <w:multiLevelType w:val="singleLevel"/>
    <w:tmpl w:val="F3B30506"/>
    <w:lvl w:ilvl="0" w:tentative="0">
      <w:start w:val="1"/>
      <w:numFmt w:val="decimal"/>
      <w:lvlText w:val="%1"/>
      <w:lvlJc w:val="left"/>
      <w:pPr>
        <w:tabs>
          <w:tab w:val="left" w:pos="420"/>
        </w:tabs>
        <w:ind w:left="425" w:leftChars="0" w:hanging="425" w:firstLineChars="0"/>
      </w:pPr>
      <w:rPr>
        <w:rFonts w:hint="default"/>
      </w:rPr>
    </w:lvl>
  </w:abstractNum>
  <w:abstractNum w:abstractNumId="5">
    <w:nsid w:val="194A5836"/>
    <w:multiLevelType w:val="multilevel"/>
    <w:tmpl w:val="194A5836"/>
    <w:lvl w:ilvl="0" w:tentative="0">
      <w:start w:val="1"/>
      <w:numFmt w:val="decimalEnclosedCircle"/>
      <w:lvlText w:val="%1"/>
      <w:lvlJc w:val="left"/>
      <w:pPr>
        <w:ind w:left="1739" w:hanging="360"/>
      </w:pPr>
      <w:rPr>
        <w:rFonts w:hint="default"/>
      </w:rPr>
    </w:lvl>
    <w:lvl w:ilvl="1" w:tentative="0">
      <w:start w:val="1"/>
      <w:numFmt w:val="lowerLetter"/>
      <w:lvlText w:val="%2)"/>
      <w:lvlJc w:val="left"/>
      <w:pPr>
        <w:ind w:left="2219" w:hanging="420"/>
      </w:pPr>
    </w:lvl>
    <w:lvl w:ilvl="2" w:tentative="0">
      <w:start w:val="1"/>
      <w:numFmt w:val="lowerRoman"/>
      <w:lvlText w:val="%3."/>
      <w:lvlJc w:val="right"/>
      <w:pPr>
        <w:ind w:left="2639" w:hanging="420"/>
      </w:pPr>
    </w:lvl>
    <w:lvl w:ilvl="3" w:tentative="0">
      <w:start w:val="1"/>
      <w:numFmt w:val="decimal"/>
      <w:lvlText w:val="%4."/>
      <w:lvlJc w:val="left"/>
      <w:pPr>
        <w:ind w:left="3059" w:hanging="420"/>
      </w:pPr>
    </w:lvl>
    <w:lvl w:ilvl="4" w:tentative="0">
      <w:start w:val="1"/>
      <w:numFmt w:val="lowerLetter"/>
      <w:lvlText w:val="%5)"/>
      <w:lvlJc w:val="left"/>
      <w:pPr>
        <w:ind w:left="3479" w:hanging="420"/>
      </w:pPr>
    </w:lvl>
    <w:lvl w:ilvl="5" w:tentative="0">
      <w:start w:val="1"/>
      <w:numFmt w:val="lowerRoman"/>
      <w:lvlText w:val="%6."/>
      <w:lvlJc w:val="right"/>
      <w:pPr>
        <w:ind w:left="3899" w:hanging="420"/>
      </w:pPr>
    </w:lvl>
    <w:lvl w:ilvl="6" w:tentative="0">
      <w:start w:val="1"/>
      <w:numFmt w:val="decimal"/>
      <w:lvlText w:val="%7."/>
      <w:lvlJc w:val="left"/>
      <w:pPr>
        <w:ind w:left="4319" w:hanging="420"/>
      </w:pPr>
    </w:lvl>
    <w:lvl w:ilvl="7" w:tentative="0">
      <w:start w:val="1"/>
      <w:numFmt w:val="lowerLetter"/>
      <w:lvlText w:val="%8)"/>
      <w:lvlJc w:val="left"/>
      <w:pPr>
        <w:ind w:left="4739" w:hanging="420"/>
      </w:pPr>
    </w:lvl>
    <w:lvl w:ilvl="8" w:tentative="0">
      <w:start w:val="1"/>
      <w:numFmt w:val="lowerRoman"/>
      <w:lvlText w:val="%9."/>
      <w:lvlJc w:val="right"/>
      <w:pPr>
        <w:ind w:left="5159" w:hanging="420"/>
      </w:pPr>
    </w:lvl>
  </w:abstractNum>
  <w:abstractNum w:abstractNumId="6">
    <w:nsid w:val="36F170F3"/>
    <w:multiLevelType w:val="multilevel"/>
    <w:tmpl w:val="36F170F3"/>
    <w:lvl w:ilvl="0" w:tentative="0">
      <w:start w:val="1"/>
      <w:numFmt w:val="decimalEnclosedCircle"/>
      <w:lvlText w:val="%1"/>
      <w:lvlJc w:val="left"/>
      <w:pPr>
        <w:ind w:left="1439" w:hanging="360"/>
      </w:pPr>
      <w:rPr>
        <w:rFonts w:hint="default"/>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num w:numId="1">
    <w:abstractNumId w:val="0"/>
  </w:num>
  <w:num w:numId="2">
    <w:abstractNumId w:val="5"/>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wOWE4MjE4ZTRiMTA4NzNlMjhmMGMwNDA5NDRkMDUifQ=="/>
  </w:docVars>
  <w:rsids>
    <w:rsidRoot w:val="00172A27"/>
    <w:rsid w:val="021E7943"/>
    <w:rsid w:val="026A6177"/>
    <w:rsid w:val="0610279A"/>
    <w:rsid w:val="08035AED"/>
    <w:rsid w:val="09972933"/>
    <w:rsid w:val="0BA06EDB"/>
    <w:rsid w:val="0DBF7C0E"/>
    <w:rsid w:val="0E455334"/>
    <w:rsid w:val="0FBF21D3"/>
    <w:rsid w:val="11901C10"/>
    <w:rsid w:val="13035138"/>
    <w:rsid w:val="130B37F8"/>
    <w:rsid w:val="133470EC"/>
    <w:rsid w:val="13A72147"/>
    <w:rsid w:val="1AF966D6"/>
    <w:rsid w:val="1E886E13"/>
    <w:rsid w:val="1ECB7B56"/>
    <w:rsid w:val="1F5C6592"/>
    <w:rsid w:val="209307B2"/>
    <w:rsid w:val="22CE2EB6"/>
    <w:rsid w:val="2AAF214A"/>
    <w:rsid w:val="2B537662"/>
    <w:rsid w:val="2B717FD3"/>
    <w:rsid w:val="2C19733F"/>
    <w:rsid w:val="31F218E2"/>
    <w:rsid w:val="3239472F"/>
    <w:rsid w:val="33215E2D"/>
    <w:rsid w:val="35CC1C5E"/>
    <w:rsid w:val="36086F35"/>
    <w:rsid w:val="38B65DD8"/>
    <w:rsid w:val="3A475EA3"/>
    <w:rsid w:val="3BC42D37"/>
    <w:rsid w:val="3D20272D"/>
    <w:rsid w:val="409D068E"/>
    <w:rsid w:val="4150025F"/>
    <w:rsid w:val="42885837"/>
    <w:rsid w:val="429B751C"/>
    <w:rsid w:val="43C14FF1"/>
    <w:rsid w:val="45C40FD8"/>
    <w:rsid w:val="4AEE787E"/>
    <w:rsid w:val="4FDC53AE"/>
    <w:rsid w:val="504B62B2"/>
    <w:rsid w:val="53695BC1"/>
    <w:rsid w:val="5A7220E9"/>
    <w:rsid w:val="5B562DED"/>
    <w:rsid w:val="5E745767"/>
    <w:rsid w:val="61433363"/>
    <w:rsid w:val="64942D09"/>
    <w:rsid w:val="66FA0678"/>
    <w:rsid w:val="695732E1"/>
    <w:rsid w:val="70C020D1"/>
    <w:rsid w:val="72B22A20"/>
    <w:rsid w:val="74ED7E41"/>
    <w:rsid w:val="764E6308"/>
    <w:rsid w:val="77B74ED8"/>
    <w:rsid w:val="78EC5B3C"/>
    <w:rsid w:val="7A3374F7"/>
    <w:rsid w:val="7BB53A4F"/>
    <w:rsid w:val="7CA936BD"/>
    <w:rsid w:val="7EAA1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4">
    <w:name w:val="heading 1"/>
    <w:basedOn w:val="1"/>
    <w:next w:val="1"/>
    <w:qFormat/>
    <w:uiPriority w:val="0"/>
    <w:pPr>
      <w:keepNext/>
      <w:keepLines/>
      <w:numPr>
        <w:ilvl w:val="0"/>
        <w:numId w:val="1"/>
      </w:numPr>
      <w:tabs>
        <w:tab w:val="clear" w:pos="0"/>
      </w:tabs>
      <w:spacing w:before="100" w:beforeLines="100" w:line="240" w:lineRule="auto"/>
      <w:ind w:firstLineChars="0"/>
      <w:jc w:val="left"/>
      <w:outlineLvl w:val="0"/>
    </w:pPr>
    <w:rPr>
      <w:rFonts w:ascii="Times New Roman" w:hAnsi="Times New Roman" w:eastAsia="黑体" w:cs="Times New Roman"/>
      <w:b/>
      <w:bCs/>
      <w:kern w:val="44"/>
      <w:sz w:val="30"/>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420"/>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420" w:firstLine="400"/>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420" w:firstLine="402"/>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420" w:firstLine="402"/>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420" w:firstLine="402"/>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420" w:firstLine="402"/>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420" w:firstLine="402"/>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420" w:firstLine="402"/>
      <w:outlineLvl w:val="8"/>
    </w:pPr>
    <w:rPr>
      <w:rFonts w:ascii="Arial" w:hAnsi="Arial" w:eastAsia="黑体"/>
      <w:sz w:val="21"/>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rPr>
      <w:szCs w:val="24"/>
    </w:rPr>
  </w:style>
  <w:style w:type="paragraph" w:styleId="3">
    <w:name w:val="Body Text Indent"/>
    <w:basedOn w:val="1"/>
    <w:qFormat/>
    <w:uiPriority w:val="0"/>
    <w:pPr>
      <w:spacing w:line="360" w:lineRule="auto"/>
      <w:ind w:firstLine="630"/>
    </w:pPr>
    <w:rPr>
      <w:szCs w:val="20"/>
    </w:rPr>
  </w:style>
  <w:style w:type="paragraph" w:styleId="13">
    <w:name w:val="Normal Indent"/>
    <w:basedOn w:val="1"/>
    <w:next w:val="1"/>
    <w:qFormat/>
    <w:uiPriority w:val="0"/>
    <w:pPr>
      <w:ind w:firstLine="420"/>
    </w:pPr>
  </w:style>
  <w:style w:type="paragraph" w:styleId="14">
    <w:name w:val="annotation text"/>
    <w:basedOn w:val="1"/>
    <w:qFormat/>
    <w:uiPriority w:val="0"/>
    <w:pPr>
      <w:jc w:val="left"/>
    </w:pPr>
  </w:style>
  <w:style w:type="paragraph" w:styleId="15">
    <w:name w:val="Body Text"/>
    <w:basedOn w:val="1"/>
    <w:qFormat/>
    <w:uiPriority w:val="0"/>
    <w:pPr>
      <w:spacing w:line="320" w:lineRule="exact"/>
    </w:pPr>
    <w:rPr>
      <w:b/>
      <w:bCs/>
    </w:rPr>
  </w:style>
  <w:style w:type="paragraph" w:styleId="16">
    <w:name w:val="footer"/>
    <w:basedOn w:val="1"/>
    <w:qFormat/>
    <w:uiPriority w:val="0"/>
    <w:pPr>
      <w:tabs>
        <w:tab w:val="center" w:pos="4153"/>
        <w:tab w:val="right" w:pos="8306"/>
      </w:tabs>
      <w:snapToGrid w:val="0"/>
      <w:jc w:val="left"/>
    </w:pPr>
    <w:rPr>
      <w:sz w:val="18"/>
    </w:rPr>
  </w:style>
  <w:style w:type="paragraph" w:styleId="19">
    <w:name w:val="List Paragraph"/>
    <w:basedOn w:val="1"/>
    <w:qFormat/>
    <w:uiPriority w:val="99"/>
    <w:pPr>
      <w:ind w:firstLine="420" w:firstLineChars="200"/>
    </w:pPr>
  </w:style>
  <w:style w:type="paragraph" w:customStyle="1" w:styleId="20">
    <w:name w:val="Normal_1_0"/>
    <w:basedOn w:val="1"/>
    <w:qFormat/>
    <w:uiPriority w:val="0"/>
    <w:pPr>
      <w:widowControl w:val="0"/>
      <w:jc w:val="both"/>
    </w:pPr>
    <w:rPr>
      <w:rFonts w:ascii="Calibri" w:hAnsi="Calibri" w:cs="Times New Roman"/>
      <w:kern w:val="2"/>
      <w:sz w:val="21"/>
      <w:szCs w:val="21"/>
    </w:rPr>
  </w:style>
  <w:style w:type="table" w:customStyle="1" w:styleId="21">
    <w:name w:val="Table Grid_11"/>
    <w:basedOn w:val="17"/>
    <w:qFormat/>
    <w:uiPriority w:val="0"/>
    <w:pPr>
      <w:widowControl w:val="0"/>
      <w:jc w:val="both"/>
    </w:pPr>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Normal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
    <w:name w:val="样式 标题 2第一编标题 2 Char Char Char Char1 CharH2h:2h:2appT2Ah2..."/>
    <w:basedOn w:val="5"/>
    <w:qFormat/>
    <w:uiPriority w:val="0"/>
    <w:pPr>
      <w:spacing w:line="240" w:lineRule="auto"/>
    </w:pPr>
    <w:rPr>
      <w:rFonts w:ascii="宋体" w:hAnsi="宋体" w:cs="宋体"/>
      <w:sz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205</Pages>
  <Words>0</Words>
  <Characters>0</Characters>
  <Lines>0</Lines>
  <Paragraphs>0</Paragraphs>
  <TotalTime>11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2024-03-11T02:04:00Z</dcterms:created>
  <dc:creator>YQ</dc:creator>
  <cp:lastModifiedBy>YQ</cp:lastModifiedBy>
  <dcterms:modified xsi:type="dcterms:W3CDTF">2024-04-30T03:36:49Z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60F4C9EAE08943D38732B8CFB5482FE9</vt:lpwstr>
  </property>
</Properties>
</file>