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page" w:horzAnchor="page" w:tblpXSpec="center" w:tblpY="1586"/>
        <w:tblOverlap w:val="never"/>
        <w:tblW w:w="0" w:type="auto"/>
        <w:jc w:val="center"/>
        <w:tblLayout w:type="autofit"/>
        <w:tblCellMar>
          <w:top w:w="0" w:type="dxa"/>
          <w:left w:w="108" w:type="dxa"/>
          <w:bottom w:w="0" w:type="dxa"/>
          <w:right w:w="108" w:type="dxa"/>
        </w:tblCellMar>
      </w:tblPr>
      <w:tblGrid>
        <w:gridCol w:w="8355"/>
      </w:tblGrid>
      <w:tr>
        <w:tblPrEx>
          <w:tblCellMar>
            <w:top w:w="0" w:type="dxa"/>
            <w:left w:w="108" w:type="dxa"/>
            <w:bottom w:w="0" w:type="dxa"/>
            <w:right w:w="108" w:type="dxa"/>
          </w:tblCellMar>
        </w:tblPrEx>
        <w:trPr>
          <w:trHeight w:val="850" w:hRule="exact"/>
          <w:jc w:val="center"/>
        </w:trPr>
        <w:tc>
          <w:tcPr>
            <w:tcW w:w="8355" w:type="dxa"/>
            <w:shd w:val="clear" w:color="auto" w:fill="auto"/>
            <w:vAlign w:val="center"/>
          </w:tcPr>
          <w:p>
            <w:pPr>
              <w:rPr>
                <w:bCs/>
                <w:highlight w:val="yellow"/>
              </w:rPr>
            </w:pPr>
            <w:r>
              <w:rPr>
                <w:rFonts w:ascii="仿宋" w:hAnsi="仿宋" w:eastAsia="仿宋" w:cs="仿宋"/>
                <w:b/>
                <w:bCs/>
                <w:spacing w:val="14"/>
                <w:sz w:val="41"/>
                <w:szCs w:val="41"/>
              </w:rPr>
              <w:br w:type="page"/>
            </w:r>
          </w:p>
        </w:tc>
      </w:tr>
      <w:tr>
        <w:tblPrEx>
          <w:tblCellMar>
            <w:top w:w="0" w:type="dxa"/>
            <w:left w:w="108" w:type="dxa"/>
            <w:bottom w:w="0" w:type="dxa"/>
            <w:right w:w="108" w:type="dxa"/>
          </w:tblCellMar>
        </w:tblPrEx>
        <w:trPr>
          <w:cantSplit/>
          <w:trHeight w:val="1310" w:hRule="exact"/>
          <w:jc w:val="center"/>
        </w:trPr>
        <w:tc>
          <w:tcPr>
            <w:tcW w:w="8355" w:type="dxa"/>
            <w:shd w:val="clear" w:color="auto" w:fill="auto"/>
            <w:vAlign w:val="center"/>
          </w:tcPr>
          <w:p>
            <w:pPr>
              <w:jc w:val="center"/>
              <w:rPr>
                <w:rFonts w:hint="eastAsia" w:ascii="黑体" w:hAnsi="黑体" w:eastAsia="黑体"/>
                <w:bCs/>
                <w:sz w:val="44"/>
                <w:szCs w:val="44"/>
                <w:lang w:eastAsia="zh-CN"/>
              </w:rPr>
            </w:pPr>
            <w:r>
              <w:rPr>
                <w:rFonts w:hint="eastAsia" w:ascii="黑体" w:hAnsi="黑体" w:eastAsia="黑体"/>
                <w:bCs/>
                <w:sz w:val="44"/>
                <w:szCs w:val="44"/>
                <w:lang w:eastAsia="zh-CN"/>
              </w:rPr>
              <w:t>深圳市人才研修院龙华分院运营提升改造工程</w:t>
            </w:r>
          </w:p>
          <w:p>
            <w:pPr>
              <w:jc w:val="center"/>
              <w:rPr>
                <w:rFonts w:ascii="黑体" w:hAnsi="黑体" w:eastAsia="黑体"/>
                <w:bCs/>
                <w:sz w:val="44"/>
                <w:szCs w:val="44"/>
                <w:lang w:eastAsia="zh-CN"/>
              </w:rPr>
            </w:pPr>
          </w:p>
        </w:tc>
      </w:tr>
      <w:tr>
        <w:tblPrEx>
          <w:tblCellMar>
            <w:top w:w="0" w:type="dxa"/>
            <w:left w:w="108" w:type="dxa"/>
            <w:bottom w:w="0" w:type="dxa"/>
            <w:right w:w="108" w:type="dxa"/>
          </w:tblCellMar>
        </w:tblPrEx>
        <w:trPr>
          <w:trHeight w:val="850" w:hRule="exact"/>
          <w:jc w:val="center"/>
        </w:trPr>
        <w:tc>
          <w:tcPr>
            <w:tcW w:w="8355" w:type="dxa"/>
            <w:shd w:val="clear" w:color="auto" w:fill="auto"/>
            <w:vAlign w:val="center"/>
          </w:tcPr>
          <w:p>
            <w:pPr>
              <w:spacing w:line="360" w:lineRule="auto"/>
              <w:jc w:val="center"/>
              <w:rPr>
                <w:rFonts w:ascii="Times New Roman" w:hAnsi="Times New Roman" w:cs="Times New Roman"/>
                <w:sz w:val="44"/>
                <w:szCs w:val="44"/>
              </w:rPr>
            </w:pPr>
            <w:r>
              <w:rPr>
                <w:rFonts w:hint="eastAsia" w:ascii="黑体" w:hAnsi="黑体" w:eastAsia="黑体" w:cs="黑体"/>
                <w:sz w:val="44"/>
                <w:szCs w:val="44"/>
                <w:lang w:eastAsia="zh-CN"/>
              </w:rPr>
              <w:t>施工</w:t>
            </w:r>
            <w:r>
              <w:rPr>
                <w:rFonts w:hint="eastAsia" w:ascii="黑体" w:hAnsi="黑体" w:eastAsia="黑体" w:cs="黑体"/>
                <w:sz w:val="44"/>
                <w:szCs w:val="44"/>
              </w:rPr>
              <w:t>合同</w:t>
            </w:r>
          </w:p>
          <w:p>
            <w:pPr>
              <w:jc w:val="center"/>
              <w:rPr>
                <w:rFonts w:ascii="黑体" w:hAnsi="黑体" w:eastAsia="黑体"/>
                <w:bCs/>
                <w:sz w:val="44"/>
                <w:szCs w:val="44"/>
              </w:rPr>
            </w:pPr>
          </w:p>
        </w:tc>
      </w:tr>
      <w:tr>
        <w:tblPrEx>
          <w:tblCellMar>
            <w:top w:w="0" w:type="dxa"/>
            <w:left w:w="108" w:type="dxa"/>
            <w:bottom w:w="0" w:type="dxa"/>
            <w:right w:w="108" w:type="dxa"/>
          </w:tblCellMar>
        </w:tblPrEx>
        <w:trPr>
          <w:trHeight w:val="850" w:hRule="exact"/>
          <w:jc w:val="center"/>
        </w:trPr>
        <w:tc>
          <w:tcPr>
            <w:tcW w:w="8355" w:type="dxa"/>
            <w:shd w:val="clear" w:color="auto" w:fill="auto"/>
            <w:vAlign w:val="center"/>
          </w:tcPr>
          <w:p>
            <w:pPr>
              <w:spacing w:line="480" w:lineRule="auto"/>
            </w:pPr>
          </w:p>
          <w:p>
            <w:pPr>
              <w:ind w:firstLine="880" w:firstLineChars="200"/>
              <w:outlineLvl w:val="9"/>
              <w:rPr>
                <w:rFonts w:ascii="黑体" w:hAnsi="黑体" w:eastAsia="黑体"/>
                <w:bCs/>
                <w:sz w:val="44"/>
                <w:szCs w:val="44"/>
              </w:rPr>
            </w:pPr>
          </w:p>
        </w:tc>
      </w:tr>
      <w:tr>
        <w:tblPrEx>
          <w:tblCellMar>
            <w:top w:w="0" w:type="dxa"/>
            <w:left w:w="108" w:type="dxa"/>
            <w:bottom w:w="0" w:type="dxa"/>
            <w:right w:w="108" w:type="dxa"/>
          </w:tblCellMar>
        </w:tblPrEx>
        <w:trPr>
          <w:trHeight w:val="3356" w:hRule="atLeast"/>
          <w:jc w:val="center"/>
        </w:trPr>
        <w:tc>
          <w:tcPr>
            <w:tcW w:w="8355" w:type="dxa"/>
            <w:shd w:val="clear" w:color="auto" w:fill="auto"/>
            <w:vAlign w:val="center"/>
          </w:tcPr>
          <w:p>
            <w:pPr>
              <w:spacing w:line="480" w:lineRule="auto"/>
              <w:jc w:val="center"/>
              <w:rPr>
                <w:rFonts w:eastAsia="宋体"/>
                <w:b/>
                <w:sz w:val="30"/>
                <w:szCs w:val="30"/>
                <w:lang w:eastAsia="zh-CN"/>
              </w:rPr>
            </w:pPr>
            <w:r>
              <w:rPr>
                <w:rFonts w:hint="eastAsia" w:ascii="Arial" w:hAnsi="Arial" w:eastAsia="Arial" w:cs="Arial"/>
                <w:b/>
                <w:sz w:val="30"/>
                <w:szCs w:val="30"/>
              </w:rPr>
              <w:t>合同</w:t>
            </w:r>
            <w:r>
              <w:rPr>
                <w:rFonts w:hint="eastAsia"/>
                <w:b/>
                <w:sz w:val="30"/>
                <w:szCs w:val="30"/>
              </w:rPr>
              <w:t>编号：</w:t>
            </w:r>
            <w:r>
              <w:rPr>
                <w:rFonts w:hint="eastAsia"/>
                <w:b/>
                <w:sz w:val="30"/>
                <w:szCs w:val="30"/>
                <w:lang w:eastAsia="zh-CN"/>
              </w:rPr>
              <w:t xml:space="preserve"> </w:t>
            </w:r>
          </w:p>
          <w:p>
            <w:pPr>
              <w:spacing w:line="360" w:lineRule="auto"/>
              <w:outlineLvl w:val="9"/>
              <w:rPr>
                <w:rFonts w:ascii="黑体" w:hAnsi="黑体" w:eastAsia="黑体"/>
                <w:bCs/>
                <w:sz w:val="28"/>
                <w:szCs w:val="28"/>
              </w:rPr>
            </w:pPr>
          </w:p>
        </w:tc>
      </w:tr>
      <w:tr>
        <w:tblPrEx>
          <w:tblCellMar>
            <w:top w:w="0" w:type="dxa"/>
            <w:left w:w="108" w:type="dxa"/>
            <w:bottom w:w="0" w:type="dxa"/>
            <w:right w:w="108" w:type="dxa"/>
          </w:tblCellMar>
        </w:tblPrEx>
        <w:trPr>
          <w:trHeight w:val="1561" w:hRule="exact"/>
          <w:jc w:val="center"/>
        </w:trPr>
        <w:tc>
          <w:tcPr>
            <w:tcW w:w="8355" w:type="dxa"/>
            <w:shd w:val="clear" w:color="auto" w:fill="auto"/>
            <w:vAlign w:val="center"/>
          </w:tcPr>
          <w:p>
            <w:pPr>
              <w:spacing w:line="360" w:lineRule="auto"/>
              <w:ind w:left="2560" w:hanging="2560" w:hangingChars="800"/>
              <w:rPr>
                <w:rFonts w:hint="eastAsia" w:ascii="黑体" w:hAnsi="黑体" w:eastAsia="黑体" w:cs="黑体"/>
                <w:sz w:val="32"/>
                <w:szCs w:val="32"/>
                <w:u w:val="single"/>
                <w:lang w:eastAsia="zh-CN"/>
              </w:rPr>
            </w:pPr>
            <w:r>
              <w:rPr>
                <w:rFonts w:hint="eastAsia" w:ascii="黑体" w:hAnsi="黑体" w:eastAsia="黑体" w:cs="黑体"/>
                <w:sz w:val="32"/>
                <w:szCs w:val="32"/>
                <w:lang w:eastAsia="zh-CN"/>
              </w:rPr>
              <w:t>工程名称：</w:t>
            </w:r>
            <w:r>
              <w:rPr>
                <w:rFonts w:hint="eastAsia" w:ascii="黑体" w:hAnsi="黑体" w:eastAsia="黑体" w:cs="黑体"/>
                <w:sz w:val="32"/>
                <w:szCs w:val="32"/>
                <w:u w:val="single"/>
                <w:lang w:eastAsia="zh-CN"/>
              </w:rPr>
              <w:t>深圳市人才研修院龙华分院运营提升改造工程</w:t>
            </w:r>
          </w:p>
          <w:p>
            <w:pPr>
              <w:spacing w:line="360" w:lineRule="auto"/>
              <w:ind w:left="2560" w:hanging="2560" w:hangingChars="800"/>
              <w:rPr>
                <w:rFonts w:ascii="黑体" w:hAnsi="黑体" w:eastAsia="黑体" w:cs="黑体"/>
                <w:bCs/>
                <w:sz w:val="32"/>
                <w:szCs w:val="32"/>
                <w:lang w:eastAsia="zh-CN"/>
              </w:rPr>
            </w:pPr>
            <w:r>
              <w:rPr>
                <w:rFonts w:hint="eastAsia" w:ascii="黑体" w:hAnsi="黑体" w:eastAsia="黑体" w:cs="黑体"/>
                <w:sz w:val="32"/>
                <w:szCs w:val="32"/>
                <w:u w:val="single"/>
                <w:lang w:eastAsia="zh-CN"/>
              </w:rPr>
              <w:t>项目</w:t>
            </w:r>
          </w:p>
        </w:tc>
      </w:tr>
      <w:tr>
        <w:tblPrEx>
          <w:tblCellMar>
            <w:top w:w="0" w:type="dxa"/>
            <w:left w:w="108" w:type="dxa"/>
            <w:bottom w:w="0" w:type="dxa"/>
            <w:right w:w="108" w:type="dxa"/>
          </w:tblCellMar>
        </w:tblPrEx>
        <w:trPr>
          <w:trHeight w:val="942" w:hRule="exact"/>
          <w:jc w:val="center"/>
        </w:trPr>
        <w:tc>
          <w:tcPr>
            <w:tcW w:w="8355" w:type="dxa"/>
            <w:shd w:val="clear" w:color="auto" w:fill="auto"/>
            <w:vAlign w:val="center"/>
          </w:tcPr>
          <w:p>
            <w:pPr>
              <w:spacing w:line="720" w:lineRule="auto"/>
              <w:rPr>
                <w:rFonts w:ascii="黑体" w:hAnsi="黑体" w:eastAsia="黑体"/>
                <w:bCs/>
                <w:sz w:val="32"/>
                <w:szCs w:val="32"/>
                <w:u w:val="single"/>
                <w:lang w:eastAsia="zh-CN"/>
              </w:rPr>
            </w:pPr>
            <w:r>
              <w:rPr>
                <w:rFonts w:hint="eastAsia" w:ascii="黑体" w:hAnsi="黑体" w:eastAsia="黑体"/>
                <w:sz w:val="32"/>
                <w:szCs w:val="32"/>
                <w:lang w:eastAsia="zh-CN"/>
              </w:rPr>
              <w:t>发包人（全称</w:t>
            </w:r>
            <w:r>
              <w:rPr>
                <w:rFonts w:ascii="黑体" w:hAnsi="黑体" w:eastAsia="黑体"/>
                <w:sz w:val="32"/>
                <w:szCs w:val="32"/>
                <w:lang w:eastAsia="zh-CN"/>
              </w:rPr>
              <w:t>）</w:t>
            </w:r>
            <w:r>
              <w:rPr>
                <w:rFonts w:hint="eastAsia" w:ascii="黑体" w:hAnsi="黑体" w:eastAsia="黑体"/>
                <w:sz w:val="32"/>
                <w:szCs w:val="32"/>
                <w:lang w:eastAsia="zh-CN"/>
              </w:rPr>
              <w:t>：</w:t>
            </w:r>
            <w:r>
              <w:rPr>
                <w:rFonts w:hint="eastAsia" w:ascii="黑体" w:hAnsi="黑体" w:eastAsia="黑体"/>
                <w:sz w:val="32"/>
                <w:szCs w:val="32"/>
                <w:u w:val="single"/>
                <w:lang w:eastAsia="zh-CN"/>
              </w:rPr>
              <w:t>深圳市龙华建设发展集团有限公司</w:t>
            </w:r>
          </w:p>
          <w:p>
            <w:pPr>
              <w:ind w:firstLine="1600" w:firstLineChars="500"/>
              <w:jc w:val="center"/>
              <w:rPr>
                <w:rFonts w:ascii="黑体" w:hAnsi="黑体" w:eastAsia="黑体" w:cs="黑体"/>
                <w:bCs/>
                <w:sz w:val="32"/>
                <w:szCs w:val="32"/>
                <w:lang w:eastAsia="zh-CN"/>
              </w:rPr>
            </w:pPr>
          </w:p>
        </w:tc>
      </w:tr>
      <w:tr>
        <w:tblPrEx>
          <w:tblCellMar>
            <w:top w:w="0" w:type="dxa"/>
            <w:left w:w="108" w:type="dxa"/>
            <w:bottom w:w="0" w:type="dxa"/>
            <w:right w:w="108" w:type="dxa"/>
          </w:tblCellMar>
        </w:tblPrEx>
        <w:trPr>
          <w:trHeight w:val="1072" w:hRule="exact"/>
          <w:jc w:val="center"/>
        </w:trPr>
        <w:tc>
          <w:tcPr>
            <w:tcW w:w="8355" w:type="dxa"/>
            <w:shd w:val="clear" w:color="auto" w:fill="auto"/>
            <w:vAlign w:val="center"/>
          </w:tcPr>
          <w:p>
            <w:pPr>
              <w:spacing w:line="720" w:lineRule="auto"/>
              <w:rPr>
                <w:rFonts w:ascii="黑体" w:hAnsi="黑体" w:eastAsia="黑体" w:cs="黑体"/>
                <w:sz w:val="32"/>
                <w:szCs w:val="32"/>
                <w:lang w:eastAsia="zh-CN"/>
              </w:rPr>
            </w:pPr>
            <w:r>
              <w:rPr>
                <w:rFonts w:hint="eastAsia" w:ascii="黑体" w:hAnsi="黑体" w:eastAsia="黑体" w:cs="黑体"/>
                <w:sz w:val="32"/>
                <w:szCs w:val="32"/>
                <w:lang w:eastAsia="zh-CN"/>
              </w:rPr>
              <w:t>承包人（全称）：</w:t>
            </w:r>
            <w:r>
              <w:rPr>
                <w:rFonts w:hint="eastAsia" w:ascii="黑体" w:hAnsi="黑体" w:eastAsia="黑体"/>
                <w:sz w:val="32"/>
                <w:szCs w:val="32"/>
                <w:u w:val="single"/>
                <w:lang w:eastAsia="zh-CN"/>
              </w:rPr>
              <w:t xml:space="preserve"> </w:t>
            </w:r>
            <w:r>
              <w:rPr>
                <w:rFonts w:hint="eastAsia" w:ascii="黑体" w:hAnsi="黑体" w:eastAsia="黑体"/>
                <w:sz w:val="32"/>
                <w:szCs w:val="32"/>
                <w:u w:val="single"/>
                <w:lang w:val="en-US" w:eastAsia="zh-CN"/>
              </w:rPr>
              <w:t xml:space="preserve">            </w:t>
            </w:r>
            <w:r>
              <w:rPr>
                <w:rFonts w:hint="eastAsia" w:ascii="黑体" w:hAnsi="黑体" w:eastAsia="黑体"/>
                <w:bCs/>
                <w:sz w:val="32"/>
                <w:szCs w:val="32"/>
                <w:u w:val="single"/>
                <w:lang w:eastAsia="zh-CN"/>
              </w:rPr>
              <w:t xml:space="preserve"> </w:t>
            </w:r>
          </w:p>
        </w:tc>
      </w:tr>
      <w:tr>
        <w:tblPrEx>
          <w:tblCellMar>
            <w:top w:w="0" w:type="dxa"/>
            <w:left w:w="108" w:type="dxa"/>
            <w:bottom w:w="0" w:type="dxa"/>
            <w:right w:w="108" w:type="dxa"/>
          </w:tblCellMar>
        </w:tblPrEx>
        <w:trPr>
          <w:trHeight w:val="850" w:hRule="exact"/>
          <w:jc w:val="center"/>
        </w:trPr>
        <w:tc>
          <w:tcPr>
            <w:tcW w:w="8355" w:type="dxa"/>
            <w:shd w:val="clear" w:color="auto" w:fill="auto"/>
            <w:vAlign w:val="center"/>
          </w:tcPr>
          <w:p>
            <w:pPr>
              <w:ind w:firstLine="1500" w:firstLineChars="500"/>
              <w:rPr>
                <w:rFonts w:ascii="黑体" w:hAnsi="黑体" w:eastAsia="黑体" w:cs="黑体"/>
                <w:sz w:val="30"/>
                <w:szCs w:val="30"/>
              </w:rPr>
            </w:pPr>
            <w:r>
              <w:rPr>
                <w:rFonts w:hint="eastAsia" w:ascii="黑体" w:hAnsi="黑体" w:eastAsia="黑体" w:cs="黑体"/>
                <w:sz w:val="30"/>
                <w:szCs w:val="30"/>
              </w:rPr>
              <w:t>签订日期：</w:t>
            </w:r>
            <w:r>
              <w:rPr>
                <w:rFonts w:hint="eastAsia" w:ascii="黑体" w:hAnsi="黑体" w:eastAsia="黑体" w:cs="黑体"/>
                <w:sz w:val="30"/>
                <w:szCs w:val="30"/>
                <w:lang w:eastAsia="zh-CN"/>
              </w:rPr>
              <w:t xml:space="preserve">     </w:t>
            </w:r>
            <w:r>
              <w:rPr>
                <w:rFonts w:hint="eastAsia" w:ascii="黑体" w:hAnsi="黑体" w:eastAsia="黑体" w:cs="黑体"/>
                <w:sz w:val="30"/>
                <w:szCs w:val="30"/>
              </w:rPr>
              <w:t>年  月  日</w:t>
            </w:r>
          </w:p>
        </w:tc>
      </w:tr>
      <w:tr>
        <w:tblPrEx>
          <w:tblCellMar>
            <w:top w:w="0" w:type="dxa"/>
            <w:left w:w="108" w:type="dxa"/>
            <w:bottom w:w="0" w:type="dxa"/>
            <w:right w:w="108" w:type="dxa"/>
          </w:tblCellMar>
        </w:tblPrEx>
        <w:trPr>
          <w:trHeight w:val="850" w:hRule="exact"/>
          <w:jc w:val="center"/>
        </w:trPr>
        <w:tc>
          <w:tcPr>
            <w:tcW w:w="8355" w:type="dxa"/>
            <w:shd w:val="clear" w:color="auto" w:fill="auto"/>
            <w:vAlign w:val="center"/>
          </w:tcPr>
          <w:p>
            <w:pPr>
              <w:rPr>
                <w:rFonts w:ascii="黑体" w:hAnsi="黑体" w:eastAsia="黑体" w:cs="黑体"/>
                <w:sz w:val="30"/>
                <w:szCs w:val="30"/>
              </w:rPr>
            </w:pPr>
          </w:p>
        </w:tc>
      </w:tr>
    </w:tbl>
    <w:p>
      <w:pPr>
        <w:sectPr>
          <w:pgSz w:w="11906" w:h="16838"/>
          <w:pgMar w:top="1440" w:right="1800" w:bottom="1440" w:left="1800" w:header="851" w:footer="992" w:gutter="0"/>
          <w:cols w:space="425" w:num="1"/>
          <w:docGrid w:type="lines" w:linePitch="312" w:charSpace="0"/>
        </w:sectPr>
      </w:pPr>
    </w:p>
    <w:p>
      <w:pPr>
        <w:pStyle w:val="2"/>
        <w:keepNext w:val="0"/>
        <w:keepLines w:val="0"/>
        <w:pageBreakBefore w:val="0"/>
        <w:widowControl/>
        <w:kinsoku w:val="0"/>
        <w:wordWrap/>
        <w:overflowPunct/>
        <w:topLinePunct w:val="0"/>
        <w:autoSpaceDE w:val="0"/>
        <w:autoSpaceDN w:val="0"/>
        <w:bidi w:val="0"/>
        <w:adjustRightInd w:val="0"/>
        <w:snapToGrid w:val="0"/>
        <w:spacing w:before="240" w:after="240" w:line="560" w:lineRule="exact"/>
        <w:jc w:val="center"/>
        <w:textAlignment w:val="baseline"/>
        <w:rPr>
          <w:rFonts w:ascii="宋体" w:hAnsi="宋体" w:eastAsia="宋体" w:cs="宋体"/>
          <w:kern w:val="0"/>
          <w:sz w:val="32"/>
        </w:rPr>
      </w:pPr>
      <w:r>
        <w:rPr>
          <w:rFonts w:hint="eastAsia" w:ascii="宋体" w:hAnsi="宋体" w:eastAsia="宋体" w:cs="宋体"/>
          <w:kern w:val="0"/>
          <w:sz w:val="32"/>
        </w:rPr>
        <w:t>第一部分  协议书</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仿宋" w:hAnsi="仿宋" w:eastAsia="仿宋" w:cs="仿宋"/>
          <w:spacing w:val="-9"/>
          <w:sz w:val="32"/>
          <w:szCs w:val="32"/>
          <w:lang w:eastAsia="zh-CN"/>
        </w:rPr>
      </w:pPr>
      <w:r>
        <w:rPr>
          <w:rFonts w:hint="eastAsia" w:ascii="仿宋" w:hAnsi="仿宋" w:eastAsia="仿宋" w:cs="仿宋"/>
          <w:b/>
          <w:bCs/>
          <w:spacing w:val="31"/>
          <w:position w:val="1"/>
          <w:sz w:val="32"/>
          <w:szCs w:val="32"/>
          <w:lang w:eastAsia="zh-CN"/>
        </w:rPr>
        <w:t>发包人:</w:t>
      </w:r>
      <w:r>
        <w:rPr>
          <w:rFonts w:hint="eastAsia" w:ascii="仿宋" w:hAnsi="仿宋" w:eastAsia="仿宋" w:cs="仿宋"/>
          <w:spacing w:val="31"/>
          <w:position w:val="1"/>
          <w:sz w:val="32"/>
          <w:szCs w:val="32"/>
          <w:u w:val="single"/>
          <w:lang w:eastAsia="zh-CN"/>
        </w:rPr>
        <w:t xml:space="preserve"> 深圳市龙华建设发展集团有限公司</w:t>
      </w:r>
      <w:r>
        <w:rPr>
          <w:rFonts w:hint="eastAsia" w:ascii="仿宋" w:hAnsi="仿宋" w:eastAsia="仿宋" w:cs="仿宋"/>
          <w:spacing w:val="-9"/>
          <w:sz w:val="32"/>
          <w:szCs w:val="32"/>
          <w:u w:val="single"/>
          <w:lang w:val="en-US" w:eastAsia="zh-CN"/>
        </w:rPr>
        <w:t xml:space="preserve">                              </w:t>
      </w:r>
      <w:r>
        <w:rPr>
          <w:rFonts w:hint="eastAsia" w:ascii="仿宋" w:hAnsi="仿宋" w:eastAsia="仿宋" w:cs="仿宋"/>
          <w:spacing w:val="-9"/>
          <w:sz w:val="32"/>
          <w:szCs w:val="32"/>
          <w:u w:val="single"/>
          <w:lang w:eastAsia="zh-CN"/>
        </w:rPr>
        <w:t xml:space="preserve"> </w:t>
      </w:r>
      <w:r>
        <w:rPr>
          <w:rFonts w:hint="eastAsia" w:ascii="仿宋" w:hAnsi="仿宋" w:eastAsia="仿宋" w:cs="仿宋"/>
          <w:spacing w:val="-9"/>
          <w:sz w:val="32"/>
          <w:szCs w:val="32"/>
          <w:lang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仿宋" w:hAnsi="仿宋" w:eastAsia="仿宋" w:cs="仿宋"/>
          <w:sz w:val="32"/>
          <w:szCs w:val="32"/>
          <w:lang w:eastAsia="zh-CN"/>
        </w:rPr>
      </w:pPr>
      <w:r>
        <w:rPr>
          <w:rFonts w:hint="eastAsia" w:ascii="仿宋" w:hAnsi="仿宋" w:eastAsia="仿宋" w:cs="仿宋"/>
          <w:b/>
          <w:bCs/>
          <w:spacing w:val="31"/>
          <w:position w:val="1"/>
          <w:sz w:val="32"/>
          <w:szCs w:val="32"/>
          <w:lang w:eastAsia="zh-CN"/>
        </w:rPr>
        <w:t>承包人</w:t>
      </w:r>
      <w:r>
        <w:rPr>
          <w:rFonts w:hint="eastAsia" w:ascii="仿宋" w:hAnsi="仿宋" w:eastAsia="仿宋" w:cs="仿宋"/>
          <w:b/>
          <w:bCs/>
          <w:spacing w:val="-9"/>
          <w:sz w:val="32"/>
          <w:szCs w:val="32"/>
          <w:lang w:eastAsia="zh-CN"/>
        </w:rPr>
        <w:t>:</w:t>
      </w:r>
      <w:r>
        <w:rPr>
          <w:rFonts w:hint="eastAsia" w:ascii="仿宋" w:hAnsi="仿宋" w:eastAsia="仿宋" w:cs="仿宋"/>
          <w:spacing w:val="-63"/>
          <w:sz w:val="32"/>
          <w:szCs w:val="32"/>
          <w:lang w:eastAsia="zh-CN"/>
        </w:rPr>
        <w:t xml:space="preserve"> </w:t>
      </w:r>
      <w:r>
        <w:rPr>
          <w:rFonts w:hint="eastAsia" w:ascii="仿宋" w:hAnsi="仿宋" w:eastAsia="仿宋" w:cs="仿宋"/>
          <w:spacing w:val="-9"/>
          <w:sz w:val="32"/>
          <w:szCs w:val="32"/>
          <w:u w:val="single"/>
          <w:lang w:eastAsia="zh-CN"/>
        </w:rPr>
        <w:t xml:space="preserve"> </w:t>
      </w:r>
      <w:r>
        <w:rPr>
          <w:rFonts w:hint="eastAsia" w:ascii="仿宋" w:hAnsi="仿宋" w:eastAsia="仿宋" w:cs="仿宋"/>
          <w:spacing w:val="-9"/>
          <w:sz w:val="32"/>
          <w:szCs w:val="32"/>
          <w:u w:val="single"/>
          <w:lang w:val="en-US" w:eastAsia="zh-CN"/>
        </w:rPr>
        <w:t xml:space="preserve">                                 </w:t>
      </w:r>
      <w:r>
        <w:rPr>
          <w:rFonts w:hint="eastAsia" w:ascii="仿宋" w:hAnsi="仿宋" w:eastAsia="仿宋" w:cs="仿宋"/>
          <w:sz w:val="32"/>
          <w:szCs w:val="32"/>
          <w:u w:val="single"/>
          <w:lang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outlineLvl w:val="0"/>
        <w:rPr>
          <w:rFonts w:ascii="仿宋" w:hAnsi="仿宋" w:eastAsia="仿宋" w:cs="仿宋"/>
          <w:spacing w:val="7"/>
          <w:sz w:val="32"/>
          <w:szCs w:val="32"/>
          <w:lang w:eastAsia="zh-CN"/>
        </w:rPr>
      </w:pPr>
      <w:r>
        <w:rPr>
          <w:rFonts w:hint="eastAsia" w:ascii="仿宋" w:hAnsi="仿宋" w:eastAsia="仿宋" w:cs="仿宋"/>
          <w:spacing w:val="7"/>
          <w:sz w:val="32"/>
          <w:szCs w:val="32"/>
          <w:lang w:eastAsia="zh-CN"/>
        </w:rPr>
        <w:t>根据《中华人民共和国民法典》、《中华人民共和国建筑法》、《深圳经济特区建设工程施工招标投标条例》及其他有关法律、法规，并结合广东省、深圳市、龙华区的有关规定，遵循平等、自愿、公平和诚实信用的原则，发包人和承包人就本工程施工事项协商一致，订立本合同，达成协议如下：</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ascii="仿宋" w:hAnsi="仿宋" w:eastAsia="仿宋" w:cs="仿宋"/>
          <w:sz w:val="32"/>
          <w:szCs w:val="32"/>
          <w:lang w:eastAsia="zh-CN"/>
        </w:rPr>
      </w:pPr>
      <w:r>
        <w:rPr>
          <w:rFonts w:hint="eastAsia" w:ascii="仿宋" w:hAnsi="仿宋" w:eastAsia="仿宋" w:cs="仿宋"/>
          <w:b/>
          <w:bCs/>
          <w:spacing w:val="-3"/>
          <w:sz w:val="32"/>
          <w:szCs w:val="32"/>
          <w:lang w:eastAsia="zh-CN"/>
        </w:rPr>
        <w:t>一、工程概况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outlineLvl w:val="2"/>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1.工程名称：深圳市人才研修院龙华分院运营提升改造工程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outlineLvl w:val="2"/>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2.工程地点：观澜街道办事处高尔夫大道1号V23和V24地块</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outlineLvl w:val="0"/>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3.工程规模及特征：本项目为深圳市人才研修院龙华分院运营提升改造工程，项目地点位于研修院位于观澜街道办事处高尔夫大道1号V23和V24地块。项目用地面积21642平方米，建筑面积8477平方米，其中包括：工程项目改造、设施设备安装、厨房设施补充、基础设施改造、标志标识设置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outlineLvl w:val="2"/>
        <w:rPr>
          <w:rFonts w:ascii="仿宋" w:hAnsi="仿宋" w:eastAsia="仿宋" w:cs="仿宋"/>
          <w:spacing w:val="7"/>
          <w:sz w:val="32"/>
          <w:szCs w:val="32"/>
          <w:lang w:eastAsia="zh-CN"/>
        </w:rPr>
      </w:pPr>
      <w:r>
        <w:rPr>
          <w:rFonts w:hint="eastAsia" w:ascii="仿宋" w:hAnsi="仿宋" w:eastAsia="仿宋" w:cs="仿宋"/>
          <w:spacing w:val="7"/>
          <w:sz w:val="32"/>
          <w:szCs w:val="32"/>
          <w:lang w:eastAsia="zh-CN"/>
        </w:rPr>
        <w:t>4.现场条件：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ascii="仿宋" w:hAnsi="仿宋" w:eastAsia="仿宋" w:cs="仿宋"/>
          <w:spacing w:val="7"/>
          <w:sz w:val="32"/>
          <w:szCs w:val="32"/>
          <w:lang w:eastAsia="zh-CN"/>
        </w:rPr>
      </w:pPr>
      <w:r>
        <w:rPr>
          <w:rFonts w:hint="eastAsia" w:ascii="仿宋" w:hAnsi="仿宋" w:eastAsia="仿宋" w:cs="仿宋"/>
          <w:spacing w:val="7"/>
          <w:sz w:val="32"/>
          <w:szCs w:val="32"/>
          <w:lang w:eastAsia="zh-CN"/>
        </w:rPr>
        <w:t>（1）临时用水：由承包人自行解决，发包人协助。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ascii="仿宋" w:hAnsi="仿宋" w:eastAsia="仿宋" w:cs="仿宋"/>
          <w:spacing w:val="7"/>
          <w:sz w:val="32"/>
          <w:szCs w:val="32"/>
          <w:lang w:eastAsia="zh-CN"/>
        </w:rPr>
      </w:pPr>
      <w:r>
        <w:rPr>
          <w:rFonts w:hint="eastAsia" w:ascii="仿宋" w:hAnsi="仿宋" w:eastAsia="仿宋" w:cs="仿宋"/>
          <w:spacing w:val="7"/>
          <w:sz w:val="32"/>
          <w:szCs w:val="32"/>
          <w:lang w:eastAsia="zh-CN"/>
        </w:rPr>
        <w:t>（2）临时用电：由承包人自行解决，发包人协助。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ascii="仿宋" w:hAnsi="仿宋" w:eastAsia="仿宋" w:cs="仿宋"/>
          <w:spacing w:val="7"/>
          <w:sz w:val="32"/>
          <w:szCs w:val="32"/>
          <w:lang w:eastAsia="zh-CN"/>
        </w:rPr>
      </w:pPr>
      <w:r>
        <w:rPr>
          <w:rFonts w:hint="eastAsia" w:ascii="仿宋" w:hAnsi="仿宋" w:eastAsia="仿宋" w:cs="仿宋"/>
          <w:spacing w:val="7"/>
          <w:sz w:val="32"/>
          <w:szCs w:val="32"/>
          <w:lang w:eastAsia="zh-CN"/>
        </w:rPr>
        <w:t>（3）场内外道路：由承包人自行解决。</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ascii="仿宋" w:hAnsi="仿宋" w:eastAsia="仿宋" w:cs="仿宋"/>
          <w:spacing w:val="7"/>
          <w:sz w:val="32"/>
          <w:szCs w:val="32"/>
          <w:lang w:eastAsia="zh-CN"/>
        </w:rPr>
      </w:pPr>
      <w:r>
        <w:rPr>
          <w:rFonts w:hint="eastAsia" w:ascii="仿宋" w:hAnsi="仿宋" w:eastAsia="仿宋" w:cs="仿宋"/>
          <w:spacing w:val="7"/>
          <w:sz w:val="32"/>
          <w:szCs w:val="32"/>
          <w:lang w:eastAsia="zh-CN"/>
        </w:rPr>
        <w:t>（4）临时设施：场内临时办公设施的设置需报发包人、监理单位审批同意；项目周边不具备生活设施搭建条件，承包人需自行解决。</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ascii="仿宋" w:hAnsi="仿宋" w:eastAsia="仿宋" w:cs="仿宋"/>
          <w:spacing w:val="7"/>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ascii="仿宋" w:hAnsi="仿宋" w:eastAsia="仿宋" w:cs="仿宋"/>
          <w:b/>
          <w:bCs/>
          <w:spacing w:val="-3"/>
          <w:sz w:val="32"/>
          <w:szCs w:val="32"/>
          <w:lang w:val="zh-CN" w:eastAsia="zh-CN"/>
        </w:rPr>
      </w:pPr>
      <w:bookmarkStart w:id="0" w:name="_Toc3337"/>
      <w:bookmarkStart w:id="1" w:name="_Toc67418465"/>
      <w:bookmarkStart w:id="2" w:name="_Toc302635679"/>
      <w:r>
        <w:rPr>
          <w:rFonts w:hint="eastAsia" w:ascii="仿宋" w:hAnsi="仿宋" w:eastAsia="仿宋" w:cs="仿宋"/>
          <w:b/>
          <w:bCs/>
          <w:spacing w:val="-3"/>
          <w:sz w:val="32"/>
          <w:szCs w:val="32"/>
          <w:lang w:val="zh-CN" w:eastAsia="zh-CN"/>
        </w:rPr>
        <w:t>二、工程承包范围</w:t>
      </w:r>
      <w:bookmarkEnd w:id="0"/>
      <w:bookmarkEnd w:id="1"/>
      <w:bookmarkEnd w:id="2"/>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ascii="仿宋" w:hAnsi="仿宋" w:eastAsia="仿宋" w:cs="仿宋"/>
          <w:spacing w:val="7"/>
          <w:sz w:val="32"/>
          <w:szCs w:val="32"/>
          <w:lang w:eastAsia="zh-CN"/>
        </w:rPr>
      </w:pPr>
      <w:r>
        <w:rPr>
          <w:rFonts w:hint="eastAsia" w:ascii="仿宋" w:hAnsi="仿宋" w:eastAsia="仿宋" w:cs="仿宋"/>
          <w:spacing w:val="7"/>
          <w:sz w:val="32"/>
          <w:szCs w:val="32"/>
          <w:lang w:eastAsia="zh-CN"/>
        </w:rPr>
        <w:t>本次发包范围包括但不限于：装饰装修工程、景观工程、园林绿化工程、拆除工程、门窗幕墙工程、电气工程、智能化工程、通风空调工程、给排水工程、标示标牌工程、厨房设备工程等。具体以施工图为准。</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ascii="仿宋" w:hAnsi="仿宋" w:eastAsia="仿宋" w:cs="仿宋"/>
          <w:sz w:val="32"/>
          <w:szCs w:val="32"/>
          <w:lang w:eastAsia="zh-CN"/>
        </w:rPr>
      </w:pPr>
      <w:r>
        <w:rPr>
          <w:rFonts w:hint="eastAsia" w:ascii="仿宋" w:hAnsi="仿宋" w:eastAsia="仿宋" w:cs="仿宋"/>
          <w:b/>
          <w:bCs/>
          <w:spacing w:val="-16"/>
          <w:sz w:val="32"/>
          <w:szCs w:val="32"/>
          <w:lang w:eastAsia="zh-CN"/>
        </w:rPr>
        <w:t>三、</w:t>
      </w:r>
      <w:r>
        <w:rPr>
          <w:rFonts w:hint="eastAsia" w:ascii="仿宋" w:hAnsi="仿宋" w:eastAsia="仿宋" w:cs="仿宋"/>
          <w:spacing w:val="-59"/>
          <w:sz w:val="32"/>
          <w:szCs w:val="32"/>
          <w:lang w:eastAsia="zh-CN"/>
        </w:rPr>
        <w:t xml:space="preserve"> </w:t>
      </w:r>
      <w:r>
        <w:rPr>
          <w:rFonts w:hint="eastAsia" w:ascii="仿宋" w:hAnsi="仿宋" w:eastAsia="仿宋" w:cs="仿宋"/>
          <w:b/>
          <w:bCs/>
          <w:spacing w:val="-16"/>
          <w:sz w:val="32"/>
          <w:szCs w:val="32"/>
          <w:lang w:eastAsia="zh-CN"/>
        </w:rPr>
        <w:t>合同工期：</w:t>
      </w:r>
      <w:r>
        <w:rPr>
          <w:rFonts w:hint="eastAsia" w:ascii="仿宋" w:hAnsi="仿宋" w:eastAsia="仿宋" w:cs="仿宋"/>
          <w:spacing w:val="49"/>
          <w:sz w:val="32"/>
          <w:szCs w:val="32"/>
          <w:lang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jc w:val="both"/>
        <w:textAlignment w:val="baseline"/>
        <w:rPr>
          <w:rFonts w:ascii="仿宋" w:hAnsi="仿宋" w:eastAsia="仿宋" w:cs="仿宋"/>
          <w:spacing w:val="7"/>
          <w:sz w:val="32"/>
          <w:szCs w:val="32"/>
          <w:lang w:eastAsia="zh-CN"/>
        </w:rPr>
      </w:pPr>
      <w:r>
        <w:rPr>
          <w:rFonts w:hint="eastAsia" w:ascii="仿宋" w:hAnsi="仿宋" w:eastAsia="仿宋" w:cs="仿宋"/>
          <w:spacing w:val="7"/>
          <w:sz w:val="32"/>
          <w:szCs w:val="32"/>
          <w:lang w:eastAsia="zh-CN"/>
        </w:rPr>
        <w:t>1.合同总工期：</w:t>
      </w:r>
      <w:r>
        <w:rPr>
          <w:rFonts w:hint="eastAsia" w:ascii="仿宋" w:hAnsi="仿宋" w:eastAsia="仿宋" w:cs="仿宋"/>
          <w:spacing w:val="7"/>
          <w:sz w:val="32"/>
          <w:szCs w:val="32"/>
          <w:u w:val="single"/>
          <w:lang w:eastAsia="zh-CN"/>
        </w:rPr>
        <w:t xml:space="preserve"> </w:t>
      </w:r>
      <w:r>
        <w:rPr>
          <w:rFonts w:hint="eastAsia" w:ascii="仿宋" w:hAnsi="仿宋" w:eastAsia="仿宋" w:cs="仿宋"/>
          <w:spacing w:val="7"/>
          <w:sz w:val="32"/>
          <w:szCs w:val="32"/>
          <w:u w:val="single"/>
          <w:lang w:val="en-US" w:eastAsia="zh-CN"/>
        </w:rPr>
        <w:t xml:space="preserve"> 90  </w:t>
      </w:r>
      <w:r>
        <w:rPr>
          <w:rFonts w:hint="eastAsia" w:ascii="仿宋" w:hAnsi="仿宋" w:eastAsia="仿宋" w:cs="仿宋"/>
          <w:spacing w:val="7"/>
          <w:sz w:val="32"/>
          <w:szCs w:val="32"/>
          <w:lang w:eastAsia="zh-CN"/>
        </w:rPr>
        <w:t>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8"/>
        <w:textAlignment w:val="baseline"/>
        <w:outlineLvl w:val="2"/>
        <w:rPr>
          <w:rFonts w:ascii="仿宋" w:hAnsi="仿宋" w:eastAsia="仿宋" w:cs="仿宋"/>
          <w:spacing w:val="7"/>
          <w:sz w:val="32"/>
          <w:szCs w:val="32"/>
          <w:lang w:eastAsia="zh-CN"/>
        </w:rPr>
      </w:pPr>
      <w:r>
        <w:rPr>
          <w:rFonts w:hint="eastAsia" w:ascii="仿宋" w:hAnsi="仿宋" w:eastAsia="仿宋" w:cs="仿宋"/>
          <w:spacing w:val="7"/>
          <w:sz w:val="32"/>
          <w:szCs w:val="32"/>
          <w:lang w:eastAsia="zh-CN"/>
        </w:rPr>
        <w:t>2.计划工期：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8"/>
        <w:textAlignment w:val="baseline"/>
        <w:outlineLvl w:val="3"/>
        <w:rPr>
          <w:rFonts w:ascii="仿宋" w:hAnsi="仿宋" w:eastAsia="仿宋" w:cs="仿宋"/>
          <w:spacing w:val="7"/>
          <w:sz w:val="32"/>
          <w:szCs w:val="32"/>
          <w:lang w:eastAsia="zh-CN"/>
        </w:rPr>
      </w:pPr>
      <w:r>
        <w:rPr>
          <w:rFonts w:hint="eastAsia" w:ascii="仿宋" w:hAnsi="仿宋" w:eastAsia="仿宋" w:cs="仿宋"/>
          <w:spacing w:val="7"/>
          <w:sz w:val="32"/>
          <w:szCs w:val="32"/>
          <w:lang w:eastAsia="zh-CN"/>
        </w:rPr>
        <w:t>（1）计划开工日期：暂定</w:t>
      </w:r>
      <w:r>
        <w:rPr>
          <w:rFonts w:hint="eastAsia" w:ascii="仿宋" w:hAnsi="仿宋" w:eastAsia="仿宋" w:cs="仿宋"/>
          <w:spacing w:val="7"/>
          <w:sz w:val="32"/>
          <w:szCs w:val="32"/>
          <w:u w:val="single"/>
          <w:lang w:eastAsia="zh-CN"/>
        </w:rPr>
        <w:t xml:space="preserve"> </w:t>
      </w:r>
      <w:r>
        <w:rPr>
          <w:rFonts w:hint="eastAsia" w:ascii="仿宋" w:hAnsi="仿宋" w:eastAsia="仿宋" w:cs="仿宋"/>
          <w:spacing w:val="7"/>
          <w:sz w:val="32"/>
          <w:szCs w:val="32"/>
          <w:u w:val="single"/>
          <w:lang w:val="en-US" w:eastAsia="zh-CN"/>
        </w:rPr>
        <w:t>2024</w:t>
      </w:r>
      <w:r>
        <w:rPr>
          <w:rFonts w:hint="eastAsia" w:ascii="仿宋" w:hAnsi="仿宋" w:eastAsia="仿宋" w:cs="仿宋"/>
          <w:spacing w:val="7"/>
          <w:sz w:val="32"/>
          <w:szCs w:val="32"/>
          <w:u w:val="single"/>
          <w:lang w:eastAsia="zh-CN"/>
        </w:rPr>
        <w:t xml:space="preserve"> </w:t>
      </w:r>
      <w:r>
        <w:rPr>
          <w:rFonts w:hint="eastAsia" w:ascii="仿宋" w:hAnsi="仿宋" w:eastAsia="仿宋" w:cs="仿宋"/>
          <w:spacing w:val="7"/>
          <w:sz w:val="32"/>
          <w:szCs w:val="32"/>
          <w:lang w:eastAsia="zh-CN"/>
        </w:rPr>
        <w:t>年</w:t>
      </w:r>
      <w:r>
        <w:rPr>
          <w:rFonts w:hint="eastAsia" w:ascii="仿宋" w:hAnsi="仿宋" w:eastAsia="仿宋" w:cs="仿宋"/>
          <w:spacing w:val="7"/>
          <w:sz w:val="32"/>
          <w:szCs w:val="32"/>
          <w:u w:val="single"/>
          <w:lang w:eastAsia="zh-CN"/>
        </w:rPr>
        <w:t xml:space="preserve"> </w:t>
      </w:r>
      <w:r>
        <w:rPr>
          <w:rFonts w:hint="eastAsia" w:ascii="仿宋" w:hAnsi="仿宋" w:eastAsia="仿宋" w:cs="仿宋"/>
          <w:spacing w:val="7"/>
          <w:sz w:val="32"/>
          <w:szCs w:val="32"/>
          <w:u w:val="single"/>
          <w:lang w:val="en-US" w:eastAsia="zh-CN"/>
        </w:rPr>
        <w:t>6</w:t>
      </w:r>
      <w:r>
        <w:rPr>
          <w:rFonts w:hint="eastAsia" w:ascii="仿宋" w:hAnsi="仿宋" w:eastAsia="仿宋" w:cs="仿宋"/>
          <w:spacing w:val="7"/>
          <w:sz w:val="32"/>
          <w:szCs w:val="32"/>
          <w:u w:val="single"/>
          <w:lang w:eastAsia="zh-CN"/>
        </w:rPr>
        <w:t xml:space="preserve"> </w:t>
      </w:r>
      <w:r>
        <w:rPr>
          <w:rFonts w:hint="eastAsia" w:ascii="仿宋" w:hAnsi="仿宋" w:eastAsia="仿宋" w:cs="仿宋"/>
          <w:spacing w:val="7"/>
          <w:sz w:val="32"/>
          <w:szCs w:val="32"/>
          <w:lang w:eastAsia="zh-CN"/>
        </w:rPr>
        <w:t>月</w:t>
      </w:r>
      <w:r>
        <w:rPr>
          <w:rFonts w:hint="eastAsia" w:ascii="仿宋" w:hAnsi="仿宋" w:eastAsia="仿宋" w:cs="仿宋"/>
          <w:spacing w:val="7"/>
          <w:sz w:val="32"/>
          <w:szCs w:val="32"/>
          <w:u w:val="single"/>
          <w:lang w:eastAsia="zh-CN"/>
        </w:rPr>
        <w:t xml:space="preserve"> </w:t>
      </w:r>
      <w:r>
        <w:rPr>
          <w:rFonts w:hint="eastAsia" w:ascii="仿宋" w:hAnsi="仿宋" w:eastAsia="仿宋" w:cs="仿宋"/>
          <w:spacing w:val="7"/>
          <w:sz w:val="32"/>
          <w:szCs w:val="32"/>
          <w:u w:val="single"/>
          <w:lang w:val="en-US" w:eastAsia="zh-CN"/>
        </w:rPr>
        <w:t>15</w:t>
      </w:r>
      <w:r>
        <w:rPr>
          <w:rFonts w:hint="eastAsia" w:ascii="仿宋" w:hAnsi="仿宋" w:eastAsia="仿宋" w:cs="仿宋"/>
          <w:spacing w:val="7"/>
          <w:sz w:val="32"/>
          <w:szCs w:val="32"/>
          <w:u w:val="single"/>
          <w:lang w:eastAsia="zh-CN"/>
        </w:rPr>
        <w:t xml:space="preserve"> </w:t>
      </w:r>
      <w:r>
        <w:rPr>
          <w:rFonts w:hint="eastAsia" w:ascii="仿宋" w:hAnsi="仿宋" w:eastAsia="仿宋" w:cs="仿宋"/>
          <w:spacing w:val="7"/>
          <w:sz w:val="32"/>
          <w:szCs w:val="32"/>
          <w:lang w:eastAsia="zh-CN"/>
        </w:rPr>
        <w:t>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8"/>
        <w:textAlignment w:val="baseline"/>
        <w:outlineLvl w:val="4"/>
        <w:rPr>
          <w:rFonts w:ascii="仿宋" w:hAnsi="仿宋" w:eastAsia="仿宋" w:cs="仿宋"/>
          <w:spacing w:val="7"/>
          <w:sz w:val="32"/>
          <w:szCs w:val="32"/>
          <w:lang w:eastAsia="zh-CN"/>
        </w:rPr>
      </w:pPr>
      <w:r>
        <w:rPr>
          <w:rFonts w:hint="eastAsia" w:ascii="仿宋" w:hAnsi="仿宋" w:eastAsia="仿宋" w:cs="仿宋"/>
          <w:spacing w:val="7"/>
          <w:sz w:val="32"/>
          <w:szCs w:val="32"/>
          <w:lang w:eastAsia="zh-CN"/>
        </w:rPr>
        <w:t>（实际开工日期以发包人或监理人下达的开工令为准）；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8"/>
        <w:textAlignment w:val="baseline"/>
        <w:outlineLvl w:val="3"/>
        <w:rPr>
          <w:rFonts w:ascii="仿宋" w:hAnsi="仿宋" w:eastAsia="仿宋" w:cs="仿宋"/>
          <w:spacing w:val="7"/>
          <w:sz w:val="32"/>
          <w:szCs w:val="32"/>
          <w:lang w:eastAsia="zh-CN"/>
        </w:rPr>
      </w:pPr>
      <w:r>
        <w:rPr>
          <w:rFonts w:hint="eastAsia" w:ascii="仿宋" w:hAnsi="仿宋" w:eastAsia="仿宋" w:cs="仿宋"/>
          <w:spacing w:val="7"/>
          <w:sz w:val="32"/>
          <w:szCs w:val="32"/>
          <w:lang w:eastAsia="zh-CN"/>
        </w:rPr>
        <w:t>（2）计划竣工日期：</w:t>
      </w:r>
      <w:r>
        <w:rPr>
          <w:rFonts w:hint="eastAsia" w:ascii="仿宋" w:hAnsi="仿宋" w:eastAsia="仿宋" w:cs="仿宋"/>
          <w:spacing w:val="7"/>
          <w:sz w:val="32"/>
          <w:szCs w:val="32"/>
          <w:u w:val="single"/>
          <w:lang w:eastAsia="zh-CN"/>
        </w:rPr>
        <w:t xml:space="preserve"> </w:t>
      </w:r>
      <w:r>
        <w:rPr>
          <w:rFonts w:hint="eastAsia" w:ascii="仿宋" w:hAnsi="仿宋" w:eastAsia="仿宋" w:cs="仿宋"/>
          <w:spacing w:val="7"/>
          <w:sz w:val="32"/>
          <w:szCs w:val="32"/>
          <w:highlight w:val="none"/>
          <w:u w:val="single"/>
          <w:lang w:val="en-US" w:eastAsia="zh-CN"/>
        </w:rPr>
        <w:t>2024</w:t>
      </w:r>
      <w:r>
        <w:rPr>
          <w:rFonts w:hint="eastAsia" w:ascii="仿宋" w:hAnsi="仿宋" w:eastAsia="仿宋" w:cs="仿宋"/>
          <w:spacing w:val="7"/>
          <w:sz w:val="32"/>
          <w:szCs w:val="32"/>
          <w:highlight w:val="none"/>
          <w:u w:val="single"/>
          <w:lang w:eastAsia="zh-CN"/>
        </w:rPr>
        <w:t xml:space="preserve"> </w:t>
      </w:r>
      <w:r>
        <w:rPr>
          <w:rFonts w:hint="eastAsia" w:ascii="仿宋" w:hAnsi="仿宋" w:eastAsia="仿宋" w:cs="仿宋"/>
          <w:spacing w:val="7"/>
          <w:sz w:val="32"/>
          <w:szCs w:val="32"/>
          <w:highlight w:val="none"/>
          <w:lang w:eastAsia="zh-CN"/>
        </w:rPr>
        <w:t>年</w:t>
      </w:r>
      <w:r>
        <w:rPr>
          <w:rFonts w:hint="eastAsia" w:ascii="仿宋" w:hAnsi="仿宋" w:eastAsia="仿宋" w:cs="仿宋"/>
          <w:spacing w:val="7"/>
          <w:sz w:val="32"/>
          <w:szCs w:val="32"/>
          <w:highlight w:val="none"/>
          <w:u w:val="single"/>
          <w:lang w:eastAsia="zh-CN"/>
        </w:rPr>
        <w:t xml:space="preserve"> </w:t>
      </w:r>
      <w:r>
        <w:rPr>
          <w:rFonts w:hint="eastAsia" w:ascii="仿宋" w:hAnsi="仿宋" w:eastAsia="仿宋" w:cs="仿宋"/>
          <w:spacing w:val="7"/>
          <w:sz w:val="32"/>
          <w:szCs w:val="32"/>
          <w:highlight w:val="none"/>
          <w:u w:val="single"/>
          <w:lang w:val="en-US" w:eastAsia="zh-CN"/>
        </w:rPr>
        <w:t>9</w:t>
      </w:r>
      <w:bookmarkStart w:id="10" w:name="_GoBack"/>
      <w:bookmarkEnd w:id="10"/>
      <w:r>
        <w:rPr>
          <w:rFonts w:hint="eastAsia" w:ascii="仿宋" w:hAnsi="仿宋" w:eastAsia="仿宋" w:cs="仿宋"/>
          <w:spacing w:val="7"/>
          <w:sz w:val="32"/>
          <w:szCs w:val="32"/>
          <w:highlight w:val="none"/>
          <w:u w:val="single"/>
          <w:lang w:eastAsia="zh-CN"/>
        </w:rPr>
        <w:t xml:space="preserve"> </w:t>
      </w:r>
      <w:r>
        <w:rPr>
          <w:rFonts w:hint="eastAsia" w:ascii="仿宋" w:hAnsi="仿宋" w:eastAsia="仿宋" w:cs="仿宋"/>
          <w:spacing w:val="7"/>
          <w:sz w:val="32"/>
          <w:szCs w:val="32"/>
          <w:highlight w:val="none"/>
          <w:lang w:eastAsia="zh-CN"/>
        </w:rPr>
        <w:t>月</w:t>
      </w:r>
      <w:r>
        <w:rPr>
          <w:rFonts w:hint="eastAsia" w:ascii="仿宋" w:hAnsi="仿宋" w:eastAsia="仿宋" w:cs="仿宋"/>
          <w:spacing w:val="7"/>
          <w:sz w:val="32"/>
          <w:szCs w:val="32"/>
          <w:highlight w:val="none"/>
          <w:u w:val="single"/>
          <w:lang w:eastAsia="zh-CN"/>
        </w:rPr>
        <w:t xml:space="preserve"> </w:t>
      </w:r>
      <w:r>
        <w:rPr>
          <w:rFonts w:hint="eastAsia" w:ascii="仿宋" w:hAnsi="仿宋" w:eastAsia="仿宋" w:cs="仿宋"/>
          <w:spacing w:val="7"/>
          <w:sz w:val="32"/>
          <w:szCs w:val="32"/>
          <w:highlight w:val="none"/>
          <w:u w:val="single"/>
          <w:lang w:val="en-US" w:eastAsia="zh-CN"/>
        </w:rPr>
        <w:t>13</w:t>
      </w:r>
      <w:r>
        <w:rPr>
          <w:rFonts w:hint="eastAsia" w:ascii="仿宋" w:hAnsi="仿宋" w:eastAsia="仿宋" w:cs="仿宋"/>
          <w:spacing w:val="7"/>
          <w:sz w:val="32"/>
          <w:szCs w:val="32"/>
          <w:highlight w:val="none"/>
          <w:u w:val="single"/>
          <w:lang w:eastAsia="zh-CN"/>
        </w:rPr>
        <w:t xml:space="preserve"> </w:t>
      </w:r>
      <w:r>
        <w:rPr>
          <w:rFonts w:hint="eastAsia" w:ascii="仿宋" w:hAnsi="仿宋" w:eastAsia="仿宋" w:cs="仿宋"/>
          <w:spacing w:val="7"/>
          <w:sz w:val="32"/>
          <w:szCs w:val="32"/>
          <w:lang w:eastAsia="zh-CN"/>
        </w:rPr>
        <w:t>日。</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ascii="仿宋" w:hAnsi="仿宋" w:eastAsia="仿宋" w:cs="仿宋"/>
          <w:spacing w:val="7"/>
          <w:sz w:val="32"/>
          <w:szCs w:val="32"/>
          <w:lang w:eastAsia="zh-CN"/>
        </w:rPr>
      </w:pPr>
      <w:r>
        <w:rPr>
          <w:rFonts w:hint="eastAsia" w:ascii="仿宋" w:hAnsi="仿宋" w:eastAsia="仿宋" w:cs="仿宋"/>
          <w:spacing w:val="7"/>
          <w:sz w:val="32"/>
          <w:szCs w:val="32"/>
          <w:lang w:eastAsia="zh-CN"/>
        </w:rPr>
        <w:t xml:space="preserve">    3.承包人应严格遵守工期约定。实施过程中，发包人有权根据现场施工情况对本工程工期进行调整；承包人应严格按合同工期完成施工内容，除发包人原因及不可抗力导致工期延误外，工期不予顺延。因发包人原因及不可抗力导致工期延误，承包人应在上述事件发生后3日内向监理工程师提出工期顺延的申请，监理工程师审核、发包人同意后，工期相应顺延。承包人逾期不提出申请或监理工程师不同意工期顺延，视为对工期无影响。</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ascii="仿宋" w:hAnsi="仿宋" w:eastAsia="仿宋" w:cs="仿宋"/>
          <w:spacing w:val="7"/>
          <w:sz w:val="32"/>
          <w:szCs w:val="32"/>
          <w:lang w:eastAsia="zh-CN"/>
        </w:rPr>
      </w:pPr>
      <w:r>
        <w:rPr>
          <w:rFonts w:hint="eastAsia" w:ascii="仿宋" w:hAnsi="仿宋" w:eastAsia="仿宋" w:cs="仿宋"/>
          <w:spacing w:val="7"/>
          <w:sz w:val="32"/>
          <w:szCs w:val="32"/>
          <w:lang w:eastAsia="zh-CN"/>
        </w:rPr>
        <w:t xml:space="preserve">    4.承包人理解现场施工对本招标工程施工区域、施工顺序、施工相关节点的影响。并承诺：在投标阶段已经充分考虑施工区域的调整、交叉施工对工期影响的风险，可能出现的各种规模的下雨、台风、高温天气、停水、停电、节假日（包含元旦、春节等法定长假）对工期的影响、劳务市场变化的影响、政府大型活动对工期的影响、工地及周边环境等影响因素，并采取积极措施，保证按合同约定工期、质量要求完成所有工作内容。</w:t>
      </w:r>
    </w:p>
    <w:p>
      <w:pPr>
        <w:spacing w:line="560" w:lineRule="exact"/>
        <w:outlineLvl w:val="0"/>
        <w:rPr>
          <w:rFonts w:ascii="仿宋" w:hAnsi="仿宋" w:eastAsia="仿宋" w:cs="仿宋"/>
          <w:spacing w:val="7"/>
          <w:sz w:val="32"/>
          <w:szCs w:val="32"/>
          <w:lang w:eastAsia="zh-CN"/>
        </w:rPr>
      </w:pPr>
      <w:r>
        <w:rPr>
          <w:rFonts w:hint="eastAsia" w:ascii="仿宋" w:hAnsi="仿宋" w:eastAsia="仿宋" w:cs="仿宋"/>
          <w:spacing w:val="7"/>
          <w:sz w:val="32"/>
          <w:szCs w:val="32"/>
          <w:lang w:eastAsia="zh-CN"/>
        </w:rPr>
        <w:t xml:space="preserve">   5.要求承包人在收到中标通知书7天内按发包人规定编写上报总进度计划、月进度计划，并对进度计划的完成情况定期进行检查，如因月实际进度无法按计划完成，发包人有权力暂扣部分额度进度款。</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ascii="仿宋" w:hAnsi="仿宋" w:eastAsia="仿宋" w:cs="仿宋"/>
          <w:spacing w:val="7"/>
          <w:sz w:val="32"/>
          <w:szCs w:val="32"/>
          <w:lang w:eastAsia="zh-CN"/>
        </w:rPr>
      </w:pPr>
      <w:r>
        <w:rPr>
          <w:rFonts w:hint="eastAsia" w:ascii="仿宋" w:hAnsi="仿宋" w:eastAsia="仿宋" w:cs="仿宋"/>
          <w:spacing w:val="7"/>
          <w:sz w:val="32"/>
          <w:szCs w:val="32"/>
          <w:lang w:eastAsia="zh-CN"/>
        </w:rPr>
        <w:t xml:space="preserve">    6.发包人可能根据现场工程进展实际状况，对施工工期做调整。承包人承诺及时跟进调整，无条件配合、执行，并按照有关约定按期、保质的完成施工任务。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outlineLvl w:val="0"/>
        <w:rPr>
          <w:rFonts w:ascii="仿宋" w:hAnsi="仿宋" w:eastAsia="仿宋" w:cs="仿宋"/>
          <w:spacing w:val="7"/>
          <w:sz w:val="32"/>
          <w:szCs w:val="32"/>
          <w:lang w:eastAsia="zh-CN"/>
        </w:rPr>
      </w:pPr>
      <w:r>
        <w:rPr>
          <w:rFonts w:hint="eastAsia" w:ascii="仿宋" w:hAnsi="仿宋" w:eastAsia="仿宋" w:cs="仿宋"/>
          <w:spacing w:val="7"/>
          <w:sz w:val="32"/>
          <w:szCs w:val="32"/>
          <w:lang w:eastAsia="zh-CN"/>
        </w:rPr>
        <w:t>7.承包人须与本项目的各参与方、政府行政部门、职能管理部门积极协调、配合，使施工工程进度符合主要施工节点及总工期要求。因</w:t>
      </w:r>
      <w:r>
        <w:rPr>
          <w:rFonts w:hint="eastAsia" w:ascii="仿宋" w:hAnsi="仿宋" w:eastAsia="仿宋" w:cs="仿宋"/>
          <w:spacing w:val="7"/>
          <w:sz w:val="32"/>
          <w:szCs w:val="32"/>
          <w:lang w:val="en-US" w:eastAsia="zh-CN"/>
        </w:rPr>
        <w:t>承包人</w:t>
      </w:r>
      <w:r>
        <w:rPr>
          <w:rFonts w:hint="eastAsia" w:ascii="仿宋" w:hAnsi="仿宋" w:eastAsia="仿宋" w:cs="仿宋"/>
          <w:spacing w:val="7"/>
          <w:sz w:val="32"/>
          <w:szCs w:val="32"/>
          <w:lang w:eastAsia="zh-CN"/>
        </w:rPr>
        <w:t>缺少沟通协调而造成的一切后果如延误工期等，将由承包人负责。</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ascii="仿宋" w:hAnsi="仿宋" w:eastAsia="仿宋" w:cs="仿宋"/>
          <w:sz w:val="32"/>
          <w:szCs w:val="32"/>
          <w:lang w:eastAsia="zh-CN"/>
        </w:rPr>
      </w:pPr>
      <w:r>
        <w:rPr>
          <w:rFonts w:hint="eastAsia" w:ascii="仿宋" w:hAnsi="仿宋" w:eastAsia="仿宋" w:cs="仿宋"/>
          <w:b/>
          <w:bCs/>
          <w:spacing w:val="10"/>
          <w:sz w:val="32"/>
          <w:szCs w:val="32"/>
          <w:lang w:val="en-US" w:eastAsia="zh-CN"/>
        </w:rPr>
        <w:t>四</w:t>
      </w:r>
      <w:r>
        <w:rPr>
          <w:rFonts w:hint="eastAsia" w:ascii="仿宋" w:hAnsi="仿宋" w:eastAsia="仿宋" w:cs="仿宋"/>
          <w:b/>
          <w:bCs/>
          <w:spacing w:val="10"/>
          <w:sz w:val="32"/>
          <w:szCs w:val="32"/>
          <w:lang w:eastAsia="zh-CN"/>
        </w:rPr>
        <w:t>、质量标准</w:t>
      </w:r>
    </w:p>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rPr>
          <w:rFonts w:hint="eastAsia"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1.本工程质量标准：合格，符合国家、部委、行业及</w:t>
      </w:r>
      <w:r>
        <w:rPr>
          <w:rFonts w:hint="eastAsia" w:ascii="仿宋" w:hAnsi="仿宋" w:eastAsia="仿宋" w:cs="仿宋"/>
          <w:snapToGrid w:val="0"/>
          <w:color w:val="000000"/>
          <w:spacing w:val="7"/>
          <w:sz w:val="32"/>
          <w:szCs w:val="32"/>
          <w:lang w:val="en-US" w:eastAsia="zh-Hans" w:bidi="ar-SA"/>
        </w:rPr>
        <w:t>广东</w:t>
      </w:r>
      <w:r>
        <w:rPr>
          <w:rFonts w:hint="eastAsia" w:ascii="仿宋" w:hAnsi="仿宋" w:eastAsia="仿宋" w:cs="仿宋"/>
          <w:snapToGrid w:val="0"/>
          <w:color w:val="000000"/>
          <w:spacing w:val="7"/>
          <w:sz w:val="32"/>
          <w:szCs w:val="32"/>
          <w:lang w:val="en-US" w:eastAsia="zh-CN" w:bidi="ar-SA"/>
        </w:rPr>
        <w:t>省、</w:t>
      </w:r>
      <w:r>
        <w:rPr>
          <w:rFonts w:hint="eastAsia" w:ascii="仿宋" w:hAnsi="仿宋" w:eastAsia="仿宋" w:cs="仿宋"/>
          <w:snapToGrid w:val="0"/>
          <w:color w:val="000000"/>
          <w:spacing w:val="7"/>
          <w:sz w:val="32"/>
          <w:szCs w:val="32"/>
          <w:lang w:val="en-US" w:eastAsia="zh-Hans" w:bidi="ar-SA"/>
        </w:rPr>
        <w:t>深圳</w:t>
      </w:r>
      <w:r>
        <w:rPr>
          <w:rFonts w:hint="eastAsia" w:ascii="仿宋" w:hAnsi="仿宋" w:eastAsia="仿宋" w:cs="仿宋"/>
          <w:snapToGrid w:val="0"/>
          <w:color w:val="000000"/>
          <w:spacing w:val="7"/>
          <w:sz w:val="32"/>
          <w:szCs w:val="32"/>
          <w:lang w:val="en-US" w:eastAsia="zh-CN" w:bidi="ar-SA"/>
        </w:rPr>
        <w:t>市颁布的有关</w:t>
      </w:r>
      <w:r>
        <w:rPr>
          <w:rFonts w:hint="eastAsia" w:ascii="仿宋" w:hAnsi="仿宋" w:eastAsia="仿宋" w:cs="仿宋"/>
          <w:snapToGrid w:val="0"/>
          <w:color w:val="000000"/>
          <w:spacing w:val="7"/>
          <w:sz w:val="32"/>
          <w:szCs w:val="32"/>
          <w:lang w:val="en-US" w:eastAsia="zh-Hans" w:bidi="ar-SA"/>
        </w:rPr>
        <w:t>房屋建筑工程的建设</w:t>
      </w:r>
      <w:r>
        <w:rPr>
          <w:rFonts w:hint="eastAsia" w:ascii="仿宋" w:hAnsi="仿宋" w:eastAsia="仿宋" w:cs="仿宋"/>
          <w:snapToGrid w:val="0"/>
          <w:color w:val="000000"/>
          <w:spacing w:val="7"/>
          <w:sz w:val="32"/>
          <w:szCs w:val="32"/>
          <w:lang w:val="en-US" w:eastAsia="zh-CN" w:bidi="ar-SA"/>
        </w:rPr>
        <w:t>标准、规范、规程和</w:t>
      </w:r>
      <w:r>
        <w:rPr>
          <w:rFonts w:hint="eastAsia" w:ascii="仿宋" w:hAnsi="仿宋" w:eastAsia="仿宋" w:cs="仿宋"/>
          <w:snapToGrid w:val="0"/>
          <w:color w:val="000000"/>
          <w:spacing w:val="7"/>
          <w:sz w:val="32"/>
          <w:szCs w:val="32"/>
          <w:lang w:val="en-US" w:eastAsia="zh-Hans" w:bidi="ar-SA"/>
        </w:rPr>
        <w:t>质量</w:t>
      </w:r>
      <w:r>
        <w:rPr>
          <w:rFonts w:hint="eastAsia" w:ascii="仿宋" w:hAnsi="仿宋" w:eastAsia="仿宋" w:cs="仿宋"/>
          <w:snapToGrid w:val="0"/>
          <w:color w:val="000000"/>
          <w:spacing w:val="7"/>
          <w:sz w:val="32"/>
          <w:szCs w:val="32"/>
          <w:lang w:val="en-US" w:eastAsia="zh-CN" w:bidi="ar-SA"/>
        </w:rPr>
        <w:t>验收标准，单位工程验收合格率100%。</w:t>
      </w:r>
    </w:p>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rPr>
          <w:rFonts w:hint="eastAsia"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2.承包人应建立质量保证体系，监理人有权对体系的任何方面进行审查。遵守质量保证体系不应解除合同约定的承包人的任何义务和职责。</w:t>
      </w:r>
    </w:p>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rPr>
          <w:rFonts w:hint="default"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3.因承包人原因造成工程质量未达到合同约定标准的，发包人有权要求承包人返工直至工程质量达到合同约定的标准为止，并由承包人承担由此增加的费用和（或）延误的工期。</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ascii="仿宋" w:hAnsi="仿宋" w:eastAsia="仿宋" w:cs="仿宋"/>
          <w:sz w:val="32"/>
          <w:szCs w:val="32"/>
          <w:lang w:eastAsia="zh-CN"/>
        </w:rPr>
      </w:pPr>
      <w:r>
        <w:rPr>
          <w:rFonts w:hint="eastAsia" w:ascii="仿宋" w:hAnsi="仿宋" w:eastAsia="仿宋" w:cs="仿宋"/>
          <w:b/>
          <w:bCs/>
          <w:spacing w:val="-17"/>
          <w:sz w:val="32"/>
          <w:szCs w:val="32"/>
          <w:lang w:val="en-US" w:eastAsia="zh-CN"/>
        </w:rPr>
        <w:t>五</w:t>
      </w:r>
      <w:r>
        <w:rPr>
          <w:rFonts w:hint="eastAsia" w:ascii="仿宋" w:hAnsi="仿宋" w:eastAsia="仿宋" w:cs="仿宋"/>
          <w:b/>
          <w:bCs/>
          <w:spacing w:val="-17"/>
          <w:sz w:val="32"/>
          <w:szCs w:val="32"/>
          <w:lang w:eastAsia="zh-CN"/>
        </w:rPr>
        <w:t>、</w:t>
      </w:r>
      <w:r>
        <w:rPr>
          <w:rFonts w:hint="eastAsia" w:ascii="仿宋" w:hAnsi="仿宋" w:eastAsia="仿宋" w:cs="仿宋"/>
          <w:spacing w:val="-51"/>
          <w:sz w:val="32"/>
          <w:szCs w:val="32"/>
          <w:lang w:eastAsia="zh-CN"/>
        </w:rPr>
        <w:t xml:space="preserve"> </w:t>
      </w:r>
      <w:r>
        <w:rPr>
          <w:rFonts w:hint="eastAsia" w:ascii="仿宋" w:hAnsi="仿宋" w:eastAsia="仿宋" w:cs="仿宋"/>
          <w:b/>
          <w:bCs/>
          <w:spacing w:val="-17"/>
          <w:sz w:val="32"/>
          <w:szCs w:val="32"/>
          <w:lang w:eastAsia="zh-CN"/>
        </w:rPr>
        <w:t>合同价款</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ascii="仿宋" w:hAnsi="仿宋" w:eastAsia="仿宋" w:cs="仿宋"/>
          <w:spacing w:val="7"/>
          <w:sz w:val="32"/>
          <w:szCs w:val="32"/>
          <w:lang w:eastAsia="zh-CN"/>
        </w:rPr>
      </w:pPr>
      <w:r>
        <w:rPr>
          <w:rFonts w:hint="eastAsia" w:ascii="仿宋" w:hAnsi="仿宋" w:eastAsia="仿宋" w:cs="仿宋"/>
          <w:spacing w:val="7"/>
          <w:sz w:val="32"/>
          <w:szCs w:val="32"/>
          <w:lang w:eastAsia="zh-CN"/>
        </w:rPr>
        <w:t>1.</w:t>
      </w:r>
      <w:r>
        <w:rPr>
          <w:rFonts w:hint="eastAsia" w:ascii="仿宋" w:hAnsi="仿宋" w:eastAsia="仿宋" w:cs="仿宋"/>
          <w:spacing w:val="7"/>
          <w:sz w:val="32"/>
          <w:szCs w:val="32"/>
          <w:lang w:val="zh-CN" w:eastAsia="zh-CN"/>
        </w:rPr>
        <w:t>签约合同价</w:t>
      </w:r>
      <w:r>
        <w:rPr>
          <w:rFonts w:hint="eastAsia" w:ascii="仿宋" w:hAnsi="仿宋" w:eastAsia="仿宋" w:cs="仿宋"/>
          <w:spacing w:val="7"/>
          <w:sz w:val="32"/>
          <w:szCs w:val="32"/>
          <w:lang w:eastAsia="zh-CN"/>
        </w:rPr>
        <w:t>为人民币（大写）</w:t>
      </w:r>
      <w:r>
        <w:rPr>
          <w:rFonts w:hint="eastAsia" w:ascii="仿宋" w:hAnsi="仿宋" w:eastAsia="仿宋" w:cs="仿宋"/>
          <w:spacing w:val="7"/>
          <w:sz w:val="32"/>
          <w:szCs w:val="32"/>
          <w:highlight w:val="none"/>
          <w:u w:val="single"/>
          <w:lang w:val="en-US" w:eastAsia="zh-CN"/>
        </w:rPr>
        <w:t>××××××</w:t>
      </w:r>
      <w:r>
        <w:rPr>
          <w:rFonts w:hint="eastAsia" w:ascii="仿宋" w:hAnsi="仿宋" w:eastAsia="仿宋" w:cs="仿宋"/>
          <w:spacing w:val="7"/>
          <w:sz w:val="32"/>
          <w:szCs w:val="32"/>
          <w:highlight w:val="none"/>
          <w:u w:val="single"/>
          <w:lang w:eastAsia="zh-CN"/>
        </w:rPr>
        <w:t xml:space="preserve"> </w:t>
      </w:r>
      <w:r>
        <w:rPr>
          <w:rFonts w:hint="eastAsia" w:ascii="仿宋" w:hAnsi="仿宋" w:eastAsia="仿宋" w:cs="仿宋"/>
          <w:spacing w:val="7"/>
          <w:sz w:val="32"/>
          <w:szCs w:val="32"/>
          <w:lang w:eastAsia="zh-CN"/>
        </w:rPr>
        <w:t>(¥</w:t>
      </w:r>
      <w:r>
        <w:rPr>
          <w:rFonts w:hint="eastAsia" w:ascii="仿宋" w:hAnsi="仿宋" w:eastAsia="仿宋" w:cs="仿宋"/>
          <w:spacing w:val="7"/>
          <w:sz w:val="32"/>
          <w:szCs w:val="32"/>
          <w:lang w:val="en-US" w:eastAsia="zh-CN"/>
        </w:rPr>
        <w:t>××</w:t>
      </w:r>
      <w:r>
        <w:rPr>
          <w:rFonts w:hint="eastAsia" w:ascii="仿宋" w:hAnsi="仿宋" w:eastAsia="仿宋" w:cs="仿宋"/>
          <w:spacing w:val="7"/>
          <w:sz w:val="32"/>
          <w:szCs w:val="32"/>
          <w:u w:val="single"/>
          <w:lang w:eastAsia="zh-CN"/>
        </w:rPr>
        <w:t xml:space="preserve"> </w:t>
      </w:r>
      <w:r>
        <w:rPr>
          <w:rFonts w:hint="eastAsia" w:ascii="仿宋" w:hAnsi="仿宋" w:eastAsia="仿宋" w:cs="仿宋"/>
          <w:spacing w:val="7"/>
          <w:sz w:val="32"/>
          <w:szCs w:val="32"/>
          <w:lang w:eastAsia="zh-CN"/>
        </w:rPr>
        <w:t>)；不含增值税合同价（大写）</w:t>
      </w:r>
      <w:r>
        <w:rPr>
          <w:rFonts w:hint="eastAsia" w:ascii="仿宋" w:hAnsi="仿宋" w:eastAsia="仿宋" w:cs="仿宋"/>
          <w:spacing w:val="7"/>
          <w:sz w:val="32"/>
          <w:szCs w:val="32"/>
          <w:u w:val="single"/>
          <w:lang w:eastAsia="zh-CN"/>
        </w:rPr>
        <w:t xml:space="preserve"> </w:t>
      </w:r>
      <w:r>
        <w:rPr>
          <w:rFonts w:hint="eastAsia" w:ascii="仿宋" w:hAnsi="仿宋" w:eastAsia="仿宋" w:cs="仿宋"/>
          <w:spacing w:val="7"/>
          <w:sz w:val="32"/>
          <w:szCs w:val="32"/>
          <w:u w:val="single"/>
          <w:lang w:val="en-US" w:eastAsia="zh-CN"/>
        </w:rPr>
        <w:t>××××××</w:t>
      </w:r>
      <w:r>
        <w:rPr>
          <w:rFonts w:hint="eastAsia" w:ascii="仿宋" w:hAnsi="仿宋" w:eastAsia="仿宋" w:cs="仿宋"/>
          <w:spacing w:val="7"/>
          <w:sz w:val="32"/>
          <w:szCs w:val="32"/>
          <w:u w:val="single"/>
          <w:lang w:eastAsia="zh-CN"/>
        </w:rPr>
        <w:t xml:space="preserve"> </w:t>
      </w:r>
      <w:r>
        <w:rPr>
          <w:rFonts w:hint="eastAsia" w:ascii="仿宋" w:hAnsi="仿宋" w:eastAsia="仿宋" w:cs="仿宋"/>
          <w:spacing w:val="7"/>
          <w:sz w:val="32"/>
          <w:szCs w:val="32"/>
          <w:lang w:eastAsia="zh-CN"/>
        </w:rPr>
        <w:t>（¥</w:t>
      </w:r>
      <w:r>
        <w:rPr>
          <w:rFonts w:hint="eastAsia" w:ascii="仿宋" w:hAnsi="仿宋" w:eastAsia="仿宋" w:cs="仿宋"/>
          <w:spacing w:val="7"/>
          <w:sz w:val="32"/>
          <w:szCs w:val="32"/>
          <w:lang w:val="en-US" w:eastAsia="zh-CN"/>
        </w:rPr>
        <w:t>××</w:t>
      </w:r>
      <w:r>
        <w:rPr>
          <w:rFonts w:hint="eastAsia" w:ascii="仿宋" w:hAnsi="仿宋" w:eastAsia="仿宋" w:cs="仿宋"/>
          <w:spacing w:val="7"/>
          <w:sz w:val="32"/>
          <w:szCs w:val="32"/>
          <w:lang w:eastAsia="zh-CN"/>
        </w:rPr>
        <w:t>),税率9%，若国家政策导致增值税率发生变化的，不含增值税金额保持不变，合同未执行部分含税价按变化后的税率执行。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val="en-US" w:eastAsia="zh-CN"/>
        </w:rPr>
      </w:pPr>
      <w:r>
        <w:rPr>
          <w:rFonts w:hint="eastAsia" w:ascii="仿宋" w:hAnsi="仿宋" w:eastAsia="仿宋" w:cs="仿宋"/>
          <w:spacing w:val="7"/>
          <w:sz w:val="32"/>
          <w:szCs w:val="32"/>
          <w:lang w:val="en-US" w:eastAsia="zh-CN"/>
        </w:rPr>
        <w:t>2.本合同为固定综合单价合同，综合单价为招标控制价的综合单价×（1-中标净下浮率</w:t>
      </w:r>
      <w:r>
        <w:rPr>
          <w:rFonts w:hint="eastAsia" w:ascii="仿宋" w:hAnsi="仿宋" w:eastAsia="仿宋" w:cs="仿宋"/>
          <w:spacing w:val="7"/>
          <w:sz w:val="32"/>
          <w:szCs w:val="32"/>
          <w:u w:val="single"/>
          <w:lang w:val="en-US" w:eastAsia="zh-CN"/>
        </w:rPr>
        <w:t xml:space="preserve">  </w:t>
      </w:r>
      <w:r>
        <w:rPr>
          <w:rFonts w:hint="eastAsia" w:ascii="仿宋" w:hAnsi="仿宋" w:eastAsia="仿宋" w:cs="仿宋"/>
          <w:spacing w:val="7"/>
          <w:sz w:val="32"/>
          <w:szCs w:val="32"/>
          <w:lang w:val="en-US" w:eastAsia="zh-CN"/>
        </w:rPr>
        <w:t>%），最终结算工程量以发包人确认的实际工程量为准。</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仿宋" w:hAnsi="仿宋" w:eastAsia="仿宋" w:cs="仿宋"/>
          <w:b/>
          <w:bCs/>
          <w:spacing w:val="-7"/>
          <w:sz w:val="32"/>
          <w:szCs w:val="32"/>
          <w:lang w:val="en-US" w:eastAsia="zh-CN"/>
        </w:rPr>
      </w:pPr>
      <w:r>
        <w:rPr>
          <w:rFonts w:hint="eastAsia" w:ascii="仿宋" w:hAnsi="仿宋" w:eastAsia="仿宋" w:cs="仿宋"/>
          <w:b/>
          <w:bCs/>
          <w:spacing w:val="-7"/>
          <w:sz w:val="32"/>
          <w:szCs w:val="32"/>
          <w:lang w:val="en-US" w:eastAsia="zh-CN"/>
        </w:rPr>
        <w:t>六、合同价款约定及结算方式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outlineLvl w:val="2"/>
        <w:rPr>
          <w:rFonts w:hint="eastAsia" w:ascii="仿宋" w:hAnsi="仿宋" w:eastAsia="仿宋" w:cs="仿宋"/>
          <w:b/>
          <w:bCs/>
          <w:spacing w:val="7"/>
          <w:sz w:val="32"/>
          <w:szCs w:val="32"/>
          <w:lang w:eastAsia="zh-CN"/>
        </w:rPr>
      </w:pPr>
      <w:r>
        <w:rPr>
          <w:rFonts w:hint="eastAsia" w:ascii="仿宋" w:hAnsi="仿宋" w:eastAsia="仿宋" w:cs="仿宋"/>
          <w:b/>
          <w:bCs/>
          <w:spacing w:val="7"/>
          <w:sz w:val="32"/>
          <w:szCs w:val="32"/>
          <w:lang w:eastAsia="zh-CN"/>
        </w:rPr>
        <w:t>（</w:t>
      </w:r>
      <w:r>
        <w:rPr>
          <w:rFonts w:hint="eastAsia" w:ascii="仿宋" w:hAnsi="仿宋" w:eastAsia="仿宋" w:cs="仿宋"/>
          <w:b/>
          <w:bCs/>
          <w:spacing w:val="7"/>
          <w:sz w:val="32"/>
          <w:szCs w:val="32"/>
          <w:lang w:val="en-US" w:eastAsia="zh-CN"/>
        </w:rPr>
        <w:t>一</w:t>
      </w:r>
      <w:r>
        <w:rPr>
          <w:rFonts w:hint="eastAsia" w:ascii="仿宋" w:hAnsi="仿宋" w:eastAsia="仿宋" w:cs="仿宋"/>
          <w:b/>
          <w:bCs/>
          <w:spacing w:val="7"/>
          <w:sz w:val="32"/>
          <w:szCs w:val="32"/>
          <w:lang w:eastAsia="zh-CN"/>
        </w:rPr>
        <w:t>）计量计价依据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1</w:t>
      </w:r>
      <w:r>
        <w:rPr>
          <w:rFonts w:hint="eastAsia" w:ascii="仿宋" w:hAnsi="仿宋" w:eastAsia="仿宋" w:cs="仿宋"/>
          <w:spacing w:val="7"/>
          <w:sz w:val="32"/>
          <w:szCs w:val="32"/>
          <w:lang w:val="en-US" w:eastAsia="zh-CN"/>
        </w:rPr>
        <w:t>.</w:t>
      </w:r>
      <w:r>
        <w:rPr>
          <w:rFonts w:hint="eastAsia" w:ascii="仿宋" w:hAnsi="仿宋" w:eastAsia="仿宋" w:cs="仿宋"/>
          <w:spacing w:val="7"/>
          <w:sz w:val="32"/>
          <w:szCs w:val="32"/>
          <w:lang w:eastAsia="zh-CN"/>
        </w:rPr>
        <w:t xml:space="preserve">《建设工程工程量清单计价规范》(GB50500-2013)；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default" w:ascii="仿宋" w:hAnsi="仿宋" w:eastAsia="仿宋" w:cs="仿宋"/>
          <w:spacing w:val="7"/>
          <w:sz w:val="32"/>
          <w:szCs w:val="32"/>
          <w:lang w:val="en-US" w:eastAsia="zh-CN"/>
        </w:rPr>
      </w:pPr>
      <w:r>
        <w:rPr>
          <w:rFonts w:hint="eastAsia" w:ascii="仿宋" w:hAnsi="仿宋" w:eastAsia="仿宋" w:cs="仿宋"/>
          <w:spacing w:val="7"/>
          <w:sz w:val="32"/>
          <w:szCs w:val="32"/>
          <w:lang w:eastAsia="zh-CN"/>
        </w:rPr>
        <w:t>2</w:t>
      </w:r>
      <w:r>
        <w:rPr>
          <w:rFonts w:hint="eastAsia" w:ascii="仿宋" w:hAnsi="仿宋" w:eastAsia="仿宋" w:cs="仿宋"/>
          <w:spacing w:val="7"/>
          <w:sz w:val="32"/>
          <w:szCs w:val="32"/>
          <w:lang w:val="en-US" w:eastAsia="zh-CN"/>
        </w:rPr>
        <w:t>.</w:t>
      </w:r>
      <w:r>
        <w:rPr>
          <w:rFonts w:hint="eastAsia" w:ascii="仿宋" w:hAnsi="仿宋" w:eastAsia="仿宋" w:cs="仿宋"/>
          <w:spacing w:val="7"/>
          <w:sz w:val="32"/>
          <w:szCs w:val="32"/>
          <w:lang w:eastAsia="zh-CN"/>
        </w:rPr>
        <w:t>《关于实施房屋建筑与装饰工程等专业工程量计算规范（GB50854～862－2013）的规定》；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3</w:t>
      </w:r>
      <w:r>
        <w:rPr>
          <w:rFonts w:hint="eastAsia" w:ascii="仿宋" w:hAnsi="仿宋" w:eastAsia="仿宋" w:cs="仿宋"/>
          <w:spacing w:val="7"/>
          <w:sz w:val="32"/>
          <w:szCs w:val="32"/>
          <w:lang w:val="en-US" w:eastAsia="zh-CN"/>
        </w:rPr>
        <w:t>.</w:t>
      </w:r>
      <w:r>
        <w:rPr>
          <w:rFonts w:hint="eastAsia" w:ascii="仿宋" w:hAnsi="仿宋" w:eastAsia="仿宋" w:cs="仿宋"/>
          <w:spacing w:val="7"/>
          <w:sz w:val="32"/>
          <w:szCs w:val="32"/>
          <w:lang w:eastAsia="zh-CN"/>
        </w:rPr>
        <w:t>《深圳市建筑工程消耗量定额(2016)》､《深圳市装配式建筑工程消耗量定额(2016)》、《深圳市市政工程消耗量定额(2017)》､《深圳市装饰工程消耗量定额(2020)》､《深圳市安装工程消耗量定额(2020) 》､《深圳市园林建筑绿化工程消耗量定额(2017)》､《深圳市建设工程施工工期标准(2017)》；</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outlineLvl w:val="3"/>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4</w:t>
      </w:r>
      <w:r>
        <w:rPr>
          <w:rFonts w:hint="eastAsia" w:ascii="仿宋" w:hAnsi="仿宋" w:eastAsia="仿宋" w:cs="仿宋"/>
          <w:spacing w:val="7"/>
          <w:sz w:val="32"/>
          <w:szCs w:val="32"/>
          <w:lang w:val="en-US" w:eastAsia="zh-CN"/>
        </w:rPr>
        <w:t>.</w:t>
      </w:r>
      <w:r>
        <w:rPr>
          <w:rFonts w:hint="eastAsia" w:ascii="仿宋" w:hAnsi="仿宋" w:eastAsia="仿宋" w:cs="仿宋"/>
          <w:spacing w:val="7"/>
          <w:sz w:val="32"/>
          <w:szCs w:val="32"/>
          <w:lang w:eastAsia="zh-CN"/>
        </w:rPr>
        <w:t xml:space="preserve">《深圳市建设工程计价规程》(2017)；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5</w:t>
      </w:r>
      <w:r>
        <w:rPr>
          <w:rFonts w:hint="eastAsia" w:ascii="仿宋" w:hAnsi="仿宋" w:eastAsia="仿宋" w:cs="仿宋"/>
          <w:spacing w:val="7"/>
          <w:sz w:val="32"/>
          <w:szCs w:val="32"/>
          <w:lang w:val="en-US" w:eastAsia="zh-CN"/>
        </w:rPr>
        <w:t>.</w:t>
      </w:r>
      <w:r>
        <w:rPr>
          <w:rFonts w:hint="eastAsia" w:ascii="仿宋" w:hAnsi="仿宋" w:eastAsia="仿宋" w:cs="仿宋"/>
          <w:spacing w:val="7"/>
          <w:sz w:val="32"/>
          <w:szCs w:val="32"/>
          <w:lang w:eastAsia="zh-CN"/>
        </w:rPr>
        <w:t>材料价格按《深圳市建设工程价格信息》202</w:t>
      </w:r>
      <w:r>
        <w:rPr>
          <w:rFonts w:hint="eastAsia" w:ascii="仿宋" w:hAnsi="仿宋" w:eastAsia="仿宋" w:cs="仿宋"/>
          <w:spacing w:val="7"/>
          <w:sz w:val="32"/>
          <w:szCs w:val="32"/>
          <w:lang w:val="en-US" w:eastAsia="zh-CN"/>
        </w:rPr>
        <w:t>4</w:t>
      </w:r>
      <w:r>
        <w:rPr>
          <w:rFonts w:hint="eastAsia" w:ascii="仿宋" w:hAnsi="仿宋" w:eastAsia="仿宋" w:cs="仿宋"/>
          <w:spacing w:val="7"/>
          <w:sz w:val="32"/>
          <w:szCs w:val="32"/>
          <w:lang w:eastAsia="zh-CN"/>
        </w:rPr>
        <w:t>年第</w:t>
      </w:r>
      <w:r>
        <w:rPr>
          <w:rFonts w:hint="eastAsia" w:ascii="仿宋" w:hAnsi="仿宋" w:eastAsia="仿宋" w:cs="仿宋"/>
          <w:spacing w:val="7"/>
          <w:sz w:val="32"/>
          <w:szCs w:val="32"/>
          <w:lang w:val="en-US" w:eastAsia="zh-CN"/>
        </w:rPr>
        <w:t>4</w:t>
      </w:r>
      <w:r>
        <w:rPr>
          <w:rFonts w:hint="eastAsia" w:ascii="仿宋" w:hAnsi="仿宋" w:eastAsia="仿宋" w:cs="仿宋"/>
          <w:spacing w:val="7"/>
          <w:sz w:val="32"/>
          <w:szCs w:val="32"/>
          <w:lang w:eastAsia="zh-CN"/>
        </w:rPr>
        <w:t>期信息价计取，园林苗木价格选用《深圳建设工程价格信息》202</w:t>
      </w:r>
      <w:r>
        <w:rPr>
          <w:rFonts w:hint="eastAsia" w:ascii="仿宋" w:hAnsi="仿宋" w:eastAsia="仿宋" w:cs="仿宋"/>
          <w:spacing w:val="7"/>
          <w:sz w:val="32"/>
          <w:szCs w:val="32"/>
          <w:lang w:val="en-US" w:eastAsia="zh-CN"/>
        </w:rPr>
        <w:t>4</w:t>
      </w:r>
      <w:r>
        <w:rPr>
          <w:rFonts w:hint="eastAsia" w:ascii="仿宋" w:hAnsi="仿宋" w:eastAsia="仿宋" w:cs="仿宋"/>
          <w:spacing w:val="7"/>
          <w:sz w:val="32"/>
          <w:szCs w:val="32"/>
          <w:lang w:eastAsia="zh-CN"/>
        </w:rPr>
        <w:t>年第</w:t>
      </w:r>
      <w:r>
        <w:rPr>
          <w:rFonts w:hint="eastAsia" w:ascii="仿宋" w:hAnsi="仿宋" w:eastAsia="仿宋" w:cs="仿宋"/>
          <w:spacing w:val="7"/>
          <w:sz w:val="32"/>
          <w:szCs w:val="32"/>
          <w:lang w:val="en-US" w:eastAsia="zh-CN"/>
        </w:rPr>
        <w:t>一</w:t>
      </w:r>
      <w:r>
        <w:rPr>
          <w:rFonts w:hint="eastAsia" w:ascii="仿宋" w:hAnsi="仿宋" w:eastAsia="仿宋" w:cs="仿宋"/>
          <w:spacing w:val="7"/>
          <w:sz w:val="32"/>
          <w:szCs w:val="32"/>
          <w:lang w:eastAsia="zh-CN"/>
        </w:rPr>
        <w:t>季度信息价计取，当期未有的信息价往前依次类推，对于《深圳建设工程价格信息》缺少的主要材料设备价格，采用询价方式确定，询价方法按照《深圳市建设工程材料设备询价采购办法》的有关规定执行，取被询价单位报价合理值，经询价确认的材料设备价格不参与下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6</w:t>
      </w:r>
      <w:r>
        <w:rPr>
          <w:rFonts w:hint="eastAsia" w:ascii="仿宋" w:hAnsi="仿宋" w:eastAsia="仿宋" w:cs="仿宋"/>
          <w:spacing w:val="7"/>
          <w:sz w:val="32"/>
          <w:szCs w:val="32"/>
          <w:lang w:val="en-US" w:eastAsia="zh-CN"/>
        </w:rPr>
        <w:t>.</w:t>
      </w:r>
      <w:r>
        <w:rPr>
          <w:rFonts w:hint="eastAsia" w:ascii="仿宋" w:hAnsi="仿宋" w:eastAsia="仿宋" w:cs="仿宋"/>
          <w:spacing w:val="7"/>
          <w:sz w:val="32"/>
          <w:szCs w:val="32"/>
          <w:lang w:eastAsia="zh-CN"/>
        </w:rPr>
        <w:t>取费标准:按《深圳市建设工程计价费率标准(2023)》中的相关专业推荐费率，其它按深圳市现行有关文件执行。其中，增值税综合应纳税费率根据《深圳市建筑业营改增建设工程计价依据调整实施细则（试行）》（深建市场〔2016〕14号）及《住房和城乡建设部办公厅关于重新调整建设工程计价依据增值税税率的通知》（建办标函〔2019〕193号））的规定计取。</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val="sq-AL" w:eastAsia="zh-CN"/>
        </w:rPr>
      </w:pPr>
      <w:r>
        <w:rPr>
          <w:rFonts w:hint="eastAsia" w:ascii="仿宋" w:hAnsi="仿宋" w:eastAsia="仿宋" w:cs="仿宋"/>
          <w:spacing w:val="7"/>
          <w:sz w:val="32"/>
          <w:szCs w:val="32"/>
          <w:lang w:eastAsia="zh-CN"/>
        </w:rPr>
        <w:t>7</w:t>
      </w:r>
      <w:r>
        <w:rPr>
          <w:rFonts w:hint="eastAsia" w:ascii="仿宋" w:hAnsi="仿宋" w:eastAsia="仿宋" w:cs="仿宋"/>
          <w:spacing w:val="7"/>
          <w:sz w:val="32"/>
          <w:szCs w:val="32"/>
          <w:lang w:val="en-US" w:eastAsia="zh-CN"/>
        </w:rPr>
        <w:t>.</w:t>
      </w:r>
      <w:r>
        <w:rPr>
          <w:rFonts w:hint="eastAsia" w:ascii="仿宋" w:hAnsi="仿宋" w:eastAsia="仿宋" w:cs="仿宋"/>
          <w:spacing w:val="7"/>
          <w:sz w:val="32"/>
          <w:szCs w:val="32"/>
          <w:lang w:val="sq-AL" w:eastAsia="zh-CN"/>
        </w:rPr>
        <w:t>净下浮率=[1－中标价（扣除不可竞争费）÷招标</w:t>
      </w:r>
      <w:r>
        <w:rPr>
          <w:rFonts w:hint="eastAsia" w:ascii="仿宋" w:hAnsi="仿宋" w:eastAsia="仿宋" w:cs="仿宋"/>
          <w:spacing w:val="7"/>
          <w:sz w:val="32"/>
          <w:szCs w:val="32"/>
          <w:lang w:val="en-US" w:eastAsia="zh-CN"/>
        </w:rPr>
        <w:t>控制</w:t>
      </w:r>
      <w:r>
        <w:rPr>
          <w:rFonts w:hint="eastAsia" w:ascii="仿宋" w:hAnsi="仿宋" w:eastAsia="仿宋" w:cs="仿宋"/>
          <w:spacing w:val="7"/>
          <w:sz w:val="32"/>
          <w:szCs w:val="32"/>
          <w:lang w:val="sq-AL" w:eastAsia="zh-CN"/>
        </w:rPr>
        <w:t>价（扣除不可竞争费）]×100%</w:t>
      </w:r>
      <w:r>
        <w:rPr>
          <w:rFonts w:hint="eastAsia" w:ascii="仿宋" w:hAnsi="仿宋" w:eastAsia="仿宋" w:cs="仿宋"/>
          <w:spacing w:val="7"/>
          <w:sz w:val="32"/>
          <w:szCs w:val="32"/>
          <w:lang w:eastAsia="zh-CN"/>
        </w:rPr>
        <w:t>，本工程的净下浮率为</w:t>
      </w:r>
      <w:r>
        <w:rPr>
          <w:rFonts w:hint="eastAsia" w:ascii="仿宋" w:hAnsi="仿宋" w:eastAsia="仿宋" w:cs="仿宋"/>
          <w:spacing w:val="7"/>
          <w:sz w:val="32"/>
          <w:szCs w:val="32"/>
          <w:lang w:val="en-US" w:eastAsia="zh-CN"/>
        </w:rPr>
        <w:t xml:space="preserve">    %</w:t>
      </w:r>
      <w:r>
        <w:rPr>
          <w:rFonts w:hint="eastAsia" w:ascii="仿宋" w:hAnsi="仿宋" w:eastAsia="仿宋" w:cs="仿宋"/>
          <w:spacing w:val="7"/>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注：</w:t>
      </w:r>
      <w:r>
        <w:rPr>
          <w:rFonts w:hint="eastAsia" w:ascii="仿宋" w:hAnsi="仿宋" w:eastAsia="仿宋" w:cs="仿宋"/>
          <w:spacing w:val="7"/>
          <w:sz w:val="32"/>
          <w:szCs w:val="32"/>
          <w:lang w:val="sq-AL" w:eastAsia="zh-CN"/>
        </w:rPr>
        <w:t>不可竞争费</w:t>
      </w:r>
      <w:r>
        <w:rPr>
          <w:rFonts w:hint="eastAsia" w:ascii="仿宋" w:hAnsi="仿宋" w:eastAsia="仿宋" w:cs="仿宋"/>
          <w:spacing w:val="7"/>
          <w:sz w:val="32"/>
          <w:szCs w:val="32"/>
          <w:lang w:eastAsia="zh-CN"/>
        </w:rPr>
        <w:t>包括</w:t>
      </w:r>
      <w:r>
        <w:rPr>
          <w:rFonts w:hint="eastAsia" w:ascii="仿宋" w:hAnsi="仿宋" w:eastAsia="仿宋" w:cs="仿宋"/>
          <w:spacing w:val="7"/>
          <w:sz w:val="32"/>
          <w:szCs w:val="32"/>
          <w:lang w:val="sq-AL" w:eastAsia="zh-CN"/>
        </w:rPr>
        <w:t>：安全文明施工费、专业工程暂估价、</w:t>
      </w:r>
      <w:r>
        <w:rPr>
          <w:rFonts w:hint="eastAsia" w:ascii="仿宋" w:hAnsi="仿宋" w:eastAsia="仿宋" w:cs="仿宋"/>
          <w:spacing w:val="7"/>
          <w:sz w:val="32"/>
          <w:szCs w:val="32"/>
          <w:lang w:eastAsia="zh-CN"/>
        </w:rPr>
        <w:t>材料设备暂估价、</w:t>
      </w:r>
      <w:r>
        <w:rPr>
          <w:rFonts w:hint="eastAsia" w:ascii="仿宋" w:hAnsi="仿宋" w:eastAsia="仿宋" w:cs="仿宋"/>
          <w:spacing w:val="7"/>
          <w:sz w:val="32"/>
          <w:szCs w:val="32"/>
          <w:lang w:val="sq-AL" w:eastAsia="zh-CN"/>
        </w:rPr>
        <w:t>暂列金额、优质优价奖励费，以及其它不可竞争费。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8</w:t>
      </w:r>
      <w:r>
        <w:rPr>
          <w:rFonts w:hint="eastAsia" w:ascii="仿宋" w:hAnsi="仿宋" w:eastAsia="仿宋" w:cs="仿宋"/>
          <w:spacing w:val="7"/>
          <w:sz w:val="32"/>
          <w:szCs w:val="32"/>
          <w:lang w:val="en-US" w:eastAsia="zh-CN"/>
        </w:rPr>
        <w:t>.</w:t>
      </w:r>
      <w:r>
        <w:rPr>
          <w:rFonts w:hint="eastAsia" w:ascii="仿宋" w:hAnsi="仿宋" w:eastAsia="仿宋" w:cs="仿宋"/>
          <w:spacing w:val="7"/>
          <w:sz w:val="32"/>
          <w:szCs w:val="32"/>
          <w:lang w:eastAsia="zh-CN"/>
        </w:rPr>
        <w:t>其他深圳市现行相关计价规范及标准；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9</w:t>
      </w:r>
      <w:r>
        <w:rPr>
          <w:rFonts w:hint="eastAsia" w:ascii="仿宋" w:hAnsi="仿宋" w:eastAsia="仿宋" w:cs="仿宋"/>
          <w:spacing w:val="7"/>
          <w:sz w:val="32"/>
          <w:szCs w:val="32"/>
          <w:lang w:val="en-US" w:eastAsia="zh-CN"/>
        </w:rPr>
        <w:t>.</w:t>
      </w:r>
      <w:r>
        <w:rPr>
          <w:rFonts w:hint="eastAsia" w:ascii="仿宋" w:hAnsi="仿宋" w:eastAsia="仿宋" w:cs="仿宋"/>
          <w:spacing w:val="7"/>
          <w:sz w:val="32"/>
          <w:szCs w:val="32"/>
          <w:lang w:eastAsia="zh-CN"/>
        </w:rPr>
        <w:t>施工图纸；</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10</w:t>
      </w:r>
      <w:r>
        <w:rPr>
          <w:rFonts w:hint="eastAsia" w:ascii="仿宋" w:hAnsi="仿宋" w:eastAsia="仿宋" w:cs="仿宋"/>
          <w:spacing w:val="7"/>
          <w:sz w:val="32"/>
          <w:szCs w:val="32"/>
          <w:lang w:val="en-US" w:eastAsia="zh-CN"/>
        </w:rPr>
        <w:t>.</w:t>
      </w:r>
      <w:r>
        <w:rPr>
          <w:rFonts w:hint="eastAsia" w:ascii="仿宋" w:hAnsi="仿宋" w:eastAsia="仿宋" w:cs="仿宋"/>
          <w:spacing w:val="7"/>
          <w:sz w:val="32"/>
          <w:szCs w:val="32"/>
          <w:lang w:eastAsia="zh-CN"/>
        </w:rPr>
        <w:t>本工程招标文件的招标技术要求；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11</w:t>
      </w:r>
      <w:r>
        <w:rPr>
          <w:rFonts w:hint="eastAsia" w:ascii="仿宋" w:hAnsi="仿宋" w:eastAsia="仿宋" w:cs="仿宋"/>
          <w:spacing w:val="7"/>
          <w:sz w:val="32"/>
          <w:szCs w:val="32"/>
          <w:lang w:val="en-US" w:eastAsia="zh-CN"/>
        </w:rPr>
        <w:t>.</w:t>
      </w:r>
      <w:r>
        <w:rPr>
          <w:rFonts w:hint="eastAsia" w:ascii="仿宋" w:hAnsi="仿宋" w:eastAsia="仿宋" w:cs="仿宋"/>
          <w:spacing w:val="7"/>
          <w:sz w:val="32"/>
          <w:szCs w:val="32"/>
          <w:lang w:eastAsia="zh-CN"/>
        </w:rPr>
        <w:t>本工程招标文件规定施工范围及工程界面。</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outlineLvl w:val="2"/>
        <w:rPr>
          <w:rFonts w:hint="eastAsia" w:ascii="仿宋" w:hAnsi="仿宋" w:eastAsia="仿宋" w:cs="仿宋"/>
          <w:b/>
          <w:bCs/>
          <w:spacing w:val="7"/>
          <w:sz w:val="32"/>
          <w:szCs w:val="32"/>
          <w:lang w:eastAsia="zh-CN"/>
        </w:rPr>
      </w:pPr>
      <w:r>
        <w:rPr>
          <w:rFonts w:hint="eastAsia" w:ascii="仿宋" w:hAnsi="仿宋" w:eastAsia="仿宋" w:cs="仿宋"/>
          <w:b/>
          <w:bCs/>
          <w:spacing w:val="7"/>
          <w:sz w:val="32"/>
          <w:szCs w:val="32"/>
          <w:lang w:eastAsia="zh-CN"/>
        </w:rPr>
        <w:t>（</w:t>
      </w:r>
      <w:r>
        <w:rPr>
          <w:rFonts w:hint="eastAsia" w:ascii="仿宋" w:hAnsi="仿宋" w:eastAsia="仿宋" w:cs="仿宋"/>
          <w:b/>
          <w:bCs/>
          <w:spacing w:val="7"/>
          <w:sz w:val="32"/>
          <w:szCs w:val="32"/>
          <w:lang w:val="en-US" w:eastAsia="zh-CN"/>
        </w:rPr>
        <w:t>二</w:t>
      </w:r>
      <w:r>
        <w:rPr>
          <w:rFonts w:hint="eastAsia" w:ascii="仿宋" w:hAnsi="仿宋" w:eastAsia="仿宋" w:cs="仿宋"/>
          <w:b/>
          <w:bCs/>
          <w:spacing w:val="7"/>
          <w:sz w:val="32"/>
          <w:szCs w:val="32"/>
          <w:lang w:eastAsia="zh-CN"/>
        </w:rPr>
        <w:t>）计价原则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本工程为</w:t>
      </w:r>
      <w:r>
        <w:rPr>
          <w:rFonts w:hint="eastAsia" w:ascii="仿宋" w:hAnsi="仿宋" w:eastAsia="仿宋" w:cs="仿宋"/>
          <w:b/>
          <w:bCs/>
          <w:spacing w:val="7"/>
          <w:sz w:val="32"/>
          <w:szCs w:val="32"/>
          <w:lang w:eastAsia="zh-CN"/>
        </w:rPr>
        <w:t>固定综合单价</w:t>
      </w:r>
      <w:r>
        <w:rPr>
          <w:rFonts w:hint="eastAsia" w:ascii="仿宋" w:hAnsi="仿宋" w:eastAsia="仿宋" w:cs="仿宋"/>
          <w:spacing w:val="7"/>
          <w:sz w:val="32"/>
          <w:szCs w:val="32"/>
          <w:lang w:eastAsia="zh-CN"/>
        </w:rPr>
        <w:t>合同。合同清单综合单价包含为完成工程量清单项目及施工图纸所对应的所有工序及内容。承包人在投标报价中如有错漏，视为承包人在投标报价时项目单价和合价中已综合考虑，构成合同价款项目的单价不作调整。发包人不接受承包人基于任何工作子目单价在投标时的组价不当（包括但不限于工作子目对应的工作内容理解的偏差、工料机消耗量水平的确定、生产要素市场价格的判断、取费等）或任何其他差错而主张的任何损失或索赔。除合同文件和招标文件另有约定外，工程结算时不得以工程量清单价格子目组价不当未包含施工图工作内容而提出任何增加费用的索赔。</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本工程主要的措施项目包括但不限于安全文明施工措施费；履约担保手续费；夜间施工费；赶工措施费；冬雨季施工费；已完成工程及设备保护费；地上地下设施及建筑物的临时保护费；混凝土、钢筋混凝土模板及支架费；二次搬运费；脚手架费；垂直运输机械费；大型机械设备进出场及安拆费；施工排水、降水费；红线外临时占地租用费；施工交通组织措施费；土石方开挖及基坑支护专项方案的专家评审费；临时用水用电接驳；施工现场清洁费；施工便道费；临时道路修建/占用/修复费；现场工地围挡工程费、综合管线绘制等。措施费中以项为单位列项的，以该项投标报价包干，结算时不予调整（安装部分所需之脚手架搭拆费在措施费中按项计取，但结算按实调整）。可计算工程量的，结算时工程量按实际发生量计算；安全文明措施按照投标时对应费率计算；在施工措施项目清单中未列出者，则视为该措施项目的费用已由投标人分摊在分部分项工程量清单的单价或已列施工措施项目的金额中，其费用不单独计取。</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b/>
          <w:bCs/>
          <w:spacing w:val="7"/>
          <w:sz w:val="32"/>
          <w:szCs w:val="32"/>
          <w:lang w:eastAsia="zh-CN"/>
        </w:rPr>
        <w:t>合同综合单价的风险范围</w:t>
      </w:r>
      <w:r>
        <w:rPr>
          <w:rFonts w:hint="eastAsia" w:ascii="仿宋" w:hAnsi="仿宋" w:eastAsia="仿宋" w:cs="仿宋"/>
          <w:spacing w:val="7"/>
          <w:sz w:val="32"/>
          <w:szCs w:val="32"/>
          <w:lang w:eastAsia="zh-CN"/>
        </w:rPr>
        <w:t>：包括但不限于完成本工程所有的材料费、人工费、机械费、</w:t>
      </w:r>
      <w:r>
        <w:rPr>
          <w:rFonts w:hint="eastAsia" w:ascii="仿宋" w:hAnsi="仿宋" w:eastAsia="仿宋" w:cs="仿宋"/>
          <w:b/>
          <w:bCs/>
          <w:spacing w:val="7"/>
          <w:sz w:val="32"/>
          <w:szCs w:val="32"/>
          <w:lang w:eastAsia="zh-CN"/>
        </w:rPr>
        <w:t>检验试验费</w:t>
      </w:r>
      <w:r>
        <w:rPr>
          <w:rFonts w:hint="eastAsia" w:ascii="仿宋" w:hAnsi="仿宋" w:eastAsia="仿宋" w:cs="仿宋"/>
          <w:spacing w:val="7"/>
          <w:sz w:val="32"/>
          <w:szCs w:val="32"/>
          <w:lang w:eastAsia="zh-CN"/>
        </w:rPr>
        <w:t>、施工水电费、土石方场内多次转运、材料设备场内多次转运、装卸费、成品保护费、工程建设标准和技术规范要求的费用、施工方案论证、施工图深化设计、技术处理费、缺陷修复费、验收移交、联合调试、对本工程相关的各专业工程提供协调及配合服务、合同工期内的赶工费、与知识产权相关的费用，治安、消防、安全、环保等主管部门因进行工程所规定应由施工单位所交纳的任何收费，民扰及扰民费，管理费、利润、各种施工风险、市场风险（除可调差情形外）、其他为按时按质完成本合同所规定工作的除措施费外所有直接和间接费用（不论图纸、规范、工程技术要求、工程量清单报价书中有没有说明），及本合同虽未提及但承包人在完成本工程过程中必须支付的与本工程相关的其他费用。</w:t>
      </w:r>
      <w:r>
        <w:rPr>
          <w:rFonts w:hint="eastAsia" w:ascii="仿宋" w:hAnsi="仿宋" w:eastAsia="仿宋" w:cs="仿宋"/>
          <w:b/>
          <w:bCs/>
          <w:spacing w:val="7"/>
          <w:sz w:val="32"/>
          <w:szCs w:val="32"/>
          <w:lang w:eastAsia="zh-CN"/>
        </w:rPr>
        <w:t>除本合同另有约定，本合同综合单价不作调整。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结算时工程量按实际发生量计算，</w:t>
      </w:r>
      <w:r>
        <w:rPr>
          <w:rFonts w:hint="eastAsia" w:ascii="仿宋" w:hAnsi="仿宋" w:eastAsia="仿宋" w:cs="仿宋"/>
          <w:b/>
          <w:bCs/>
          <w:spacing w:val="7"/>
          <w:sz w:val="32"/>
          <w:szCs w:val="32"/>
          <w:lang w:eastAsia="zh-CN"/>
        </w:rPr>
        <w:t>工程量依据承包范围内经发包人确认的施工图、图纸会审纪要、设计变更通知单、经发包人批准的现场签证单等计算工程量。</w:t>
      </w:r>
      <w:r>
        <w:rPr>
          <w:rFonts w:hint="eastAsia" w:ascii="仿宋" w:hAnsi="仿宋" w:eastAsia="仿宋" w:cs="仿宋"/>
          <w:spacing w:val="7"/>
          <w:sz w:val="32"/>
          <w:szCs w:val="32"/>
          <w:lang w:eastAsia="zh-CN"/>
        </w:rPr>
        <w:t>对施工质量不合格的分项工程，不予计量。</w:t>
      </w:r>
      <w:r>
        <w:rPr>
          <w:rFonts w:hint="eastAsia" w:ascii="仿宋" w:hAnsi="仿宋" w:eastAsia="仿宋" w:cs="仿宋"/>
          <w:spacing w:val="7"/>
          <w:sz w:val="32"/>
          <w:szCs w:val="32"/>
          <w:lang w:val="sq-AL" w:eastAsia="zh-CN"/>
        </w:rPr>
        <w:t>如图纸不能计量的，工程量由发包人、承包人、监理单位、咨询人四方现场计量确认（应包含现场草图、影像资料、工程量确认单）。</w:t>
      </w:r>
      <w:r>
        <w:rPr>
          <w:rFonts w:hint="eastAsia" w:ascii="仿宋" w:hAnsi="仿宋" w:eastAsia="仿宋" w:cs="仿宋"/>
          <w:spacing w:val="7"/>
          <w:sz w:val="32"/>
          <w:szCs w:val="32"/>
          <w:lang w:eastAsia="zh-CN"/>
        </w:rPr>
        <w:t>因承包人自身原因造成的返工工程量、超出图纸范围又未经变更审批的工程量、不符合工程质量标准的工程量、发包人书面通知承包人取消的工程量，均不予计量。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另，承包人不得以施工图工程量与招标工程量清单工程量不同（无论这种不同存在差异有多大）或工程变更引起工程量增减为由要求调整综合单价。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default" w:ascii="仿宋" w:hAnsi="仿宋" w:eastAsia="仿宋" w:cs="仿宋"/>
          <w:spacing w:val="7"/>
          <w:sz w:val="32"/>
          <w:szCs w:val="32"/>
          <w:lang w:val="en-US" w:eastAsia="zh-CN"/>
        </w:rPr>
      </w:pPr>
      <w:r>
        <w:rPr>
          <w:rFonts w:hint="eastAsia" w:ascii="仿宋" w:hAnsi="仿宋" w:eastAsia="仿宋" w:cs="仿宋"/>
          <w:b/>
          <w:bCs/>
          <w:spacing w:val="7"/>
          <w:sz w:val="32"/>
          <w:szCs w:val="32"/>
          <w:lang w:val="en-US" w:eastAsia="zh-CN"/>
        </w:rPr>
        <w:t>（三）</w:t>
      </w:r>
      <w:r>
        <w:rPr>
          <w:rFonts w:hint="eastAsia" w:ascii="仿宋" w:hAnsi="仿宋" w:eastAsia="仿宋" w:cs="仿宋"/>
          <w:b/>
          <w:bCs/>
          <w:spacing w:val="7"/>
          <w:sz w:val="32"/>
          <w:szCs w:val="32"/>
          <w:lang w:eastAsia="zh-CN"/>
        </w:rPr>
        <w:t>工料机调差：</w:t>
      </w:r>
      <w:r>
        <w:rPr>
          <w:rFonts w:hint="eastAsia" w:ascii="仿宋" w:hAnsi="仿宋" w:eastAsia="仿宋" w:cs="仿宋"/>
          <w:b/>
          <w:bCs/>
          <w:spacing w:val="7"/>
          <w:sz w:val="32"/>
          <w:szCs w:val="32"/>
          <w:lang w:val="en-US" w:eastAsia="zh-CN"/>
        </w:rPr>
        <w:t>无</w:t>
      </w:r>
      <w:r>
        <w:rPr>
          <w:rFonts w:hint="eastAsia" w:ascii="仿宋" w:hAnsi="仿宋" w:eastAsia="仿宋" w:cs="仿宋"/>
          <w:spacing w:val="7"/>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b/>
          <w:bCs/>
          <w:spacing w:val="7"/>
          <w:sz w:val="32"/>
          <w:szCs w:val="32"/>
          <w:lang w:eastAsia="zh-CN"/>
        </w:rPr>
      </w:pPr>
      <w:r>
        <w:rPr>
          <w:rFonts w:hint="eastAsia" w:ascii="仿宋" w:hAnsi="仿宋" w:eastAsia="仿宋" w:cs="仿宋"/>
          <w:b/>
          <w:bCs/>
          <w:spacing w:val="7"/>
          <w:sz w:val="32"/>
          <w:szCs w:val="32"/>
          <w:lang w:eastAsia="zh-CN"/>
        </w:rPr>
        <w:t>（</w:t>
      </w:r>
      <w:r>
        <w:rPr>
          <w:rFonts w:hint="eastAsia" w:ascii="仿宋" w:hAnsi="仿宋" w:eastAsia="仿宋" w:cs="仿宋"/>
          <w:b/>
          <w:bCs/>
          <w:spacing w:val="7"/>
          <w:sz w:val="32"/>
          <w:szCs w:val="32"/>
          <w:lang w:val="en-US" w:eastAsia="zh-CN"/>
        </w:rPr>
        <w:t>四</w:t>
      </w:r>
      <w:r>
        <w:rPr>
          <w:rFonts w:hint="eastAsia" w:ascii="仿宋" w:hAnsi="仿宋" w:eastAsia="仿宋" w:cs="仿宋"/>
          <w:b/>
          <w:bCs/>
          <w:spacing w:val="7"/>
          <w:sz w:val="32"/>
          <w:szCs w:val="32"/>
          <w:lang w:eastAsia="zh-CN"/>
        </w:rPr>
        <w:t>）合同价所包含的内容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根据本项目特点及现场施工条件，以下是可能影响工期及报价的重要风险因素。发包人此条款所列影响施工的情况只是概括性的，并未列尽，承包人应自行仔细核察可能影响施工的一切因素，承包人在施工过程中因以下风险因素而增加的所有投入及费用已包含在</w:t>
      </w:r>
      <w:r>
        <w:rPr>
          <w:rFonts w:hint="eastAsia" w:ascii="仿宋" w:hAnsi="仿宋" w:eastAsia="仿宋" w:cs="仿宋"/>
          <w:b/>
          <w:bCs/>
          <w:spacing w:val="7"/>
          <w:sz w:val="32"/>
          <w:szCs w:val="32"/>
          <w:lang w:eastAsia="zh-CN"/>
        </w:rPr>
        <w:t>签约合同价</w:t>
      </w:r>
      <w:r>
        <w:rPr>
          <w:rFonts w:hint="eastAsia" w:ascii="仿宋" w:hAnsi="仿宋" w:eastAsia="仿宋" w:cs="仿宋"/>
          <w:spacing w:val="7"/>
          <w:sz w:val="32"/>
          <w:szCs w:val="32"/>
          <w:lang w:eastAsia="zh-CN"/>
        </w:rPr>
        <w:t>中，发包人不予签证，承包人不得以此为由要求签证或拖延工期。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所有综合单价为固定单价，除合同文件约定可调整的外，该综合单价不因任何因素而调整。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val="en-US" w:eastAsia="zh-CN"/>
        </w:rPr>
        <w:t>1.</w:t>
      </w:r>
      <w:r>
        <w:rPr>
          <w:rFonts w:hint="eastAsia" w:ascii="仿宋" w:hAnsi="仿宋" w:eastAsia="仿宋" w:cs="仿宋"/>
          <w:spacing w:val="7"/>
          <w:sz w:val="32"/>
          <w:szCs w:val="32"/>
          <w:lang w:eastAsia="zh-CN"/>
        </w:rPr>
        <w:t>临建设施及施工场地：本工程临时设施费用包含在</w:t>
      </w:r>
      <w:r>
        <w:rPr>
          <w:rFonts w:hint="eastAsia" w:ascii="仿宋" w:hAnsi="仿宋" w:eastAsia="仿宋" w:cs="仿宋"/>
          <w:b/>
          <w:bCs/>
          <w:spacing w:val="7"/>
          <w:sz w:val="32"/>
          <w:szCs w:val="32"/>
          <w:lang w:eastAsia="zh-CN"/>
        </w:rPr>
        <w:t>签约合同价</w:t>
      </w:r>
      <w:r>
        <w:rPr>
          <w:rFonts w:hint="eastAsia" w:ascii="仿宋" w:hAnsi="仿宋" w:eastAsia="仿宋" w:cs="仿宋"/>
          <w:spacing w:val="7"/>
          <w:sz w:val="32"/>
          <w:szCs w:val="32"/>
          <w:lang w:eastAsia="zh-CN"/>
        </w:rPr>
        <w:t>中。承包人应遵守国家法律法规，执行发包人及监理指令，按照施工图纸、设计变更单、图纸会审纪要、施工及验收规范等进行施工。按合同约定的质量及工期要求完成全部承建内容。合同约定由承包人完成或提供配合的工作（包括合同、会议纪要等的约定内容以及设计变更中涉及的工程指令执行、安全文明施工、成品保护等），凡因承包人原因未能完成或未能按质按期完成的，发包人在通知承包人后，即有权另择施工单位完成，所发生的费用由承包人承担，同时承包人应按签约合同价的20%向发包人支付违约金。发包人另行选择的施工单位的施工时间计入承包人工期，因此导致本合同工期延长的，承包人应承担违约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val="en-US" w:eastAsia="zh-CN"/>
        </w:rPr>
        <w:t>2.</w:t>
      </w:r>
      <w:r>
        <w:rPr>
          <w:rFonts w:hint="eastAsia" w:ascii="仿宋" w:hAnsi="仿宋" w:eastAsia="仿宋" w:cs="仿宋"/>
          <w:spacing w:val="7"/>
          <w:sz w:val="32"/>
          <w:szCs w:val="32"/>
          <w:lang w:eastAsia="zh-CN"/>
        </w:rPr>
        <w:t>施工场地移交：发包人将现场场地移交至承包人，承包人应考虑现场场地与图纸存在的出入，对施工场地进行现状接收，并清理场地内遗留物料、垃圾等。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val="en-US" w:eastAsia="zh-CN"/>
        </w:rPr>
        <w:t>3.</w:t>
      </w:r>
      <w:r>
        <w:rPr>
          <w:rFonts w:hint="eastAsia" w:ascii="仿宋" w:hAnsi="仿宋" w:eastAsia="仿宋" w:cs="仿宋"/>
          <w:spacing w:val="7"/>
          <w:sz w:val="32"/>
          <w:szCs w:val="32"/>
          <w:lang w:eastAsia="zh-CN"/>
        </w:rPr>
        <w:t>赶工措施：承包人应根据本合同中工期及竣工验收节点要求，充分考虑本工程需赶工时因需投入大量的施工人员、管理人员、机械、材料等而引发的费用。该等费用已包含在</w:t>
      </w:r>
      <w:r>
        <w:rPr>
          <w:rFonts w:hint="eastAsia" w:ascii="仿宋" w:hAnsi="仿宋" w:eastAsia="仿宋" w:cs="仿宋"/>
          <w:b/>
          <w:bCs/>
          <w:spacing w:val="7"/>
          <w:sz w:val="32"/>
          <w:szCs w:val="32"/>
          <w:lang w:eastAsia="zh-CN"/>
        </w:rPr>
        <w:t>签约合同价</w:t>
      </w:r>
      <w:r>
        <w:rPr>
          <w:rFonts w:hint="eastAsia" w:ascii="仿宋" w:hAnsi="仿宋" w:eastAsia="仿宋" w:cs="仿宋"/>
          <w:spacing w:val="7"/>
          <w:sz w:val="32"/>
          <w:szCs w:val="32"/>
          <w:lang w:eastAsia="zh-CN"/>
        </w:rPr>
        <w:t>中，承包人不得另行要求发包人承担。</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val="en-US" w:eastAsia="zh-CN"/>
        </w:rPr>
        <w:t>4.</w:t>
      </w:r>
      <w:r>
        <w:rPr>
          <w:rFonts w:hint="eastAsia" w:ascii="仿宋" w:hAnsi="仿宋" w:eastAsia="仿宋" w:cs="仿宋"/>
          <w:spacing w:val="7"/>
          <w:sz w:val="32"/>
          <w:szCs w:val="32"/>
          <w:lang w:eastAsia="zh-CN"/>
        </w:rPr>
        <w:t>主要材料定价：承包人不得以市场材料供应不足为由延误工期，因市场材料供应不足引起材料代换应按合同约定执行，增加的费用由承包人承担。承包人不得因此要求工程签证变更价款或延长工期。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val="en-US" w:eastAsia="zh-CN"/>
        </w:rPr>
        <w:t>5.</w:t>
      </w:r>
      <w:r>
        <w:rPr>
          <w:rFonts w:hint="eastAsia" w:ascii="仿宋" w:hAnsi="仿宋" w:eastAsia="仿宋" w:cs="仿宋"/>
          <w:spacing w:val="7"/>
          <w:sz w:val="32"/>
          <w:szCs w:val="32"/>
          <w:lang w:eastAsia="zh-CN"/>
        </w:rPr>
        <w:t>主要材料设备品牌限定要求：对于本工程所需由发包人确定品牌、样板的材料，承包人需考虑给予发包人不少于10天的品牌、样板确认时间，提前提交完整资料至发包人，非发包人原因引起的或因双方价格确认导致的工期延误不予办理工期顺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val="en-US" w:eastAsia="zh-CN"/>
        </w:rPr>
        <w:t>6.</w:t>
      </w:r>
      <w:r>
        <w:rPr>
          <w:rFonts w:hint="eastAsia" w:ascii="仿宋" w:hAnsi="仿宋" w:eastAsia="仿宋" w:cs="仿宋"/>
          <w:spacing w:val="7"/>
          <w:sz w:val="32"/>
          <w:szCs w:val="32"/>
          <w:lang w:eastAsia="zh-CN"/>
        </w:rPr>
        <w:t>安全文明施工要求：承包人须服从发包人的管理，并按照发包人的相关要求进行施工。管理措施及要求除本合同规定内容外，待承包人进场后，发包人会另行发放现场管理规定，承包人必须无条件服从。</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val="en-US" w:eastAsia="zh-CN"/>
        </w:rPr>
        <w:t>7.</w:t>
      </w:r>
      <w:r>
        <w:rPr>
          <w:rFonts w:hint="eastAsia" w:ascii="仿宋" w:hAnsi="仿宋" w:eastAsia="仿宋" w:cs="仿宋"/>
          <w:spacing w:val="7"/>
          <w:sz w:val="32"/>
          <w:szCs w:val="32"/>
          <w:lang w:eastAsia="zh-CN"/>
        </w:rPr>
        <w:t>工程试车费用：按法律法规或地方规章或政府相关部门规定进行验收和水、电气安装及设备调试、运行，承包人负责各项现场配合事宜。此项费用已包含在</w:t>
      </w:r>
      <w:r>
        <w:rPr>
          <w:rFonts w:hint="eastAsia" w:ascii="仿宋" w:hAnsi="仿宋" w:eastAsia="仿宋" w:cs="仿宋"/>
          <w:b/>
          <w:bCs/>
          <w:spacing w:val="7"/>
          <w:sz w:val="32"/>
          <w:szCs w:val="32"/>
          <w:lang w:eastAsia="zh-CN"/>
        </w:rPr>
        <w:t>签约合同价</w:t>
      </w:r>
      <w:r>
        <w:rPr>
          <w:rFonts w:hint="eastAsia" w:ascii="仿宋" w:hAnsi="仿宋" w:eastAsia="仿宋" w:cs="仿宋"/>
          <w:spacing w:val="7"/>
          <w:sz w:val="32"/>
          <w:szCs w:val="32"/>
          <w:lang w:eastAsia="zh-CN"/>
        </w:rPr>
        <w:t>中，承包人不得另行要求发包人承担。</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val="en-US" w:eastAsia="zh-CN"/>
        </w:rPr>
        <w:t>8.</w:t>
      </w:r>
      <w:r>
        <w:rPr>
          <w:rFonts w:hint="eastAsia" w:ascii="仿宋" w:hAnsi="仿宋" w:eastAsia="仿宋" w:cs="仿宋"/>
          <w:spacing w:val="7"/>
          <w:sz w:val="32"/>
          <w:szCs w:val="32"/>
          <w:lang w:eastAsia="zh-CN"/>
        </w:rPr>
        <w:t>参观视察配合：配合各级政府部门及相关单位参观考察，承包人承诺按发包人要求（包括领导参观考察时发包人临时提出的要求）做好现场的安全文明施工、标语标牌制作安装及陪同工作，因此引发的一切费用均由承包人承担且上述费用包含在</w:t>
      </w:r>
      <w:r>
        <w:rPr>
          <w:rFonts w:hint="eastAsia" w:ascii="仿宋" w:hAnsi="仿宋" w:eastAsia="仿宋" w:cs="仿宋"/>
          <w:b/>
          <w:bCs/>
          <w:spacing w:val="7"/>
          <w:sz w:val="32"/>
          <w:szCs w:val="32"/>
          <w:lang w:eastAsia="zh-CN"/>
        </w:rPr>
        <w:t>签约合同价</w:t>
      </w:r>
      <w:r>
        <w:rPr>
          <w:rFonts w:hint="eastAsia" w:ascii="仿宋" w:hAnsi="仿宋" w:eastAsia="仿宋" w:cs="仿宋"/>
          <w:spacing w:val="7"/>
          <w:sz w:val="32"/>
          <w:szCs w:val="32"/>
          <w:lang w:eastAsia="zh-CN"/>
        </w:rPr>
        <w:t>中。</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val="en-US" w:eastAsia="zh-CN"/>
        </w:rPr>
        <w:t>9.</w:t>
      </w:r>
      <w:r>
        <w:rPr>
          <w:rFonts w:hint="eastAsia" w:ascii="仿宋" w:hAnsi="仿宋" w:eastAsia="仿宋" w:cs="仿宋"/>
          <w:spacing w:val="7"/>
          <w:sz w:val="32"/>
          <w:szCs w:val="32"/>
          <w:lang w:eastAsia="zh-CN"/>
        </w:rPr>
        <w:t>工程范围的调整：施工过程中，发包人有权根据工程实际情况对工程承包范围进行调整，承包人必须服从发包人的协调与安排，因工程范围调整所引起的工程量增减的金额按本合同中变更价款的约定进行计算。</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val="en-US" w:eastAsia="zh-CN"/>
        </w:rPr>
        <w:t>10.</w:t>
      </w:r>
      <w:r>
        <w:rPr>
          <w:rFonts w:hint="eastAsia" w:ascii="仿宋" w:hAnsi="仿宋" w:eastAsia="仿宋" w:cs="仿宋"/>
          <w:spacing w:val="7"/>
          <w:sz w:val="32"/>
          <w:szCs w:val="32"/>
          <w:lang w:eastAsia="zh-CN"/>
        </w:rPr>
        <w:t>成品保护：本工程施工过程中，承包人应按发包人要求采取必要的成品保护措施进行成品保护、清洁和警示，并需考虑在竣工移交前反复保护的措施及费用，承包人报价中充分考虑采取此类措施所带来的费用，此项费用已包含在</w:t>
      </w:r>
      <w:r>
        <w:rPr>
          <w:rFonts w:hint="eastAsia" w:ascii="仿宋" w:hAnsi="仿宋" w:eastAsia="仿宋" w:cs="仿宋"/>
          <w:b/>
          <w:bCs/>
          <w:spacing w:val="7"/>
          <w:sz w:val="32"/>
          <w:szCs w:val="32"/>
          <w:lang w:eastAsia="zh-CN"/>
        </w:rPr>
        <w:t>签约合同价</w:t>
      </w:r>
      <w:r>
        <w:rPr>
          <w:rFonts w:hint="eastAsia" w:ascii="仿宋" w:hAnsi="仿宋" w:eastAsia="仿宋" w:cs="仿宋"/>
          <w:spacing w:val="7"/>
          <w:sz w:val="32"/>
          <w:szCs w:val="32"/>
          <w:lang w:eastAsia="zh-CN"/>
        </w:rPr>
        <w:t>中，承包人不得另行要求发包人承担。</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val="en-US" w:eastAsia="zh-CN"/>
        </w:rPr>
        <w:t>11.</w:t>
      </w:r>
      <w:r>
        <w:rPr>
          <w:rFonts w:hint="eastAsia" w:ascii="仿宋" w:hAnsi="仿宋" w:eastAsia="仿宋" w:cs="仿宋"/>
          <w:spacing w:val="7"/>
          <w:sz w:val="32"/>
          <w:szCs w:val="32"/>
          <w:lang w:eastAsia="zh-CN"/>
        </w:rPr>
        <w:t>场内运输费用：承包人需将仓库腾挪、材料的二次搬运、腾挪及垂直运输、现场所产生的所有垃圾清理外运均已包含在</w:t>
      </w:r>
      <w:r>
        <w:rPr>
          <w:rFonts w:hint="eastAsia" w:ascii="仿宋" w:hAnsi="仿宋" w:eastAsia="仿宋" w:cs="仿宋"/>
          <w:b/>
          <w:bCs/>
          <w:spacing w:val="7"/>
          <w:sz w:val="32"/>
          <w:szCs w:val="32"/>
          <w:lang w:eastAsia="zh-CN"/>
        </w:rPr>
        <w:t>签约合同价</w:t>
      </w:r>
      <w:r>
        <w:rPr>
          <w:rFonts w:hint="eastAsia" w:ascii="仿宋" w:hAnsi="仿宋" w:eastAsia="仿宋" w:cs="仿宋"/>
          <w:spacing w:val="7"/>
          <w:sz w:val="32"/>
          <w:szCs w:val="32"/>
          <w:lang w:eastAsia="zh-CN"/>
        </w:rPr>
        <w:t>中，承包人不得另行要求发包人承担。</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1</w:t>
      </w:r>
      <w:r>
        <w:rPr>
          <w:rFonts w:hint="eastAsia" w:ascii="仿宋" w:hAnsi="仿宋" w:eastAsia="仿宋" w:cs="仿宋"/>
          <w:spacing w:val="7"/>
          <w:sz w:val="32"/>
          <w:szCs w:val="32"/>
          <w:lang w:val="en-US" w:eastAsia="zh-CN"/>
        </w:rPr>
        <w:t>2.</w:t>
      </w:r>
      <w:r>
        <w:rPr>
          <w:rFonts w:hint="eastAsia" w:ascii="仿宋" w:hAnsi="仿宋" w:eastAsia="仿宋" w:cs="仿宋"/>
          <w:spacing w:val="7"/>
          <w:sz w:val="32"/>
          <w:szCs w:val="32"/>
          <w:lang w:eastAsia="zh-CN"/>
        </w:rPr>
        <w:t>本工程必须严格按合同工期完成，承包人需充分考虑各种可能导致工期增加产生的实际困难及费用，包括春节、赶工、劳动力数量、工资发放等问题，该等因素承包人已充分考虑并均包含在</w:t>
      </w:r>
      <w:r>
        <w:rPr>
          <w:rFonts w:hint="eastAsia" w:ascii="仿宋" w:hAnsi="仿宋" w:eastAsia="仿宋" w:cs="仿宋"/>
          <w:b/>
          <w:bCs/>
          <w:spacing w:val="7"/>
          <w:sz w:val="32"/>
          <w:szCs w:val="32"/>
          <w:lang w:eastAsia="zh-CN"/>
        </w:rPr>
        <w:t>签约合同价</w:t>
      </w:r>
      <w:r>
        <w:rPr>
          <w:rFonts w:hint="eastAsia" w:ascii="仿宋" w:hAnsi="仿宋" w:eastAsia="仿宋" w:cs="仿宋"/>
          <w:spacing w:val="7"/>
          <w:sz w:val="32"/>
          <w:szCs w:val="32"/>
          <w:lang w:eastAsia="zh-CN"/>
        </w:rPr>
        <w:t>中。本项目工期不可延误，各关键工序节点如有延误，根据相关条款进行处罚，并在当次进度款中直接扣除。</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1</w:t>
      </w:r>
      <w:r>
        <w:rPr>
          <w:rFonts w:hint="eastAsia" w:ascii="仿宋" w:hAnsi="仿宋" w:eastAsia="仿宋" w:cs="仿宋"/>
          <w:spacing w:val="7"/>
          <w:sz w:val="32"/>
          <w:szCs w:val="32"/>
          <w:lang w:val="en-US" w:eastAsia="zh-CN"/>
        </w:rPr>
        <w:t>3.</w:t>
      </w:r>
      <w:r>
        <w:rPr>
          <w:rFonts w:hint="eastAsia" w:ascii="仿宋" w:hAnsi="仿宋" w:eastAsia="仿宋" w:cs="仿宋"/>
          <w:spacing w:val="7"/>
          <w:sz w:val="32"/>
          <w:szCs w:val="32"/>
          <w:lang w:eastAsia="zh-CN"/>
        </w:rPr>
        <w:t>水电费用：进场后，承包人自行与现场管理单位协商用水用电，水电费用包含在</w:t>
      </w:r>
      <w:r>
        <w:rPr>
          <w:rFonts w:hint="eastAsia" w:ascii="仿宋" w:hAnsi="仿宋" w:eastAsia="仿宋" w:cs="仿宋"/>
          <w:b/>
          <w:bCs/>
          <w:spacing w:val="7"/>
          <w:sz w:val="32"/>
          <w:szCs w:val="32"/>
          <w:lang w:eastAsia="zh-CN"/>
        </w:rPr>
        <w:t>签约合同价</w:t>
      </w:r>
      <w:r>
        <w:rPr>
          <w:rFonts w:hint="eastAsia" w:ascii="仿宋" w:hAnsi="仿宋" w:eastAsia="仿宋" w:cs="仿宋"/>
          <w:spacing w:val="7"/>
          <w:sz w:val="32"/>
          <w:szCs w:val="32"/>
          <w:lang w:eastAsia="zh-CN"/>
        </w:rPr>
        <w:t>中。本工程竣工验收前，承包人必须向物业管理单位缴清水电费用，否则发包人有权不向承包人支付结算款。</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1</w:t>
      </w:r>
      <w:r>
        <w:rPr>
          <w:rFonts w:hint="eastAsia" w:ascii="仿宋" w:hAnsi="仿宋" w:eastAsia="仿宋" w:cs="仿宋"/>
          <w:spacing w:val="7"/>
          <w:sz w:val="32"/>
          <w:szCs w:val="32"/>
          <w:lang w:val="en-US" w:eastAsia="zh-CN"/>
        </w:rPr>
        <w:t>4.</w:t>
      </w:r>
      <w:r>
        <w:rPr>
          <w:rFonts w:hint="eastAsia" w:ascii="仿宋" w:hAnsi="仿宋" w:eastAsia="仿宋" w:cs="仿宋"/>
          <w:spacing w:val="7"/>
          <w:sz w:val="32"/>
          <w:szCs w:val="32"/>
          <w:lang w:eastAsia="zh-CN"/>
        </w:rPr>
        <w:t>开孔费用：所有孔洞预留、孔洞遗漏预留引起的二次开孔、设备拆装及移位等引起的所有费用均已包含在</w:t>
      </w:r>
      <w:r>
        <w:rPr>
          <w:rFonts w:hint="eastAsia" w:ascii="仿宋" w:hAnsi="仿宋" w:eastAsia="仿宋" w:cs="仿宋"/>
          <w:b/>
          <w:bCs/>
          <w:spacing w:val="7"/>
          <w:sz w:val="32"/>
          <w:szCs w:val="32"/>
          <w:lang w:eastAsia="zh-CN"/>
        </w:rPr>
        <w:t>签约合同价</w:t>
      </w:r>
      <w:r>
        <w:rPr>
          <w:rFonts w:hint="eastAsia" w:ascii="仿宋" w:hAnsi="仿宋" w:eastAsia="仿宋" w:cs="仿宋"/>
          <w:spacing w:val="7"/>
          <w:sz w:val="32"/>
          <w:szCs w:val="32"/>
          <w:lang w:eastAsia="zh-CN"/>
        </w:rPr>
        <w:t>中。</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1</w:t>
      </w:r>
      <w:r>
        <w:rPr>
          <w:rFonts w:hint="eastAsia" w:ascii="仿宋" w:hAnsi="仿宋" w:eastAsia="仿宋" w:cs="仿宋"/>
          <w:spacing w:val="7"/>
          <w:sz w:val="32"/>
          <w:szCs w:val="32"/>
          <w:lang w:val="en-US" w:eastAsia="zh-CN"/>
        </w:rPr>
        <w:t>5.</w:t>
      </w:r>
      <w:r>
        <w:rPr>
          <w:rFonts w:hint="eastAsia" w:ascii="仿宋" w:hAnsi="仿宋" w:eastAsia="仿宋" w:cs="仿宋"/>
          <w:spacing w:val="7"/>
          <w:sz w:val="32"/>
          <w:szCs w:val="32"/>
          <w:lang w:eastAsia="zh-CN"/>
        </w:rPr>
        <w:t>承包人应派专业人员组织发包人（设计、工程、成本部门）在适当时机（不少于一次，每次不少于5-6人）前往材料设备厂家对材料设备进行抽查、检验等工作，由此产生的所有费用已包含在</w:t>
      </w:r>
      <w:r>
        <w:rPr>
          <w:rFonts w:hint="eastAsia" w:ascii="仿宋" w:hAnsi="仿宋" w:eastAsia="仿宋" w:cs="仿宋"/>
          <w:b/>
          <w:bCs/>
          <w:spacing w:val="7"/>
          <w:sz w:val="32"/>
          <w:szCs w:val="32"/>
          <w:lang w:eastAsia="zh-CN"/>
        </w:rPr>
        <w:t>签约合同价</w:t>
      </w:r>
      <w:r>
        <w:rPr>
          <w:rFonts w:hint="eastAsia" w:ascii="仿宋" w:hAnsi="仿宋" w:eastAsia="仿宋" w:cs="仿宋"/>
          <w:spacing w:val="7"/>
          <w:sz w:val="32"/>
          <w:szCs w:val="32"/>
          <w:lang w:eastAsia="zh-CN"/>
        </w:rPr>
        <w:t>中，承包人不得另行要求发包人承担。</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1</w:t>
      </w:r>
      <w:r>
        <w:rPr>
          <w:rFonts w:hint="eastAsia" w:ascii="仿宋" w:hAnsi="仿宋" w:eastAsia="仿宋" w:cs="仿宋"/>
          <w:spacing w:val="7"/>
          <w:sz w:val="32"/>
          <w:szCs w:val="32"/>
          <w:lang w:val="en-US" w:eastAsia="zh-CN"/>
        </w:rPr>
        <w:t>6.</w:t>
      </w:r>
      <w:r>
        <w:rPr>
          <w:rFonts w:hint="eastAsia" w:ascii="仿宋" w:hAnsi="仿宋" w:eastAsia="仿宋" w:cs="仿宋"/>
          <w:spacing w:val="7"/>
          <w:sz w:val="32"/>
          <w:szCs w:val="32"/>
          <w:lang w:eastAsia="zh-CN"/>
        </w:rPr>
        <w:t>各图纸的复核及配合衔接：由发包人提供的所有图纸及技术要求（包括但不限于平面布置图、综合天花平面图、凡是天花综合平面图、地坪饰面图、建筑资料平面图、立面索引图、天花灯具布置连线图、插座照明配电图、</w:t>
      </w:r>
      <w:r>
        <w:rPr>
          <w:rFonts w:hint="eastAsia" w:ascii="仿宋" w:hAnsi="仿宋" w:eastAsia="仿宋" w:cs="仿宋"/>
          <w:spacing w:val="7"/>
          <w:sz w:val="32"/>
          <w:szCs w:val="32"/>
          <w:lang w:val="en-US" w:eastAsia="zh-CN"/>
        </w:rPr>
        <w:t>给排水平面图、排油烟平面图</w:t>
      </w:r>
      <w:r>
        <w:rPr>
          <w:rFonts w:hint="eastAsia" w:ascii="仿宋" w:hAnsi="仿宋" w:eastAsia="仿宋" w:cs="仿宋"/>
          <w:spacing w:val="7"/>
          <w:sz w:val="32"/>
          <w:szCs w:val="32"/>
          <w:lang w:eastAsia="zh-CN"/>
        </w:rPr>
        <w:t>、</w:t>
      </w:r>
      <w:r>
        <w:rPr>
          <w:rFonts w:hint="eastAsia" w:ascii="仿宋" w:hAnsi="仿宋" w:eastAsia="仿宋" w:cs="仿宋"/>
          <w:spacing w:val="7"/>
          <w:sz w:val="32"/>
          <w:szCs w:val="32"/>
          <w:lang w:val="en-US" w:eastAsia="zh-CN"/>
        </w:rPr>
        <w:t>燃气平面图、系统图、</w:t>
      </w:r>
      <w:r>
        <w:rPr>
          <w:rFonts w:hint="eastAsia" w:ascii="仿宋" w:hAnsi="仿宋" w:eastAsia="仿宋" w:cs="仿宋"/>
          <w:spacing w:val="7"/>
          <w:sz w:val="32"/>
          <w:szCs w:val="32"/>
          <w:lang w:eastAsia="zh-CN"/>
        </w:rPr>
        <w:t>立面图、大样图、节点图等）等所有资料之间如存在任何矛盾或不一致，请在招标期间提出，由发包人统一解答，否则，中标后不得以上述资料之间存在矛盾或不一致为由向发包人提出索偿要求，或要求变更，增加签约合同价。发包人可要求按上述任何资料进行施工而不得调整签约合同价。承包人对图纸有任何疑问必须按投标须知前附表规定的时间内提出，由发包人统一解答，承包人须对图纸做充分的复核并将图纸的不完善充分考虑到签约合同价中。承包人中标后不得以图纸做法不明确、不完善、节点大样图的补充为由向发包人提出索偿要求，或要求变更并增加签约合同价；承包人应提供详细、全面的结构计算书，如发现招标图有受力不满足的地方，承包人应对该位置采取措施进行加强，此费用已包含在</w:t>
      </w:r>
      <w:r>
        <w:rPr>
          <w:rFonts w:hint="eastAsia" w:ascii="仿宋" w:hAnsi="仿宋" w:eastAsia="仿宋" w:cs="仿宋"/>
          <w:b/>
          <w:bCs/>
          <w:spacing w:val="7"/>
          <w:sz w:val="32"/>
          <w:szCs w:val="32"/>
          <w:lang w:eastAsia="zh-CN"/>
        </w:rPr>
        <w:t>签约合同价</w:t>
      </w:r>
      <w:r>
        <w:rPr>
          <w:rFonts w:hint="eastAsia" w:ascii="仿宋" w:hAnsi="仿宋" w:eastAsia="仿宋" w:cs="仿宋"/>
          <w:spacing w:val="7"/>
          <w:sz w:val="32"/>
          <w:szCs w:val="32"/>
          <w:lang w:eastAsia="zh-CN"/>
        </w:rPr>
        <w:t>中。</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val="en-US" w:eastAsia="zh-CN"/>
        </w:rPr>
        <w:t>17.</w:t>
      </w:r>
      <w:r>
        <w:rPr>
          <w:rFonts w:hint="eastAsia" w:ascii="仿宋" w:hAnsi="仿宋" w:eastAsia="仿宋" w:cs="仿宋"/>
          <w:spacing w:val="7"/>
          <w:sz w:val="32"/>
          <w:szCs w:val="32"/>
          <w:lang w:eastAsia="zh-CN"/>
        </w:rPr>
        <w:t>垃圾外运：承包人进场后，承包人需在发包人指定的地点修建符合安全文明规定的垃圾池，施工产生的垃圾由承包人负责清运至垃圾池，自行外运。承包人须充分考虑垃圾外运市场价格波动等因素，该部分费用已包含在签约合同价中。</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val="en-US" w:eastAsia="zh-CN"/>
        </w:rPr>
        <w:t>18.</w:t>
      </w:r>
      <w:r>
        <w:rPr>
          <w:rFonts w:hint="eastAsia" w:ascii="仿宋" w:hAnsi="仿宋" w:eastAsia="仿宋" w:cs="仿宋"/>
          <w:spacing w:val="7"/>
          <w:sz w:val="32"/>
          <w:szCs w:val="32"/>
          <w:lang w:eastAsia="zh-CN"/>
        </w:rPr>
        <w:t>交工前清洁施工现场的要求：承包人应保证施工场地清洁符合环境卫生管理的有关规定和深圳市文明施工要求，交工前清洁施工现场达到深圳市环境卫生的要求，保证施工场地平净、整洁，该部分费用已包含在签约合同价中。</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val="en-US" w:eastAsia="zh-CN"/>
        </w:rPr>
        <w:t>19.本项目不考虑弃土收纳处置费，施工过程中产生的建筑垃圾、废料等费用已包含在签约合同价中，实际发生的收纳处置费</w:t>
      </w:r>
      <w:r>
        <w:rPr>
          <w:rFonts w:hint="eastAsia" w:ascii="仿宋" w:hAnsi="仿宋" w:eastAsia="仿宋" w:cs="仿宋"/>
          <w:spacing w:val="7"/>
          <w:sz w:val="32"/>
          <w:szCs w:val="32"/>
          <w:lang w:eastAsia="zh-CN"/>
        </w:rPr>
        <w:t>已包含在签约合同价中</w:t>
      </w:r>
      <w:r>
        <w:rPr>
          <w:rFonts w:hint="eastAsia" w:ascii="仿宋" w:hAnsi="仿宋" w:eastAsia="仿宋" w:cs="仿宋"/>
          <w:spacing w:val="7"/>
          <w:sz w:val="32"/>
          <w:szCs w:val="32"/>
          <w:lang w:val="en-US" w:eastAsia="zh-CN"/>
        </w:rPr>
        <w:t>不另计算</w:t>
      </w:r>
      <w:r>
        <w:rPr>
          <w:rFonts w:hint="eastAsia" w:ascii="仿宋" w:hAnsi="仿宋" w:eastAsia="仿宋" w:cs="仿宋"/>
          <w:spacing w:val="7"/>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outlineLvl w:val="2"/>
        <w:rPr>
          <w:rFonts w:hint="eastAsia" w:ascii="仿宋" w:hAnsi="仿宋" w:eastAsia="仿宋" w:cs="仿宋"/>
          <w:b/>
          <w:bCs/>
          <w:spacing w:val="7"/>
          <w:sz w:val="32"/>
          <w:szCs w:val="32"/>
          <w:lang w:eastAsia="zh-CN"/>
        </w:rPr>
      </w:pPr>
      <w:r>
        <w:rPr>
          <w:rFonts w:hint="eastAsia" w:ascii="仿宋" w:hAnsi="仿宋" w:eastAsia="仿宋" w:cs="仿宋"/>
          <w:b/>
          <w:bCs/>
          <w:spacing w:val="7"/>
          <w:sz w:val="32"/>
          <w:szCs w:val="32"/>
          <w:lang w:eastAsia="zh-CN"/>
        </w:rPr>
        <w:t>（</w:t>
      </w:r>
      <w:r>
        <w:rPr>
          <w:rFonts w:hint="eastAsia" w:ascii="仿宋" w:hAnsi="仿宋" w:eastAsia="仿宋" w:cs="仿宋"/>
          <w:b/>
          <w:bCs/>
          <w:spacing w:val="7"/>
          <w:sz w:val="32"/>
          <w:szCs w:val="32"/>
          <w:lang w:val="en-US" w:eastAsia="zh-CN"/>
        </w:rPr>
        <w:t>五</w:t>
      </w:r>
      <w:r>
        <w:rPr>
          <w:rFonts w:hint="eastAsia" w:ascii="仿宋" w:hAnsi="仿宋" w:eastAsia="仿宋" w:cs="仿宋"/>
          <w:b/>
          <w:bCs/>
          <w:spacing w:val="7"/>
          <w:sz w:val="32"/>
          <w:szCs w:val="32"/>
          <w:lang w:eastAsia="zh-CN"/>
        </w:rPr>
        <w:t>）工程结算</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val="sq-AL" w:eastAsia="zh-CN"/>
        </w:rPr>
      </w:pPr>
      <w:r>
        <w:rPr>
          <w:rFonts w:hint="eastAsia" w:ascii="仿宋" w:hAnsi="仿宋" w:eastAsia="仿宋" w:cs="仿宋"/>
          <w:spacing w:val="7"/>
          <w:sz w:val="32"/>
          <w:szCs w:val="32"/>
          <w:lang w:eastAsia="zh-CN"/>
        </w:rPr>
        <w:t>1</w:t>
      </w:r>
      <w:r>
        <w:rPr>
          <w:rFonts w:hint="eastAsia" w:ascii="仿宋" w:hAnsi="仿宋" w:eastAsia="仿宋" w:cs="仿宋"/>
          <w:spacing w:val="7"/>
          <w:sz w:val="32"/>
          <w:szCs w:val="32"/>
          <w:lang w:val="en-US" w:eastAsia="zh-CN"/>
        </w:rPr>
        <w:t>.</w:t>
      </w:r>
      <w:r>
        <w:rPr>
          <w:rFonts w:hint="eastAsia" w:ascii="仿宋" w:hAnsi="仿宋" w:eastAsia="仿宋" w:cs="仿宋"/>
          <w:spacing w:val="7"/>
          <w:sz w:val="32"/>
          <w:szCs w:val="32"/>
          <w:lang w:val="sq-AL" w:eastAsia="zh-CN"/>
        </w:rPr>
        <w:t>承包人应按规定的时间和内容向发包人提交齐全的符合主管部门要求的工程</w:t>
      </w:r>
      <w:r>
        <w:rPr>
          <w:rFonts w:hint="eastAsia" w:ascii="仿宋" w:hAnsi="仿宋" w:eastAsia="仿宋" w:cs="仿宋"/>
          <w:spacing w:val="7"/>
          <w:sz w:val="32"/>
          <w:szCs w:val="32"/>
          <w:lang w:eastAsia="zh-CN"/>
        </w:rPr>
        <w:t>竣工</w:t>
      </w:r>
      <w:r>
        <w:rPr>
          <w:rFonts w:hint="eastAsia" w:ascii="仿宋" w:hAnsi="仿宋" w:eastAsia="仿宋" w:cs="仿宋"/>
          <w:spacing w:val="7"/>
          <w:sz w:val="32"/>
          <w:szCs w:val="32"/>
          <w:lang w:val="sq-AL" w:eastAsia="zh-CN"/>
        </w:rPr>
        <w:t>结算资料。</w:t>
      </w:r>
      <w:r>
        <w:rPr>
          <w:rFonts w:hint="eastAsia" w:ascii="仿宋" w:hAnsi="仿宋" w:eastAsia="仿宋" w:cs="仿宋"/>
          <w:spacing w:val="7"/>
          <w:sz w:val="32"/>
          <w:szCs w:val="32"/>
          <w:lang w:eastAsia="zh-CN"/>
        </w:rPr>
        <w:t>承包人向发包人提交竣工结算书及完整的结算资料的时间要求为本工程竣工验收合格后30天内，承包人在结算报审后（从发包人代表签收之日起计算）与造价咨询在发包人要求时间内核对完毕，补充所有要求提供的资料，并完成签字确认，如未按时报审或完成核对。</w:t>
      </w:r>
      <w:r>
        <w:rPr>
          <w:rFonts w:hint="eastAsia" w:ascii="仿宋" w:hAnsi="仿宋" w:eastAsia="仿宋" w:cs="仿宋"/>
          <w:spacing w:val="7"/>
          <w:sz w:val="32"/>
          <w:szCs w:val="32"/>
          <w:lang w:val="sq-AL" w:eastAsia="zh-CN"/>
        </w:rPr>
        <w:t>承包人未能按规定时间向发包人提交工程</w:t>
      </w:r>
      <w:r>
        <w:rPr>
          <w:rFonts w:hint="eastAsia" w:ascii="仿宋" w:hAnsi="仿宋" w:eastAsia="仿宋" w:cs="仿宋"/>
          <w:spacing w:val="7"/>
          <w:sz w:val="32"/>
          <w:szCs w:val="32"/>
          <w:lang w:eastAsia="zh-CN"/>
        </w:rPr>
        <w:t>竣工</w:t>
      </w:r>
      <w:r>
        <w:rPr>
          <w:rFonts w:hint="eastAsia" w:ascii="仿宋" w:hAnsi="仿宋" w:eastAsia="仿宋" w:cs="仿宋"/>
          <w:spacing w:val="7"/>
          <w:sz w:val="32"/>
          <w:szCs w:val="32"/>
          <w:lang w:val="sq-AL" w:eastAsia="zh-CN"/>
        </w:rPr>
        <w:t>结算资料或在发包人核算期间承包人不予配合，因此而无法在规定时间内完成结算手续，经发包人通报后30日内仍拒不办理的，</w:t>
      </w:r>
      <w:r>
        <w:rPr>
          <w:rFonts w:hint="eastAsia" w:ascii="仿宋" w:hAnsi="仿宋" w:eastAsia="仿宋" w:cs="仿宋"/>
          <w:spacing w:val="7"/>
          <w:sz w:val="32"/>
          <w:szCs w:val="32"/>
          <w:lang w:eastAsia="zh-CN"/>
        </w:rPr>
        <w:t>除相应罚款外，逾期</w:t>
      </w:r>
      <w:r>
        <w:rPr>
          <w:rFonts w:hint="eastAsia" w:ascii="仿宋" w:hAnsi="仿宋" w:eastAsia="仿宋" w:cs="仿宋"/>
          <w:spacing w:val="7"/>
          <w:sz w:val="32"/>
          <w:szCs w:val="32"/>
          <w:lang w:val="sq-AL" w:eastAsia="zh-CN"/>
        </w:rPr>
        <w:t>发包人可启动强制结算机制，将其单方编制的结算文件送审计或审核，发包人根据已有资料审查、核实确定竣工结算价款,发包人核算的结果视为承包人已认可，承包人应该办理签认手续，不得有异议。另外，发包人因承包人的上述原因导致的无法按期办理本项目相关手续而造成的一切损失，含对任何第三方所造成的经济损失，均由承包人承担。发包人在收到承包人提交完整的竣工结算书及结算资料后，应按合同的有关约定，在监理人等的协助下，进行审查、核实，经与承包人协商达成一致意见后确认工程竣工结算价款。但发包人未对承包人提交的竣工结算书(包括经修改的竣工结算书或补充结算资料)进行认可和提出异议，不代表发包人已认可承包人提交的竣工结算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val="sq-AL" w:eastAsia="zh-CN"/>
        </w:rPr>
      </w:pPr>
      <w:r>
        <w:rPr>
          <w:rFonts w:hint="eastAsia" w:ascii="仿宋" w:hAnsi="仿宋" w:eastAsia="仿宋" w:cs="仿宋"/>
          <w:spacing w:val="7"/>
          <w:sz w:val="32"/>
          <w:szCs w:val="32"/>
          <w:lang w:eastAsia="zh-CN"/>
        </w:rPr>
        <w:t>2</w:t>
      </w:r>
      <w:r>
        <w:rPr>
          <w:rFonts w:hint="eastAsia" w:ascii="仿宋" w:hAnsi="仿宋" w:eastAsia="仿宋" w:cs="仿宋"/>
          <w:spacing w:val="7"/>
          <w:sz w:val="32"/>
          <w:szCs w:val="32"/>
          <w:lang w:val="en-US" w:eastAsia="zh-CN"/>
        </w:rPr>
        <w:t>.</w:t>
      </w:r>
      <w:r>
        <w:rPr>
          <w:rFonts w:hint="eastAsia" w:ascii="仿宋" w:hAnsi="仿宋" w:eastAsia="仿宋" w:cs="仿宋"/>
          <w:spacing w:val="7"/>
          <w:sz w:val="32"/>
          <w:szCs w:val="32"/>
          <w:lang w:eastAsia="zh-CN"/>
        </w:rPr>
        <w:t>结算模式：采用施工图结算模式，即施工图+变更+签证+其他（索赔、奖罚等）。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3</w:t>
      </w:r>
      <w:r>
        <w:rPr>
          <w:rFonts w:hint="eastAsia" w:ascii="仿宋" w:hAnsi="仿宋" w:eastAsia="仿宋" w:cs="仿宋"/>
          <w:spacing w:val="7"/>
          <w:sz w:val="32"/>
          <w:szCs w:val="32"/>
          <w:lang w:val="en-US" w:eastAsia="zh-CN"/>
        </w:rPr>
        <w:t>.结算</w:t>
      </w:r>
      <w:r>
        <w:rPr>
          <w:rFonts w:hint="eastAsia" w:ascii="仿宋" w:hAnsi="仿宋" w:eastAsia="仿宋" w:cs="仿宋"/>
          <w:spacing w:val="7"/>
          <w:sz w:val="32"/>
          <w:szCs w:val="32"/>
          <w:lang w:eastAsia="zh-CN"/>
        </w:rPr>
        <w:t>计量原则：按实际发生量计算，</w:t>
      </w:r>
      <w:r>
        <w:rPr>
          <w:rFonts w:hint="eastAsia" w:ascii="仿宋" w:hAnsi="仿宋" w:eastAsia="仿宋" w:cs="仿宋"/>
          <w:b/>
          <w:bCs/>
          <w:spacing w:val="7"/>
          <w:sz w:val="32"/>
          <w:szCs w:val="32"/>
          <w:lang w:eastAsia="zh-CN"/>
        </w:rPr>
        <w:t>工程量依据承包范围内经发包人确认的施工图、图纸会审纪要、设计变更通知单、经发包人批准的现场签证单等计算工程量。对施工质量不合格的分项工程，不予计量。</w:t>
      </w:r>
      <w:r>
        <w:rPr>
          <w:rFonts w:hint="eastAsia" w:ascii="仿宋" w:hAnsi="仿宋" w:eastAsia="仿宋" w:cs="仿宋"/>
          <w:spacing w:val="7"/>
          <w:sz w:val="32"/>
          <w:szCs w:val="32"/>
          <w:lang w:val="sq-AL" w:eastAsia="zh-CN"/>
        </w:rPr>
        <w:t>如图纸不能计量的，工程量由发包人、承包人、监理单位、咨询人四方现场计量确认（应包含现场草图、影像资料、工程量确认单）。</w:t>
      </w:r>
      <w:r>
        <w:rPr>
          <w:rFonts w:hint="eastAsia" w:ascii="仿宋" w:hAnsi="仿宋" w:eastAsia="仿宋" w:cs="仿宋"/>
          <w:spacing w:val="7"/>
          <w:sz w:val="32"/>
          <w:szCs w:val="32"/>
          <w:lang w:eastAsia="zh-CN"/>
        </w:rPr>
        <w:t>因承包人自身原因造成的返工工程量、超出图纸范围又未经变更审批的工程量、不符合工程质量标准的工程量、发包人书面通知承包人取消的工程量，均不予计量。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outlineLvl w:val="3"/>
        <w:rPr>
          <w:rFonts w:hint="default" w:ascii="仿宋" w:hAnsi="仿宋" w:eastAsia="仿宋" w:cs="仿宋"/>
          <w:b/>
          <w:bCs/>
          <w:spacing w:val="7"/>
          <w:sz w:val="32"/>
          <w:szCs w:val="32"/>
          <w:lang w:val="en-US" w:eastAsia="zh-CN"/>
        </w:rPr>
      </w:pPr>
      <w:r>
        <w:rPr>
          <w:rFonts w:hint="eastAsia" w:ascii="仿宋" w:hAnsi="仿宋" w:eastAsia="仿宋" w:cs="仿宋"/>
          <w:b/>
          <w:bCs/>
          <w:spacing w:val="7"/>
          <w:sz w:val="32"/>
          <w:szCs w:val="32"/>
          <w:lang w:val="en-US" w:eastAsia="zh-CN"/>
        </w:rPr>
        <w:t>4.结算计价原则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（1）管堵头等所有管件以及管井内管道施工增加费用包含在</w:t>
      </w:r>
      <w:r>
        <w:rPr>
          <w:rFonts w:hint="eastAsia" w:ascii="仿宋" w:hAnsi="仿宋" w:eastAsia="仿宋" w:cs="仿宋"/>
          <w:spacing w:val="7"/>
          <w:sz w:val="32"/>
          <w:szCs w:val="32"/>
          <w:lang w:val="en-US" w:eastAsia="zh-CN"/>
        </w:rPr>
        <w:t>相应</w:t>
      </w:r>
      <w:r>
        <w:rPr>
          <w:rFonts w:hint="eastAsia" w:ascii="仿宋" w:hAnsi="仿宋" w:eastAsia="仿宋" w:cs="仿宋"/>
          <w:spacing w:val="7"/>
          <w:sz w:val="32"/>
          <w:szCs w:val="32"/>
          <w:lang w:eastAsia="zh-CN"/>
        </w:rPr>
        <w:t>管道</w:t>
      </w:r>
      <w:r>
        <w:rPr>
          <w:rFonts w:hint="eastAsia" w:ascii="仿宋" w:hAnsi="仿宋" w:eastAsia="仿宋" w:cs="仿宋"/>
          <w:spacing w:val="7"/>
          <w:sz w:val="32"/>
          <w:szCs w:val="32"/>
          <w:lang w:val="en-US" w:eastAsia="zh-CN"/>
        </w:rPr>
        <w:t>合同</w:t>
      </w:r>
      <w:r>
        <w:rPr>
          <w:rFonts w:hint="eastAsia" w:ascii="仿宋" w:hAnsi="仿宋" w:eastAsia="仿宋" w:cs="仿宋"/>
          <w:spacing w:val="7"/>
          <w:sz w:val="32"/>
          <w:szCs w:val="32"/>
          <w:lang w:eastAsia="zh-CN"/>
        </w:rPr>
        <w:t>综合单价中，</w:t>
      </w:r>
      <w:r>
        <w:rPr>
          <w:rFonts w:hint="eastAsia" w:ascii="仿宋" w:hAnsi="仿宋" w:eastAsia="仿宋" w:cs="仿宋"/>
          <w:spacing w:val="7"/>
          <w:sz w:val="32"/>
          <w:szCs w:val="32"/>
          <w:lang w:val="en-US" w:eastAsia="zh-CN"/>
        </w:rPr>
        <w:t>结算时不另计取</w:t>
      </w:r>
      <w:r>
        <w:rPr>
          <w:rFonts w:hint="eastAsia" w:ascii="仿宋" w:hAnsi="仿宋" w:eastAsia="仿宋" w:cs="仿宋"/>
          <w:spacing w:val="7"/>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w:t>
      </w:r>
      <w:r>
        <w:rPr>
          <w:rFonts w:hint="eastAsia" w:ascii="仿宋" w:hAnsi="仿宋" w:eastAsia="仿宋" w:cs="仿宋"/>
          <w:spacing w:val="7"/>
          <w:sz w:val="32"/>
          <w:szCs w:val="32"/>
          <w:lang w:val="en-US" w:eastAsia="zh-CN"/>
        </w:rPr>
        <w:t>2</w:t>
      </w:r>
      <w:r>
        <w:rPr>
          <w:rFonts w:hint="eastAsia" w:ascii="仿宋" w:hAnsi="仿宋" w:eastAsia="仿宋" w:cs="仿宋"/>
          <w:spacing w:val="7"/>
          <w:sz w:val="32"/>
          <w:szCs w:val="32"/>
          <w:lang w:eastAsia="zh-CN"/>
        </w:rPr>
        <w:t>）刨沟及修复：混凝土和砖体凿槽及修补、挂网等费用包含在相应凿(压)槽合同综合单价中，结算时不另计取。</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val="en-US" w:eastAsia="zh-CN"/>
        </w:rPr>
      </w:pPr>
      <w:r>
        <w:rPr>
          <w:rFonts w:hint="eastAsia" w:ascii="仿宋" w:hAnsi="仿宋" w:eastAsia="仿宋" w:cs="仿宋"/>
          <w:spacing w:val="7"/>
          <w:sz w:val="32"/>
          <w:szCs w:val="32"/>
          <w:lang w:eastAsia="zh-CN"/>
        </w:rPr>
        <w:t>（</w:t>
      </w:r>
      <w:r>
        <w:rPr>
          <w:rFonts w:hint="eastAsia" w:ascii="仿宋" w:hAnsi="仿宋" w:eastAsia="仿宋" w:cs="仿宋"/>
          <w:spacing w:val="7"/>
          <w:sz w:val="32"/>
          <w:szCs w:val="32"/>
          <w:lang w:val="en-US" w:eastAsia="zh-CN"/>
        </w:rPr>
        <w:t>3</w:t>
      </w:r>
      <w:r>
        <w:rPr>
          <w:rFonts w:hint="eastAsia" w:ascii="仿宋" w:hAnsi="仿宋" w:eastAsia="仿宋" w:cs="仿宋"/>
          <w:spacing w:val="7"/>
          <w:sz w:val="32"/>
          <w:szCs w:val="32"/>
          <w:lang w:eastAsia="zh-CN"/>
        </w:rPr>
        <w:t>）</w:t>
      </w:r>
      <w:r>
        <w:rPr>
          <w:rFonts w:hint="default" w:ascii="仿宋" w:hAnsi="仿宋" w:eastAsia="仿宋" w:cs="仿宋"/>
          <w:spacing w:val="7"/>
          <w:sz w:val="32"/>
          <w:szCs w:val="32"/>
          <w:lang w:val="en-US" w:eastAsia="zh-CN"/>
        </w:rPr>
        <w:t>电缆残值回收单价</w:t>
      </w:r>
      <w:r>
        <w:rPr>
          <w:rFonts w:hint="eastAsia" w:ascii="仿宋" w:hAnsi="仿宋" w:eastAsia="仿宋" w:cs="仿宋"/>
          <w:spacing w:val="7"/>
          <w:sz w:val="32"/>
          <w:szCs w:val="32"/>
          <w:lang w:val="en-US" w:eastAsia="zh-CN"/>
        </w:rPr>
        <w:t>有合同价的按合同价计取，无合同价的结算时</w:t>
      </w:r>
      <w:r>
        <w:rPr>
          <w:rFonts w:hint="default" w:ascii="仿宋" w:hAnsi="仿宋" w:eastAsia="仿宋" w:cs="仿宋"/>
          <w:spacing w:val="7"/>
          <w:sz w:val="32"/>
          <w:szCs w:val="32"/>
          <w:lang w:val="en-US" w:eastAsia="zh-CN"/>
        </w:rPr>
        <w:t>统一按</w:t>
      </w:r>
      <w:r>
        <w:rPr>
          <w:rFonts w:hint="eastAsia" w:ascii="仿宋" w:hAnsi="仿宋" w:eastAsia="仿宋" w:cs="仿宋"/>
          <w:spacing w:val="7"/>
          <w:sz w:val="32"/>
          <w:szCs w:val="32"/>
          <w:lang w:val="en-US" w:eastAsia="zh-CN"/>
        </w:rPr>
        <w:t>对应电缆信息价</w:t>
      </w:r>
      <w:r>
        <w:rPr>
          <w:rFonts w:hint="default" w:ascii="仿宋" w:hAnsi="仿宋" w:eastAsia="仿宋" w:cs="仿宋"/>
          <w:spacing w:val="7"/>
          <w:sz w:val="32"/>
          <w:szCs w:val="32"/>
          <w:lang w:val="en-US" w:eastAsia="zh-CN"/>
        </w:rPr>
        <w:t>的50%计取</w:t>
      </w:r>
      <w:r>
        <w:rPr>
          <w:rFonts w:hint="eastAsia" w:ascii="仿宋" w:hAnsi="仿宋" w:eastAsia="仿宋" w:cs="仿宋"/>
          <w:spacing w:val="7"/>
          <w:sz w:val="32"/>
          <w:szCs w:val="32"/>
          <w:lang w:val="en-US" w:eastAsia="zh-CN"/>
        </w:rPr>
        <w:t>,并按合同下浮率下浮确定；回收工程量按几方现场确认不可利旧工程量计取。</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val="en-US" w:eastAsia="zh-CN"/>
        </w:rPr>
        <w:t>（4）配电箱箱体安装、墙面修补、接地、端子板接线、开关及机构调整等费用包含在配电箱合同综合单价中，结算时不另计取。</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val="en-US" w:eastAsia="zh-CN"/>
        </w:rPr>
        <w:t>（5）屋面风机涉及支架安装位置的防水修复费用包含在风机合同综合单价中，结算时不另计取</w:t>
      </w:r>
      <w:r>
        <w:rPr>
          <w:rFonts w:hint="eastAsia" w:ascii="仿宋" w:hAnsi="仿宋" w:eastAsia="仿宋" w:cs="仿宋"/>
          <w:spacing w:val="7"/>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val="en-US" w:eastAsia="zh-CN"/>
        </w:rPr>
      </w:pPr>
      <w:r>
        <w:rPr>
          <w:rFonts w:hint="eastAsia" w:ascii="仿宋" w:hAnsi="仿宋" w:eastAsia="仿宋" w:cs="仿宋"/>
          <w:spacing w:val="7"/>
          <w:sz w:val="32"/>
          <w:szCs w:val="32"/>
          <w:lang w:val="en-US" w:eastAsia="zh-CN"/>
        </w:rPr>
        <w:t>（6）可利旧部分设备拆装、搬运费用包含在相应合同综合单价中，结算时不另计取</w:t>
      </w:r>
      <w:r>
        <w:rPr>
          <w:rFonts w:hint="eastAsia" w:ascii="仿宋" w:hAnsi="仿宋" w:eastAsia="仿宋" w:cs="仿宋"/>
          <w:spacing w:val="7"/>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val="en-US" w:eastAsia="zh-CN"/>
        </w:rPr>
      </w:pPr>
      <w:r>
        <w:rPr>
          <w:rFonts w:hint="eastAsia" w:ascii="仿宋" w:hAnsi="仿宋" w:eastAsia="仿宋" w:cs="仿宋"/>
          <w:spacing w:val="7"/>
          <w:sz w:val="32"/>
          <w:szCs w:val="32"/>
          <w:lang w:val="en-US" w:eastAsia="zh-CN"/>
        </w:rPr>
        <w:t>（7）燃气管碰头费按项列计，结算时按提供的发票据实结算，且最终结算价不超过该项费用合同单价，超过时按本项合同单价进行结算。</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val="en-US" w:eastAsia="zh-CN"/>
        </w:rPr>
      </w:pPr>
      <w:r>
        <w:rPr>
          <w:rFonts w:hint="eastAsia" w:ascii="仿宋" w:hAnsi="仿宋" w:eastAsia="仿宋" w:cs="仿宋"/>
          <w:spacing w:val="7"/>
          <w:sz w:val="32"/>
          <w:szCs w:val="32"/>
          <w:lang w:val="en-US" w:eastAsia="zh-CN"/>
        </w:rPr>
        <w:t>（8）拆除天花、配电箱、桥架及接地母线、自动开关、电缆及电缆终端头、配线及配管等涉及拆除工作内容，工程量结算时按几方现场确认的工程量进行计取。</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val="en-US" w:eastAsia="zh-CN"/>
        </w:rPr>
      </w:pPr>
      <w:r>
        <w:rPr>
          <w:rFonts w:hint="eastAsia" w:ascii="仿宋" w:hAnsi="仿宋" w:eastAsia="仿宋" w:cs="仿宋"/>
          <w:b w:val="0"/>
          <w:bCs w:val="0"/>
          <w:spacing w:val="7"/>
          <w:sz w:val="32"/>
          <w:szCs w:val="32"/>
          <w:lang w:val="sq-AL" w:eastAsia="zh-CN"/>
        </w:rPr>
        <w:t>本项目</w:t>
      </w:r>
      <w:r>
        <w:rPr>
          <w:rFonts w:hint="eastAsia" w:ascii="仿宋" w:hAnsi="仿宋" w:eastAsia="仿宋" w:cs="仿宋"/>
          <w:b w:val="0"/>
          <w:bCs w:val="0"/>
          <w:spacing w:val="7"/>
          <w:sz w:val="32"/>
          <w:szCs w:val="32"/>
          <w:lang w:val="en-US" w:eastAsia="zh-CN"/>
        </w:rPr>
        <w:t>最终</w:t>
      </w:r>
      <w:r>
        <w:rPr>
          <w:rFonts w:hint="eastAsia" w:ascii="仿宋" w:hAnsi="仿宋" w:eastAsia="仿宋" w:cs="仿宋"/>
          <w:b w:val="0"/>
          <w:bCs w:val="0"/>
          <w:spacing w:val="7"/>
          <w:sz w:val="32"/>
          <w:szCs w:val="32"/>
          <w:lang w:val="sq-AL" w:eastAsia="zh-CN"/>
        </w:rPr>
        <w:t>结算金额不得超过投标上限价总额。若结算金额超过投标上限价总额，则超出部分由乙方自行独立承担，按本项目投标上限价总额进行结算，乙方不得向甲方寻求其他任何的补偿或赔偿。最终结算价格以发包人委托第三方机构审定并经发包人确认的结果为准，若项目按规定须提交政府审计部门审计的，则最终结算价以政府审计部门审计结果为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val="en-US" w:eastAsia="zh-CN"/>
        </w:rPr>
        <w:t>5.</w:t>
      </w:r>
      <w:r>
        <w:rPr>
          <w:rFonts w:hint="eastAsia" w:ascii="仿宋" w:hAnsi="仿宋" w:eastAsia="仿宋" w:cs="仿宋"/>
          <w:spacing w:val="7"/>
          <w:sz w:val="32"/>
          <w:szCs w:val="32"/>
          <w:lang w:val="sq-AL" w:eastAsia="zh-CN"/>
        </w:rPr>
        <w:t>承包人必须按实编制</w:t>
      </w:r>
      <w:r>
        <w:rPr>
          <w:rFonts w:hint="eastAsia" w:ascii="仿宋" w:hAnsi="仿宋" w:eastAsia="仿宋" w:cs="仿宋"/>
          <w:spacing w:val="7"/>
          <w:sz w:val="32"/>
          <w:szCs w:val="32"/>
          <w:lang w:eastAsia="zh-CN"/>
        </w:rPr>
        <w:t>施工图预算及</w:t>
      </w:r>
      <w:r>
        <w:rPr>
          <w:rFonts w:hint="eastAsia" w:ascii="仿宋" w:hAnsi="仿宋" w:eastAsia="仿宋" w:cs="仿宋"/>
          <w:spacing w:val="7"/>
          <w:sz w:val="32"/>
          <w:szCs w:val="32"/>
          <w:lang w:val="sq-AL" w:eastAsia="zh-CN"/>
        </w:rPr>
        <w:t>工程竣工结算，</w:t>
      </w:r>
      <w:r>
        <w:rPr>
          <w:rFonts w:hint="eastAsia" w:ascii="仿宋" w:hAnsi="仿宋" w:eastAsia="仿宋" w:cs="仿宋"/>
          <w:spacing w:val="7"/>
          <w:sz w:val="32"/>
          <w:szCs w:val="32"/>
          <w:lang w:eastAsia="zh-CN"/>
        </w:rPr>
        <w:t>不得高估冒算。</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val="sq-AL" w:eastAsia="zh-CN"/>
        </w:rPr>
      </w:pPr>
      <w:r>
        <w:rPr>
          <w:rFonts w:hint="eastAsia" w:ascii="仿宋" w:hAnsi="仿宋" w:eastAsia="仿宋" w:cs="仿宋"/>
          <w:spacing w:val="7"/>
          <w:sz w:val="32"/>
          <w:szCs w:val="32"/>
          <w:lang w:val="sq-AL" w:eastAsia="zh-CN"/>
        </w:rPr>
        <w:t>经发包人委托第三方造价咨询复审单位进行</w:t>
      </w:r>
      <w:r>
        <w:rPr>
          <w:rFonts w:hint="eastAsia" w:ascii="仿宋" w:hAnsi="仿宋" w:eastAsia="仿宋" w:cs="仿宋"/>
          <w:spacing w:val="7"/>
          <w:sz w:val="32"/>
          <w:szCs w:val="32"/>
          <w:lang w:eastAsia="zh-CN"/>
        </w:rPr>
        <w:t>施工图预算审核及</w:t>
      </w:r>
      <w:r>
        <w:rPr>
          <w:rFonts w:hint="eastAsia" w:ascii="仿宋" w:hAnsi="仿宋" w:eastAsia="仿宋" w:cs="仿宋"/>
          <w:spacing w:val="7"/>
          <w:sz w:val="32"/>
          <w:szCs w:val="32"/>
          <w:lang w:val="sq-AL" w:eastAsia="zh-CN"/>
        </w:rPr>
        <w:t>结算审核，发包人有权在</w:t>
      </w:r>
      <w:r>
        <w:rPr>
          <w:rFonts w:hint="eastAsia" w:ascii="仿宋" w:hAnsi="仿宋" w:eastAsia="仿宋" w:cs="仿宋"/>
          <w:spacing w:val="7"/>
          <w:sz w:val="32"/>
          <w:szCs w:val="32"/>
          <w:lang w:eastAsia="zh-CN"/>
        </w:rPr>
        <w:t>工程进度款、</w:t>
      </w:r>
      <w:r>
        <w:rPr>
          <w:rFonts w:hint="eastAsia" w:ascii="仿宋" w:hAnsi="仿宋" w:eastAsia="仿宋" w:cs="仿宋"/>
          <w:spacing w:val="7"/>
          <w:sz w:val="32"/>
          <w:szCs w:val="32"/>
          <w:lang w:val="sq-AL" w:eastAsia="zh-CN"/>
        </w:rPr>
        <w:t>结算款项中以违约金形式扣除，承包人不得有异议。</w:t>
      </w:r>
    </w:p>
    <w:p>
      <w:pPr>
        <w:pStyle w:val="3"/>
        <w:rPr>
          <w:rFonts w:hint="eastAsia" w:ascii="仿宋" w:hAnsi="仿宋" w:eastAsia="仿宋" w:cs="仿宋"/>
          <w:spacing w:val="7"/>
          <w:sz w:val="32"/>
          <w:szCs w:val="32"/>
          <w:lang w:val="sq-AL" w:eastAsia="zh-CN"/>
        </w:rPr>
      </w:pPr>
    </w:p>
    <w:p>
      <w:pPr>
        <w:rPr>
          <w:rFonts w:hint="eastAsia"/>
          <w:lang w:val="sq-AL" w:eastAsia="zh-CN"/>
        </w:rPr>
      </w:pPr>
    </w:p>
    <w:p>
      <w:pPr>
        <w:pStyle w:val="3"/>
        <w:rPr>
          <w:rFonts w:hint="default"/>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ascii="仿宋" w:hAnsi="仿宋" w:eastAsia="仿宋" w:cs="仿宋"/>
          <w:sz w:val="32"/>
          <w:szCs w:val="32"/>
          <w:lang w:eastAsia="zh-CN"/>
        </w:rPr>
      </w:pPr>
      <w:r>
        <w:rPr>
          <w:rFonts w:hint="eastAsia" w:ascii="仿宋" w:hAnsi="仿宋" w:eastAsia="仿宋" w:cs="仿宋"/>
          <w:b/>
          <w:bCs/>
          <w:spacing w:val="-7"/>
          <w:sz w:val="32"/>
          <w:szCs w:val="32"/>
          <w:lang w:val="en-US" w:eastAsia="zh-CN"/>
        </w:rPr>
        <w:t>七</w:t>
      </w:r>
      <w:r>
        <w:rPr>
          <w:rFonts w:hint="eastAsia" w:ascii="仿宋" w:hAnsi="仿宋" w:eastAsia="仿宋" w:cs="仿宋"/>
          <w:b/>
          <w:bCs/>
          <w:spacing w:val="-7"/>
          <w:sz w:val="32"/>
          <w:szCs w:val="32"/>
          <w:lang w:eastAsia="zh-CN"/>
        </w:rPr>
        <w:t>、工程款支付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val="en-US" w:eastAsia="zh-CN"/>
        </w:rPr>
        <w:t>1.</w:t>
      </w:r>
      <w:r>
        <w:rPr>
          <w:rFonts w:hint="eastAsia" w:ascii="仿宋" w:hAnsi="仿宋" w:eastAsia="仿宋" w:cs="仿宋"/>
          <w:spacing w:val="7"/>
          <w:sz w:val="32"/>
          <w:szCs w:val="32"/>
          <w:lang w:eastAsia="zh-CN"/>
        </w:rPr>
        <w:t>进度款每季度进行一次支付，承包人向监理工程师提出当期已完工程量计价申请，经监理、造价咨询、发包人按程序审核同意后，支付给承包人，每期应付工程进度款为当期完成产值的80％；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val="en-US" w:eastAsia="zh-CN"/>
        </w:rPr>
        <w:t>2.</w:t>
      </w:r>
      <w:r>
        <w:rPr>
          <w:rFonts w:hint="eastAsia" w:ascii="仿宋" w:hAnsi="仿宋" w:eastAsia="仿宋" w:cs="仿宋"/>
          <w:spacing w:val="7"/>
          <w:sz w:val="32"/>
          <w:szCs w:val="32"/>
          <w:lang w:eastAsia="zh-CN"/>
        </w:rPr>
        <w:t>经发包人确认工程完工且竣工验收合格后，支付至合同签约价（扣除暂列金额）或施工图预算价中低价者扣除暂列金额后的85%；</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val="en-US" w:eastAsia="zh-CN"/>
        </w:rPr>
        <w:t>3.</w:t>
      </w:r>
      <w:r>
        <w:rPr>
          <w:rFonts w:hint="eastAsia" w:ascii="仿宋" w:hAnsi="仿宋" w:eastAsia="仿宋" w:cs="仿宋"/>
          <w:spacing w:val="7"/>
          <w:sz w:val="32"/>
          <w:szCs w:val="32"/>
          <w:lang w:eastAsia="zh-CN"/>
        </w:rPr>
        <w:t>竣工图完成、提交质量保修金保函、提交完整竣工结算资料且结算审核完成后，支付至结算价97%；</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val="en-US" w:eastAsia="zh-CN"/>
        </w:rPr>
        <w:t>4.</w:t>
      </w:r>
      <w:r>
        <w:rPr>
          <w:rFonts w:hint="eastAsia" w:ascii="仿宋" w:hAnsi="仿宋" w:eastAsia="仿宋" w:cs="仿宋"/>
          <w:spacing w:val="7"/>
          <w:sz w:val="32"/>
          <w:szCs w:val="32"/>
          <w:lang w:eastAsia="zh-CN"/>
        </w:rPr>
        <w:t>结算金额的3%作为工程质保金，竣工满两年后，按《工程质量缺陷保修书》的有关约定支付。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ascii="仿宋" w:hAnsi="仿宋" w:eastAsia="仿宋" w:cs="仿宋"/>
          <w:spacing w:val="7"/>
          <w:sz w:val="32"/>
          <w:szCs w:val="32"/>
          <w:lang w:eastAsia="zh-CN"/>
        </w:rPr>
      </w:pPr>
      <w:r>
        <w:rPr>
          <w:rFonts w:hint="eastAsia" w:ascii="仿宋" w:hAnsi="仿宋" w:eastAsia="仿宋" w:cs="仿宋"/>
          <w:spacing w:val="7"/>
          <w:sz w:val="32"/>
          <w:szCs w:val="32"/>
          <w:lang w:eastAsia="zh-CN"/>
        </w:rPr>
        <w:t>5.发包人支付每期款项前，承包人须按照合同约定履行完相应义务并提供等额的增值税专用发票，否则发包人有权拒绝付款，且不承担任何法律责任。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ascii="仿宋" w:hAnsi="仿宋" w:eastAsia="仿宋" w:cs="仿宋"/>
          <w:spacing w:val="7"/>
          <w:sz w:val="32"/>
          <w:szCs w:val="32"/>
          <w:lang w:eastAsia="zh-CN"/>
        </w:rPr>
      </w:pPr>
      <w:r>
        <w:rPr>
          <w:rFonts w:hint="eastAsia" w:ascii="仿宋" w:hAnsi="仿宋" w:eastAsia="仿宋" w:cs="仿宋"/>
          <w:spacing w:val="7"/>
          <w:sz w:val="32"/>
          <w:szCs w:val="32"/>
          <w:lang w:eastAsia="zh-CN"/>
        </w:rPr>
        <w:t>6.承包人保证其提供的银行账号真实、合法、有效，发包人向承包人指定的银行账号转入款项后即视为发包人履行完毕付款义务，合同支付方式包括但不限于银行转账、银行承兑汇票、商业承兑汇票等形式。若发包人以银行承兑汇票、商业承兑汇票等票据形式（票据期限不超过三个月，支付比例不超过合同额的30%）向承包人支付工程款时，因票据贴现产生的利息，由承包人承担。承包人开户银行、账号等如有变更，应在当期工程款申请时同步以书面方式通知发包人。如承包人未按合同约定及时通知发包人，由此导致的不利后果及损失均由承包人承担，给发包人造成经济损失的需予以赔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ascii="仿宋" w:hAnsi="仿宋" w:eastAsia="仿宋" w:cs="仿宋"/>
          <w:spacing w:val="7"/>
          <w:sz w:val="32"/>
          <w:szCs w:val="32"/>
          <w:lang w:eastAsia="zh-CN"/>
        </w:rPr>
      </w:pPr>
      <w:r>
        <w:rPr>
          <w:rFonts w:hint="eastAsia" w:ascii="仿宋" w:hAnsi="仿宋" w:eastAsia="仿宋" w:cs="仿宋"/>
          <w:spacing w:val="7"/>
          <w:sz w:val="32"/>
          <w:szCs w:val="32"/>
          <w:lang w:eastAsia="zh-CN"/>
        </w:rPr>
        <w:t>7.因包括政策法规、疫情等在内的所有不可抗力或本项目最终没有启动等原因致使合同无法履行，本合同由双方协商解约，双方各自承担己方损失，不得索赔。</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default" w:ascii="仿宋" w:hAnsi="仿宋" w:eastAsia="仿宋" w:cs="仿宋"/>
          <w:spacing w:val="7"/>
          <w:sz w:val="32"/>
          <w:szCs w:val="32"/>
          <w:lang w:val="en-US" w:eastAsia="zh-CN"/>
        </w:rPr>
      </w:pPr>
      <w:r>
        <w:rPr>
          <w:rFonts w:hint="eastAsia" w:ascii="仿宋" w:hAnsi="仿宋" w:eastAsia="仿宋" w:cs="仿宋"/>
          <w:spacing w:val="7"/>
          <w:sz w:val="32"/>
          <w:szCs w:val="32"/>
          <w:lang w:val="en-US" w:eastAsia="zh-CN"/>
        </w:rPr>
        <w:t>8.如因设计变更、签证、材料调差等因素变化而调整合同总金额，承包人不得拒绝。</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val="en-US" w:eastAsia="zh-CN"/>
        </w:rPr>
        <w:t>9</w:t>
      </w:r>
      <w:r>
        <w:rPr>
          <w:rFonts w:hint="eastAsia" w:ascii="仿宋" w:hAnsi="仿宋" w:eastAsia="仿宋" w:cs="仿宋"/>
          <w:spacing w:val="7"/>
          <w:sz w:val="32"/>
          <w:szCs w:val="32"/>
          <w:lang w:eastAsia="zh-CN"/>
        </w:rPr>
        <w:t>.发包人建立履约评价考核制度，承包人须无条件接受发包人考评。</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仿宋" w:hAnsi="仿宋" w:eastAsia="仿宋" w:cs="仿宋"/>
          <w:b/>
          <w:bCs/>
          <w:spacing w:val="-12"/>
          <w:sz w:val="32"/>
          <w:szCs w:val="32"/>
          <w:lang w:val="en-US" w:eastAsia="zh-CN"/>
        </w:rPr>
      </w:pPr>
      <w:r>
        <w:rPr>
          <w:rFonts w:hint="eastAsia" w:ascii="仿宋" w:hAnsi="仿宋" w:eastAsia="仿宋" w:cs="仿宋"/>
          <w:b/>
          <w:bCs/>
          <w:spacing w:val="-12"/>
          <w:sz w:val="32"/>
          <w:szCs w:val="32"/>
          <w:lang w:val="en-US" w:eastAsia="zh-CN"/>
        </w:rPr>
        <w:t>八、工程变更价款</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b/>
          <w:bCs/>
          <w:spacing w:val="7"/>
          <w:sz w:val="32"/>
          <w:szCs w:val="32"/>
          <w:lang w:val="en-US" w:eastAsia="zh-CN"/>
        </w:rPr>
      </w:pPr>
      <w:r>
        <w:rPr>
          <w:rFonts w:hint="eastAsia" w:ascii="仿宋" w:hAnsi="仿宋" w:eastAsia="仿宋" w:cs="仿宋"/>
          <w:b/>
          <w:bCs/>
          <w:spacing w:val="7"/>
          <w:sz w:val="32"/>
          <w:szCs w:val="32"/>
          <w:lang w:val="en-US" w:eastAsia="zh-CN"/>
        </w:rPr>
        <w:t>（一）工程变更价款的确定方式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val="en-US" w:eastAsia="zh-CN"/>
        </w:rPr>
      </w:pPr>
      <w:r>
        <w:rPr>
          <w:rFonts w:hint="eastAsia" w:ascii="仿宋" w:hAnsi="仿宋" w:eastAsia="仿宋" w:cs="仿宋"/>
          <w:spacing w:val="7"/>
          <w:sz w:val="32"/>
          <w:szCs w:val="32"/>
          <w:lang w:val="en-US" w:eastAsia="zh-CN"/>
        </w:rPr>
        <w:t>1.合同综合单价中已有适用于变更工程的综合单价（或下挂定额子目单价），按合同综合单价（或下挂定额子目单价）确定变更价款。如合同存在相同清单项目不同综合单价(含电子文件)不一致的情况，按不利于承包人的方式计取；</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val="en-US" w:eastAsia="zh-CN"/>
        </w:rPr>
      </w:pPr>
      <w:r>
        <w:rPr>
          <w:rFonts w:hint="eastAsia" w:ascii="仿宋" w:hAnsi="仿宋" w:eastAsia="仿宋" w:cs="仿宋"/>
          <w:spacing w:val="7"/>
          <w:sz w:val="32"/>
          <w:szCs w:val="32"/>
          <w:lang w:val="en-US" w:eastAsia="zh-CN"/>
        </w:rPr>
        <w:t>2.合同综合单价中只有类似于变更工程的综合单价（或下挂定额子目单价），可以参照类似单价确定变更价款;</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val="en-US" w:eastAsia="zh-CN"/>
        </w:rPr>
      </w:pPr>
      <w:r>
        <w:rPr>
          <w:rFonts w:hint="eastAsia" w:ascii="仿宋" w:hAnsi="仿宋" w:eastAsia="仿宋" w:cs="仿宋"/>
          <w:spacing w:val="7"/>
          <w:sz w:val="32"/>
          <w:szCs w:val="32"/>
          <w:lang w:val="en-US" w:eastAsia="zh-CN"/>
        </w:rPr>
        <w:t>3.合同综合单价中没有适用于变更工程的综合单价，按照招标控制价的编制方法计算出该清单项目的综合单价，再依据中标净下浮率调整后确定；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val="en-US" w:eastAsia="zh-CN"/>
        </w:rPr>
      </w:pPr>
      <w:r>
        <w:rPr>
          <w:rFonts w:hint="eastAsia" w:ascii="仿宋" w:hAnsi="仿宋" w:eastAsia="仿宋" w:cs="仿宋"/>
          <w:spacing w:val="7"/>
          <w:sz w:val="32"/>
          <w:szCs w:val="32"/>
          <w:lang w:val="en-US" w:eastAsia="zh-CN"/>
        </w:rPr>
        <w:t>4.以上情况均不适用的项目，由承包人报送变更工程的项目综合单价，经发包人审批后确定。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val="en-US" w:eastAsia="zh-CN"/>
        </w:rPr>
      </w:pPr>
      <w:r>
        <w:rPr>
          <w:rFonts w:hint="eastAsia" w:ascii="仿宋" w:hAnsi="仿宋" w:eastAsia="仿宋" w:cs="仿宋"/>
          <w:spacing w:val="7"/>
          <w:sz w:val="32"/>
          <w:szCs w:val="32"/>
          <w:lang w:val="en-US" w:eastAsia="zh-CN"/>
        </w:rPr>
        <w:t>5.工程中标净下浮率=</w:t>
      </w:r>
      <w:r>
        <w:rPr>
          <w:rFonts w:hint="eastAsia" w:ascii="仿宋" w:hAnsi="仿宋" w:eastAsia="仿宋" w:cs="仿宋"/>
          <w:spacing w:val="7"/>
          <w:sz w:val="32"/>
          <w:szCs w:val="32"/>
          <w:lang w:val="sq-AL" w:eastAsia="zh-CN"/>
        </w:rPr>
        <w:t>[1－中标价（扣除不可竞争费）÷招标控制价（扣除不可竞争费）]×100%</w:t>
      </w:r>
      <w:r>
        <w:rPr>
          <w:rFonts w:hint="eastAsia" w:ascii="仿宋" w:hAnsi="仿宋" w:eastAsia="仿宋" w:cs="仿宋"/>
          <w:spacing w:val="7"/>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val="en-US" w:eastAsia="zh-CN"/>
        </w:rPr>
      </w:pPr>
      <w:r>
        <w:rPr>
          <w:rFonts w:hint="eastAsia" w:ascii="仿宋" w:hAnsi="仿宋" w:eastAsia="仿宋" w:cs="仿宋"/>
          <w:spacing w:val="7"/>
          <w:sz w:val="32"/>
          <w:szCs w:val="32"/>
          <w:lang w:val="en-US" w:eastAsia="zh-CN"/>
        </w:rPr>
        <w:t>承包人不得以变更签证工程的造价未确定为由，拒不进行施工，否则发包人有权按招标文件内工期延误的有关约定，对承包人提出索赔。</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b/>
          <w:bCs/>
          <w:spacing w:val="7"/>
          <w:sz w:val="32"/>
          <w:szCs w:val="32"/>
          <w:lang w:val="en-US" w:eastAsia="zh-CN"/>
        </w:rPr>
      </w:pPr>
      <w:r>
        <w:rPr>
          <w:rFonts w:hint="eastAsia" w:ascii="仿宋" w:hAnsi="仿宋" w:eastAsia="仿宋" w:cs="仿宋"/>
          <w:b/>
          <w:bCs/>
          <w:spacing w:val="7"/>
          <w:sz w:val="32"/>
          <w:szCs w:val="32"/>
          <w:lang w:val="en-US" w:eastAsia="zh-CN"/>
        </w:rPr>
        <w:t>（二）工程变更引起措施项目费调整方式：除安全文明施工措施费、钢筋混凝土模板及脚手架费外，其余措施费不调整。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val="en-US" w:eastAsia="zh-CN"/>
        </w:rPr>
      </w:pPr>
      <w:r>
        <w:rPr>
          <w:rFonts w:hint="eastAsia" w:ascii="仿宋" w:hAnsi="仿宋" w:eastAsia="仿宋" w:cs="仿宋"/>
          <w:spacing w:val="7"/>
          <w:sz w:val="32"/>
          <w:szCs w:val="32"/>
          <w:lang w:val="en-US" w:eastAsia="zh-CN"/>
        </w:rPr>
        <w:t>工程变更风险提示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val="en-US" w:eastAsia="zh-CN"/>
        </w:rPr>
      </w:pPr>
      <w:r>
        <w:rPr>
          <w:rFonts w:hint="eastAsia" w:ascii="仿宋" w:hAnsi="仿宋" w:eastAsia="仿宋" w:cs="仿宋"/>
          <w:spacing w:val="7"/>
          <w:sz w:val="32"/>
          <w:szCs w:val="32"/>
          <w:lang w:val="en-US" w:eastAsia="zh-CN"/>
        </w:rPr>
        <w:t>(1)招标时提供的图纸中可能出现部分节点大样图未标明或不详细等情况，承包人必须仔细核查图纸，如有不明处，必须按《投标须知前附表》规定的时间内书面提出，由发包人统一解答，凡未书面提出，均视为承包人认可发包人的所有图纸为明确可行的，则合同签订后或施工过程中，中标人不得以图纸做法不明确、不完善为由申请设计变更或增加价款，发包人对此均不予补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val="en-US" w:eastAsia="zh-CN"/>
        </w:rPr>
      </w:pPr>
      <w:r>
        <w:rPr>
          <w:rFonts w:hint="eastAsia" w:ascii="仿宋" w:hAnsi="仿宋" w:eastAsia="仿宋" w:cs="仿宋"/>
          <w:spacing w:val="7"/>
          <w:sz w:val="32"/>
          <w:szCs w:val="32"/>
          <w:lang w:val="en-US" w:eastAsia="zh-CN"/>
        </w:rPr>
        <w:t>(2)对节点大样图的任何补充、深化设计都不涉及到造价，承包人对节点大样图的补充、深化设计必须获得发包人及发包人委托的设计咨询的认可，如果发包人及设计咨询认为承包人的设计不满足要求，承包人必须无条件修改至发包人及设计咨询认可为止，且此认可并不涉及任何造价的改变或工期的增加，承包人须在投标报价中自行考虑。</w:t>
      </w:r>
    </w:p>
    <w:p>
      <w:pPr>
        <w:pStyle w:val="3"/>
        <w:rPr>
          <w:rFonts w:hint="eastAsia"/>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仿宋" w:hAnsi="仿宋" w:eastAsia="仿宋" w:cs="仿宋"/>
          <w:b/>
          <w:bCs/>
          <w:spacing w:val="-12"/>
          <w:sz w:val="32"/>
          <w:szCs w:val="32"/>
          <w:lang w:val="en-US" w:eastAsia="zh-CN"/>
        </w:rPr>
      </w:pPr>
      <w:r>
        <w:rPr>
          <w:rFonts w:hint="eastAsia" w:ascii="仿宋" w:hAnsi="仿宋" w:eastAsia="仿宋" w:cs="仿宋"/>
          <w:b/>
          <w:bCs/>
          <w:spacing w:val="-12"/>
          <w:sz w:val="32"/>
          <w:szCs w:val="32"/>
          <w:lang w:val="en-US" w:eastAsia="zh-CN"/>
        </w:rPr>
        <w:t>九</w:t>
      </w:r>
      <w:r>
        <w:rPr>
          <w:rFonts w:hint="eastAsia" w:ascii="仿宋" w:hAnsi="仿宋" w:eastAsia="仿宋" w:cs="仿宋"/>
          <w:b/>
          <w:bCs/>
          <w:spacing w:val="-12"/>
          <w:sz w:val="32"/>
          <w:szCs w:val="32"/>
          <w:lang w:eastAsia="zh-CN"/>
        </w:rPr>
        <w:t>、</w:t>
      </w:r>
      <w:r>
        <w:rPr>
          <w:rFonts w:hint="eastAsia" w:ascii="仿宋" w:hAnsi="仿宋" w:eastAsia="仿宋" w:cs="仿宋"/>
          <w:b/>
          <w:bCs/>
          <w:spacing w:val="-12"/>
          <w:sz w:val="32"/>
          <w:szCs w:val="32"/>
          <w:lang w:val="en-US" w:eastAsia="zh-CN"/>
        </w:rPr>
        <w:t>安全生产与文明施工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val="en-US" w:eastAsia="zh-CN"/>
        </w:rPr>
        <w:t>1</w:t>
      </w:r>
      <w:r>
        <w:rPr>
          <w:rFonts w:hint="eastAsia" w:ascii="仿宋" w:hAnsi="仿宋" w:eastAsia="仿宋" w:cs="仿宋"/>
          <w:spacing w:val="7"/>
          <w:sz w:val="32"/>
          <w:szCs w:val="32"/>
          <w:lang w:eastAsia="zh-CN"/>
        </w:rPr>
        <w:t>.承包人应遵守一切指导安全、劳动保护、文明施工及卫生管理等有关法规，配置必要的安全、文明施工设施与保护器材，设立安全警告标志牌，并为其现场职工(包括发包人代表、监理人员)提供必要的安全防护和劳动保护用品。施工作业人员未经安全生产教育培训，不得上岗作业。承包人有责任管制无关人员进入施工现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val="en-US" w:eastAsia="zh-CN"/>
        </w:rPr>
        <w:t>2</w:t>
      </w:r>
      <w:r>
        <w:rPr>
          <w:rFonts w:hint="eastAsia" w:ascii="仿宋" w:hAnsi="仿宋" w:eastAsia="仿宋" w:cs="仿宋"/>
          <w:spacing w:val="7"/>
          <w:sz w:val="32"/>
          <w:szCs w:val="32"/>
          <w:lang w:eastAsia="zh-CN"/>
        </w:rPr>
        <w:t>.除遵守通常工程施工的安全生产与文明施工的管理规定外，承包人还必须按照深圳市政府有关部门和发包人制定的相关管理规定文件等有关规定的要求执行，同时无条件遵守政府主管部门、发包人针对工程施工方面的其它临时规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val="en-US" w:eastAsia="zh-CN"/>
        </w:rPr>
        <w:t>3.</w:t>
      </w:r>
      <w:r>
        <w:rPr>
          <w:rFonts w:hint="eastAsia" w:ascii="仿宋" w:hAnsi="仿宋" w:eastAsia="仿宋" w:cs="仿宋"/>
          <w:spacing w:val="7"/>
          <w:sz w:val="32"/>
          <w:szCs w:val="32"/>
          <w:lang w:eastAsia="zh-CN"/>
        </w:rPr>
        <w:t>承包人必须建立质量安全保证体系，健全质量安全保证职责，针对本工程的特点制订相应的技术措施及处理预案。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7"/>
          <w:sz w:val="32"/>
          <w:szCs w:val="32"/>
          <w:lang w:val="en-US" w:eastAsia="zh-CN"/>
        </w:rPr>
        <w:t>4.</w:t>
      </w:r>
      <w:r>
        <w:rPr>
          <w:rFonts w:hint="eastAsia" w:ascii="仿宋" w:hAnsi="仿宋" w:eastAsia="仿宋" w:cs="仿宋"/>
          <w:spacing w:val="7"/>
          <w:sz w:val="32"/>
          <w:szCs w:val="32"/>
          <w:lang w:eastAsia="zh-CN"/>
        </w:rPr>
        <w:t>承包人有责任维护发包人在深圳市的企业形象，避免由于施工引起安全、文明施工和环境保护（如噪音、粉尘、排污等）问题而造成对发包人的索赔。由于上述问题造成的索赔由承包人承担全部责任。</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ascii="仿宋" w:hAnsi="仿宋" w:eastAsia="仿宋" w:cs="仿宋"/>
          <w:b/>
          <w:bCs/>
          <w:spacing w:val="-12"/>
          <w:sz w:val="32"/>
          <w:szCs w:val="32"/>
          <w:lang w:eastAsia="zh-CN"/>
        </w:rPr>
      </w:pPr>
      <w:r>
        <w:rPr>
          <w:rFonts w:hint="eastAsia" w:ascii="仿宋" w:hAnsi="仿宋" w:eastAsia="仿宋" w:cs="仿宋"/>
          <w:b/>
          <w:bCs/>
          <w:spacing w:val="-17"/>
          <w:sz w:val="32"/>
          <w:szCs w:val="32"/>
          <w:lang w:val="en-US" w:eastAsia="zh-CN"/>
        </w:rPr>
        <w:t>十</w:t>
      </w:r>
      <w:r>
        <w:rPr>
          <w:rFonts w:hint="eastAsia" w:ascii="仿宋" w:hAnsi="仿宋" w:eastAsia="仿宋" w:cs="仿宋"/>
          <w:b/>
          <w:bCs/>
          <w:spacing w:val="-12"/>
          <w:sz w:val="32"/>
          <w:szCs w:val="32"/>
          <w:lang w:eastAsia="zh-CN"/>
        </w:rPr>
        <w:t>、现场管理配合要求</w:t>
      </w:r>
    </w:p>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rPr>
          <w:rFonts w:hint="eastAsia"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1.现场项目经理必须与投标时经发包人确认的人员名单一致。项目经理必须常驻现场，离开现场2天（含2天）以上需经发包人同意。未经发包人同意，承包人不得中途更换项目经理，因项目经理离职、生病等无法由其继续履职的客观原因除外。发包人有权对不称职的项目经理向承包人提出更换，因人员更换导致的工期延误，承包人必须自行弥补。</w:t>
      </w:r>
    </w:p>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rPr>
          <w:rFonts w:hint="eastAsia"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2.发包人有权对场地内施工顺序作出新的调整和安排，承包人必须配合。</w:t>
      </w:r>
    </w:p>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rPr>
          <w:rFonts w:hint="eastAsia"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3.承包人须作好施工原始记录，汇总施工技术资料作为竣工文件移交发包人。</w:t>
      </w:r>
    </w:p>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rPr>
          <w:rFonts w:hint="eastAsia"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4.承包人必须按发包人的指令及审批后的施工方案和安全技术规范进行施工，并达到发包人的验收标准。</w:t>
      </w:r>
    </w:p>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rPr>
          <w:rFonts w:hint="eastAsia"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5.承包人必须指派代表负责与监理及发包人互相联络、参加发包人组织的协调会，服从发包人的指示和管理，执行发包人在安全生产、文明施工方面的规章制度，服从发包人对安全生产、文明施工及执行各项规章制度方面的检查及奖罚。</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ascii="仿宋" w:hAnsi="仿宋" w:eastAsia="仿宋" w:cs="仿宋"/>
          <w:b/>
          <w:bCs/>
          <w:spacing w:val="-17"/>
          <w:sz w:val="32"/>
          <w:szCs w:val="32"/>
          <w:lang w:eastAsia="zh-CN"/>
        </w:rPr>
      </w:pPr>
      <w:r>
        <w:rPr>
          <w:rFonts w:hint="eastAsia" w:ascii="仿宋" w:hAnsi="仿宋" w:eastAsia="仿宋" w:cs="仿宋"/>
          <w:b/>
          <w:bCs/>
          <w:spacing w:val="-17"/>
          <w:sz w:val="32"/>
          <w:szCs w:val="32"/>
          <w:lang w:eastAsia="zh-CN"/>
        </w:rPr>
        <w:t>十</w:t>
      </w:r>
      <w:r>
        <w:rPr>
          <w:rFonts w:hint="eastAsia" w:ascii="仿宋" w:hAnsi="仿宋" w:eastAsia="仿宋" w:cs="仿宋"/>
          <w:b/>
          <w:bCs/>
          <w:spacing w:val="-17"/>
          <w:sz w:val="32"/>
          <w:szCs w:val="32"/>
          <w:lang w:val="en-US" w:eastAsia="zh-CN"/>
        </w:rPr>
        <w:t>一</w:t>
      </w:r>
      <w:r>
        <w:rPr>
          <w:rFonts w:hint="eastAsia" w:ascii="仿宋" w:hAnsi="仿宋" w:eastAsia="仿宋" w:cs="仿宋"/>
          <w:b/>
          <w:bCs/>
          <w:spacing w:val="-17"/>
          <w:sz w:val="32"/>
          <w:szCs w:val="32"/>
          <w:lang w:eastAsia="zh-CN"/>
        </w:rPr>
        <w:t>、完工验收</w:t>
      </w:r>
    </w:p>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rPr>
          <w:rFonts w:hint="eastAsia"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承包人完成合同范围内的全部工程以及有关工作，包括合同要求的试验、试运行以及检验并达到合同约定的工程质量后，报请监理和发包人组织验收。经监理及发包人验收合格，发包人向承包人出具合格证明；验收不合格的，承包人应按照监理及发包人要求及时整改，由此增加的费用和（或）延误的工期由承包人承担。</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ascii="仿宋" w:hAnsi="仿宋" w:eastAsia="仿宋" w:cs="仿宋"/>
          <w:b/>
          <w:bCs/>
          <w:spacing w:val="-17"/>
          <w:sz w:val="32"/>
          <w:szCs w:val="32"/>
          <w:lang w:eastAsia="zh-CN"/>
        </w:rPr>
      </w:pPr>
      <w:bookmarkStart w:id="3" w:name="_Toc67418472"/>
      <w:bookmarkStart w:id="4" w:name="_Toc26592"/>
      <w:bookmarkStart w:id="5" w:name="_Toc302635685"/>
      <w:r>
        <w:rPr>
          <w:rFonts w:hint="eastAsia" w:ascii="仿宋" w:hAnsi="仿宋" w:eastAsia="仿宋" w:cs="仿宋"/>
          <w:b/>
          <w:bCs/>
          <w:spacing w:val="-17"/>
          <w:sz w:val="32"/>
          <w:szCs w:val="32"/>
          <w:lang w:eastAsia="zh-CN"/>
        </w:rPr>
        <w:t>十</w:t>
      </w:r>
      <w:r>
        <w:rPr>
          <w:rFonts w:hint="eastAsia" w:ascii="仿宋" w:hAnsi="仿宋" w:eastAsia="仿宋" w:cs="仿宋"/>
          <w:b/>
          <w:bCs/>
          <w:spacing w:val="-17"/>
          <w:sz w:val="32"/>
          <w:szCs w:val="32"/>
          <w:lang w:val="en-US" w:eastAsia="zh-CN"/>
        </w:rPr>
        <w:t>二</w:t>
      </w:r>
      <w:r>
        <w:rPr>
          <w:rFonts w:hint="eastAsia" w:ascii="仿宋" w:hAnsi="仿宋" w:eastAsia="仿宋" w:cs="仿宋"/>
          <w:b/>
          <w:bCs/>
          <w:spacing w:val="-17"/>
          <w:sz w:val="32"/>
          <w:szCs w:val="32"/>
          <w:lang w:eastAsia="zh-CN"/>
        </w:rPr>
        <w:t xml:space="preserve">、双方权利及责任： </w:t>
      </w:r>
    </w:p>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rPr>
          <w:rFonts w:hint="eastAsia"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1.发包人有权对承包人的施工方案、安全保障措施、工程进度、质量、管理等进行检查监督，对承包人施工方案、安全保障措施等不完善的方面，发包人有权提出完善整改意见。</w:t>
      </w:r>
    </w:p>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rPr>
          <w:rFonts w:hint="eastAsia"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2.发包人有权对承包人在施工中的违规操作进行制止。</w:t>
      </w:r>
    </w:p>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rPr>
          <w:rFonts w:hint="eastAsia"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3.发包人有权对承包人违法违规行为进行处罚。</w:t>
      </w:r>
    </w:p>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rPr>
          <w:rFonts w:hint="eastAsia"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4.如承包人存在严重违法违规行为，发包人有权单方面解除合同，因此而产生的一切后果均由承包人承担。</w:t>
      </w:r>
    </w:p>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rPr>
          <w:rFonts w:hint="eastAsia"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5.发包人不提供施工现场用水用电接驳点，承包人自行负责办理相关手续并承担相关费用。</w:t>
      </w:r>
    </w:p>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rPr>
          <w:rFonts w:hint="eastAsia"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6.发包人有权委托监理单位（项目管理单位）对本工程进行管理。若发包人进行委托，承包人需服从发包人的统筹安排，全力配合监理单位（项目管理单位）在职权范围内的工作。</w:t>
      </w:r>
    </w:p>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rPr>
          <w:rFonts w:hint="eastAsia"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7.合同签订后，承包人应向发包人开具合同金额10%的履约保函，保函期限应该覆盖至保修期结束。承包人违反合同约定给发包人造成经济损失的，承包人除承担全部责任之外，发包人有权要求承包人予以赔偿，赔偿金由发包人向银行申请从履约保函的保证金中进行扣除，如保证金不足赔偿时，发包人有保留继续追索的权利。</w:t>
      </w:r>
    </w:p>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rPr>
          <w:rFonts w:hint="eastAsia"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8.发包人有权利根据工程项目实际情况最后确定交付工地的范围、时间，发包人不承担承包人期间发生的任何费用，只认同顺延所耽误的工期。</w:t>
      </w:r>
    </w:p>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rPr>
          <w:rFonts w:hint="eastAsia"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9.施工现场不提供住宿条件，食宿条件由承包人自行安排解决，不允许搭食堂。</w:t>
      </w:r>
    </w:p>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rPr>
          <w:rFonts w:hint="eastAsia"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10.承包人需制定施工场地卫生管理制度，做好文明施工工作，保证施工场地整洁干净。</w:t>
      </w:r>
    </w:p>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rPr>
          <w:rFonts w:hint="eastAsia"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11.承包人为本工程的第一安全责任人，在施工前应制定严密的施工方案和安全技术措施，施工过程中应注意人身安全，并注意保护燃气管道及水、电、通讯管线、周边市政道路、建筑物等，如发生安全责任事故，承包人承担由此产生的全部经济责任及法律责任，工期不予顺延。</w:t>
      </w:r>
    </w:p>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rPr>
          <w:rFonts w:hint="default"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12.承包人须认真落实安全技术交底，并依据作业环境进行有针对性的二次安全交底，教育施工人员严格遵守操作规程和安全管理制度，正确使用劳动保护用品，提高自我保护能力</w:t>
      </w:r>
    </w:p>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rPr>
          <w:rFonts w:hint="eastAsia"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13.承包人必须严格按照国家、省、市等有关规定发放工资、劳务费。对发包人支付的工程款，承包人须优先保障工人工资和劳务分包企业的劳务费的发放。对发包人支付到工人工资专用账户的款项，承包人应及时足额发放，不得拖欠或克扣。</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仿宋" w:hAnsi="仿宋" w:eastAsia="仿宋" w:cs="仿宋"/>
          <w:b/>
          <w:bCs/>
          <w:spacing w:val="-17"/>
          <w:sz w:val="32"/>
          <w:szCs w:val="32"/>
          <w:lang w:eastAsia="zh-CN"/>
        </w:rPr>
      </w:pPr>
      <w:r>
        <w:rPr>
          <w:rFonts w:hint="eastAsia" w:ascii="仿宋" w:hAnsi="仿宋" w:eastAsia="仿宋" w:cs="仿宋"/>
          <w:b/>
          <w:bCs/>
          <w:spacing w:val="-17"/>
          <w:sz w:val="32"/>
          <w:szCs w:val="32"/>
          <w:lang w:eastAsia="zh-CN"/>
        </w:rPr>
        <w:t>十</w:t>
      </w:r>
      <w:r>
        <w:rPr>
          <w:rFonts w:hint="eastAsia" w:ascii="仿宋" w:hAnsi="仿宋" w:eastAsia="仿宋" w:cs="仿宋"/>
          <w:b/>
          <w:bCs/>
          <w:spacing w:val="-17"/>
          <w:sz w:val="32"/>
          <w:szCs w:val="32"/>
          <w:lang w:val="en-US" w:eastAsia="zh-CN"/>
        </w:rPr>
        <w:t>三</w:t>
      </w:r>
      <w:r>
        <w:rPr>
          <w:rFonts w:hint="eastAsia" w:ascii="仿宋" w:hAnsi="仿宋" w:eastAsia="仿宋" w:cs="仿宋"/>
          <w:b/>
          <w:bCs/>
          <w:spacing w:val="-17"/>
          <w:sz w:val="32"/>
          <w:szCs w:val="32"/>
          <w:lang w:val="zh-CN" w:eastAsia="zh-CN"/>
        </w:rPr>
        <w:t>、</w:t>
      </w:r>
      <w:r>
        <w:rPr>
          <w:rFonts w:hint="eastAsia" w:ascii="仿宋" w:hAnsi="仿宋" w:eastAsia="仿宋" w:cs="仿宋"/>
          <w:b/>
          <w:bCs/>
          <w:spacing w:val="-17"/>
          <w:sz w:val="32"/>
          <w:szCs w:val="32"/>
          <w:lang w:eastAsia="zh-CN"/>
        </w:rPr>
        <w:t>违约责任</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详见附件1。</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ascii="仿宋" w:hAnsi="仿宋" w:eastAsia="仿宋" w:cs="仿宋"/>
          <w:b/>
          <w:bCs/>
          <w:spacing w:val="-17"/>
          <w:sz w:val="32"/>
          <w:szCs w:val="32"/>
          <w:lang w:val="zh-CN" w:eastAsia="zh-CN"/>
        </w:rPr>
      </w:pPr>
      <w:r>
        <w:rPr>
          <w:rFonts w:hint="eastAsia" w:ascii="仿宋" w:hAnsi="仿宋" w:eastAsia="仿宋" w:cs="仿宋"/>
          <w:b/>
          <w:bCs/>
          <w:spacing w:val="-17"/>
          <w:sz w:val="32"/>
          <w:szCs w:val="32"/>
          <w:lang w:eastAsia="zh-CN"/>
        </w:rPr>
        <w:t>十</w:t>
      </w:r>
      <w:r>
        <w:rPr>
          <w:rFonts w:hint="eastAsia" w:ascii="仿宋" w:hAnsi="仿宋" w:eastAsia="仿宋" w:cs="仿宋"/>
          <w:b/>
          <w:bCs/>
          <w:spacing w:val="-17"/>
          <w:sz w:val="32"/>
          <w:szCs w:val="32"/>
          <w:lang w:val="en-US" w:eastAsia="zh-CN"/>
        </w:rPr>
        <w:t>四</w:t>
      </w:r>
      <w:r>
        <w:rPr>
          <w:rFonts w:hint="eastAsia" w:ascii="仿宋" w:hAnsi="仿宋" w:eastAsia="仿宋" w:cs="仿宋"/>
          <w:b/>
          <w:bCs/>
          <w:spacing w:val="-17"/>
          <w:sz w:val="32"/>
          <w:szCs w:val="32"/>
          <w:lang w:val="zh-CN" w:eastAsia="zh-CN"/>
        </w:rPr>
        <w:t>、承诺</w:t>
      </w:r>
      <w:bookmarkEnd w:id="3"/>
      <w:bookmarkEnd w:id="4"/>
      <w:bookmarkEnd w:id="5"/>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napToGrid w:val="0"/>
          <w:color w:val="000000"/>
          <w:spacing w:val="7"/>
          <w:sz w:val="32"/>
          <w:szCs w:val="32"/>
          <w:lang w:val="en-US" w:eastAsia="zh-CN" w:bidi="ar-SA"/>
        </w:rPr>
      </w:pPr>
      <w:bookmarkStart w:id="6" w:name="_Toc67418473"/>
      <w:bookmarkStart w:id="7" w:name="_Toc30949"/>
      <w:bookmarkStart w:id="8" w:name="_Toc302635686"/>
      <w:r>
        <w:rPr>
          <w:rFonts w:hint="eastAsia" w:ascii="仿宋" w:hAnsi="仿宋" w:eastAsia="仿宋" w:cs="仿宋"/>
          <w:snapToGrid w:val="0"/>
          <w:color w:val="000000"/>
          <w:spacing w:val="7"/>
          <w:sz w:val="32"/>
          <w:szCs w:val="32"/>
          <w:lang w:val="en-US" w:eastAsia="zh-CN" w:bidi="ar-SA"/>
        </w:rPr>
        <w:t>1.发包人承诺按照法律规定履行项目审批手续、筹集工程建设资金并按照合同约定的期限和方式支付合同价款及其它应当支付的款项,并履行本合同所约定的全部义务。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2.承包人承诺按照法律规定及合同约定组织完成工程施工，确保工程质量和安全，不进行转包及违法分包，并在质量缺陷责任期及保修期内承担相应的工程维修责任,并履行本合同所约定的全部义务。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3.发包人和承包人双方理解并承诺不再就同一工程另行签订与合同实质性内容相背离的协议。</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ascii="仿宋" w:hAnsi="仿宋" w:eastAsia="仿宋" w:cs="仿宋"/>
          <w:b/>
          <w:bCs/>
          <w:spacing w:val="-17"/>
          <w:sz w:val="32"/>
          <w:szCs w:val="32"/>
          <w:lang w:val="zh-CN" w:eastAsia="zh-CN"/>
        </w:rPr>
      </w:pPr>
      <w:r>
        <w:rPr>
          <w:rFonts w:hint="eastAsia" w:ascii="仿宋" w:hAnsi="仿宋" w:eastAsia="仿宋" w:cs="仿宋"/>
          <w:b/>
          <w:bCs/>
          <w:spacing w:val="-17"/>
          <w:sz w:val="32"/>
          <w:szCs w:val="32"/>
          <w:lang w:eastAsia="zh-CN"/>
        </w:rPr>
        <w:t>十</w:t>
      </w:r>
      <w:r>
        <w:rPr>
          <w:rFonts w:hint="eastAsia" w:ascii="仿宋" w:hAnsi="仿宋" w:eastAsia="仿宋" w:cs="仿宋"/>
          <w:b/>
          <w:bCs/>
          <w:spacing w:val="-17"/>
          <w:sz w:val="32"/>
          <w:szCs w:val="32"/>
          <w:lang w:val="en-US" w:eastAsia="zh-CN"/>
        </w:rPr>
        <w:t>五</w:t>
      </w:r>
      <w:r>
        <w:rPr>
          <w:rFonts w:hint="eastAsia" w:ascii="仿宋" w:hAnsi="仿宋" w:eastAsia="仿宋" w:cs="仿宋"/>
          <w:b/>
          <w:bCs/>
          <w:spacing w:val="-17"/>
          <w:sz w:val="32"/>
          <w:szCs w:val="32"/>
          <w:lang w:val="zh-CN" w:eastAsia="zh-CN"/>
        </w:rPr>
        <w:t>、合同订立与生效</w:t>
      </w:r>
      <w:bookmarkEnd w:id="6"/>
      <w:bookmarkEnd w:id="7"/>
      <w:bookmarkEnd w:id="8"/>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outlineLvl w:val="2"/>
        <w:rPr>
          <w:rFonts w:hint="eastAsia"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1.本合同订立时间：      年     月     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2.订立地点：深圳市龙华区观湖街道鹭湖社区观盛三路10号龙馨家园A栋2201。</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3.本合同自双方法定代表人或其委托代理人签名并加盖公章后成立并生效。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4.项目在实施的过程中发生争议时，甲乙双方应及时协商解决。协商不成的,双方均同意交由深圳国际仲裁院仲裁。</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 w:hAnsi="仿宋" w:eastAsia="仿宋" w:cs="仿宋"/>
          <w:snapToGrid w:val="0"/>
          <w:color w:val="000000"/>
          <w:spacing w:val="7"/>
          <w:sz w:val="32"/>
          <w:szCs w:val="32"/>
          <w:lang w:val="en-US" w:eastAsia="zh-CN" w:bidi="ar-SA"/>
        </w:rPr>
      </w:pPr>
      <w:r>
        <w:rPr>
          <w:rFonts w:hint="eastAsia" w:ascii="仿宋" w:hAnsi="仿宋" w:eastAsia="仿宋" w:cs="仿宋"/>
          <w:snapToGrid w:val="0"/>
          <w:color w:val="000000"/>
          <w:spacing w:val="7"/>
          <w:sz w:val="32"/>
          <w:szCs w:val="32"/>
          <w:lang w:val="en-US" w:eastAsia="zh-CN" w:bidi="ar-SA"/>
        </w:rPr>
        <w:t>5、本合同一式</w:t>
      </w:r>
      <w:r>
        <w:rPr>
          <w:rFonts w:hint="eastAsia" w:ascii="仿宋" w:hAnsi="仿宋" w:eastAsia="仿宋" w:cs="仿宋"/>
          <w:snapToGrid w:val="0"/>
          <w:color w:val="000000"/>
          <w:spacing w:val="7"/>
          <w:sz w:val="32"/>
          <w:szCs w:val="32"/>
          <w:u w:val="single"/>
          <w:lang w:val="en-US" w:eastAsia="zh-CN" w:bidi="ar-SA"/>
        </w:rPr>
        <w:t xml:space="preserve"> 拾 </w:t>
      </w:r>
      <w:r>
        <w:rPr>
          <w:rFonts w:hint="eastAsia" w:ascii="仿宋" w:hAnsi="仿宋" w:eastAsia="仿宋" w:cs="仿宋"/>
          <w:snapToGrid w:val="0"/>
          <w:color w:val="000000"/>
          <w:spacing w:val="7"/>
          <w:sz w:val="32"/>
          <w:szCs w:val="32"/>
          <w:lang w:val="en-US" w:eastAsia="zh-CN" w:bidi="ar-SA"/>
        </w:rPr>
        <w:t>份，均具有同等法律效力，发包人执</w:t>
      </w:r>
      <w:r>
        <w:rPr>
          <w:rFonts w:hint="eastAsia" w:ascii="仿宋" w:hAnsi="仿宋" w:eastAsia="仿宋" w:cs="仿宋"/>
          <w:snapToGrid w:val="0"/>
          <w:color w:val="000000"/>
          <w:spacing w:val="7"/>
          <w:sz w:val="32"/>
          <w:szCs w:val="32"/>
          <w:u w:val="single"/>
          <w:lang w:val="en-US" w:eastAsia="zh-CN" w:bidi="ar-SA"/>
        </w:rPr>
        <w:t xml:space="preserve"> 陆 </w:t>
      </w:r>
      <w:r>
        <w:rPr>
          <w:rFonts w:hint="eastAsia" w:ascii="仿宋" w:hAnsi="仿宋" w:eastAsia="仿宋" w:cs="仿宋"/>
          <w:snapToGrid w:val="0"/>
          <w:color w:val="000000"/>
          <w:spacing w:val="7"/>
          <w:sz w:val="32"/>
          <w:szCs w:val="32"/>
          <w:lang w:val="en-US" w:eastAsia="zh-CN" w:bidi="ar-SA"/>
        </w:rPr>
        <w:t>份，承包人执</w:t>
      </w:r>
      <w:r>
        <w:rPr>
          <w:rFonts w:hint="eastAsia" w:ascii="仿宋" w:hAnsi="仿宋" w:eastAsia="仿宋" w:cs="仿宋"/>
          <w:snapToGrid w:val="0"/>
          <w:color w:val="000000"/>
          <w:spacing w:val="7"/>
          <w:sz w:val="32"/>
          <w:szCs w:val="32"/>
          <w:u w:val="single"/>
          <w:lang w:val="en-US" w:eastAsia="zh-CN" w:bidi="ar-SA"/>
        </w:rPr>
        <w:t xml:space="preserve"> 肆 </w:t>
      </w:r>
      <w:r>
        <w:rPr>
          <w:rFonts w:hint="eastAsia" w:ascii="仿宋" w:hAnsi="仿宋" w:eastAsia="仿宋" w:cs="仿宋"/>
          <w:snapToGrid w:val="0"/>
          <w:color w:val="000000"/>
          <w:spacing w:val="7"/>
          <w:sz w:val="32"/>
          <w:szCs w:val="32"/>
          <w:lang w:val="en-US" w:eastAsia="zh-CN" w:bidi="ar-SA"/>
        </w:rPr>
        <w:t>份。</w:t>
      </w:r>
    </w:p>
    <w:p>
      <w:pPr>
        <w:rPr>
          <w:bCs/>
          <w:kern w:val="2"/>
          <w:szCs w:val="22"/>
          <w:lang w:eastAsia="zh-CN"/>
        </w:rPr>
      </w:pPr>
    </w:p>
    <w:p>
      <w:pPr>
        <w:rPr>
          <w:rFonts w:ascii="仿宋" w:hAnsi="仿宋" w:eastAsia="仿宋" w:cs="仿宋"/>
          <w:spacing w:val="7"/>
          <w:sz w:val="32"/>
          <w:szCs w:val="32"/>
          <w:lang w:eastAsia="zh-CN"/>
        </w:rPr>
      </w:pPr>
      <w:r>
        <w:rPr>
          <w:rFonts w:hint="eastAsia" w:ascii="仿宋" w:hAnsi="仿宋" w:eastAsia="仿宋" w:cs="仿宋"/>
          <w:spacing w:val="7"/>
          <w:sz w:val="32"/>
          <w:szCs w:val="32"/>
          <w:lang w:eastAsia="zh-CN"/>
        </w:rPr>
        <w:br w:type="page"/>
      </w:r>
    </w:p>
    <w:p>
      <w:pPr>
        <w:pStyle w:val="9"/>
        <w:rPr>
          <w:rFonts w:ascii="仿宋" w:hAnsi="仿宋" w:eastAsia="仿宋" w:cs="仿宋"/>
          <w:spacing w:val="7"/>
          <w:sz w:val="32"/>
          <w:szCs w:val="32"/>
          <w:lang w:eastAsia="zh-CN"/>
        </w:rPr>
      </w:pPr>
      <w:r>
        <w:rPr>
          <w:rFonts w:hint="eastAsia" w:ascii="仿宋" w:hAnsi="仿宋" w:eastAsia="仿宋" w:cs="仿宋"/>
          <w:spacing w:val="7"/>
          <w:sz w:val="32"/>
          <w:szCs w:val="32"/>
          <w:lang w:eastAsia="zh-CN"/>
        </w:rPr>
        <w:t>（以下无正文，为合同签署页）</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4261" w:type="dxa"/>
          </w:tcPr>
          <w:p>
            <w:pPr>
              <w:widowControl w:val="0"/>
              <w:spacing w:line="400" w:lineRule="exact"/>
              <w:jc w:val="both"/>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发包人：（盖章）</w:t>
            </w:r>
          </w:p>
          <w:p>
            <w:pPr>
              <w:pStyle w:val="3"/>
              <w:widowControl w:val="0"/>
              <w:ind w:left="0" w:leftChars="0" w:firstLine="0" w:firstLineChars="0"/>
              <w:jc w:val="both"/>
              <w:rPr>
                <w:lang w:eastAsia="zh-CN"/>
              </w:rPr>
            </w:pPr>
            <w:r>
              <w:rPr>
                <w:rFonts w:hint="eastAsia" w:ascii="仿宋" w:hAnsi="仿宋" w:eastAsia="仿宋" w:cs="仿宋"/>
                <w:snapToGrid w:val="0"/>
                <w:color w:val="000000"/>
                <w:spacing w:val="7"/>
                <w:sz w:val="24"/>
                <w:szCs w:val="24"/>
                <w:lang w:val="en-US" w:eastAsia="zh-CN" w:bidi="ar-SA"/>
              </w:rPr>
              <w:t>深圳市龙华建设发展集团有限公司</w:t>
            </w:r>
          </w:p>
        </w:tc>
        <w:tc>
          <w:tcPr>
            <w:tcW w:w="4261" w:type="dxa"/>
          </w:tcPr>
          <w:p>
            <w:pPr>
              <w:widowControl w:val="0"/>
              <w:spacing w:line="360" w:lineRule="auto"/>
              <w:jc w:val="both"/>
              <w:rPr>
                <w:rFonts w:ascii="仿宋" w:hAnsi="仿宋" w:eastAsia="仿宋" w:cs="仿宋"/>
                <w:spacing w:val="7"/>
                <w:sz w:val="24"/>
                <w:szCs w:val="24"/>
                <w:lang w:eastAsia="zh-CN"/>
              </w:rPr>
            </w:pPr>
            <w:r>
              <w:rPr>
                <w:rFonts w:hint="eastAsia" w:ascii="仿宋" w:hAnsi="仿宋" w:eastAsia="仿宋" w:cs="仿宋"/>
                <w:spacing w:val="7"/>
                <w:sz w:val="24"/>
                <w:szCs w:val="24"/>
                <w:lang w:eastAsia="zh-CN"/>
              </w:rPr>
              <w:t>承包人：（盖章）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4261" w:type="dxa"/>
          </w:tcPr>
          <w:p>
            <w:pPr>
              <w:widowControl w:val="0"/>
              <w:spacing w:line="400" w:lineRule="exact"/>
              <w:jc w:val="both"/>
              <w:rPr>
                <w:rFonts w:ascii="仿宋" w:hAnsi="仿宋" w:eastAsia="仿宋" w:cs="仿宋"/>
                <w:spacing w:val="7"/>
                <w:sz w:val="24"/>
                <w:szCs w:val="24"/>
              </w:rPr>
            </w:pPr>
            <w:r>
              <w:rPr>
                <w:rFonts w:hint="eastAsia" w:ascii="仿宋" w:hAnsi="仿宋" w:eastAsia="仿宋" w:cs="仿宋"/>
                <w:spacing w:val="7"/>
                <w:sz w:val="24"/>
                <w:szCs w:val="24"/>
              </w:rPr>
              <w:t>法定代表人或其委托代理人：</w:t>
            </w:r>
          </w:p>
          <w:p>
            <w:pPr>
              <w:widowControl w:val="0"/>
              <w:spacing w:line="400" w:lineRule="exact"/>
              <w:jc w:val="both"/>
              <w:rPr>
                <w:rFonts w:ascii="仿宋" w:hAnsi="仿宋" w:eastAsia="仿宋" w:cs="仿宋"/>
                <w:spacing w:val="7"/>
                <w:sz w:val="24"/>
                <w:szCs w:val="24"/>
              </w:rPr>
            </w:pPr>
            <w:r>
              <w:rPr>
                <w:rFonts w:hint="eastAsia" w:ascii="仿宋" w:hAnsi="仿宋" w:eastAsia="仿宋" w:cs="仿宋"/>
                <w:spacing w:val="7"/>
                <w:sz w:val="24"/>
                <w:szCs w:val="24"/>
              </w:rPr>
              <w:t>（签名）</w:t>
            </w:r>
          </w:p>
        </w:tc>
        <w:tc>
          <w:tcPr>
            <w:tcW w:w="4261" w:type="dxa"/>
          </w:tcPr>
          <w:p>
            <w:pPr>
              <w:widowControl w:val="0"/>
              <w:spacing w:line="400" w:lineRule="exact"/>
              <w:jc w:val="both"/>
              <w:rPr>
                <w:rFonts w:ascii="仿宋" w:hAnsi="仿宋" w:eastAsia="仿宋" w:cs="仿宋"/>
                <w:spacing w:val="7"/>
                <w:sz w:val="24"/>
                <w:szCs w:val="24"/>
              </w:rPr>
            </w:pPr>
            <w:r>
              <w:rPr>
                <w:rFonts w:hint="eastAsia" w:ascii="仿宋" w:hAnsi="仿宋" w:eastAsia="仿宋" w:cs="仿宋"/>
                <w:spacing w:val="7"/>
                <w:sz w:val="24"/>
                <w:szCs w:val="24"/>
              </w:rPr>
              <w:t>法定代表人或其委托代理人：</w:t>
            </w:r>
          </w:p>
          <w:p>
            <w:pPr>
              <w:widowControl w:val="0"/>
              <w:spacing w:line="400" w:lineRule="exact"/>
              <w:jc w:val="both"/>
              <w:rPr>
                <w:rFonts w:ascii="仿宋" w:hAnsi="仿宋" w:eastAsia="仿宋" w:cs="仿宋"/>
                <w:spacing w:val="7"/>
                <w:sz w:val="24"/>
                <w:szCs w:val="24"/>
              </w:rPr>
            </w:pPr>
            <w:r>
              <w:rPr>
                <w:rFonts w:hint="eastAsia" w:ascii="仿宋" w:hAnsi="仿宋" w:eastAsia="仿宋" w:cs="仿宋"/>
                <w:spacing w:val="7"/>
                <w:sz w:val="24"/>
                <w:szCs w:val="24"/>
              </w:rPr>
              <w:t>（签名）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4261" w:type="dxa"/>
          </w:tcPr>
          <w:p>
            <w:pPr>
              <w:widowControl w:val="0"/>
              <w:spacing w:line="400" w:lineRule="exact"/>
              <w:jc w:val="both"/>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统一社会信用代码：</w:t>
            </w:r>
          </w:p>
          <w:p>
            <w:pPr>
              <w:pStyle w:val="3"/>
              <w:widowControl w:val="0"/>
              <w:ind w:left="0" w:leftChars="0" w:firstLine="0" w:firstLineChars="0"/>
              <w:jc w:val="both"/>
              <w:rPr>
                <w:rFonts w:ascii="仿宋" w:hAnsi="仿宋" w:eastAsia="仿宋" w:cs="仿宋"/>
                <w:spacing w:val="7"/>
                <w:sz w:val="24"/>
                <w:szCs w:val="24"/>
                <w:lang w:eastAsia="zh-CN"/>
              </w:rPr>
            </w:pPr>
            <w:r>
              <w:rPr>
                <w:rFonts w:hint="eastAsia"/>
                <w:lang w:eastAsia="zh-CN"/>
              </w:rPr>
              <w:t>9144030032637087X6</w:t>
            </w:r>
          </w:p>
        </w:tc>
        <w:tc>
          <w:tcPr>
            <w:tcW w:w="4261" w:type="dxa"/>
          </w:tcPr>
          <w:p>
            <w:pPr>
              <w:widowControl w:val="0"/>
              <w:spacing w:line="400" w:lineRule="exact"/>
              <w:jc w:val="both"/>
              <w:rPr>
                <w:rFonts w:ascii="仿宋" w:hAnsi="仿宋" w:eastAsia="仿宋" w:cs="仿宋"/>
                <w:spacing w:val="7"/>
                <w:sz w:val="24"/>
                <w:szCs w:val="24"/>
              </w:rPr>
            </w:pPr>
            <w:r>
              <w:rPr>
                <w:rFonts w:hint="eastAsia" w:ascii="仿宋" w:hAnsi="仿宋" w:eastAsia="仿宋" w:cs="仿宋"/>
                <w:spacing w:val="7"/>
                <w:sz w:val="24"/>
                <w:szCs w:val="24"/>
              </w:rPr>
              <w:t>统一社会信用代码：</w:t>
            </w:r>
          </w:p>
          <w:p>
            <w:pPr>
              <w:widowControl w:val="0"/>
              <w:spacing w:line="400" w:lineRule="exact"/>
              <w:jc w:val="both"/>
              <w:rPr>
                <w:rFonts w:ascii="仿宋" w:hAnsi="仿宋" w:eastAsia="仿宋" w:cs="仿宋"/>
                <w:spacing w:val="7"/>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4261" w:type="dxa"/>
          </w:tcPr>
          <w:p>
            <w:pPr>
              <w:widowControl w:val="0"/>
              <w:spacing w:line="400" w:lineRule="exact"/>
              <w:jc w:val="both"/>
              <w:rPr>
                <w:rFonts w:ascii="仿宋" w:hAnsi="仿宋" w:eastAsia="仿宋" w:cs="仿宋"/>
                <w:spacing w:val="7"/>
                <w:sz w:val="24"/>
                <w:szCs w:val="24"/>
                <w:lang w:eastAsia="zh-CN"/>
              </w:rPr>
            </w:pPr>
            <w:r>
              <w:rPr>
                <w:rFonts w:hint="eastAsia" w:ascii="仿宋" w:hAnsi="仿宋" w:eastAsia="仿宋" w:cs="仿宋"/>
                <w:spacing w:val="7"/>
                <w:sz w:val="24"/>
                <w:szCs w:val="24"/>
                <w:lang w:eastAsia="zh-CN"/>
              </w:rPr>
              <w:t>地址：</w:t>
            </w:r>
            <w:r>
              <w:rPr>
                <w:rFonts w:hint="eastAsia" w:ascii="仿宋" w:hAnsi="仿宋" w:eastAsia="仿宋" w:cs="仿宋"/>
                <w:spacing w:val="7"/>
                <w:sz w:val="24"/>
                <w:szCs w:val="24"/>
                <w:lang w:val="en-US" w:eastAsia="zh-CN"/>
              </w:rPr>
              <w:t>深圳市龙华区观湖街道鹭湖社区观盛三路10号龙馨家园A栋2201</w:t>
            </w:r>
          </w:p>
        </w:tc>
        <w:tc>
          <w:tcPr>
            <w:tcW w:w="4261" w:type="dxa"/>
          </w:tcPr>
          <w:p>
            <w:pPr>
              <w:widowControl w:val="0"/>
              <w:spacing w:line="400" w:lineRule="exact"/>
              <w:jc w:val="both"/>
              <w:rPr>
                <w:rFonts w:ascii="仿宋" w:hAnsi="仿宋" w:eastAsia="仿宋" w:cs="仿宋"/>
                <w:spacing w:val="7"/>
                <w:sz w:val="24"/>
                <w:szCs w:val="24"/>
                <w:lang w:eastAsia="zh-CN"/>
              </w:rPr>
            </w:pPr>
            <w:r>
              <w:rPr>
                <w:rFonts w:hint="eastAsia" w:ascii="仿宋" w:hAnsi="仿宋" w:eastAsia="仿宋" w:cs="仿宋"/>
                <w:spacing w:val="7"/>
                <w:sz w:val="24"/>
                <w:szCs w:val="24"/>
                <w:lang w:eastAsia="zh-CN"/>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261" w:type="dxa"/>
          </w:tcPr>
          <w:p>
            <w:pPr>
              <w:widowControl w:val="0"/>
              <w:spacing w:line="400" w:lineRule="exact"/>
              <w:jc w:val="both"/>
              <w:rPr>
                <w:rFonts w:hint="default" w:ascii="仿宋" w:hAnsi="仿宋" w:eastAsia="仿宋" w:cs="仿宋"/>
                <w:spacing w:val="7"/>
                <w:sz w:val="24"/>
                <w:szCs w:val="24"/>
                <w:lang w:val="en-US" w:eastAsia="zh-CN"/>
              </w:rPr>
            </w:pPr>
            <w:r>
              <w:rPr>
                <w:rFonts w:hint="eastAsia" w:ascii="仿宋" w:hAnsi="仿宋" w:eastAsia="仿宋" w:cs="仿宋"/>
                <w:spacing w:val="7"/>
                <w:sz w:val="24"/>
                <w:szCs w:val="24"/>
              </w:rPr>
              <w:t>邮政编码：</w:t>
            </w:r>
            <w:r>
              <w:rPr>
                <w:rFonts w:hint="eastAsia" w:ascii="仿宋" w:hAnsi="仿宋" w:eastAsia="仿宋" w:cs="仿宋"/>
                <w:spacing w:val="7"/>
                <w:sz w:val="24"/>
                <w:szCs w:val="24"/>
                <w:lang w:val="en-US" w:eastAsia="zh-CN"/>
              </w:rPr>
              <w:t>518000</w:t>
            </w:r>
          </w:p>
        </w:tc>
        <w:tc>
          <w:tcPr>
            <w:tcW w:w="4261" w:type="dxa"/>
          </w:tcPr>
          <w:p>
            <w:pPr>
              <w:widowControl w:val="0"/>
              <w:spacing w:line="400" w:lineRule="exact"/>
              <w:jc w:val="both"/>
              <w:rPr>
                <w:rFonts w:ascii="仿宋" w:hAnsi="仿宋" w:eastAsia="仿宋" w:cs="仿宋"/>
                <w:spacing w:val="7"/>
                <w:sz w:val="24"/>
                <w:szCs w:val="24"/>
                <w:lang w:eastAsia="zh-CN"/>
              </w:rPr>
            </w:pPr>
            <w:r>
              <w:rPr>
                <w:rFonts w:hint="eastAsia" w:ascii="仿宋" w:hAnsi="仿宋" w:eastAsia="仿宋" w:cs="仿宋"/>
                <w:spacing w:val="7"/>
                <w:sz w:val="24"/>
                <w:szCs w:val="24"/>
              </w:rPr>
              <w:t>邮政编码：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61" w:type="dxa"/>
          </w:tcPr>
          <w:p>
            <w:pPr>
              <w:widowControl w:val="0"/>
              <w:spacing w:line="400" w:lineRule="exact"/>
              <w:jc w:val="both"/>
              <w:rPr>
                <w:rFonts w:ascii="仿宋" w:hAnsi="仿宋" w:eastAsia="仿宋" w:cs="仿宋"/>
                <w:spacing w:val="7"/>
                <w:sz w:val="24"/>
                <w:szCs w:val="24"/>
              </w:rPr>
            </w:pPr>
            <w:r>
              <w:rPr>
                <w:rFonts w:hint="eastAsia" w:ascii="仿宋" w:hAnsi="仿宋" w:eastAsia="仿宋" w:cs="仿宋"/>
                <w:spacing w:val="7"/>
                <w:sz w:val="24"/>
                <w:szCs w:val="24"/>
              </w:rPr>
              <w:t>法定代表人：</w:t>
            </w:r>
          </w:p>
        </w:tc>
        <w:tc>
          <w:tcPr>
            <w:tcW w:w="4261" w:type="dxa"/>
          </w:tcPr>
          <w:p>
            <w:pPr>
              <w:widowControl w:val="0"/>
              <w:spacing w:line="400" w:lineRule="exact"/>
              <w:jc w:val="both"/>
              <w:rPr>
                <w:rFonts w:ascii="仿宋" w:hAnsi="仿宋" w:eastAsia="仿宋" w:cs="仿宋"/>
                <w:spacing w:val="7"/>
                <w:sz w:val="24"/>
                <w:szCs w:val="24"/>
                <w:lang w:eastAsia="zh-CN"/>
              </w:rPr>
            </w:pPr>
            <w:r>
              <w:rPr>
                <w:rFonts w:hint="eastAsia" w:ascii="仿宋" w:hAnsi="仿宋" w:eastAsia="仿宋" w:cs="仿宋"/>
                <w:spacing w:val="7"/>
                <w:sz w:val="24"/>
                <w:szCs w:val="24"/>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261" w:type="dxa"/>
          </w:tcPr>
          <w:p>
            <w:pPr>
              <w:widowControl w:val="0"/>
              <w:spacing w:line="400" w:lineRule="exact"/>
              <w:jc w:val="both"/>
              <w:rPr>
                <w:rFonts w:ascii="仿宋" w:hAnsi="仿宋" w:eastAsia="仿宋" w:cs="仿宋"/>
                <w:spacing w:val="7"/>
                <w:sz w:val="24"/>
                <w:szCs w:val="24"/>
              </w:rPr>
            </w:pPr>
            <w:r>
              <w:rPr>
                <w:rFonts w:hint="eastAsia" w:ascii="仿宋" w:hAnsi="仿宋" w:eastAsia="仿宋" w:cs="仿宋"/>
                <w:spacing w:val="7"/>
                <w:sz w:val="24"/>
                <w:szCs w:val="24"/>
              </w:rPr>
              <w:t>委托代理人：/</w:t>
            </w:r>
          </w:p>
        </w:tc>
        <w:tc>
          <w:tcPr>
            <w:tcW w:w="4261" w:type="dxa"/>
          </w:tcPr>
          <w:p>
            <w:pPr>
              <w:widowControl w:val="0"/>
              <w:spacing w:line="400" w:lineRule="exact"/>
              <w:jc w:val="both"/>
              <w:rPr>
                <w:rFonts w:ascii="仿宋" w:hAnsi="仿宋" w:eastAsia="仿宋" w:cs="仿宋"/>
                <w:spacing w:val="7"/>
                <w:sz w:val="24"/>
                <w:szCs w:val="24"/>
                <w:lang w:eastAsia="zh-CN"/>
              </w:rPr>
            </w:pPr>
            <w:r>
              <w:rPr>
                <w:rFonts w:hint="eastAsia" w:ascii="仿宋" w:hAnsi="仿宋" w:eastAsia="仿宋" w:cs="仿宋"/>
                <w:spacing w:val="7"/>
                <w:sz w:val="24"/>
                <w:szCs w:val="24"/>
                <w:lang w:eastAsia="zh-CN"/>
              </w:rPr>
              <w:t>法定代表人联系方式：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261" w:type="dxa"/>
          </w:tcPr>
          <w:p>
            <w:pPr>
              <w:widowControl w:val="0"/>
              <w:spacing w:line="400" w:lineRule="exact"/>
              <w:jc w:val="both"/>
              <w:rPr>
                <w:rFonts w:ascii="仿宋" w:hAnsi="仿宋" w:eastAsia="仿宋" w:cs="仿宋"/>
                <w:spacing w:val="7"/>
                <w:sz w:val="24"/>
                <w:szCs w:val="24"/>
              </w:rPr>
            </w:pPr>
            <w:r>
              <w:rPr>
                <w:rFonts w:hint="eastAsia" w:ascii="仿宋" w:hAnsi="仿宋" w:eastAsia="仿宋" w:cs="仿宋"/>
                <w:spacing w:val="7"/>
                <w:sz w:val="24"/>
                <w:szCs w:val="24"/>
              </w:rPr>
              <w:t>电话：</w:t>
            </w:r>
          </w:p>
        </w:tc>
        <w:tc>
          <w:tcPr>
            <w:tcW w:w="4261" w:type="dxa"/>
          </w:tcPr>
          <w:p>
            <w:pPr>
              <w:widowControl w:val="0"/>
              <w:spacing w:line="400" w:lineRule="exact"/>
              <w:jc w:val="both"/>
              <w:rPr>
                <w:rFonts w:ascii="仿宋" w:hAnsi="仿宋" w:eastAsia="仿宋" w:cs="仿宋"/>
                <w:spacing w:val="7"/>
                <w:sz w:val="24"/>
                <w:szCs w:val="24"/>
              </w:rPr>
            </w:pPr>
            <w:r>
              <w:rPr>
                <w:rFonts w:hint="eastAsia" w:ascii="仿宋" w:hAnsi="仿宋" w:eastAsia="仿宋" w:cs="仿宋"/>
                <w:spacing w:val="7"/>
                <w:sz w:val="24"/>
                <w:szCs w:val="24"/>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261" w:type="dxa"/>
          </w:tcPr>
          <w:p>
            <w:pPr>
              <w:widowControl w:val="0"/>
              <w:spacing w:line="400" w:lineRule="exact"/>
              <w:jc w:val="both"/>
              <w:rPr>
                <w:rFonts w:ascii="仿宋" w:hAnsi="仿宋" w:eastAsia="仿宋" w:cs="仿宋"/>
                <w:spacing w:val="7"/>
                <w:sz w:val="24"/>
                <w:szCs w:val="24"/>
              </w:rPr>
            </w:pPr>
            <w:r>
              <w:rPr>
                <w:rFonts w:hint="eastAsia" w:ascii="仿宋" w:hAnsi="仿宋" w:eastAsia="仿宋" w:cs="仿宋"/>
                <w:spacing w:val="7"/>
                <w:sz w:val="24"/>
                <w:szCs w:val="24"/>
              </w:rPr>
              <w:t>传真：/</w:t>
            </w:r>
          </w:p>
        </w:tc>
        <w:tc>
          <w:tcPr>
            <w:tcW w:w="4261" w:type="dxa"/>
          </w:tcPr>
          <w:p>
            <w:pPr>
              <w:widowControl w:val="0"/>
              <w:spacing w:line="400" w:lineRule="exact"/>
              <w:jc w:val="both"/>
              <w:rPr>
                <w:rFonts w:ascii="仿宋" w:hAnsi="仿宋" w:eastAsia="仿宋" w:cs="仿宋"/>
                <w:spacing w:val="7"/>
                <w:sz w:val="24"/>
                <w:szCs w:val="24"/>
                <w:lang w:eastAsia="zh-CN"/>
              </w:rPr>
            </w:pPr>
            <w:r>
              <w:rPr>
                <w:rFonts w:hint="eastAsia" w:ascii="仿宋" w:hAnsi="仿宋" w:eastAsia="仿宋" w:cs="仿宋"/>
                <w:spacing w:val="7"/>
                <w:sz w:val="24"/>
                <w:szCs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4261" w:type="dxa"/>
          </w:tcPr>
          <w:p>
            <w:pPr>
              <w:widowControl w:val="0"/>
              <w:spacing w:line="400" w:lineRule="exact"/>
              <w:jc w:val="both"/>
              <w:rPr>
                <w:rFonts w:ascii="仿宋" w:hAnsi="仿宋" w:eastAsia="仿宋" w:cs="仿宋"/>
                <w:spacing w:val="7"/>
                <w:sz w:val="24"/>
                <w:szCs w:val="24"/>
              </w:rPr>
            </w:pPr>
            <w:r>
              <w:rPr>
                <w:rFonts w:hint="eastAsia" w:ascii="仿宋" w:hAnsi="仿宋" w:eastAsia="仿宋" w:cs="仿宋"/>
                <w:spacing w:val="7"/>
                <w:sz w:val="24"/>
                <w:szCs w:val="24"/>
              </w:rPr>
              <w:t>电子信箱：</w:t>
            </w:r>
          </w:p>
        </w:tc>
        <w:tc>
          <w:tcPr>
            <w:tcW w:w="4261" w:type="dxa"/>
          </w:tcPr>
          <w:p>
            <w:pPr>
              <w:widowControl w:val="0"/>
              <w:spacing w:line="400" w:lineRule="exact"/>
              <w:jc w:val="both"/>
              <w:rPr>
                <w:rFonts w:ascii="仿宋" w:hAnsi="仿宋" w:eastAsia="仿宋" w:cs="仿宋"/>
                <w:spacing w:val="7"/>
                <w:sz w:val="24"/>
                <w:szCs w:val="24"/>
              </w:rPr>
            </w:pPr>
            <w:r>
              <w:rPr>
                <w:rFonts w:hint="eastAsia" w:ascii="仿宋" w:hAnsi="仿宋" w:eastAsia="仿宋" w:cs="仿宋"/>
                <w:spacing w:val="7"/>
                <w:sz w:val="24"/>
                <w:szCs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61" w:type="dxa"/>
          </w:tcPr>
          <w:p>
            <w:pPr>
              <w:widowControl w:val="0"/>
              <w:spacing w:line="400" w:lineRule="exact"/>
              <w:jc w:val="both"/>
              <w:rPr>
                <w:rFonts w:ascii="仿宋" w:hAnsi="仿宋" w:eastAsia="仿宋" w:cs="仿宋"/>
                <w:spacing w:val="7"/>
                <w:sz w:val="24"/>
                <w:szCs w:val="24"/>
                <w:lang w:eastAsia="zh-CN"/>
              </w:rPr>
            </w:pPr>
            <w:r>
              <w:rPr>
                <w:rFonts w:hint="eastAsia" w:ascii="仿宋" w:hAnsi="仿宋" w:eastAsia="仿宋" w:cs="仿宋"/>
                <w:spacing w:val="7"/>
                <w:sz w:val="24"/>
                <w:szCs w:val="24"/>
                <w:lang w:eastAsia="zh-CN"/>
              </w:rPr>
              <w:t>开户银行：</w:t>
            </w:r>
          </w:p>
        </w:tc>
        <w:tc>
          <w:tcPr>
            <w:tcW w:w="4261" w:type="dxa"/>
          </w:tcPr>
          <w:p>
            <w:pPr>
              <w:widowControl w:val="0"/>
              <w:spacing w:line="400" w:lineRule="exact"/>
              <w:jc w:val="both"/>
              <w:rPr>
                <w:rFonts w:ascii="仿宋" w:hAnsi="仿宋" w:eastAsia="仿宋" w:cs="仿宋"/>
                <w:spacing w:val="7"/>
                <w:sz w:val="24"/>
                <w:szCs w:val="24"/>
                <w:lang w:eastAsia="zh-CN"/>
              </w:rPr>
            </w:pPr>
            <w:r>
              <w:rPr>
                <w:rFonts w:hint="eastAsia" w:ascii="仿宋" w:hAnsi="仿宋" w:eastAsia="仿宋" w:cs="仿宋"/>
                <w:spacing w:val="7"/>
                <w:sz w:val="24"/>
                <w:szCs w:val="24"/>
              </w:rPr>
              <w:t>电子信箱：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261" w:type="dxa"/>
          </w:tcPr>
          <w:p>
            <w:pPr>
              <w:widowControl w:val="0"/>
              <w:jc w:val="both"/>
              <w:rPr>
                <w:rFonts w:ascii="仿宋" w:hAnsi="仿宋" w:eastAsia="仿宋" w:cs="仿宋"/>
                <w:spacing w:val="7"/>
                <w:sz w:val="24"/>
                <w:szCs w:val="24"/>
              </w:rPr>
            </w:pPr>
            <w:r>
              <w:rPr>
                <w:rFonts w:hint="eastAsia" w:ascii="仿宋" w:hAnsi="仿宋" w:eastAsia="仿宋" w:cs="仿宋"/>
                <w:spacing w:val="7"/>
                <w:sz w:val="24"/>
                <w:szCs w:val="24"/>
              </w:rPr>
              <w:t>账号：</w:t>
            </w:r>
          </w:p>
          <w:p>
            <w:pPr>
              <w:widowControl w:val="0"/>
              <w:spacing w:line="400" w:lineRule="exact"/>
              <w:jc w:val="both"/>
              <w:rPr>
                <w:rFonts w:ascii="仿宋" w:hAnsi="仿宋" w:eastAsia="仿宋" w:cs="仿宋"/>
                <w:spacing w:val="7"/>
                <w:sz w:val="24"/>
                <w:szCs w:val="24"/>
              </w:rPr>
            </w:pPr>
          </w:p>
        </w:tc>
        <w:tc>
          <w:tcPr>
            <w:tcW w:w="4261" w:type="dxa"/>
          </w:tcPr>
          <w:p>
            <w:pPr>
              <w:widowControl w:val="0"/>
              <w:spacing w:line="400" w:lineRule="exact"/>
              <w:jc w:val="both"/>
              <w:rPr>
                <w:rFonts w:ascii="仿宋" w:hAnsi="仿宋" w:eastAsia="仿宋" w:cs="仿宋"/>
                <w:spacing w:val="7"/>
                <w:sz w:val="24"/>
                <w:szCs w:val="24"/>
                <w:lang w:eastAsia="zh-CN"/>
              </w:rPr>
            </w:pPr>
            <w:r>
              <w:rPr>
                <w:rFonts w:hint="eastAsia" w:ascii="仿宋" w:hAnsi="仿宋" w:eastAsia="仿宋" w:cs="仿宋"/>
                <w:spacing w:val="7"/>
                <w:sz w:val="24"/>
                <w:szCs w:val="24"/>
                <w:lang w:eastAsia="zh-CN"/>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261" w:type="dxa"/>
          </w:tcPr>
          <w:p>
            <w:pPr>
              <w:widowControl w:val="0"/>
              <w:spacing w:line="400" w:lineRule="exact"/>
              <w:jc w:val="both"/>
              <w:rPr>
                <w:rFonts w:ascii="仿宋" w:hAnsi="仿宋" w:eastAsia="仿宋" w:cs="仿宋"/>
                <w:spacing w:val="7"/>
                <w:sz w:val="24"/>
                <w:szCs w:val="24"/>
                <w:lang w:eastAsia="zh-CN"/>
              </w:rPr>
            </w:pPr>
          </w:p>
        </w:tc>
        <w:tc>
          <w:tcPr>
            <w:tcW w:w="4261" w:type="dxa"/>
          </w:tcPr>
          <w:p>
            <w:pPr>
              <w:widowControl w:val="0"/>
              <w:spacing w:line="400" w:lineRule="exact"/>
              <w:jc w:val="both"/>
              <w:rPr>
                <w:rFonts w:ascii="仿宋" w:hAnsi="仿宋" w:eastAsia="仿宋" w:cs="仿宋"/>
                <w:spacing w:val="7"/>
                <w:sz w:val="24"/>
                <w:szCs w:val="24"/>
              </w:rPr>
            </w:pPr>
            <w:r>
              <w:rPr>
                <w:rFonts w:hint="eastAsia" w:ascii="仿宋" w:hAnsi="仿宋" w:eastAsia="仿宋" w:cs="仿宋"/>
                <w:spacing w:val="7"/>
                <w:sz w:val="24"/>
                <w:szCs w:val="24"/>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261" w:type="dxa"/>
          </w:tcPr>
          <w:p>
            <w:pPr>
              <w:widowControl w:val="0"/>
              <w:spacing w:line="400" w:lineRule="exact"/>
              <w:jc w:val="both"/>
              <w:rPr>
                <w:rFonts w:ascii="仿宋" w:hAnsi="仿宋" w:eastAsia="仿宋" w:cs="仿宋"/>
                <w:spacing w:val="7"/>
                <w:sz w:val="24"/>
                <w:szCs w:val="24"/>
                <w:lang w:eastAsia="zh-CN"/>
              </w:rPr>
            </w:pPr>
            <w:r>
              <w:rPr>
                <w:rFonts w:hint="eastAsia" w:ascii="仿宋" w:hAnsi="仿宋" w:eastAsia="仿宋" w:cs="仿宋"/>
                <w:spacing w:val="7"/>
                <w:sz w:val="24"/>
                <w:szCs w:val="24"/>
                <w:lang w:eastAsia="zh-CN"/>
              </w:rPr>
              <w:t>合同签订时间：    年   月  日</w:t>
            </w:r>
          </w:p>
        </w:tc>
        <w:tc>
          <w:tcPr>
            <w:tcW w:w="4261" w:type="dxa"/>
          </w:tcPr>
          <w:p>
            <w:pPr>
              <w:widowControl w:val="0"/>
              <w:spacing w:line="400" w:lineRule="exact"/>
              <w:jc w:val="both"/>
              <w:rPr>
                <w:rFonts w:ascii="仿宋" w:hAnsi="仿宋" w:eastAsia="仿宋" w:cs="仿宋"/>
                <w:spacing w:val="7"/>
                <w:sz w:val="24"/>
                <w:szCs w:val="24"/>
                <w:lang w:eastAsia="zh-CN"/>
              </w:rPr>
            </w:pPr>
          </w:p>
        </w:tc>
      </w:tr>
    </w:tbl>
    <w:p>
      <w:pPr>
        <w:rPr>
          <w:rFonts w:ascii="仿宋" w:hAnsi="仿宋" w:eastAsia="仿宋" w:cs="仿宋"/>
          <w:spacing w:val="10"/>
          <w:sz w:val="32"/>
          <w:szCs w:val="32"/>
          <w:lang w:eastAsia="zh-CN"/>
        </w:rPr>
      </w:pPr>
      <w:r>
        <w:rPr>
          <w:rFonts w:hint="eastAsia" w:ascii="仿宋" w:hAnsi="仿宋" w:eastAsia="仿宋" w:cs="仿宋"/>
          <w:spacing w:val="10"/>
          <w:sz w:val="32"/>
          <w:szCs w:val="32"/>
          <w:lang w:eastAsia="zh-CN"/>
        </w:rPr>
        <w:br w:type="page"/>
      </w:r>
    </w:p>
    <w:p>
      <w:pPr>
        <w:pStyle w:val="2"/>
        <w:keepNext w:val="0"/>
        <w:keepLines w:val="0"/>
        <w:widowControl/>
        <w:spacing w:before="0" w:after="0" w:line="360" w:lineRule="auto"/>
        <w:jc w:val="left"/>
        <w:outlineLvl w:val="1"/>
        <w:rPr>
          <w:rFonts w:hint="eastAsia" w:ascii="宋体" w:hAnsi="宋体" w:eastAsia="宋体" w:cs="宋体"/>
          <w:szCs w:val="21"/>
        </w:rPr>
      </w:pPr>
      <w:r>
        <w:rPr>
          <w:rFonts w:hint="eastAsia" w:ascii="宋体" w:hAnsi="宋体" w:eastAsia="宋体" w:cs="宋体"/>
          <w:kern w:val="0"/>
          <w:sz w:val="24"/>
          <w:szCs w:val="24"/>
        </w:rPr>
        <w:t>附件</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w:t>
      </w:r>
      <w:r>
        <w:rPr>
          <w:rFonts w:hint="eastAsia" w:ascii="宋体" w:hAnsi="宋体" w:eastAsia="宋体" w:cs="宋体"/>
          <w:szCs w:val="21"/>
        </w:rPr>
        <w:t>中标通知书</w:t>
      </w:r>
    </w:p>
    <w:p>
      <w:pPr>
        <w:rPr>
          <w:rFonts w:hint="eastAsia" w:ascii="宋体" w:hAnsi="宋体" w:eastAsia="宋体" w:cs="宋体"/>
          <w:szCs w:val="21"/>
        </w:rPr>
      </w:pPr>
      <w:r>
        <w:rPr>
          <w:rFonts w:hint="eastAsia" w:ascii="宋体" w:hAnsi="宋体" w:eastAsia="宋体" w:cs="宋体"/>
          <w:szCs w:val="21"/>
        </w:rPr>
        <w:br w:type="page"/>
      </w:r>
    </w:p>
    <w:p>
      <w:pPr>
        <w:pStyle w:val="2"/>
        <w:keepNext w:val="0"/>
        <w:keepLines w:val="0"/>
        <w:widowControl/>
        <w:spacing w:before="0" w:after="0" w:line="360" w:lineRule="auto"/>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附件2：投标函</w:t>
      </w:r>
    </w:p>
    <w:p>
      <w:pP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br w:type="page"/>
      </w:r>
    </w:p>
    <w:p>
      <w:pPr>
        <w:pStyle w:val="2"/>
        <w:keepNext w:val="0"/>
        <w:keepLines w:val="0"/>
        <w:widowControl/>
        <w:spacing w:before="0" w:after="0" w:line="360" w:lineRule="auto"/>
        <w:jc w:val="left"/>
        <w:rPr>
          <w:rFonts w:hint="default"/>
          <w:lang w:val="en-US" w:eastAsia="zh-CN"/>
        </w:rPr>
      </w:pPr>
      <w:r>
        <w:rPr>
          <w:rFonts w:hint="eastAsia" w:ascii="宋体" w:hAnsi="宋体" w:eastAsia="宋体" w:cs="宋体"/>
          <w:kern w:val="0"/>
          <w:sz w:val="28"/>
          <w:szCs w:val="28"/>
          <w:lang w:val="en-US" w:eastAsia="zh-CN"/>
        </w:rPr>
        <w:t>附件3：项目管理机构</w:t>
      </w:r>
    </w:p>
    <w:p>
      <w:pPr>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2"/>
        <w:keepNext w:val="0"/>
        <w:keepLines w:val="0"/>
        <w:widowControl/>
        <w:spacing w:before="0" w:after="0" w:line="360" w:lineRule="auto"/>
        <w:jc w:val="left"/>
        <w:rPr>
          <w:rFonts w:ascii="宋体" w:hAnsi="宋体" w:eastAsia="宋体" w:cs="宋体"/>
          <w:kern w:val="0"/>
          <w:sz w:val="28"/>
          <w:szCs w:val="28"/>
        </w:rPr>
      </w:pPr>
      <w:r>
        <w:rPr>
          <w:rFonts w:hint="eastAsia" w:ascii="宋体" w:hAnsi="宋体" w:eastAsia="宋体" w:cs="宋体"/>
          <w:kern w:val="0"/>
          <w:sz w:val="28"/>
          <w:szCs w:val="28"/>
        </w:rPr>
        <w:t>附件</w:t>
      </w: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：工程质量保修书</w:t>
      </w:r>
    </w:p>
    <w:p>
      <w:pPr>
        <w:adjustRightInd w:val="0"/>
        <w:snapToGrid w:val="0"/>
        <w:spacing w:line="360" w:lineRule="auto"/>
        <w:rPr>
          <w:b/>
        </w:rPr>
      </w:pPr>
    </w:p>
    <w:p>
      <w:pPr>
        <w:keepNext w:val="0"/>
        <w:keepLines w:val="0"/>
        <w:pageBreakBefore w:val="0"/>
        <w:wordWrap/>
        <w:overflowPunct/>
        <w:topLinePunct w:val="0"/>
        <w:bidi w:val="0"/>
        <w:adjustRightInd w:val="0"/>
        <w:snapToGrid w:val="0"/>
        <w:spacing w:line="560" w:lineRule="exact"/>
        <w:jc w:val="center"/>
        <w:rPr>
          <w:rFonts w:hint="eastAsia" w:ascii="仿宋" w:hAnsi="仿宋" w:eastAsia="仿宋" w:cs="仿宋"/>
          <w:b/>
          <w:sz w:val="32"/>
          <w:szCs w:val="22"/>
        </w:rPr>
      </w:pPr>
      <w:r>
        <w:rPr>
          <w:rFonts w:hint="eastAsia" w:ascii="仿宋" w:hAnsi="仿宋" w:eastAsia="仿宋" w:cs="仿宋"/>
          <w:b/>
          <w:sz w:val="32"/>
          <w:szCs w:val="22"/>
        </w:rPr>
        <w:t>工程质量保修书</w:t>
      </w:r>
    </w:p>
    <w:p>
      <w:pPr>
        <w:pStyle w:val="14"/>
        <w:keepNext w:val="0"/>
        <w:keepLines w:val="0"/>
        <w:pageBreakBefore w:val="0"/>
        <w:wordWrap/>
        <w:overflowPunct/>
        <w:topLinePunct w:val="0"/>
        <w:bidi w:val="0"/>
        <w:spacing w:line="56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rPr>
        <w:t>发包人</w:t>
      </w:r>
      <w:r>
        <w:rPr>
          <w:rFonts w:hint="eastAsia" w:ascii="仿宋" w:hAnsi="仿宋" w:eastAsia="仿宋" w:cs="仿宋"/>
          <w:bCs/>
          <w:sz w:val="24"/>
          <w:szCs w:val="24"/>
        </w:rPr>
        <w:t xml:space="preserve">(全称)： </w:t>
      </w:r>
      <w:r>
        <w:rPr>
          <w:rFonts w:hint="eastAsia" w:ascii="仿宋" w:hAnsi="仿宋" w:eastAsia="仿宋" w:cs="仿宋"/>
          <w:bCs/>
          <w:sz w:val="24"/>
          <w:szCs w:val="24"/>
          <w:u w:val="single"/>
          <w:lang w:eastAsia="zh-CN"/>
        </w:rPr>
        <w:t>深圳市龙华建设发展集团有限公司</w:t>
      </w:r>
    </w:p>
    <w:p>
      <w:pPr>
        <w:pStyle w:val="14"/>
        <w:keepNext w:val="0"/>
        <w:keepLines w:val="0"/>
        <w:pageBreakBefore w:val="0"/>
        <w:wordWrap/>
        <w:overflowPunct/>
        <w:topLinePunct w:val="0"/>
        <w:bidi w:val="0"/>
        <w:spacing w:line="560" w:lineRule="exact"/>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承包人</w:t>
      </w:r>
      <w:r>
        <w:rPr>
          <w:rFonts w:hint="eastAsia" w:ascii="仿宋" w:hAnsi="仿宋" w:eastAsia="仿宋" w:cs="仿宋"/>
          <w:bCs/>
          <w:sz w:val="24"/>
          <w:szCs w:val="24"/>
        </w:rPr>
        <w:t>(全称)</w:t>
      </w:r>
      <w:r>
        <w:rPr>
          <w:rFonts w:hint="eastAsia" w:ascii="仿宋" w:hAnsi="仿宋" w:eastAsia="仿宋" w:cs="仿宋"/>
          <w:b/>
          <w:bCs/>
          <w:sz w:val="24"/>
          <w:szCs w:val="24"/>
        </w:rPr>
        <w:t xml:space="preserve">：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xml:space="preserve">  </w:t>
      </w:r>
      <w:r>
        <w:rPr>
          <w:rFonts w:hint="eastAsia" w:ascii="仿宋" w:hAnsi="仿宋" w:eastAsia="仿宋" w:cs="仿宋"/>
          <w:sz w:val="24"/>
          <w:szCs w:val="24"/>
          <w:u w:val="single"/>
        </w:rPr>
        <w:fldChar w:fldCharType="begin"/>
      </w:r>
      <w:r>
        <w:rPr>
          <w:rFonts w:hint="eastAsia" w:ascii="仿宋" w:hAnsi="仿宋" w:eastAsia="仿宋" w:cs="仿宋"/>
          <w:sz w:val="24"/>
          <w:szCs w:val="24"/>
          <w:u w:val="single"/>
        </w:rPr>
        <w:instrText xml:space="preserve"> AUTOTEXT  input273 \* MERGEFORMAT </w:instrText>
      </w:r>
      <w:r>
        <w:rPr>
          <w:rFonts w:hint="eastAsia" w:ascii="仿宋" w:hAnsi="仿宋" w:eastAsia="仿宋" w:cs="仿宋"/>
          <w:sz w:val="24"/>
          <w:szCs w:val="24"/>
          <w:u w:val="single"/>
        </w:rPr>
        <w:fldChar w:fldCharType="separate"/>
      </w:r>
      <w:r>
        <w:rPr>
          <w:rFonts w:hint="eastAsia" w:ascii="仿宋" w:hAnsi="仿宋" w:eastAsia="仿宋" w:cs="仿宋"/>
          <w:sz w:val="24"/>
          <w:szCs w:val="24"/>
          <w:u w:val="single"/>
        </w:rPr>
        <w:fldChar w:fldCharType="end"/>
      </w:r>
    </w:p>
    <w:p>
      <w:pPr>
        <w:keepNext w:val="0"/>
        <w:keepLines w:val="0"/>
        <w:pageBreakBefore w:val="0"/>
        <w:wordWrap/>
        <w:overflowPunct/>
        <w:topLinePunct w:val="0"/>
        <w:bidi w:val="0"/>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rPr>
        <w:t>为保证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eastAsia="zh-CN"/>
        </w:rPr>
        <w:t>深圳市人才研修院龙华分院运营提升改造工程</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fldChar w:fldCharType="begin"/>
      </w:r>
      <w:r>
        <w:rPr>
          <w:rFonts w:hint="eastAsia" w:ascii="仿宋" w:hAnsi="仿宋" w:eastAsia="仿宋" w:cs="仿宋"/>
          <w:sz w:val="24"/>
          <w:szCs w:val="24"/>
          <w:u w:val="single"/>
        </w:rPr>
        <w:instrText xml:space="preserve"> AUTOTEXT  input274 \* MERGEFORMAT </w:instrText>
      </w:r>
      <w:r>
        <w:rPr>
          <w:rFonts w:hint="eastAsia" w:ascii="仿宋" w:hAnsi="仿宋" w:eastAsia="仿宋" w:cs="仿宋"/>
          <w:sz w:val="24"/>
          <w:szCs w:val="24"/>
          <w:u w:val="single"/>
        </w:rPr>
        <w:fldChar w:fldCharType="separate"/>
      </w:r>
      <w:r>
        <w:rPr>
          <w:rFonts w:hint="eastAsia" w:ascii="仿宋" w:hAnsi="仿宋" w:eastAsia="仿宋" w:cs="仿宋"/>
          <w:sz w:val="24"/>
          <w:szCs w:val="24"/>
          <w:u w:val="single"/>
        </w:rPr>
        <w:fldChar w:fldCharType="end"/>
      </w:r>
      <w:r>
        <w:rPr>
          <w:rFonts w:hint="eastAsia" w:ascii="仿宋" w:hAnsi="仿宋" w:eastAsia="仿宋" w:cs="仿宋"/>
          <w:sz w:val="24"/>
          <w:szCs w:val="24"/>
        </w:rPr>
        <w:t>（工程名称）在合理使用期限内正常使用，发包人和承包人根据《中华人民共和国建筑法》《建设工程质量管理条例》《深圳特区建设工程质量管理条例》，经协商一致，签订工程质量保修书。承包人在质量保修期内按照有关规定及双方约定承担工程质量保修责任</w:t>
      </w:r>
      <w:r>
        <w:rPr>
          <w:rFonts w:hint="eastAsia" w:ascii="仿宋" w:hAnsi="仿宋" w:eastAsia="仿宋" w:cs="仿宋"/>
          <w:sz w:val="24"/>
          <w:szCs w:val="24"/>
          <w:highlight w:val="none"/>
        </w:rPr>
        <w:t>。</w:t>
      </w:r>
    </w:p>
    <w:p>
      <w:pPr>
        <w:keepNext w:val="0"/>
        <w:keepLines w:val="0"/>
        <w:pageBreakBefore w:val="0"/>
        <w:wordWrap/>
        <w:overflowPunct/>
        <w:topLinePunct w:val="0"/>
        <w:bidi w:val="0"/>
        <w:adjustRightInd w:val="0"/>
        <w:snapToGrid w:val="0"/>
        <w:spacing w:line="560" w:lineRule="exact"/>
        <w:ind w:firstLine="480" w:firstLineChars="200"/>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一、工程质量保修范围</w:t>
      </w:r>
    </w:p>
    <w:p>
      <w:pPr>
        <w:pStyle w:val="15"/>
        <w:keepNext w:val="0"/>
        <w:keepLines w:val="0"/>
        <w:pageBreakBefore w:val="0"/>
        <w:wordWrap/>
        <w:overflowPunct/>
        <w:topLinePunct w:val="0"/>
        <w:bidi w:val="0"/>
        <w:snapToGrid w:val="0"/>
        <w:spacing w:line="56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质量保修范围包括地基基础工程、主体结构工程、屋面防水工程、有防水要求的卫生间/房间和外墙面的防渗漏工程、电气管线工程、给排水管道工程、设备安装工程、供热和供冷系统工程、装饰装修工程以及双方约定的其他项目。</w:t>
      </w:r>
    </w:p>
    <w:p>
      <w:pPr>
        <w:keepNext w:val="0"/>
        <w:keepLines w:val="0"/>
        <w:pageBreakBefore w:val="0"/>
        <w:wordWrap/>
        <w:overflowPunct/>
        <w:topLinePunct w:val="0"/>
        <w:bidi w:val="0"/>
        <w:adjustRightInd w:val="0"/>
        <w:snapToGrid w:val="0"/>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具体质量保修范围，双方约定如下：</w:t>
      </w:r>
    </w:p>
    <w:p>
      <w:pPr>
        <w:keepNext w:val="0"/>
        <w:keepLines w:val="0"/>
        <w:pageBreakBefore w:val="0"/>
        <w:wordWrap/>
        <w:overflowPunct/>
        <w:topLinePunct w:val="0"/>
        <w:bidi w:val="0"/>
        <w:adjustRightInd w:val="0"/>
        <w:snapToGrid w:val="0"/>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highlight w:val="none"/>
          <w:u w:val="single"/>
        </w:rPr>
        <w:t xml:space="preserve">由承包人施工的全部工程范围 </w:t>
      </w:r>
      <w:r>
        <w:rPr>
          <w:rFonts w:hint="eastAsia" w:ascii="仿宋" w:hAnsi="仿宋" w:eastAsia="仿宋" w:cs="仿宋"/>
          <w:sz w:val="24"/>
          <w:szCs w:val="24"/>
          <w:u w:val="single"/>
        </w:rPr>
        <w:t>，即合同范围（含补充合同）所包含的工程项目、设计变更、或文字约定的全部内容。除工程使用过程人为损坏及不可抗力因素损坏外，凡属承包人施工质量原因及验收后移交前承包人保管不力造成工程范围各部位损坏、脱落、开裂等，均属承包人保修责任范围。</w:t>
      </w:r>
      <w:r>
        <w:rPr>
          <w:rFonts w:hint="eastAsia" w:ascii="仿宋" w:hAnsi="仿宋" w:eastAsia="仿宋" w:cs="仿宋"/>
          <w:sz w:val="24"/>
          <w:szCs w:val="24"/>
          <w:u w:val="single"/>
        </w:rPr>
        <w:fldChar w:fldCharType="begin"/>
      </w:r>
      <w:r>
        <w:rPr>
          <w:rFonts w:hint="eastAsia" w:ascii="仿宋" w:hAnsi="仿宋" w:eastAsia="仿宋" w:cs="仿宋"/>
          <w:sz w:val="24"/>
          <w:szCs w:val="24"/>
          <w:u w:val="single"/>
        </w:rPr>
        <w:instrText xml:space="preserve"> AUTOTEXT  input275 \* MERGEFORMAT </w:instrText>
      </w:r>
      <w:r>
        <w:rPr>
          <w:rFonts w:hint="eastAsia" w:ascii="仿宋" w:hAnsi="仿宋" w:eastAsia="仿宋" w:cs="仿宋"/>
          <w:sz w:val="24"/>
          <w:szCs w:val="24"/>
          <w:u w:val="single"/>
        </w:rPr>
        <w:fldChar w:fldCharType="separate"/>
      </w:r>
      <w:r>
        <w:rPr>
          <w:rFonts w:hint="eastAsia" w:ascii="仿宋" w:hAnsi="仿宋" w:eastAsia="仿宋" w:cs="仿宋"/>
          <w:sz w:val="24"/>
          <w:szCs w:val="24"/>
          <w:u w:val="single"/>
        </w:rPr>
        <w:fldChar w:fldCharType="end"/>
      </w:r>
    </w:p>
    <w:p>
      <w:pPr>
        <w:keepNext w:val="0"/>
        <w:keepLines w:val="0"/>
        <w:pageBreakBefore w:val="0"/>
        <w:wordWrap/>
        <w:overflowPunct/>
        <w:topLinePunct w:val="0"/>
        <w:bidi w:val="0"/>
        <w:adjustRightInd w:val="0"/>
        <w:snapToGrid w:val="0"/>
        <w:spacing w:line="56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二、工程质量保修期</w:t>
      </w:r>
    </w:p>
    <w:p>
      <w:pPr>
        <w:keepNext w:val="0"/>
        <w:keepLines w:val="0"/>
        <w:pageBreakBefore w:val="0"/>
        <w:wordWrap/>
        <w:overflowPunct/>
        <w:topLinePunct w:val="0"/>
        <w:bidi w:val="0"/>
        <w:adjustRightInd w:val="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质量保修期从工程实际竣工之日算起。</w:t>
      </w:r>
    </w:p>
    <w:p>
      <w:pPr>
        <w:keepNext w:val="0"/>
        <w:keepLines w:val="0"/>
        <w:pageBreakBefore w:val="0"/>
        <w:wordWrap/>
        <w:overflowPunct/>
        <w:topLinePunct w:val="0"/>
        <w:bidi w:val="0"/>
        <w:adjustRightInd w:val="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双方约定本工程质量保修期如下：</w:t>
      </w:r>
    </w:p>
    <w:p>
      <w:pPr>
        <w:keepNext w:val="0"/>
        <w:keepLines w:val="0"/>
        <w:pageBreakBefore w:val="0"/>
        <w:wordWrap/>
        <w:overflowPunct/>
        <w:topLinePunct w:val="0"/>
        <w:bidi w:val="0"/>
        <w:adjustRightInd w:val="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AUTOTEXT  input276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end"/>
      </w:r>
      <w:r>
        <w:rPr>
          <w:rFonts w:hint="eastAsia" w:ascii="仿宋" w:hAnsi="仿宋" w:eastAsia="仿宋" w:cs="仿宋"/>
          <w:sz w:val="24"/>
          <w:szCs w:val="24"/>
        </w:rPr>
        <w:t>地基基础工程、主体结构工程为设计文件规定的合理使用年限；</w:t>
      </w:r>
    </w:p>
    <w:p>
      <w:pPr>
        <w:keepNext w:val="0"/>
        <w:keepLines w:val="0"/>
        <w:pageBreakBefore w:val="0"/>
        <w:wordWrap/>
        <w:overflowPunct/>
        <w:topLinePunct w:val="0"/>
        <w:bidi w:val="0"/>
        <w:adjustRightInd w:val="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AUTOTEXT  input277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end"/>
      </w:r>
      <w:r>
        <w:rPr>
          <w:rFonts w:hint="eastAsia" w:ascii="仿宋" w:hAnsi="仿宋" w:eastAsia="仿宋" w:cs="仿宋"/>
          <w:sz w:val="24"/>
          <w:szCs w:val="24"/>
        </w:rPr>
        <w:t>屋面防水工程、有防水要求的卫生间/房间和外墙面的防渗漏工程为</w:t>
      </w:r>
      <w:r>
        <w:rPr>
          <w:rFonts w:hint="eastAsia" w:ascii="仿宋" w:hAnsi="仿宋" w:eastAsia="仿宋" w:cs="仿宋"/>
          <w:sz w:val="24"/>
          <w:szCs w:val="24"/>
          <w:u w:val="single"/>
        </w:rPr>
        <w:t>5</w:t>
      </w:r>
      <w:r>
        <w:rPr>
          <w:rFonts w:hint="eastAsia" w:ascii="仿宋" w:hAnsi="仿宋" w:eastAsia="仿宋" w:cs="仿宋"/>
          <w:sz w:val="24"/>
          <w:szCs w:val="24"/>
          <w:u w:val="single"/>
        </w:rPr>
        <w:fldChar w:fldCharType="begin"/>
      </w:r>
      <w:r>
        <w:rPr>
          <w:rFonts w:hint="eastAsia" w:ascii="仿宋" w:hAnsi="仿宋" w:eastAsia="仿宋" w:cs="仿宋"/>
          <w:sz w:val="24"/>
          <w:szCs w:val="24"/>
          <w:u w:val="single"/>
        </w:rPr>
        <w:instrText xml:space="preserve"> AUTOTEXT  input278 \* MERGEFORMAT </w:instrText>
      </w:r>
      <w:r>
        <w:rPr>
          <w:rFonts w:hint="eastAsia" w:ascii="仿宋" w:hAnsi="仿宋" w:eastAsia="仿宋" w:cs="仿宋"/>
          <w:sz w:val="24"/>
          <w:szCs w:val="24"/>
          <w:u w:val="single"/>
        </w:rPr>
        <w:fldChar w:fldCharType="separate"/>
      </w:r>
      <w:r>
        <w:rPr>
          <w:rFonts w:hint="eastAsia" w:ascii="仿宋" w:hAnsi="仿宋" w:eastAsia="仿宋" w:cs="仿宋"/>
          <w:sz w:val="24"/>
          <w:szCs w:val="24"/>
          <w:u w:val="single"/>
        </w:rPr>
        <w:fldChar w:fldCharType="end"/>
      </w:r>
      <w:r>
        <w:rPr>
          <w:rFonts w:hint="eastAsia" w:ascii="仿宋" w:hAnsi="仿宋" w:eastAsia="仿宋" w:cs="仿宋"/>
          <w:sz w:val="24"/>
          <w:szCs w:val="24"/>
        </w:rPr>
        <w:t>年（最低为5年）；</w:t>
      </w:r>
    </w:p>
    <w:p>
      <w:pPr>
        <w:keepNext w:val="0"/>
        <w:keepLines w:val="0"/>
        <w:pageBreakBefore w:val="0"/>
        <w:wordWrap/>
        <w:overflowPunct/>
        <w:topLinePunct w:val="0"/>
        <w:bidi w:val="0"/>
        <w:adjustRightInd w:val="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AUTOTEXT  input279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end"/>
      </w:r>
      <w:r>
        <w:rPr>
          <w:rFonts w:hint="eastAsia" w:ascii="仿宋" w:hAnsi="仿宋" w:eastAsia="仿宋" w:cs="仿宋"/>
          <w:sz w:val="24"/>
          <w:szCs w:val="24"/>
        </w:rPr>
        <w:t>电气管线工程、给排水管道工程、设备安装工程为</w:t>
      </w:r>
      <w:r>
        <w:rPr>
          <w:rFonts w:hint="eastAsia" w:ascii="仿宋" w:hAnsi="仿宋" w:eastAsia="仿宋" w:cs="仿宋"/>
          <w:sz w:val="24"/>
          <w:szCs w:val="24"/>
          <w:u w:val="single"/>
        </w:rPr>
        <w:t>2</w:t>
      </w:r>
      <w:r>
        <w:rPr>
          <w:rFonts w:hint="eastAsia" w:ascii="仿宋" w:hAnsi="仿宋" w:eastAsia="仿宋" w:cs="仿宋"/>
          <w:sz w:val="24"/>
          <w:szCs w:val="24"/>
          <w:u w:val="single"/>
        </w:rPr>
        <w:fldChar w:fldCharType="begin"/>
      </w:r>
      <w:r>
        <w:rPr>
          <w:rFonts w:hint="eastAsia" w:ascii="仿宋" w:hAnsi="仿宋" w:eastAsia="仿宋" w:cs="仿宋"/>
          <w:sz w:val="24"/>
          <w:szCs w:val="24"/>
          <w:u w:val="single"/>
        </w:rPr>
        <w:instrText xml:space="preserve"> AUTOTEXT  input280 \* MERGEFORMAT </w:instrText>
      </w:r>
      <w:r>
        <w:rPr>
          <w:rFonts w:hint="eastAsia" w:ascii="仿宋" w:hAnsi="仿宋" w:eastAsia="仿宋" w:cs="仿宋"/>
          <w:sz w:val="24"/>
          <w:szCs w:val="24"/>
          <w:u w:val="single"/>
        </w:rPr>
        <w:fldChar w:fldCharType="separate"/>
      </w:r>
      <w:r>
        <w:rPr>
          <w:rFonts w:hint="eastAsia" w:ascii="仿宋" w:hAnsi="仿宋" w:eastAsia="仿宋" w:cs="仿宋"/>
          <w:sz w:val="24"/>
          <w:szCs w:val="24"/>
          <w:u w:val="single"/>
        </w:rPr>
        <w:fldChar w:fldCharType="end"/>
      </w:r>
      <w:r>
        <w:rPr>
          <w:rFonts w:hint="eastAsia" w:ascii="仿宋" w:hAnsi="仿宋" w:eastAsia="仿宋" w:cs="仿宋"/>
          <w:sz w:val="24"/>
          <w:szCs w:val="24"/>
        </w:rPr>
        <w:t>年（最低为2年）；</w:t>
      </w:r>
    </w:p>
    <w:p>
      <w:pPr>
        <w:keepNext w:val="0"/>
        <w:keepLines w:val="0"/>
        <w:pageBreakBefore w:val="0"/>
        <w:wordWrap/>
        <w:overflowPunct/>
        <w:topLinePunct w:val="0"/>
        <w:bidi w:val="0"/>
        <w:adjustRightInd w:val="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AUTOTEXT  input281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end"/>
      </w:r>
      <w:r>
        <w:rPr>
          <w:rFonts w:hint="eastAsia" w:ascii="仿宋" w:hAnsi="仿宋" w:eastAsia="仿宋" w:cs="仿宋"/>
          <w:sz w:val="24"/>
          <w:szCs w:val="24"/>
        </w:rPr>
        <w:t>供热和供冷系统工程为</w:t>
      </w:r>
      <w:r>
        <w:rPr>
          <w:rFonts w:hint="eastAsia" w:ascii="仿宋" w:hAnsi="仿宋" w:eastAsia="仿宋" w:cs="仿宋"/>
          <w:sz w:val="24"/>
          <w:szCs w:val="24"/>
          <w:u w:val="single"/>
        </w:rPr>
        <w:t xml:space="preserve"> 2 </w:t>
      </w:r>
      <w:r>
        <w:rPr>
          <w:rFonts w:hint="eastAsia" w:ascii="仿宋" w:hAnsi="仿宋" w:eastAsia="仿宋" w:cs="仿宋"/>
          <w:sz w:val="24"/>
          <w:szCs w:val="24"/>
          <w:u w:val="single"/>
        </w:rPr>
        <w:fldChar w:fldCharType="begin"/>
      </w:r>
      <w:r>
        <w:rPr>
          <w:rFonts w:hint="eastAsia" w:ascii="仿宋" w:hAnsi="仿宋" w:eastAsia="仿宋" w:cs="仿宋"/>
          <w:sz w:val="24"/>
          <w:szCs w:val="24"/>
          <w:u w:val="single"/>
        </w:rPr>
        <w:instrText xml:space="preserve"> AUTOTEXT  input282 \* MERGEFORMAT </w:instrText>
      </w:r>
      <w:r>
        <w:rPr>
          <w:rFonts w:hint="eastAsia" w:ascii="仿宋" w:hAnsi="仿宋" w:eastAsia="仿宋" w:cs="仿宋"/>
          <w:sz w:val="24"/>
          <w:szCs w:val="24"/>
          <w:u w:val="single"/>
        </w:rPr>
        <w:fldChar w:fldCharType="separate"/>
      </w:r>
      <w:r>
        <w:rPr>
          <w:rFonts w:hint="eastAsia" w:ascii="仿宋" w:hAnsi="仿宋" w:eastAsia="仿宋" w:cs="仿宋"/>
          <w:sz w:val="24"/>
          <w:szCs w:val="24"/>
          <w:u w:val="single"/>
        </w:rPr>
        <w:fldChar w:fldCharType="end"/>
      </w:r>
      <w:r>
        <w:rPr>
          <w:rFonts w:hint="eastAsia" w:ascii="仿宋" w:hAnsi="仿宋" w:eastAsia="仿宋" w:cs="仿宋"/>
          <w:sz w:val="24"/>
          <w:szCs w:val="24"/>
        </w:rPr>
        <w:t>个（最低为2个）采暖期、供冷期；</w:t>
      </w:r>
    </w:p>
    <w:p>
      <w:pPr>
        <w:keepNext w:val="0"/>
        <w:keepLines w:val="0"/>
        <w:pageBreakBefore w:val="0"/>
        <w:wordWrap/>
        <w:overflowPunct/>
        <w:topLinePunct w:val="0"/>
        <w:bidi w:val="0"/>
        <w:adjustRightInd w:val="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AUTOTEXT  input283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end"/>
      </w:r>
      <w:r>
        <w:rPr>
          <w:rFonts w:hint="eastAsia" w:ascii="仿宋" w:hAnsi="仿宋" w:eastAsia="仿宋" w:cs="仿宋"/>
          <w:sz w:val="24"/>
          <w:szCs w:val="24"/>
        </w:rPr>
        <w:t>装饰装修工程为</w:t>
      </w:r>
      <w:r>
        <w:rPr>
          <w:rFonts w:hint="eastAsia" w:ascii="仿宋" w:hAnsi="仿宋" w:eastAsia="仿宋" w:cs="仿宋"/>
          <w:sz w:val="24"/>
          <w:szCs w:val="24"/>
          <w:u w:val="single"/>
        </w:rPr>
        <w:t>2</w:t>
      </w:r>
      <w:r>
        <w:rPr>
          <w:rFonts w:hint="eastAsia" w:ascii="仿宋" w:hAnsi="仿宋" w:eastAsia="仿宋" w:cs="仿宋"/>
          <w:sz w:val="24"/>
          <w:szCs w:val="24"/>
          <w:u w:val="single"/>
        </w:rPr>
        <w:fldChar w:fldCharType="begin"/>
      </w:r>
      <w:r>
        <w:rPr>
          <w:rFonts w:hint="eastAsia" w:ascii="仿宋" w:hAnsi="仿宋" w:eastAsia="仿宋" w:cs="仿宋"/>
          <w:sz w:val="24"/>
          <w:szCs w:val="24"/>
          <w:u w:val="single"/>
        </w:rPr>
        <w:instrText xml:space="preserve"> AUTOTEXT  input284 \* MERGEFORMAT </w:instrText>
      </w:r>
      <w:r>
        <w:rPr>
          <w:rFonts w:hint="eastAsia" w:ascii="仿宋" w:hAnsi="仿宋" w:eastAsia="仿宋" w:cs="仿宋"/>
          <w:sz w:val="24"/>
          <w:szCs w:val="24"/>
          <w:u w:val="single"/>
        </w:rPr>
        <w:fldChar w:fldCharType="separate"/>
      </w:r>
      <w:r>
        <w:rPr>
          <w:rFonts w:hint="eastAsia" w:ascii="仿宋" w:hAnsi="仿宋" w:eastAsia="仿宋" w:cs="仿宋"/>
          <w:sz w:val="24"/>
          <w:szCs w:val="24"/>
          <w:u w:val="single"/>
        </w:rPr>
        <w:fldChar w:fldCharType="end"/>
      </w:r>
      <w:r>
        <w:rPr>
          <w:rFonts w:hint="eastAsia" w:ascii="仿宋" w:hAnsi="仿宋" w:eastAsia="仿宋" w:cs="仿宋"/>
          <w:sz w:val="24"/>
          <w:szCs w:val="24"/>
        </w:rPr>
        <w:t>年；</w:t>
      </w:r>
    </w:p>
    <w:p>
      <w:pPr>
        <w:keepNext w:val="0"/>
        <w:keepLines w:val="0"/>
        <w:pageBreakBefore w:val="0"/>
        <w:wordWrap/>
        <w:overflowPunct/>
        <w:topLinePunct w:val="0"/>
        <w:bidi w:val="0"/>
        <w:adjustRightInd w:val="0"/>
        <w:snapToGrid w:val="0"/>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AUTOTEXT  input285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end"/>
      </w:r>
      <w:r>
        <w:rPr>
          <w:rFonts w:hint="eastAsia" w:ascii="仿宋" w:hAnsi="仿宋" w:eastAsia="仿宋" w:cs="仿宋"/>
          <w:sz w:val="24"/>
          <w:szCs w:val="24"/>
        </w:rPr>
        <w:t>其他项目保修期约定：</w:t>
      </w:r>
      <w:r>
        <w:rPr>
          <w:rFonts w:hint="eastAsia" w:ascii="仿宋" w:hAnsi="仿宋" w:eastAsia="仿宋" w:cs="仿宋"/>
          <w:sz w:val="24"/>
          <w:szCs w:val="24"/>
          <w:u w:val="single"/>
        </w:rPr>
        <w:t>其它工程，为2年</w:t>
      </w:r>
      <w:r>
        <w:rPr>
          <w:rFonts w:hint="eastAsia" w:ascii="仿宋" w:hAnsi="仿宋" w:eastAsia="仿宋" w:cs="仿宋"/>
          <w:sz w:val="24"/>
          <w:szCs w:val="24"/>
          <w:u w:val="single"/>
        </w:rPr>
        <w:fldChar w:fldCharType="begin"/>
      </w:r>
      <w:r>
        <w:rPr>
          <w:rFonts w:hint="eastAsia" w:ascii="仿宋" w:hAnsi="仿宋" w:eastAsia="仿宋" w:cs="仿宋"/>
          <w:sz w:val="24"/>
          <w:szCs w:val="24"/>
          <w:u w:val="single"/>
        </w:rPr>
        <w:instrText xml:space="preserve"> AUTOTEXT  input286 \* MERGEFORMAT </w:instrText>
      </w:r>
      <w:r>
        <w:rPr>
          <w:rFonts w:hint="eastAsia" w:ascii="仿宋" w:hAnsi="仿宋" w:eastAsia="仿宋" w:cs="仿宋"/>
          <w:sz w:val="24"/>
          <w:szCs w:val="24"/>
          <w:u w:val="single"/>
        </w:rPr>
        <w:fldChar w:fldCharType="separate"/>
      </w:r>
      <w:r>
        <w:rPr>
          <w:rFonts w:hint="eastAsia" w:ascii="仿宋" w:hAnsi="仿宋" w:eastAsia="仿宋" w:cs="仿宋"/>
          <w:sz w:val="24"/>
          <w:szCs w:val="24"/>
          <w:u w:val="single"/>
        </w:rPr>
        <w:fldChar w:fldCharType="end"/>
      </w:r>
    </w:p>
    <w:p>
      <w:pPr>
        <w:keepNext w:val="0"/>
        <w:keepLines w:val="0"/>
        <w:pageBreakBefore w:val="0"/>
        <w:numPr>
          <w:ilvl w:val="0"/>
          <w:numId w:val="1"/>
        </w:numPr>
        <w:wordWrap/>
        <w:overflowPunct/>
        <w:topLinePunct w:val="0"/>
        <w:bidi w:val="0"/>
        <w:adjustRightInd w:val="0"/>
        <w:snapToGrid w:val="0"/>
        <w:spacing w:line="56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工程质量保修责任</w:t>
      </w:r>
    </w:p>
    <w:p>
      <w:pPr>
        <w:keepNext w:val="0"/>
        <w:keepLines w:val="0"/>
        <w:pageBreakBefore w:val="0"/>
        <w:wordWrap/>
        <w:overflowPunct/>
        <w:topLinePunct w:val="0"/>
        <w:bidi w:val="0"/>
        <w:adjustRightInd w:val="0"/>
        <w:snapToGrid w:val="0"/>
        <w:spacing w:line="56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1.属于保修范围内的项目，在保修期内，承包人应在接到保修通知之日后７天内派人修理。承包人不在约定期限内派人修理，发包人可委托其他人员修理。</w:t>
      </w:r>
    </w:p>
    <w:p>
      <w:pPr>
        <w:keepNext w:val="0"/>
        <w:keepLines w:val="0"/>
        <w:pageBreakBefore w:val="0"/>
        <w:wordWrap/>
        <w:overflowPunct/>
        <w:topLinePunct w:val="0"/>
        <w:bidi w:val="0"/>
        <w:adjustRightInd w:val="0"/>
        <w:snapToGrid w:val="0"/>
        <w:spacing w:line="560" w:lineRule="exact"/>
        <w:ind w:firstLine="480" w:firstLineChars="200"/>
        <w:rPr>
          <w:rFonts w:hint="eastAsia" w:ascii="仿宋" w:hAnsi="仿宋" w:eastAsia="仿宋" w:cs="仿宋"/>
          <w:kern w:val="0"/>
          <w:sz w:val="24"/>
          <w:szCs w:val="24"/>
          <w:lang w:eastAsia="zh-CN"/>
        </w:rPr>
      </w:pPr>
      <w:r>
        <w:rPr>
          <w:rFonts w:hint="eastAsia" w:ascii="仿宋" w:hAnsi="仿宋" w:eastAsia="仿宋" w:cs="仿宋"/>
          <w:kern w:val="0"/>
          <w:sz w:val="24"/>
          <w:szCs w:val="24"/>
        </w:rPr>
        <w:t>2.发生紧急抢修事故的，承包人接到事故通知后，应立即到达事故现场抢修</w:t>
      </w:r>
      <w:r>
        <w:rPr>
          <w:rFonts w:hint="eastAsia" w:ascii="仿宋" w:hAnsi="仿宋" w:eastAsia="仿宋" w:cs="仿宋"/>
          <w:kern w:val="0"/>
          <w:sz w:val="24"/>
          <w:szCs w:val="24"/>
          <w:lang w:eastAsia="zh-CN"/>
        </w:rPr>
        <w:t>。</w:t>
      </w:r>
    </w:p>
    <w:p>
      <w:pPr>
        <w:keepNext w:val="0"/>
        <w:keepLines w:val="0"/>
        <w:pageBreakBefore w:val="0"/>
        <w:numPr>
          <w:ilvl w:val="0"/>
          <w:numId w:val="1"/>
        </w:numPr>
        <w:wordWrap/>
        <w:overflowPunct/>
        <w:topLinePunct w:val="0"/>
        <w:bidi w:val="0"/>
        <w:adjustRightInd w:val="0"/>
        <w:snapToGrid w:val="0"/>
        <w:spacing w:line="56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工程质量保修费用</w:t>
      </w:r>
    </w:p>
    <w:p>
      <w:pPr>
        <w:keepNext w:val="0"/>
        <w:keepLines w:val="0"/>
        <w:pageBreakBefore w:val="0"/>
        <w:wordWrap/>
        <w:overflowPunct/>
        <w:topLinePunct w:val="0"/>
        <w:bidi w:val="0"/>
        <w:adjustRightInd w:val="0"/>
        <w:snapToGrid w:val="0"/>
        <w:spacing w:line="56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工程质量保修费用及相关的损害赔偿责任由造成质量缺陷的责任方承担。</w:t>
      </w:r>
    </w:p>
    <w:p>
      <w:pPr>
        <w:keepNext w:val="0"/>
        <w:keepLines w:val="0"/>
        <w:pageBreakBefore w:val="0"/>
        <w:numPr>
          <w:ilvl w:val="0"/>
          <w:numId w:val="1"/>
        </w:numPr>
        <w:wordWrap/>
        <w:overflowPunct/>
        <w:topLinePunct w:val="0"/>
        <w:bidi w:val="0"/>
        <w:adjustRightInd w:val="0"/>
        <w:snapToGrid w:val="0"/>
        <w:spacing w:line="56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工程质量保证方式</w:t>
      </w:r>
    </w:p>
    <w:p>
      <w:pPr>
        <w:keepNext w:val="0"/>
        <w:keepLines w:val="0"/>
        <w:pageBreakBefore w:val="0"/>
        <w:wordWrap/>
        <w:overflowPunct/>
        <w:topLinePunct w:val="0"/>
        <w:bidi w:val="0"/>
        <w:adjustRightInd w:val="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工程质量保证方式可采用以下方式：☑</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AUTOTEXT  input287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end"/>
      </w:r>
      <w:r>
        <w:rPr>
          <w:rFonts w:hint="eastAsia" w:ascii="仿宋" w:hAnsi="仿宋" w:eastAsia="仿宋" w:cs="仿宋"/>
          <w:sz w:val="24"/>
          <w:szCs w:val="24"/>
        </w:rPr>
        <w:t>质量保证金：</w:t>
      </w:r>
    </w:p>
    <w:p>
      <w:pPr>
        <w:keepNext w:val="0"/>
        <w:keepLines w:val="0"/>
        <w:pageBreakBefore w:val="0"/>
        <w:wordWrap/>
        <w:overflowPunct/>
        <w:topLinePunct w:val="0"/>
        <w:bidi w:val="0"/>
        <w:adjustRightInd w:val="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质量保证金一般不超过签约合同价的3％，发包人承包人约定本工程的质量保证金为签约合同价的</w:t>
      </w:r>
      <w:r>
        <w:rPr>
          <w:rFonts w:hint="eastAsia" w:ascii="仿宋" w:hAnsi="仿宋" w:eastAsia="仿宋" w:cs="仿宋"/>
          <w:sz w:val="24"/>
          <w:szCs w:val="24"/>
          <w:u w:val="single"/>
        </w:rPr>
        <w:t>3</w:t>
      </w:r>
      <w:r>
        <w:rPr>
          <w:rFonts w:hint="eastAsia" w:ascii="仿宋" w:hAnsi="仿宋" w:eastAsia="仿宋" w:cs="仿宋"/>
          <w:sz w:val="24"/>
          <w:szCs w:val="24"/>
          <w:u w:val="single"/>
        </w:rPr>
        <w:fldChar w:fldCharType="begin"/>
      </w:r>
      <w:r>
        <w:rPr>
          <w:rFonts w:hint="eastAsia" w:ascii="仿宋" w:hAnsi="仿宋" w:eastAsia="仿宋" w:cs="仿宋"/>
          <w:sz w:val="24"/>
          <w:szCs w:val="24"/>
          <w:u w:val="single"/>
        </w:rPr>
        <w:instrText xml:space="preserve"> AUTOTEXT  input288 \* MERGEFORMAT </w:instrText>
      </w:r>
      <w:r>
        <w:rPr>
          <w:rFonts w:hint="eastAsia" w:ascii="仿宋" w:hAnsi="仿宋" w:eastAsia="仿宋" w:cs="仿宋"/>
          <w:sz w:val="24"/>
          <w:szCs w:val="24"/>
          <w:u w:val="single"/>
        </w:rPr>
        <w:fldChar w:fldCharType="separate"/>
      </w:r>
      <w:r>
        <w:rPr>
          <w:rFonts w:hint="eastAsia" w:ascii="仿宋" w:hAnsi="仿宋" w:eastAsia="仿宋" w:cs="仿宋"/>
          <w:sz w:val="24"/>
          <w:szCs w:val="24"/>
          <w:u w:val="single"/>
        </w:rPr>
        <w:fldChar w:fldCharType="end"/>
      </w:r>
      <w:r>
        <w:rPr>
          <w:rFonts w:hint="eastAsia" w:ascii="仿宋" w:hAnsi="仿宋" w:eastAsia="仿宋" w:cs="仿宋"/>
          <w:sz w:val="24"/>
          <w:szCs w:val="24"/>
        </w:rPr>
        <w:t>％，具体为：</w:t>
      </w:r>
    </w:p>
    <w:p>
      <w:pPr>
        <w:keepNext w:val="0"/>
        <w:keepLines w:val="0"/>
        <w:pageBreakBefore w:val="0"/>
        <w:wordWrap/>
        <w:overflowPunct/>
        <w:topLinePunct w:val="0"/>
        <w:bidi w:val="0"/>
        <w:adjustRightInd w:val="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币种：</w:t>
      </w:r>
      <w:r>
        <w:rPr>
          <w:rFonts w:hint="eastAsia" w:ascii="仿宋" w:hAnsi="仿宋" w:eastAsia="仿宋" w:cs="仿宋"/>
          <w:sz w:val="24"/>
          <w:szCs w:val="24"/>
          <w:u w:val="single"/>
        </w:rPr>
        <w:t>人民币</w:t>
      </w:r>
      <w:r>
        <w:rPr>
          <w:rFonts w:hint="eastAsia" w:ascii="仿宋" w:hAnsi="仿宋" w:eastAsia="仿宋" w:cs="仿宋"/>
          <w:sz w:val="24"/>
          <w:szCs w:val="24"/>
          <w:u w:val="single"/>
        </w:rPr>
        <w:fldChar w:fldCharType="begin"/>
      </w:r>
      <w:r>
        <w:rPr>
          <w:rFonts w:hint="eastAsia" w:ascii="仿宋" w:hAnsi="仿宋" w:eastAsia="仿宋" w:cs="仿宋"/>
          <w:sz w:val="24"/>
          <w:szCs w:val="24"/>
          <w:u w:val="single"/>
        </w:rPr>
        <w:instrText xml:space="preserve"> AUTOTEXT  input289 \* MERGEFORMAT </w:instrText>
      </w:r>
      <w:r>
        <w:rPr>
          <w:rFonts w:hint="eastAsia" w:ascii="仿宋" w:hAnsi="仿宋" w:eastAsia="仿宋" w:cs="仿宋"/>
          <w:sz w:val="24"/>
          <w:szCs w:val="24"/>
          <w:u w:val="single"/>
        </w:rPr>
        <w:fldChar w:fldCharType="separate"/>
      </w:r>
      <w:r>
        <w:rPr>
          <w:rFonts w:hint="eastAsia" w:ascii="仿宋" w:hAnsi="仿宋" w:eastAsia="仿宋" w:cs="仿宋"/>
          <w:sz w:val="24"/>
          <w:szCs w:val="24"/>
          <w:u w:val="single"/>
        </w:rPr>
        <w:fldChar w:fldCharType="end"/>
      </w:r>
      <w:r>
        <w:rPr>
          <w:rFonts w:hint="eastAsia" w:ascii="仿宋" w:hAnsi="仿宋" w:eastAsia="仿宋" w:cs="仿宋"/>
          <w:sz w:val="24"/>
          <w:szCs w:val="24"/>
        </w:rPr>
        <w:t>金额（大写）：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fldChar w:fldCharType="begin"/>
      </w:r>
      <w:r>
        <w:rPr>
          <w:rFonts w:hint="eastAsia" w:ascii="仿宋" w:hAnsi="仿宋" w:eastAsia="仿宋" w:cs="仿宋"/>
          <w:sz w:val="24"/>
          <w:szCs w:val="24"/>
          <w:u w:val="single"/>
        </w:rPr>
        <w:instrText xml:space="preserve"> AUTOTEXT  input290 \* MERGEFORMAT </w:instrText>
      </w:r>
      <w:r>
        <w:rPr>
          <w:rFonts w:hint="eastAsia" w:ascii="仿宋" w:hAnsi="仿宋" w:eastAsia="仿宋" w:cs="仿宋"/>
          <w:sz w:val="24"/>
          <w:szCs w:val="24"/>
          <w:u w:val="single"/>
        </w:rPr>
        <w:fldChar w:fldCharType="separate"/>
      </w:r>
      <w:r>
        <w:rPr>
          <w:rFonts w:hint="eastAsia" w:ascii="仿宋" w:hAnsi="仿宋" w:eastAsia="仿宋" w:cs="仿宋"/>
          <w:sz w:val="24"/>
          <w:szCs w:val="24"/>
          <w:u w:val="single"/>
        </w:rPr>
        <w:fldChar w:fldCharType="end"/>
      </w:r>
      <w:r>
        <w:rPr>
          <w:rFonts w:hint="eastAsia" w:ascii="仿宋" w:hAnsi="仿宋" w:eastAsia="仿宋" w:cs="仿宋"/>
          <w:sz w:val="24"/>
          <w:szCs w:val="24"/>
        </w:rPr>
        <w:t>元（小写）：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fldChar w:fldCharType="begin"/>
      </w:r>
      <w:r>
        <w:rPr>
          <w:rFonts w:hint="eastAsia" w:ascii="仿宋" w:hAnsi="仿宋" w:eastAsia="仿宋" w:cs="仿宋"/>
          <w:sz w:val="24"/>
          <w:szCs w:val="24"/>
          <w:u w:val="single"/>
        </w:rPr>
        <w:instrText xml:space="preserve"> AUTOTEXT  input291 \* MERGEFORMAT </w:instrText>
      </w:r>
      <w:r>
        <w:rPr>
          <w:rFonts w:hint="eastAsia" w:ascii="仿宋" w:hAnsi="仿宋" w:eastAsia="仿宋" w:cs="仿宋"/>
          <w:sz w:val="24"/>
          <w:szCs w:val="24"/>
          <w:u w:val="single"/>
        </w:rPr>
        <w:fldChar w:fldCharType="separate"/>
      </w:r>
      <w:r>
        <w:rPr>
          <w:rFonts w:hint="eastAsia" w:ascii="仿宋" w:hAnsi="仿宋" w:eastAsia="仿宋" w:cs="仿宋"/>
          <w:sz w:val="24"/>
          <w:szCs w:val="24"/>
          <w:u w:val="single"/>
        </w:rPr>
        <w:fldChar w:fldCharType="end"/>
      </w:r>
      <w:r>
        <w:rPr>
          <w:rFonts w:hint="eastAsia" w:ascii="仿宋" w:hAnsi="仿宋" w:eastAsia="仿宋" w:cs="仿宋"/>
          <w:sz w:val="24"/>
          <w:szCs w:val="24"/>
        </w:rPr>
        <w:t>元</w:t>
      </w:r>
    </w:p>
    <w:p>
      <w:pPr>
        <w:keepNext w:val="0"/>
        <w:keepLines w:val="0"/>
        <w:pageBreakBefore w:val="0"/>
        <w:wordWrap/>
        <w:overflowPunct/>
        <w:topLinePunct w:val="0"/>
        <w:bidi w:val="0"/>
        <w:adjustRightInd w:val="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质量保证金银行利率为：</w:t>
      </w:r>
      <w:r>
        <w:rPr>
          <w:rFonts w:hint="eastAsia" w:ascii="仿宋" w:hAnsi="仿宋" w:eastAsia="仿宋" w:cs="仿宋"/>
          <w:sz w:val="24"/>
          <w:szCs w:val="24"/>
          <w:u w:val="single"/>
        </w:rPr>
        <w:t>不计算利息</w:t>
      </w:r>
      <w:r>
        <w:rPr>
          <w:rFonts w:hint="eastAsia" w:ascii="仿宋" w:hAnsi="仿宋" w:eastAsia="仿宋" w:cs="仿宋"/>
          <w:sz w:val="24"/>
          <w:szCs w:val="24"/>
          <w:u w:val="single"/>
        </w:rPr>
        <w:fldChar w:fldCharType="begin"/>
      </w:r>
      <w:r>
        <w:rPr>
          <w:rFonts w:hint="eastAsia" w:ascii="仿宋" w:hAnsi="仿宋" w:eastAsia="仿宋" w:cs="仿宋"/>
          <w:sz w:val="24"/>
          <w:szCs w:val="24"/>
          <w:u w:val="single"/>
        </w:rPr>
        <w:instrText xml:space="preserve"> AUTOTEXT  input292 \* MERGEFORMAT </w:instrText>
      </w:r>
      <w:r>
        <w:rPr>
          <w:rFonts w:hint="eastAsia" w:ascii="仿宋" w:hAnsi="仿宋" w:eastAsia="仿宋" w:cs="仿宋"/>
          <w:sz w:val="24"/>
          <w:szCs w:val="24"/>
          <w:u w:val="single"/>
        </w:rPr>
        <w:fldChar w:fldCharType="separate"/>
      </w:r>
      <w:r>
        <w:rPr>
          <w:rFonts w:hint="eastAsia" w:ascii="仿宋" w:hAnsi="仿宋" w:eastAsia="仿宋" w:cs="仿宋"/>
          <w:sz w:val="24"/>
          <w:szCs w:val="24"/>
          <w:u w:val="single"/>
        </w:rPr>
        <w:fldChar w:fldCharType="end"/>
      </w:r>
    </w:p>
    <w:p>
      <w:pPr>
        <w:keepNext w:val="0"/>
        <w:keepLines w:val="0"/>
        <w:pageBreakBefore w:val="0"/>
        <w:wordWrap/>
        <w:overflowPunct/>
        <w:topLinePunct w:val="0"/>
        <w:bidi w:val="0"/>
        <w:adjustRightInd w:val="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AUTOTEXT  input293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end"/>
      </w:r>
      <w:r>
        <w:rPr>
          <w:rFonts w:hint="eastAsia" w:ascii="仿宋" w:hAnsi="仿宋" w:eastAsia="仿宋" w:cs="仿宋"/>
          <w:sz w:val="24"/>
          <w:szCs w:val="24"/>
        </w:rPr>
        <w:t>工程质量保证担保：</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fldChar w:fldCharType="begin"/>
      </w:r>
      <w:r>
        <w:rPr>
          <w:rFonts w:hint="eastAsia" w:ascii="仿宋" w:hAnsi="仿宋" w:eastAsia="仿宋" w:cs="仿宋"/>
          <w:sz w:val="24"/>
          <w:szCs w:val="24"/>
          <w:u w:val="single"/>
        </w:rPr>
        <w:instrText xml:space="preserve"> AUTOTEXT  input294 \* MERGEFORMAT </w:instrText>
      </w:r>
      <w:r>
        <w:rPr>
          <w:rFonts w:hint="eastAsia" w:ascii="仿宋" w:hAnsi="仿宋" w:eastAsia="仿宋" w:cs="仿宋"/>
          <w:sz w:val="24"/>
          <w:szCs w:val="24"/>
          <w:u w:val="single"/>
        </w:rPr>
        <w:fldChar w:fldCharType="separate"/>
      </w:r>
      <w:r>
        <w:rPr>
          <w:rFonts w:hint="eastAsia" w:ascii="仿宋" w:hAnsi="仿宋" w:eastAsia="仿宋" w:cs="仿宋"/>
          <w:sz w:val="24"/>
          <w:szCs w:val="24"/>
          <w:u w:val="single"/>
        </w:rPr>
        <w:fldChar w:fldCharType="end"/>
      </w:r>
    </w:p>
    <w:p>
      <w:pPr>
        <w:keepNext w:val="0"/>
        <w:keepLines w:val="0"/>
        <w:pageBreakBefore w:val="0"/>
        <w:wordWrap/>
        <w:overflowPunct/>
        <w:topLinePunct w:val="0"/>
        <w:bidi w:val="0"/>
        <w:adjustRightInd w:val="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AUTOTEXT  input295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end"/>
      </w:r>
      <w:r>
        <w:rPr>
          <w:rFonts w:hint="eastAsia" w:ascii="仿宋" w:hAnsi="仿宋" w:eastAsia="仿宋" w:cs="仿宋"/>
          <w:sz w:val="24"/>
          <w:szCs w:val="24"/>
        </w:rPr>
        <w:t>工程质量保险：</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fldChar w:fldCharType="begin"/>
      </w:r>
      <w:r>
        <w:rPr>
          <w:rFonts w:hint="eastAsia" w:ascii="仿宋" w:hAnsi="仿宋" w:eastAsia="仿宋" w:cs="仿宋"/>
          <w:sz w:val="24"/>
          <w:szCs w:val="24"/>
          <w:u w:val="single"/>
        </w:rPr>
        <w:instrText xml:space="preserve"> AUTOTEXT  input296 \* MERGEFORMAT </w:instrText>
      </w:r>
      <w:r>
        <w:rPr>
          <w:rFonts w:hint="eastAsia" w:ascii="仿宋" w:hAnsi="仿宋" w:eastAsia="仿宋" w:cs="仿宋"/>
          <w:sz w:val="24"/>
          <w:szCs w:val="24"/>
          <w:u w:val="single"/>
        </w:rPr>
        <w:fldChar w:fldCharType="separate"/>
      </w:r>
      <w:r>
        <w:rPr>
          <w:rFonts w:hint="eastAsia" w:ascii="仿宋" w:hAnsi="仿宋" w:eastAsia="仿宋" w:cs="仿宋"/>
          <w:sz w:val="24"/>
          <w:szCs w:val="24"/>
          <w:u w:val="single"/>
        </w:rPr>
        <w:fldChar w:fldCharType="end"/>
      </w:r>
    </w:p>
    <w:p>
      <w:pPr>
        <w:keepNext w:val="0"/>
        <w:keepLines w:val="0"/>
        <w:pageBreakBefore w:val="0"/>
        <w:numPr>
          <w:ilvl w:val="0"/>
          <w:numId w:val="1"/>
        </w:numPr>
        <w:wordWrap/>
        <w:overflowPunct/>
        <w:topLinePunct w:val="0"/>
        <w:bidi w:val="0"/>
        <w:adjustRightInd w:val="0"/>
        <w:snapToGrid w:val="0"/>
        <w:spacing w:line="56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质量保证金的支付</w:t>
      </w:r>
    </w:p>
    <w:p>
      <w:pPr>
        <w:keepNext w:val="0"/>
        <w:keepLines w:val="0"/>
        <w:pageBreakBefore w:val="0"/>
        <w:wordWrap/>
        <w:overflowPunct/>
        <w:topLinePunct w:val="0"/>
        <w:bidi w:val="0"/>
        <w:adjustRightInd w:val="0"/>
        <w:snapToGrid w:val="0"/>
        <w:spacing w:line="56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采用质量保证金方式时，发包人在工程竣工验收合格满二年后第14天内，将剩余质量保证金和利息支付给承包人，但并不免除承包人在保修期内的保修责任</w:t>
      </w:r>
      <w:r>
        <w:rPr>
          <w:rFonts w:hint="eastAsia" w:ascii="仿宋" w:hAnsi="仿宋" w:eastAsia="仿宋" w:cs="仿宋"/>
          <w:sz w:val="24"/>
          <w:szCs w:val="24"/>
          <w:lang w:eastAsia="zh-CN"/>
        </w:rPr>
        <w:t>。</w:t>
      </w:r>
    </w:p>
    <w:p>
      <w:pPr>
        <w:keepNext w:val="0"/>
        <w:keepLines w:val="0"/>
        <w:pageBreakBefore w:val="0"/>
        <w:wordWrap/>
        <w:overflowPunct/>
        <w:topLinePunct w:val="0"/>
        <w:bidi w:val="0"/>
        <w:adjustRightInd w:val="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发包人不在约定时限内足额向承包人支付剩余质量保证金和利息的，发包人应从约定应付之日起按同期银行贷款利率向承包人支付拖欠款额的贷款利息，并按每延期一天向承包人赔偿拖欠款额的千分之一的标准承担违约责任。</w:t>
      </w:r>
    </w:p>
    <w:p>
      <w:pPr>
        <w:keepNext w:val="0"/>
        <w:keepLines w:val="0"/>
        <w:pageBreakBefore w:val="0"/>
        <w:numPr>
          <w:ilvl w:val="0"/>
          <w:numId w:val="1"/>
        </w:numPr>
        <w:wordWrap/>
        <w:overflowPunct/>
        <w:topLinePunct w:val="0"/>
        <w:bidi w:val="0"/>
        <w:adjustRightInd w:val="0"/>
        <w:snapToGrid w:val="0"/>
        <w:spacing w:line="56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其他</w:t>
      </w:r>
    </w:p>
    <w:p>
      <w:pPr>
        <w:keepNext w:val="0"/>
        <w:keepLines w:val="0"/>
        <w:pageBreakBefore w:val="0"/>
        <w:wordWrap/>
        <w:overflowPunct/>
        <w:topLinePunct w:val="0"/>
        <w:bidi w:val="0"/>
        <w:adjustRightInd w:val="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发包人承包人约定的其他工程质量保修事项：</w:t>
      </w:r>
    </w:p>
    <w:p>
      <w:pPr>
        <w:keepNext w:val="0"/>
        <w:keepLines w:val="0"/>
        <w:pageBreakBefore w:val="0"/>
        <w:wordWrap/>
        <w:overflowPunct/>
        <w:topLinePunct w:val="0"/>
        <w:bidi w:val="0"/>
        <w:adjustRightInd w:val="0"/>
        <w:snapToGrid w:val="0"/>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质保期内发生非承包人原因引起的与设备、零部件、材料有关的问题时,承包人同样应于收到用户通知后1小时内派遣相关人员到达现场进行维修和必要的更换，承包人只向用户收取零配件材料费和人工费等成本费。</w:t>
      </w:r>
      <w:r>
        <w:rPr>
          <w:rFonts w:hint="eastAsia" w:ascii="仿宋" w:hAnsi="仿宋" w:eastAsia="仿宋" w:cs="仿宋"/>
          <w:sz w:val="24"/>
          <w:szCs w:val="24"/>
          <w:u w:val="single"/>
        </w:rPr>
        <w:fldChar w:fldCharType="begin"/>
      </w:r>
      <w:r>
        <w:rPr>
          <w:rFonts w:hint="eastAsia" w:ascii="仿宋" w:hAnsi="仿宋" w:eastAsia="仿宋" w:cs="仿宋"/>
          <w:sz w:val="24"/>
          <w:szCs w:val="24"/>
          <w:u w:val="single"/>
        </w:rPr>
        <w:instrText xml:space="preserve"> AUTOTEXT  input297 \* MERGEFORMAT </w:instrText>
      </w:r>
      <w:r>
        <w:rPr>
          <w:rFonts w:hint="eastAsia" w:ascii="仿宋" w:hAnsi="仿宋" w:eastAsia="仿宋" w:cs="仿宋"/>
          <w:sz w:val="24"/>
          <w:szCs w:val="24"/>
          <w:u w:val="single"/>
        </w:rPr>
        <w:fldChar w:fldCharType="separate"/>
      </w:r>
      <w:r>
        <w:rPr>
          <w:rFonts w:hint="eastAsia" w:ascii="仿宋" w:hAnsi="仿宋" w:eastAsia="仿宋" w:cs="仿宋"/>
          <w:sz w:val="24"/>
          <w:szCs w:val="24"/>
          <w:u w:val="single"/>
        </w:rPr>
        <w:fldChar w:fldCharType="end"/>
      </w:r>
    </w:p>
    <w:p>
      <w:pPr>
        <w:keepNext w:val="0"/>
        <w:keepLines w:val="0"/>
        <w:pageBreakBefore w:val="0"/>
        <w:wordWrap/>
        <w:overflowPunct/>
        <w:topLinePunct w:val="0"/>
        <w:bidi w:val="0"/>
        <w:adjustRightInd w:val="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本《工程质量保修书》作为施工合同附件由发包人承包人双方共同签署。</w:t>
      </w:r>
    </w:p>
    <w:p>
      <w:pPr>
        <w:keepNext w:val="0"/>
        <w:keepLines w:val="0"/>
        <w:pageBreakBefore w:val="0"/>
        <w:wordWrap/>
        <w:overflowPunct/>
        <w:topLinePunct w:val="0"/>
        <w:bidi w:val="0"/>
        <w:adjustRightInd w:val="0"/>
        <w:snapToGrid w:val="0"/>
        <w:spacing w:line="560" w:lineRule="exact"/>
        <w:ind w:firstLine="480" w:firstLineChars="200"/>
        <w:rPr>
          <w:rFonts w:hint="eastAsia" w:ascii="仿宋" w:hAnsi="仿宋" w:eastAsia="仿宋" w:cs="仿宋"/>
          <w:sz w:val="24"/>
          <w:szCs w:val="24"/>
        </w:rPr>
      </w:pPr>
    </w:p>
    <w:p>
      <w:pPr>
        <w:pStyle w:val="9"/>
        <w:keepNext w:val="0"/>
        <w:keepLines w:val="0"/>
        <w:pageBreakBefore w:val="0"/>
        <w:wordWrap/>
        <w:overflowPunct/>
        <w:topLinePunct w:val="0"/>
        <w:bidi w:val="0"/>
        <w:spacing w:line="560" w:lineRule="exact"/>
        <w:ind w:firstLine="600"/>
        <w:rPr>
          <w:rFonts w:hint="eastAsia" w:ascii="仿宋" w:hAnsi="仿宋" w:eastAsia="仿宋" w:cs="仿宋"/>
          <w:sz w:val="24"/>
          <w:szCs w:val="24"/>
        </w:rPr>
      </w:pPr>
    </w:p>
    <w:p>
      <w:pPr>
        <w:keepNext w:val="0"/>
        <w:keepLines w:val="0"/>
        <w:pageBreakBefore w:val="0"/>
        <w:wordWrap/>
        <w:overflowPunct/>
        <w:topLinePunct w:val="0"/>
        <w:bidi w:val="0"/>
        <w:adjustRightInd w:val="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发  包  人（公章）：                     承  包  人（公章）：</w:t>
      </w:r>
    </w:p>
    <w:p>
      <w:pPr>
        <w:keepNext w:val="0"/>
        <w:keepLines w:val="0"/>
        <w:pageBreakBefore w:val="0"/>
        <w:wordWrap/>
        <w:overflowPunct/>
        <w:topLinePunct w:val="0"/>
        <w:bidi w:val="0"/>
        <w:adjustRightInd w:val="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法定代表人（签字）：                     法定代表人（签字）：</w:t>
      </w:r>
    </w:p>
    <w:p>
      <w:pPr>
        <w:keepNext w:val="0"/>
        <w:keepLines w:val="0"/>
        <w:pageBreakBefore w:val="0"/>
        <w:wordWrap/>
        <w:overflowPunct/>
        <w:topLinePunct w:val="0"/>
        <w:bidi w:val="0"/>
        <w:adjustRightInd w:val="0"/>
        <w:snapToGrid w:val="0"/>
        <w:spacing w:line="560" w:lineRule="exact"/>
        <w:rPr>
          <w:rFonts w:hint="eastAsia" w:ascii="仿宋" w:hAnsi="仿宋" w:eastAsia="仿宋" w:cs="仿宋"/>
          <w:sz w:val="24"/>
          <w:szCs w:val="24"/>
        </w:rPr>
      </w:pPr>
      <w:r>
        <w:rPr>
          <w:rFonts w:hint="eastAsia" w:ascii="仿宋" w:hAnsi="仿宋" w:eastAsia="仿宋" w:cs="仿宋"/>
          <w:sz w:val="24"/>
          <w:szCs w:val="24"/>
        </w:rPr>
        <w:t xml:space="preserve">          年   月   日                            年   月   日</w:t>
      </w:r>
    </w:p>
    <w:p>
      <w:pPr>
        <w:keepNext w:val="0"/>
        <w:keepLines w:val="0"/>
        <w:pageBreakBefore w:val="0"/>
        <w:wordWrap/>
        <w:overflowPunct/>
        <w:topLinePunct w:val="0"/>
        <w:bidi w:val="0"/>
        <w:adjustRightInd/>
        <w:snapToGrid/>
        <w:spacing w:line="240" w:lineRule="auto"/>
        <w:rPr>
          <w:rFonts w:hint="eastAsia" w:ascii="仿宋" w:hAnsi="仿宋" w:eastAsia="仿宋" w:cs="仿宋"/>
          <w:sz w:val="24"/>
          <w:szCs w:val="24"/>
        </w:rPr>
      </w:pPr>
      <w:r>
        <w:rPr>
          <w:rFonts w:hint="eastAsia" w:ascii="仿宋" w:hAnsi="仿宋" w:eastAsia="仿宋" w:cs="仿宋"/>
          <w:sz w:val="24"/>
          <w:szCs w:val="24"/>
        </w:rPr>
        <w:br w:type="page"/>
      </w:r>
    </w:p>
    <w:p>
      <w:pPr>
        <w:widowControl/>
        <w:jc w:val="left"/>
        <w:rPr>
          <w:rFonts w:hint="eastAsia" w:ascii="宋体" w:hAnsi="宋体" w:cs="仿宋_GB2312"/>
          <w:szCs w:val="21"/>
        </w:rPr>
      </w:pPr>
    </w:p>
    <w:p>
      <w:pPr>
        <w:widowControl w:val="0"/>
        <w:numPr>
          <w:ilvl w:val="0"/>
          <w:numId w:val="0"/>
        </w:numPr>
        <w:adjustRightInd w:val="0"/>
        <w:snapToGrid w:val="0"/>
        <w:spacing w:after="200" w:line="360" w:lineRule="auto"/>
        <w:ind w:left="0" w:firstLine="0" w:firstLineChars="0"/>
        <w:jc w:val="left"/>
        <w:textAlignment w:val="baseline"/>
        <w:outlineLvl w:val="2"/>
        <w:rPr>
          <w:rFonts w:hint="eastAsia" w:cs="Times New Roman"/>
          <w:b/>
          <w:kern w:val="2"/>
          <w:sz w:val="21"/>
          <w:szCs w:val="21"/>
        </w:rPr>
      </w:pPr>
      <w:r>
        <w:rPr>
          <w:rFonts w:hint="eastAsia" w:cs="Times New Roman"/>
          <w:b/>
          <w:kern w:val="2"/>
          <w:sz w:val="21"/>
          <w:szCs w:val="21"/>
        </w:rPr>
        <w:t>附件</w:t>
      </w:r>
      <w:r>
        <w:rPr>
          <w:rFonts w:hint="eastAsia" w:eastAsia="宋体" w:cs="Times New Roman"/>
          <w:b/>
          <w:kern w:val="2"/>
          <w:sz w:val="21"/>
          <w:szCs w:val="21"/>
          <w:lang w:val="en-US" w:eastAsia="zh-CN"/>
        </w:rPr>
        <w:t>5</w:t>
      </w:r>
      <w:r>
        <w:rPr>
          <w:rFonts w:hint="eastAsia" w:cs="Times New Roman"/>
          <w:b/>
          <w:kern w:val="2"/>
          <w:sz w:val="21"/>
          <w:szCs w:val="21"/>
        </w:rPr>
        <w:t>：施工合同违约</w:t>
      </w:r>
      <w:r>
        <w:rPr>
          <w:rFonts w:cs="Times New Roman"/>
          <w:b/>
          <w:kern w:val="2"/>
          <w:sz w:val="21"/>
          <w:szCs w:val="21"/>
        </w:rPr>
        <w:t>处罚</w:t>
      </w:r>
      <w:r>
        <w:rPr>
          <w:rFonts w:hint="eastAsia" w:cs="Times New Roman"/>
          <w:b/>
          <w:kern w:val="2"/>
          <w:sz w:val="21"/>
          <w:szCs w:val="21"/>
        </w:rPr>
        <w:t>汇总</w:t>
      </w:r>
    </w:p>
    <w:p>
      <w:pPr>
        <w:numPr>
          <w:ilvl w:val="255"/>
          <w:numId w:val="0"/>
        </w:numPr>
        <w:outlineLvl w:val="2"/>
        <w:rPr>
          <w:rFonts w:cs="Times New Roman"/>
          <w:b/>
          <w:kern w:val="2"/>
          <w:sz w:val="21"/>
          <w:szCs w:val="21"/>
        </w:rPr>
      </w:pPr>
    </w:p>
    <w:p>
      <w:pPr>
        <w:spacing w:line="500" w:lineRule="exact"/>
        <w:ind w:firstLine="420" w:firstLineChars="200"/>
        <w:jc w:val="center"/>
        <w:rPr>
          <w:rFonts w:cs="Times New Roman"/>
          <w:b/>
          <w:kern w:val="2"/>
        </w:rPr>
      </w:pPr>
      <w:r>
        <w:rPr>
          <w:rFonts w:hint="eastAsia" w:cs="Times New Roman"/>
          <w:b/>
          <w:kern w:val="2"/>
        </w:rPr>
        <w:t>施工合同违约处罚汇总</w:t>
      </w:r>
    </w:p>
    <w:p>
      <w:pPr>
        <w:ind w:left="240"/>
        <w:rPr>
          <w:smallCaps/>
          <w:sz w:val="20"/>
          <w:szCs w:val="20"/>
        </w:rPr>
      </w:pPr>
    </w:p>
    <w:p>
      <w:pPr>
        <w:widowControl/>
        <w:jc w:val="left"/>
        <w:rPr>
          <w:rFonts w:hint="eastAsia" w:ascii="宋体" w:hAnsi="宋体" w:cs="仿宋_GB2312"/>
          <w:szCs w:val="21"/>
          <w:lang w:eastAsia="zh-CN"/>
        </w:rPr>
      </w:pPr>
    </w:p>
    <w:p>
      <w:pPr>
        <w:widowControl/>
        <w:jc w:val="left"/>
        <w:rPr>
          <w:rFonts w:hint="eastAsia" w:ascii="宋体" w:hAnsi="宋体" w:cs="仿宋_GB2312" w:eastAsiaTheme="minorEastAsia"/>
          <w:szCs w:val="21"/>
          <w:lang w:eastAsia="zh-CN"/>
        </w:rPr>
      </w:pPr>
      <w:r>
        <w:rPr>
          <w:rFonts w:hint="eastAsia" w:ascii="宋体" w:hAnsi="宋体" w:cs="仿宋_GB2312"/>
          <w:szCs w:val="21"/>
          <w:lang w:eastAsia="zh-CN"/>
        </w:rPr>
        <w:t>一、</w:t>
      </w:r>
      <w:r>
        <w:rPr>
          <w:rFonts w:hint="eastAsia" w:ascii="宋体" w:hAnsi="宋体" w:cs="仿宋_GB2312"/>
          <w:szCs w:val="21"/>
        </w:rPr>
        <w:t>施工合同违约处罚</w:t>
      </w:r>
      <w:r>
        <w:rPr>
          <w:rFonts w:hint="eastAsia" w:ascii="宋体" w:hAnsi="宋体" w:cs="仿宋_GB2312"/>
          <w:szCs w:val="21"/>
          <w:lang w:eastAsia="zh-CN"/>
        </w:rPr>
        <w:t>表</w:t>
      </w:r>
    </w:p>
    <w:tbl>
      <w:tblPr>
        <w:tblStyle w:val="10"/>
        <w:tblpPr w:leftFromText="180" w:rightFromText="180" w:vertAnchor="text" w:horzAnchor="page" w:tblpX="1185" w:tblpY="417"/>
        <w:tblOverlap w:val="never"/>
        <w:tblW w:w="9047" w:type="dxa"/>
        <w:tblInd w:w="0" w:type="dxa"/>
        <w:tblLayout w:type="fixed"/>
        <w:tblCellMar>
          <w:top w:w="0" w:type="dxa"/>
          <w:left w:w="0" w:type="dxa"/>
          <w:bottom w:w="0" w:type="dxa"/>
          <w:right w:w="0" w:type="dxa"/>
        </w:tblCellMar>
      </w:tblPr>
      <w:tblGrid>
        <w:gridCol w:w="737"/>
        <w:gridCol w:w="934"/>
        <w:gridCol w:w="5276"/>
        <w:gridCol w:w="2100"/>
      </w:tblGrid>
      <w:tr>
        <w:tblPrEx>
          <w:tblCellMar>
            <w:top w:w="0" w:type="dxa"/>
            <w:left w:w="0" w:type="dxa"/>
            <w:bottom w:w="0" w:type="dxa"/>
            <w:right w:w="0" w:type="dxa"/>
          </w:tblCellMar>
        </w:tblPrEx>
        <w:trPr>
          <w:trHeight w:val="740" w:hRule="atLeast"/>
        </w:trPr>
        <w:tc>
          <w:tcPr>
            <w:tcW w:w="7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b/>
                <w:sz w:val="21"/>
                <w:szCs w:val="21"/>
              </w:rPr>
            </w:pPr>
            <w:r>
              <w:rPr>
                <w:rFonts w:ascii="Times New Roman" w:hAnsi="Times New Roman" w:cs="Times New Roman"/>
                <w:b/>
                <w:sz w:val="21"/>
                <w:szCs w:val="21"/>
              </w:rPr>
              <w:t>序号</w:t>
            </w:r>
          </w:p>
        </w:tc>
        <w:tc>
          <w:tcPr>
            <w:tcW w:w="9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b/>
                <w:sz w:val="21"/>
                <w:szCs w:val="21"/>
              </w:rPr>
            </w:pPr>
            <w:r>
              <w:rPr>
                <w:rFonts w:ascii="Times New Roman" w:hAnsi="Times New Roman" w:cs="Times New Roman"/>
                <w:b/>
                <w:sz w:val="21"/>
                <w:szCs w:val="21"/>
              </w:rPr>
              <w:t>分类</w:t>
            </w:r>
          </w:p>
        </w:tc>
        <w:tc>
          <w:tcPr>
            <w:tcW w:w="52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b/>
                <w:sz w:val="21"/>
                <w:szCs w:val="21"/>
              </w:rPr>
            </w:pPr>
            <w:r>
              <w:rPr>
                <w:rFonts w:ascii="Times New Roman" w:hAnsi="Times New Roman" w:cs="Times New Roman"/>
                <w:b/>
                <w:sz w:val="21"/>
                <w:szCs w:val="21"/>
              </w:rPr>
              <w:t>违约条款内容</w:t>
            </w:r>
          </w:p>
        </w:tc>
        <w:tc>
          <w:tcPr>
            <w:tcW w:w="21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b/>
                <w:sz w:val="21"/>
                <w:szCs w:val="21"/>
              </w:rPr>
            </w:pPr>
            <w:r>
              <w:rPr>
                <w:rFonts w:ascii="Times New Roman" w:hAnsi="Times New Roman" w:cs="Times New Roman"/>
                <w:b/>
                <w:sz w:val="21"/>
                <w:szCs w:val="21"/>
              </w:rPr>
              <w:t>违约金</w:t>
            </w:r>
            <w:r>
              <w:rPr>
                <w:rFonts w:hint="eastAsia" w:cs="Times New Roman"/>
                <w:b/>
                <w:sz w:val="21"/>
                <w:szCs w:val="21"/>
              </w:rPr>
              <w:t>或处罚</w:t>
            </w:r>
          </w:p>
        </w:tc>
      </w:tr>
      <w:tr>
        <w:tblPrEx>
          <w:tblCellMar>
            <w:top w:w="0" w:type="dxa"/>
            <w:left w:w="0" w:type="dxa"/>
            <w:bottom w:w="0" w:type="dxa"/>
            <w:right w:w="0" w:type="dxa"/>
          </w:tblCellMar>
        </w:tblPrEx>
        <w:trPr>
          <w:trHeight w:val="740" w:hRule="atLeast"/>
        </w:trPr>
        <w:tc>
          <w:tcPr>
            <w:tcW w:w="7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b/>
                <w:sz w:val="21"/>
                <w:szCs w:val="21"/>
              </w:rPr>
            </w:pPr>
            <w:r>
              <w:rPr>
                <w:rFonts w:hint="eastAsia" w:ascii="Times New Roman" w:hAnsi="Times New Roman" w:cs="Times New Roman"/>
                <w:kern w:val="2"/>
                <w:sz w:val="21"/>
                <w:szCs w:val="21"/>
              </w:rPr>
              <w:t>1</w:t>
            </w:r>
          </w:p>
        </w:tc>
        <w:tc>
          <w:tcPr>
            <w:tcW w:w="9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竣工资料</w:t>
            </w:r>
          </w:p>
        </w:tc>
        <w:tc>
          <w:tcPr>
            <w:tcW w:w="52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竣工资料及竣工验收报告未按期提交，每延迟1天，承包人向发包人支付违约金人民币1万元，同时发包人有权拒绝办理竣工结算。</w:t>
            </w:r>
          </w:p>
        </w:tc>
        <w:tc>
          <w:tcPr>
            <w:tcW w:w="21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b/>
                <w:strike/>
                <w:sz w:val="21"/>
                <w:szCs w:val="21"/>
                <w:highlight w:val="cyan"/>
              </w:rPr>
            </w:pPr>
            <w:r>
              <w:rPr>
                <w:rFonts w:hint="eastAsia" w:cs="Times New Roman"/>
                <w:kern w:val="2"/>
                <w:sz w:val="21"/>
                <w:szCs w:val="21"/>
              </w:rPr>
              <w:t>1万元/天</w:t>
            </w:r>
          </w:p>
        </w:tc>
      </w:tr>
      <w:tr>
        <w:tblPrEx>
          <w:tblCellMar>
            <w:top w:w="0" w:type="dxa"/>
            <w:left w:w="0" w:type="dxa"/>
            <w:bottom w:w="0" w:type="dxa"/>
            <w:right w:w="0" w:type="dxa"/>
          </w:tblCellMar>
        </w:tblPrEx>
        <w:trPr>
          <w:trHeight w:val="1180" w:hRule="atLeast"/>
        </w:trPr>
        <w:tc>
          <w:tcPr>
            <w:tcW w:w="73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hint="eastAsia" w:cs="Times New Roman"/>
                <w:sz w:val="21"/>
                <w:szCs w:val="21"/>
              </w:rPr>
              <w:t>2</w:t>
            </w:r>
          </w:p>
        </w:tc>
        <w:tc>
          <w:tcPr>
            <w:tcW w:w="934"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hint="eastAsia" w:cs="Times New Roman"/>
                <w:sz w:val="21"/>
                <w:szCs w:val="21"/>
              </w:rPr>
              <w:t>承包人团队人员管理</w:t>
            </w:r>
          </w:p>
        </w:tc>
        <w:tc>
          <w:tcPr>
            <w:tcW w:w="52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textAlignment w:val="center"/>
              <w:rPr>
                <w:rFonts w:ascii="Times New Roman" w:hAnsi="Times New Roman" w:cs="Times New Roman"/>
                <w:sz w:val="21"/>
                <w:szCs w:val="21"/>
              </w:rPr>
            </w:pPr>
            <w:r>
              <w:rPr>
                <w:rFonts w:hint="eastAsia" w:ascii="Times New Roman" w:hAnsi="Times New Roman" w:cs="Times New Roman"/>
                <w:sz w:val="21"/>
                <w:szCs w:val="21"/>
              </w:rPr>
              <w:t>承包人的项目经理与投标文件的承诺不一致，或项目经理未及时到位，或同时兼任承包人其它工程项目的项目经理的，承包人应向发包人支付违约金3万元/次，若项目经理每延迟到位一天承包人应向发包人支付违约金0.5万元。</w:t>
            </w:r>
          </w:p>
        </w:tc>
        <w:tc>
          <w:tcPr>
            <w:tcW w:w="21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hint="eastAsia" w:cs="Times New Roman"/>
                <w:sz w:val="21"/>
                <w:szCs w:val="21"/>
              </w:rPr>
              <w:t>3</w:t>
            </w:r>
            <w:r>
              <w:rPr>
                <w:rFonts w:ascii="Times New Roman" w:hAnsi="Times New Roman" w:cs="Times New Roman"/>
                <w:sz w:val="21"/>
                <w:szCs w:val="21"/>
              </w:rPr>
              <w:t>万元/次</w:t>
            </w:r>
            <w:r>
              <w:rPr>
                <w:rFonts w:hint="eastAsia" w:cs="Times New Roman"/>
                <w:sz w:val="21"/>
                <w:szCs w:val="21"/>
              </w:rPr>
              <w:t>，</w:t>
            </w:r>
            <w:r>
              <w:rPr>
                <w:rFonts w:hint="eastAsia" w:cs="Times New Roman"/>
                <w:kern w:val="2"/>
                <w:sz w:val="21"/>
                <w:szCs w:val="21"/>
              </w:rPr>
              <w:t>延迟到位0.5万元/天</w:t>
            </w:r>
          </w:p>
        </w:tc>
      </w:tr>
      <w:tr>
        <w:tblPrEx>
          <w:tblCellMar>
            <w:top w:w="0" w:type="dxa"/>
            <w:left w:w="0" w:type="dxa"/>
            <w:bottom w:w="0" w:type="dxa"/>
            <w:right w:w="0" w:type="dxa"/>
          </w:tblCellMar>
        </w:tblPrEx>
        <w:trPr>
          <w:trHeight w:val="90" w:hRule="atLeast"/>
        </w:trPr>
        <w:tc>
          <w:tcPr>
            <w:tcW w:w="73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hint="eastAsia" w:cs="Times New Roman"/>
                <w:sz w:val="21"/>
                <w:szCs w:val="21"/>
              </w:rPr>
              <w:t>3</w:t>
            </w:r>
          </w:p>
        </w:tc>
        <w:tc>
          <w:tcPr>
            <w:tcW w:w="934" w:type="dxa"/>
            <w:vMerge w:val="continue"/>
            <w:tcBorders>
              <w:left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p>
        </w:tc>
        <w:tc>
          <w:tcPr>
            <w:tcW w:w="52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textAlignment w:val="center"/>
              <w:rPr>
                <w:rFonts w:ascii="Times New Roman" w:hAnsi="Times New Roman" w:cs="Times New Roman"/>
                <w:sz w:val="21"/>
                <w:szCs w:val="21"/>
              </w:rPr>
            </w:pPr>
            <w:r>
              <w:rPr>
                <w:rFonts w:hint="eastAsia" w:ascii="Times New Roman" w:hAnsi="Times New Roman" w:cs="Times New Roman"/>
                <w:sz w:val="21"/>
                <w:szCs w:val="21"/>
              </w:rPr>
              <w:t>除符合《关于建设工程招标投标改革的若干规定》（深府[2015]73号）第五十四条第(一)、(二)、(三)、(五)、(六)、(八)款约定情形以外，受托人每更换一次项目经理，须向发包人支付违约金3万元／次。</w:t>
            </w:r>
            <w:r>
              <w:rPr>
                <w:rFonts w:hint="eastAsia" w:cs="Times New Roman"/>
                <w:kern w:val="2"/>
                <w:sz w:val="21"/>
                <w:szCs w:val="21"/>
              </w:rPr>
              <w:t>承包人未经监理工程师及发包人同意更换项目经理的，承包人应向发包人支付违约金3万元／次。</w:t>
            </w:r>
          </w:p>
        </w:tc>
        <w:tc>
          <w:tcPr>
            <w:tcW w:w="21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hint="eastAsia" w:cs="Times New Roman"/>
                <w:sz w:val="21"/>
                <w:szCs w:val="21"/>
              </w:rPr>
              <w:t>3</w:t>
            </w:r>
            <w:r>
              <w:rPr>
                <w:rFonts w:ascii="Times New Roman" w:hAnsi="Times New Roman" w:cs="Times New Roman"/>
                <w:sz w:val="21"/>
                <w:szCs w:val="21"/>
              </w:rPr>
              <w:t>万元/次</w:t>
            </w:r>
          </w:p>
        </w:tc>
      </w:tr>
      <w:tr>
        <w:tblPrEx>
          <w:tblCellMar>
            <w:top w:w="0" w:type="dxa"/>
            <w:left w:w="0" w:type="dxa"/>
            <w:bottom w:w="0" w:type="dxa"/>
            <w:right w:w="0" w:type="dxa"/>
          </w:tblCellMar>
        </w:tblPrEx>
        <w:trPr>
          <w:trHeight w:val="1180" w:hRule="atLeast"/>
        </w:trPr>
        <w:tc>
          <w:tcPr>
            <w:tcW w:w="73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hint="eastAsia" w:cs="Times New Roman"/>
                <w:sz w:val="21"/>
                <w:szCs w:val="21"/>
              </w:rPr>
              <w:t>4</w:t>
            </w:r>
          </w:p>
        </w:tc>
        <w:tc>
          <w:tcPr>
            <w:tcW w:w="934" w:type="dxa"/>
            <w:vMerge w:val="continue"/>
            <w:tcBorders>
              <w:left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p>
        </w:tc>
        <w:tc>
          <w:tcPr>
            <w:tcW w:w="52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textAlignment w:val="center"/>
              <w:rPr>
                <w:rFonts w:ascii="Times New Roman" w:hAnsi="Times New Roman" w:cs="Times New Roman"/>
                <w:sz w:val="21"/>
                <w:szCs w:val="21"/>
              </w:rPr>
            </w:pPr>
            <w:r>
              <w:rPr>
                <w:rFonts w:hint="eastAsia" w:cs="Times New Roman"/>
                <w:kern w:val="2"/>
                <w:sz w:val="21"/>
                <w:szCs w:val="21"/>
              </w:rPr>
              <w:t>施工期间的任何时候，承包人任命的项目经理（项目负责人）经发包人认为不适合担任项目经理（项目负责人）岗位的，发包人向承包人提出更换的，承包人应在一周内更换发包人认为合格的项目经理（项目负责人），并向住建部门办理更换项目经理（项目负责人）手续，同时承包人应向发包人支付违约金3</w:t>
            </w:r>
            <w:r>
              <w:rPr>
                <w:rFonts w:cs="Times New Roman"/>
                <w:kern w:val="2"/>
                <w:sz w:val="21"/>
                <w:szCs w:val="21"/>
              </w:rPr>
              <w:t>万</w:t>
            </w:r>
            <w:r>
              <w:rPr>
                <w:rFonts w:hint="eastAsia" w:cs="Times New Roman"/>
                <w:kern w:val="2"/>
                <w:sz w:val="21"/>
                <w:szCs w:val="21"/>
              </w:rPr>
              <w:t>元/</w:t>
            </w:r>
            <w:r>
              <w:rPr>
                <w:rFonts w:hint="eastAsia" w:cs="Times New Roman"/>
                <w:sz w:val="21"/>
                <w:szCs w:val="21"/>
              </w:rPr>
              <w:t>次</w:t>
            </w:r>
          </w:p>
        </w:tc>
        <w:tc>
          <w:tcPr>
            <w:tcW w:w="21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hint="eastAsia" w:cs="Times New Roman"/>
                <w:kern w:val="2"/>
                <w:sz w:val="21"/>
                <w:szCs w:val="21"/>
              </w:rPr>
              <w:t>3万元/次</w:t>
            </w:r>
          </w:p>
        </w:tc>
      </w:tr>
      <w:tr>
        <w:tblPrEx>
          <w:tblCellMar>
            <w:top w:w="0" w:type="dxa"/>
            <w:left w:w="0" w:type="dxa"/>
            <w:bottom w:w="0" w:type="dxa"/>
            <w:right w:w="0" w:type="dxa"/>
          </w:tblCellMar>
        </w:tblPrEx>
        <w:trPr>
          <w:trHeight w:val="1180" w:hRule="atLeast"/>
        </w:trPr>
        <w:tc>
          <w:tcPr>
            <w:tcW w:w="73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hint="eastAsia" w:cs="Times New Roman"/>
                <w:sz w:val="21"/>
                <w:szCs w:val="21"/>
              </w:rPr>
              <w:t>5</w:t>
            </w:r>
          </w:p>
        </w:tc>
        <w:tc>
          <w:tcPr>
            <w:tcW w:w="934" w:type="dxa"/>
            <w:vMerge w:val="continue"/>
            <w:tcBorders>
              <w:left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p>
        </w:tc>
        <w:tc>
          <w:tcPr>
            <w:tcW w:w="52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textAlignment w:val="center"/>
              <w:rPr>
                <w:rFonts w:ascii="Times New Roman" w:hAnsi="Times New Roman" w:cs="Times New Roman"/>
                <w:sz w:val="21"/>
                <w:szCs w:val="21"/>
              </w:rPr>
            </w:pPr>
            <w:r>
              <w:rPr>
                <w:rFonts w:hint="eastAsia" w:cs="Times New Roman"/>
                <w:kern w:val="2"/>
                <w:sz w:val="21"/>
                <w:szCs w:val="21"/>
              </w:rPr>
              <w:t>承包人的管理人员在施工期间出现以下情况，应承担的违约责任：</w:t>
            </w:r>
          </w:p>
        </w:tc>
        <w:tc>
          <w:tcPr>
            <w:tcW w:w="21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p>
        </w:tc>
      </w:tr>
      <w:tr>
        <w:tblPrEx>
          <w:tblCellMar>
            <w:top w:w="0" w:type="dxa"/>
            <w:left w:w="0" w:type="dxa"/>
            <w:bottom w:w="0" w:type="dxa"/>
            <w:right w:w="0" w:type="dxa"/>
          </w:tblCellMar>
        </w:tblPrEx>
        <w:trPr>
          <w:trHeight w:val="322" w:hRule="atLeast"/>
        </w:trPr>
        <w:tc>
          <w:tcPr>
            <w:tcW w:w="73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ascii="Times New Roman" w:hAnsi="Times New Roman" w:cs="Times New Roman"/>
                <w:sz w:val="21"/>
                <w:szCs w:val="21"/>
              </w:rPr>
              <w:t>5</w:t>
            </w:r>
            <w:r>
              <w:rPr>
                <w:rFonts w:hint="eastAsia" w:cs="Times New Roman"/>
                <w:sz w:val="21"/>
                <w:szCs w:val="21"/>
              </w:rPr>
              <w:t>.1</w:t>
            </w:r>
          </w:p>
        </w:tc>
        <w:tc>
          <w:tcPr>
            <w:tcW w:w="934" w:type="dxa"/>
            <w:vMerge w:val="continue"/>
            <w:tcBorders>
              <w:left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p>
        </w:tc>
        <w:tc>
          <w:tcPr>
            <w:tcW w:w="52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textAlignment w:val="center"/>
              <w:rPr>
                <w:rFonts w:ascii="Times New Roman" w:hAnsi="Times New Roman" w:cs="Times New Roman"/>
                <w:sz w:val="21"/>
                <w:szCs w:val="21"/>
              </w:rPr>
            </w:pPr>
            <w:r>
              <w:rPr>
                <w:rFonts w:hint="eastAsia" w:cs="Times New Roman"/>
                <w:kern w:val="2"/>
                <w:sz w:val="21"/>
                <w:szCs w:val="21"/>
              </w:rPr>
              <w:t>承包人的项目管理机构设置与投标文件的承诺不一致的，承包人应向发包人支付违约金2万元／人次。</w:t>
            </w:r>
          </w:p>
        </w:tc>
        <w:tc>
          <w:tcPr>
            <w:tcW w:w="21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万元/</w:t>
            </w:r>
            <w:r>
              <w:rPr>
                <w:rFonts w:hint="eastAsia" w:cs="Times New Roman"/>
                <w:sz w:val="21"/>
                <w:szCs w:val="21"/>
              </w:rPr>
              <w:t>人</w:t>
            </w:r>
            <w:r>
              <w:rPr>
                <w:rFonts w:ascii="Times New Roman" w:hAnsi="Times New Roman" w:cs="Times New Roman"/>
                <w:sz w:val="21"/>
                <w:szCs w:val="21"/>
              </w:rPr>
              <w:t>次</w:t>
            </w:r>
          </w:p>
        </w:tc>
      </w:tr>
      <w:tr>
        <w:tblPrEx>
          <w:tblCellMar>
            <w:top w:w="0" w:type="dxa"/>
            <w:left w:w="0" w:type="dxa"/>
            <w:bottom w:w="0" w:type="dxa"/>
            <w:right w:w="0" w:type="dxa"/>
          </w:tblCellMar>
        </w:tblPrEx>
        <w:trPr>
          <w:trHeight w:val="322" w:hRule="atLeast"/>
        </w:trPr>
        <w:tc>
          <w:tcPr>
            <w:tcW w:w="73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hint="eastAsia" w:cs="Times New Roman"/>
                <w:sz w:val="21"/>
                <w:szCs w:val="21"/>
              </w:rPr>
              <w:t>5.2</w:t>
            </w:r>
          </w:p>
        </w:tc>
        <w:tc>
          <w:tcPr>
            <w:tcW w:w="934" w:type="dxa"/>
            <w:vMerge w:val="continue"/>
            <w:tcBorders>
              <w:left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p>
        </w:tc>
        <w:tc>
          <w:tcPr>
            <w:tcW w:w="52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承包人的主要施工管理人员（生产负责人、技术负责人、安全负责人、质量负责人）未及时到位或未经发包人同意擅自更换的，承包人应向发包人支付违约金1万元／人次。</w:t>
            </w:r>
          </w:p>
        </w:tc>
        <w:tc>
          <w:tcPr>
            <w:tcW w:w="21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hint="eastAsia" w:cs="Times New Roman"/>
                <w:kern w:val="2"/>
                <w:sz w:val="21"/>
                <w:szCs w:val="21"/>
              </w:rPr>
              <w:t>1万元／人次</w:t>
            </w:r>
          </w:p>
        </w:tc>
      </w:tr>
      <w:tr>
        <w:tblPrEx>
          <w:tblCellMar>
            <w:top w:w="0" w:type="dxa"/>
            <w:left w:w="0" w:type="dxa"/>
            <w:bottom w:w="0" w:type="dxa"/>
            <w:right w:w="0" w:type="dxa"/>
          </w:tblCellMar>
        </w:tblPrEx>
        <w:trPr>
          <w:trHeight w:val="322" w:hRule="atLeast"/>
        </w:trPr>
        <w:tc>
          <w:tcPr>
            <w:tcW w:w="73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5.3</w:t>
            </w:r>
          </w:p>
        </w:tc>
        <w:tc>
          <w:tcPr>
            <w:tcW w:w="934" w:type="dxa"/>
            <w:vMerge w:val="continue"/>
            <w:tcBorders>
              <w:left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p>
        </w:tc>
        <w:tc>
          <w:tcPr>
            <w:tcW w:w="52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承包人的主要施工管理人员（生产负责人、技术负责人、安全负责人、质量负责人）同时兼任承包人其它工程项目的任何职务的，承包人应向发包人支付违约金1万元／人次</w:t>
            </w:r>
          </w:p>
        </w:tc>
        <w:tc>
          <w:tcPr>
            <w:tcW w:w="21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rPr>
              <w:t>1万元／人次</w:t>
            </w:r>
          </w:p>
        </w:tc>
      </w:tr>
      <w:tr>
        <w:tblPrEx>
          <w:tblCellMar>
            <w:top w:w="0" w:type="dxa"/>
            <w:left w:w="0" w:type="dxa"/>
            <w:bottom w:w="0" w:type="dxa"/>
            <w:right w:w="0" w:type="dxa"/>
          </w:tblCellMar>
        </w:tblPrEx>
        <w:trPr>
          <w:trHeight w:val="322" w:hRule="atLeast"/>
        </w:trPr>
        <w:tc>
          <w:tcPr>
            <w:tcW w:w="73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5.4</w:t>
            </w:r>
          </w:p>
        </w:tc>
        <w:tc>
          <w:tcPr>
            <w:tcW w:w="934" w:type="dxa"/>
            <w:vMerge w:val="continue"/>
            <w:tcBorders>
              <w:left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p>
        </w:tc>
        <w:tc>
          <w:tcPr>
            <w:tcW w:w="52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承包人其他人员（项目经理及主要施工管理人员除外）未及时到位或未经发包人同意擅自更换的，承包人应向发包人支付违约金0.5万元／人次</w:t>
            </w:r>
          </w:p>
        </w:tc>
        <w:tc>
          <w:tcPr>
            <w:tcW w:w="21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rPr>
              <w:t>0.5万元／人次</w:t>
            </w:r>
          </w:p>
        </w:tc>
      </w:tr>
      <w:tr>
        <w:tblPrEx>
          <w:tblCellMar>
            <w:top w:w="0" w:type="dxa"/>
            <w:left w:w="0" w:type="dxa"/>
            <w:bottom w:w="0" w:type="dxa"/>
            <w:right w:w="0" w:type="dxa"/>
          </w:tblCellMar>
        </w:tblPrEx>
        <w:trPr>
          <w:trHeight w:val="1754" w:hRule="atLeast"/>
        </w:trPr>
        <w:tc>
          <w:tcPr>
            <w:tcW w:w="73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5.5</w:t>
            </w:r>
          </w:p>
        </w:tc>
        <w:tc>
          <w:tcPr>
            <w:tcW w:w="934" w:type="dxa"/>
            <w:vMerge w:val="continue"/>
            <w:tcBorders>
              <w:left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p>
        </w:tc>
        <w:tc>
          <w:tcPr>
            <w:tcW w:w="52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承包人现场管理人员必须和投标文件中的人员保持一致，且项目管理人员在中标7天内必须全部到岗履职，直到项目完成竣工验收。否则发包人按照项目经理1万元/天/人，其他人员0.5万元/天/人的标准进行处罚。上述罚金直接从进度款中扣除。</w:t>
            </w:r>
          </w:p>
        </w:tc>
        <w:tc>
          <w:tcPr>
            <w:tcW w:w="21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rPr>
              <w:t>项目经理1万元/天/人；其他人员0.5万元/天/人</w:t>
            </w:r>
          </w:p>
        </w:tc>
      </w:tr>
      <w:tr>
        <w:tblPrEx>
          <w:tblCellMar>
            <w:top w:w="0" w:type="dxa"/>
            <w:left w:w="0" w:type="dxa"/>
            <w:bottom w:w="0" w:type="dxa"/>
            <w:right w:w="0" w:type="dxa"/>
          </w:tblCellMar>
        </w:tblPrEx>
        <w:trPr>
          <w:trHeight w:val="1367" w:hRule="atLeast"/>
        </w:trPr>
        <w:tc>
          <w:tcPr>
            <w:tcW w:w="73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5.6</w:t>
            </w:r>
          </w:p>
        </w:tc>
        <w:tc>
          <w:tcPr>
            <w:tcW w:w="934" w:type="dxa"/>
            <w:vMerge w:val="continue"/>
            <w:tcBorders>
              <w:left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p>
        </w:tc>
        <w:tc>
          <w:tcPr>
            <w:tcW w:w="52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项目经理及技术负责人签署的文件和资料不得代签，一经发现，监理人和发包人有权拒收并视为承包人违约，承包人每次向发包人支付违约金人民币1万元/次。</w:t>
            </w:r>
          </w:p>
        </w:tc>
        <w:tc>
          <w:tcPr>
            <w:tcW w:w="21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rPr>
              <w:t>1万元/次</w:t>
            </w:r>
          </w:p>
        </w:tc>
      </w:tr>
      <w:tr>
        <w:tblPrEx>
          <w:tblCellMar>
            <w:top w:w="0" w:type="dxa"/>
            <w:left w:w="0" w:type="dxa"/>
            <w:bottom w:w="0" w:type="dxa"/>
            <w:right w:w="0" w:type="dxa"/>
          </w:tblCellMar>
        </w:tblPrEx>
        <w:trPr>
          <w:trHeight w:val="1180" w:hRule="atLeast"/>
        </w:trPr>
        <w:tc>
          <w:tcPr>
            <w:tcW w:w="73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cs="Times New Roman"/>
                <w:sz w:val="21"/>
                <w:szCs w:val="21"/>
              </w:rPr>
              <w:t>6</w:t>
            </w:r>
          </w:p>
        </w:tc>
        <w:tc>
          <w:tcPr>
            <w:tcW w:w="934" w:type="dxa"/>
            <w:vMerge w:val="continue"/>
            <w:tcBorders>
              <w:left w:val="single" w:color="000000" w:sz="4" w:space="0"/>
              <w:bottom w:val="single" w:color="auto" w:sz="4" w:space="0"/>
              <w:right w:val="single" w:color="000000" w:sz="4" w:space="0"/>
            </w:tcBorders>
            <w:tcMar>
              <w:top w:w="10" w:type="dxa"/>
              <w:left w:w="10" w:type="dxa"/>
              <w:right w:w="10" w:type="dxa"/>
            </w:tcMar>
            <w:vAlign w:val="center"/>
          </w:tcPr>
          <w:p>
            <w:pPr>
              <w:spacing w:before="120" w:beforeLines="50"/>
              <w:textAlignment w:val="center"/>
              <w:rPr>
                <w:rFonts w:cs="Times New Roman"/>
                <w:sz w:val="21"/>
                <w:szCs w:val="21"/>
              </w:rPr>
            </w:pPr>
          </w:p>
        </w:tc>
        <w:tc>
          <w:tcPr>
            <w:tcW w:w="52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textAlignment w:val="center"/>
              <w:rPr>
                <w:rFonts w:cs="Times New Roman"/>
                <w:sz w:val="21"/>
                <w:szCs w:val="21"/>
              </w:rPr>
            </w:pPr>
            <w:r>
              <w:rPr>
                <w:rFonts w:hint="eastAsia" w:cs="Times New Roman"/>
                <w:sz w:val="21"/>
                <w:szCs w:val="21"/>
              </w:rPr>
              <w:t>承包人无正当理由拒绝撤换的，应承担的违约责任：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支付违约金人民币1万元/人次（项目经理除外）。承包人应在7日内根据发包人的要求更换完成，否则处以0.5万元/人/天的违约金，直至承包人纠正为止。</w:t>
            </w:r>
          </w:p>
        </w:tc>
        <w:tc>
          <w:tcPr>
            <w:tcW w:w="21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hint="eastAsia" w:cs="Times New Roman"/>
                <w:kern w:val="2"/>
                <w:sz w:val="21"/>
                <w:szCs w:val="21"/>
              </w:rPr>
              <w:t>拒绝撤换的，支付违约金1万元/人次，在7日内未根据发包人的要求更换完成，处以0.5万元/人/天的违约金</w:t>
            </w:r>
          </w:p>
        </w:tc>
      </w:tr>
      <w:tr>
        <w:tblPrEx>
          <w:tblCellMar>
            <w:top w:w="0" w:type="dxa"/>
            <w:left w:w="0" w:type="dxa"/>
            <w:bottom w:w="0" w:type="dxa"/>
            <w:right w:w="0" w:type="dxa"/>
          </w:tblCellMar>
        </w:tblPrEx>
        <w:trPr>
          <w:trHeight w:val="1180" w:hRule="atLeast"/>
        </w:trPr>
        <w:tc>
          <w:tcPr>
            <w:tcW w:w="73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6.1</w:t>
            </w:r>
          </w:p>
        </w:tc>
        <w:tc>
          <w:tcPr>
            <w:tcW w:w="934" w:type="dxa"/>
            <w:tcBorders>
              <w:left w:val="single" w:color="000000" w:sz="4" w:space="0"/>
              <w:bottom w:val="single" w:color="auto" w:sz="4" w:space="0"/>
              <w:right w:val="single" w:color="000000" w:sz="4" w:space="0"/>
            </w:tcBorders>
            <w:tcMar>
              <w:top w:w="10" w:type="dxa"/>
              <w:left w:w="10" w:type="dxa"/>
              <w:right w:w="10" w:type="dxa"/>
            </w:tcMar>
            <w:vAlign w:val="center"/>
          </w:tcPr>
          <w:p>
            <w:pPr>
              <w:spacing w:before="120" w:beforeLines="50"/>
              <w:textAlignment w:val="center"/>
              <w:rPr>
                <w:rFonts w:cs="Times New Roman"/>
                <w:sz w:val="21"/>
                <w:szCs w:val="21"/>
              </w:rPr>
            </w:pPr>
          </w:p>
        </w:tc>
        <w:tc>
          <w:tcPr>
            <w:tcW w:w="52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textAlignment w:val="center"/>
              <w:rPr>
                <w:rFonts w:cs="Times New Roman"/>
                <w:sz w:val="21"/>
                <w:szCs w:val="21"/>
              </w:rPr>
            </w:pPr>
            <w:r>
              <w:rPr>
                <w:rFonts w:hint="eastAsia" w:cs="Times New Roman"/>
                <w:sz w:val="21"/>
                <w:szCs w:val="21"/>
              </w:rPr>
              <w:t>发包人有权要求承包人更换发包人认为不称职施工班组，承包人应无条件执行，新的管理人员或施工班组应在48小时内到位，否则承包人向发包人支付5000元/次/天违约金。</w:t>
            </w:r>
          </w:p>
        </w:tc>
        <w:tc>
          <w:tcPr>
            <w:tcW w:w="21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rPr>
              <w:t>5000元/次/天</w:t>
            </w:r>
          </w:p>
        </w:tc>
      </w:tr>
      <w:tr>
        <w:tblPrEx>
          <w:tblCellMar>
            <w:top w:w="0" w:type="dxa"/>
            <w:left w:w="0" w:type="dxa"/>
            <w:bottom w:w="0" w:type="dxa"/>
            <w:right w:w="0" w:type="dxa"/>
          </w:tblCellMar>
        </w:tblPrEx>
        <w:trPr>
          <w:trHeight w:val="1180" w:hRule="atLeast"/>
        </w:trPr>
        <w:tc>
          <w:tcPr>
            <w:tcW w:w="73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ascii="Times New Roman" w:hAnsi="Times New Roman" w:cs="Times New Roman"/>
                <w:sz w:val="21"/>
                <w:szCs w:val="21"/>
              </w:rPr>
              <w:t>7</w:t>
            </w:r>
          </w:p>
        </w:tc>
        <w:tc>
          <w:tcPr>
            <w:tcW w:w="934" w:type="dxa"/>
            <w:vMerge w:val="restart"/>
            <w:tcBorders>
              <w:top w:val="single" w:color="auto" w:sz="4" w:space="0"/>
              <w:left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hint="eastAsia" w:cs="Times New Roman"/>
                <w:sz w:val="21"/>
                <w:szCs w:val="21"/>
              </w:rPr>
              <w:t>转让、分包</w:t>
            </w:r>
          </w:p>
        </w:tc>
        <w:tc>
          <w:tcPr>
            <w:tcW w:w="52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textAlignment w:val="center"/>
              <w:rPr>
                <w:rFonts w:ascii="Times New Roman" w:hAnsi="Times New Roman" w:cs="Times New Roman"/>
                <w:sz w:val="21"/>
                <w:szCs w:val="21"/>
              </w:rPr>
            </w:pPr>
            <w:r>
              <w:rPr>
                <w:rFonts w:hint="eastAsia" w:cs="Times New Roman"/>
                <w:kern w:val="2"/>
                <w:sz w:val="21"/>
                <w:szCs w:val="21"/>
              </w:rPr>
              <w:t>如承包人有转让行为，应向发包人支付违约金签约合同价的15%/次，且发包人有权解除合同，并保留索赔权力。</w:t>
            </w:r>
            <w:r>
              <w:rPr>
                <w:rFonts w:ascii="Times New Roman" w:hAnsi="Times New Roman" w:cs="Times New Roman"/>
                <w:sz w:val="21"/>
                <w:szCs w:val="21"/>
              </w:rPr>
              <w:t xml:space="preserve"> </w:t>
            </w:r>
          </w:p>
        </w:tc>
        <w:tc>
          <w:tcPr>
            <w:tcW w:w="21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hint="eastAsia" w:cs="Times New Roman"/>
                <w:kern w:val="2"/>
                <w:sz w:val="21"/>
                <w:szCs w:val="21"/>
              </w:rPr>
              <w:t>签约合同价的15%/次</w:t>
            </w:r>
          </w:p>
        </w:tc>
      </w:tr>
      <w:tr>
        <w:tblPrEx>
          <w:tblCellMar>
            <w:top w:w="0" w:type="dxa"/>
            <w:left w:w="0" w:type="dxa"/>
            <w:bottom w:w="0" w:type="dxa"/>
            <w:right w:w="0" w:type="dxa"/>
          </w:tblCellMar>
        </w:tblPrEx>
        <w:trPr>
          <w:trHeight w:val="1058" w:hRule="atLeast"/>
        </w:trPr>
        <w:tc>
          <w:tcPr>
            <w:tcW w:w="73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ascii="Times New Roman" w:hAnsi="Times New Roman" w:cs="Times New Roman"/>
                <w:sz w:val="21"/>
                <w:szCs w:val="21"/>
              </w:rPr>
              <w:t>8</w:t>
            </w:r>
          </w:p>
        </w:tc>
        <w:tc>
          <w:tcPr>
            <w:tcW w:w="934" w:type="dxa"/>
            <w:vMerge w:val="continue"/>
            <w:tcBorders>
              <w:left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p>
        </w:tc>
        <w:tc>
          <w:tcPr>
            <w:tcW w:w="52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textAlignment w:val="center"/>
              <w:rPr>
                <w:rFonts w:ascii="Times New Roman" w:hAnsi="Times New Roman" w:cs="Times New Roman"/>
                <w:sz w:val="21"/>
                <w:szCs w:val="21"/>
              </w:rPr>
            </w:pPr>
            <w:r>
              <w:rPr>
                <w:rFonts w:hint="eastAsia" w:cs="Times New Roman"/>
                <w:kern w:val="2"/>
                <w:sz w:val="21"/>
                <w:szCs w:val="21"/>
              </w:rPr>
              <w:t>如承包人有分包行为，应承担的违约责任：</w:t>
            </w:r>
          </w:p>
        </w:tc>
        <w:tc>
          <w:tcPr>
            <w:tcW w:w="21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rPr>
                <w:rFonts w:ascii="Times New Roman" w:hAnsi="Times New Roman" w:cs="Times New Roman"/>
                <w:sz w:val="21"/>
                <w:szCs w:val="21"/>
              </w:rPr>
            </w:pPr>
          </w:p>
        </w:tc>
      </w:tr>
      <w:tr>
        <w:tblPrEx>
          <w:tblCellMar>
            <w:top w:w="0" w:type="dxa"/>
            <w:left w:w="0" w:type="dxa"/>
            <w:bottom w:w="0" w:type="dxa"/>
            <w:right w:w="0" w:type="dxa"/>
          </w:tblCellMar>
        </w:tblPrEx>
        <w:trPr>
          <w:trHeight w:val="990" w:hRule="atLeast"/>
        </w:trPr>
        <w:tc>
          <w:tcPr>
            <w:tcW w:w="73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ascii="Times New Roman" w:hAnsi="Times New Roman" w:cs="Times New Roman"/>
                <w:sz w:val="21"/>
                <w:szCs w:val="21"/>
              </w:rPr>
              <w:t>8.1</w:t>
            </w:r>
          </w:p>
        </w:tc>
        <w:tc>
          <w:tcPr>
            <w:tcW w:w="934" w:type="dxa"/>
            <w:vMerge w:val="continue"/>
            <w:tcBorders>
              <w:left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p>
        </w:tc>
        <w:tc>
          <w:tcPr>
            <w:tcW w:w="52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textAlignment w:val="center"/>
              <w:rPr>
                <w:rFonts w:ascii="Times New Roman" w:hAnsi="Times New Roman" w:cs="Times New Roman"/>
                <w:sz w:val="21"/>
                <w:szCs w:val="21"/>
              </w:rPr>
            </w:pPr>
            <w:r>
              <w:rPr>
                <w:rFonts w:hint="eastAsia" w:cs="Times New Roman"/>
                <w:kern w:val="2"/>
                <w:sz w:val="21"/>
                <w:szCs w:val="21"/>
              </w:rPr>
              <w:t>如出现承包人未经监理人审查和发包人同意的分包行为，承包人应向发包人支付违约金20万元/次，且承包人应在3天内纠正违约行为，否则视为再次违约。</w:t>
            </w:r>
          </w:p>
        </w:tc>
        <w:tc>
          <w:tcPr>
            <w:tcW w:w="21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hint="eastAsia" w:cs="Times New Roman"/>
                <w:kern w:val="2"/>
                <w:sz w:val="21"/>
                <w:szCs w:val="21"/>
              </w:rPr>
              <w:t>20万元/次</w:t>
            </w:r>
          </w:p>
        </w:tc>
      </w:tr>
      <w:tr>
        <w:tblPrEx>
          <w:tblCellMar>
            <w:top w:w="0" w:type="dxa"/>
            <w:left w:w="0" w:type="dxa"/>
            <w:bottom w:w="0" w:type="dxa"/>
            <w:right w:w="0" w:type="dxa"/>
          </w:tblCellMar>
        </w:tblPrEx>
        <w:trPr>
          <w:trHeight w:val="1392" w:hRule="atLeast"/>
        </w:trPr>
        <w:tc>
          <w:tcPr>
            <w:tcW w:w="73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ascii="Times New Roman" w:hAnsi="Times New Roman" w:cs="Times New Roman"/>
                <w:sz w:val="21"/>
                <w:szCs w:val="21"/>
              </w:rPr>
              <w:t>8.2</w:t>
            </w:r>
          </w:p>
        </w:tc>
        <w:tc>
          <w:tcPr>
            <w:tcW w:w="934" w:type="dxa"/>
            <w:vMerge w:val="continue"/>
            <w:tcBorders>
              <w:left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p>
        </w:tc>
        <w:tc>
          <w:tcPr>
            <w:tcW w:w="52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textAlignment w:val="center"/>
              <w:rPr>
                <w:rFonts w:ascii="Times New Roman" w:hAnsi="Times New Roman" w:cs="Times New Roman"/>
                <w:sz w:val="21"/>
                <w:szCs w:val="21"/>
              </w:rPr>
            </w:pPr>
            <w:r>
              <w:rPr>
                <w:rFonts w:hint="eastAsia" w:cs="Times New Roman"/>
                <w:kern w:val="2"/>
                <w:sz w:val="21"/>
                <w:szCs w:val="21"/>
              </w:rPr>
              <w:t>如出现分包人将分包工程的任何部分再分包的行为，承包人应向发包人支付违约金20万元/次，且承包人应在3天内纠正违约行为，否则视为再次违约。</w:t>
            </w:r>
          </w:p>
        </w:tc>
        <w:tc>
          <w:tcPr>
            <w:tcW w:w="21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hint="eastAsia" w:cs="Times New Roman"/>
                <w:kern w:val="2"/>
                <w:sz w:val="21"/>
                <w:szCs w:val="21"/>
              </w:rPr>
              <w:t>20万元/次</w:t>
            </w:r>
          </w:p>
        </w:tc>
      </w:tr>
      <w:tr>
        <w:tblPrEx>
          <w:tblCellMar>
            <w:top w:w="0" w:type="dxa"/>
            <w:left w:w="0" w:type="dxa"/>
            <w:bottom w:w="0" w:type="dxa"/>
            <w:right w:w="0" w:type="dxa"/>
          </w:tblCellMar>
        </w:tblPrEx>
        <w:trPr>
          <w:trHeight w:val="274" w:hRule="atLeast"/>
        </w:trPr>
        <w:tc>
          <w:tcPr>
            <w:tcW w:w="73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ascii="Times New Roman" w:hAnsi="Times New Roman" w:cs="Times New Roman"/>
                <w:sz w:val="21"/>
                <w:szCs w:val="21"/>
              </w:rPr>
              <w:t>8.3</w:t>
            </w:r>
          </w:p>
        </w:tc>
        <w:tc>
          <w:tcPr>
            <w:tcW w:w="934" w:type="dxa"/>
            <w:vMerge w:val="continue"/>
            <w:tcBorders>
              <w:left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p>
        </w:tc>
        <w:tc>
          <w:tcPr>
            <w:tcW w:w="52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textAlignment w:val="center"/>
              <w:rPr>
                <w:rFonts w:ascii="Times New Roman" w:hAnsi="Times New Roman" w:cs="Times New Roman"/>
                <w:sz w:val="21"/>
                <w:szCs w:val="21"/>
              </w:rPr>
            </w:pPr>
            <w:r>
              <w:rPr>
                <w:rFonts w:hint="eastAsia" w:cs="Times New Roman"/>
                <w:kern w:val="2"/>
                <w:sz w:val="21"/>
                <w:szCs w:val="21"/>
              </w:rPr>
              <w:t>如承包人有将其承包范围内全部工程肢解分包的行为，应向发包人支付违约金签约合同价的15%/次，且承包人应在3天内纠正违约行为，否则视为再次违约。</w:t>
            </w:r>
          </w:p>
        </w:tc>
        <w:tc>
          <w:tcPr>
            <w:tcW w:w="21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hint="eastAsia" w:cs="Times New Roman"/>
                <w:kern w:val="2"/>
                <w:sz w:val="21"/>
                <w:szCs w:val="21"/>
              </w:rPr>
              <w:t>签约合同价的15%/次</w:t>
            </w:r>
          </w:p>
        </w:tc>
      </w:tr>
      <w:tr>
        <w:tblPrEx>
          <w:tblCellMar>
            <w:top w:w="0" w:type="dxa"/>
            <w:left w:w="0" w:type="dxa"/>
            <w:bottom w:w="0" w:type="dxa"/>
            <w:right w:w="0" w:type="dxa"/>
          </w:tblCellMar>
        </w:tblPrEx>
        <w:trPr>
          <w:trHeight w:val="274" w:hRule="atLeast"/>
        </w:trPr>
        <w:tc>
          <w:tcPr>
            <w:tcW w:w="737" w:type="dxa"/>
            <w:tcBorders>
              <w:top w:val="single" w:color="000000" w:sz="4" w:space="0"/>
              <w:left w:val="single" w:color="000000"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hint="eastAsia" w:cs="Times New Roman"/>
                <w:sz w:val="21"/>
                <w:szCs w:val="21"/>
              </w:rPr>
              <w:t>9</w:t>
            </w:r>
          </w:p>
        </w:tc>
        <w:tc>
          <w:tcPr>
            <w:tcW w:w="934" w:type="dxa"/>
            <w:vMerge w:val="continue"/>
            <w:tcBorders>
              <w:left w:val="single" w:color="000000"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p>
        </w:tc>
        <w:tc>
          <w:tcPr>
            <w:tcW w:w="5276"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ascii="Times New Roman" w:hAnsi="Times New Roman" w:cs="Times New Roman"/>
                <w:kern w:val="2"/>
                <w:sz w:val="21"/>
                <w:szCs w:val="21"/>
              </w:rPr>
              <w:t>承包人应在合同签订后10天内将分包计划报发包人审批，每延迟一天</w:t>
            </w:r>
            <w:r>
              <w:rPr>
                <w:rFonts w:hint="eastAsia" w:cs="Times New Roman"/>
                <w:kern w:val="2"/>
                <w:sz w:val="21"/>
                <w:szCs w:val="21"/>
              </w:rPr>
              <w:t>承包人向发包人支付违约金</w:t>
            </w:r>
            <w:r>
              <w:rPr>
                <w:rFonts w:hint="eastAsia" w:ascii="Times New Roman" w:hAnsi="Times New Roman" w:cs="Times New Roman"/>
                <w:kern w:val="2"/>
                <w:sz w:val="21"/>
                <w:szCs w:val="21"/>
              </w:rPr>
              <w:t>5000元。</w:t>
            </w:r>
          </w:p>
        </w:tc>
        <w:tc>
          <w:tcPr>
            <w:tcW w:w="21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ascii="Times New Roman" w:hAnsi="Times New Roman" w:cs="Times New Roman"/>
                <w:kern w:val="2"/>
                <w:sz w:val="21"/>
                <w:szCs w:val="21"/>
              </w:rPr>
              <w:t>5000元/天</w:t>
            </w:r>
          </w:p>
        </w:tc>
      </w:tr>
      <w:tr>
        <w:tblPrEx>
          <w:tblCellMar>
            <w:top w:w="0" w:type="dxa"/>
            <w:left w:w="0" w:type="dxa"/>
            <w:bottom w:w="0" w:type="dxa"/>
            <w:right w:w="0" w:type="dxa"/>
          </w:tblCellMar>
        </w:tblPrEx>
        <w:trPr>
          <w:trHeight w:val="1279" w:hRule="atLeast"/>
        </w:trPr>
        <w:tc>
          <w:tcPr>
            <w:tcW w:w="737" w:type="dxa"/>
            <w:tcBorders>
              <w:top w:val="single" w:color="auto" w:sz="4" w:space="0"/>
              <w:left w:val="single" w:color="000000" w:sz="4" w:space="0"/>
              <w:bottom w:val="single" w:color="000000" w:sz="4" w:space="0"/>
              <w:right w:val="single" w:color="auto" w:sz="4" w:space="0"/>
            </w:tcBorders>
            <w:noWrap/>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hint="eastAsia" w:cs="Times New Roman"/>
                <w:sz w:val="21"/>
                <w:szCs w:val="21"/>
              </w:rPr>
              <w:t>10</w:t>
            </w:r>
          </w:p>
        </w:tc>
        <w:tc>
          <w:tcPr>
            <w:tcW w:w="934" w:type="dxa"/>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hint="eastAsia" w:cs="Times New Roman"/>
                <w:sz w:val="21"/>
                <w:szCs w:val="21"/>
              </w:rPr>
              <w:t>专业工程发包</w:t>
            </w:r>
          </w:p>
        </w:tc>
        <w:tc>
          <w:tcPr>
            <w:tcW w:w="5276"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pacing w:before="120" w:beforeLines="50"/>
              <w:textAlignment w:val="center"/>
              <w:rPr>
                <w:rFonts w:ascii="Times New Roman" w:hAnsi="Times New Roman" w:cs="Times New Roman"/>
                <w:sz w:val="21"/>
                <w:szCs w:val="21"/>
              </w:rPr>
            </w:pPr>
            <w:r>
              <w:rPr>
                <w:rFonts w:hint="eastAsia" w:cs="Times New Roman"/>
                <w:kern w:val="2"/>
                <w:sz w:val="21"/>
                <w:szCs w:val="21"/>
              </w:rPr>
              <w:t xml:space="preserve"> 由于承包人未能及时对工程接口问题进行协调或未及时实施监理人接口指令而造成损失的，承包人应向发包人支付上述损失的100% 的违约金</w:t>
            </w:r>
            <w:r>
              <w:rPr>
                <w:rFonts w:ascii="Times New Roman" w:hAnsi="Times New Roman" w:cs="Times New Roman"/>
                <w:sz w:val="21"/>
                <w:szCs w:val="21"/>
              </w:rPr>
              <w:t>。</w:t>
            </w:r>
          </w:p>
        </w:tc>
        <w:tc>
          <w:tcPr>
            <w:tcW w:w="21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hint="eastAsia" w:cs="Times New Roman"/>
                <w:kern w:val="2"/>
                <w:sz w:val="21"/>
                <w:szCs w:val="21"/>
              </w:rPr>
              <w:t xml:space="preserve">损失的100% </w:t>
            </w:r>
          </w:p>
        </w:tc>
      </w:tr>
      <w:tr>
        <w:tblPrEx>
          <w:tblCellMar>
            <w:top w:w="0" w:type="dxa"/>
            <w:left w:w="0" w:type="dxa"/>
            <w:bottom w:w="0" w:type="dxa"/>
            <w:right w:w="0" w:type="dxa"/>
          </w:tblCellMar>
        </w:tblPrEx>
        <w:trPr>
          <w:trHeight w:val="1213" w:hRule="atLeast"/>
        </w:trPr>
        <w:tc>
          <w:tcPr>
            <w:tcW w:w="737" w:type="dxa"/>
            <w:tcBorders>
              <w:top w:val="single" w:color="000000" w:sz="4" w:space="0"/>
              <w:left w:val="single" w:color="000000"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11</w:t>
            </w:r>
          </w:p>
        </w:tc>
        <w:tc>
          <w:tcPr>
            <w:tcW w:w="934" w:type="dxa"/>
            <w:vMerge w:val="restart"/>
            <w:tcBorders>
              <w:top w:val="single" w:color="auto" w:sz="4" w:space="0"/>
              <w:left w:val="single" w:color="000000" w:sz="4" w:space="0"/>
              <w:right w:val="single" w:color="000000" w:sz="4" w:space="0"/>
            </w:tcBorders>
            <w:tcMar>
              <w:top w:w="10" w:type="dxa"/>
              <w:left w:w="10" w:type="dxa"/>
              <w:right w:w="10" w:type="dxa"/>
            </w:tcMar>
            <w:vAlign w:val="center"/>
          </w:tcPr>
          <w:p>
            <w:pPr>
              <w:spacing w:before="120" w:beforeLines="50"/>
              <w:jc w:val="center"/>
              <w:rPr>
                <w:rFonts w:ascii="Times New Roman" w:hAnsi="Times New Roman" w:cs="Times New Roman"/>
                <w:sz w:val="21"/>
                <w:szCs w:val="21"/>
              </w:rPr>
            </w:pPr>
            <w:r>
              <w:rPr>
                <w:rFonts w:hint="eastAsia" w:cs="Times New Roman"/>
                <w:sz w:val="21"/>
                <w:szCs w:val="21"/>
              </w:rPr>
              <w:t>用工和劳务</w:t>
            </w:r>
          </w:p>
        </w:tc>
        <w:tc>
          <w:tcPr>
            <w:tcW w:w="5276"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若发包人或监理人发现有未签订劳动合同的劳动者在现场施工，承包人应向发包人支付违约金2万元/人次。</w:t>
            </w:r>
          </w:p>
        </w:tc>
        <w:tc>
          <w:tcPr>
            <w:tcW w:w="21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rPr>
              <w:t>2万元/人次</w:t>
            </w:r>
          </w:p>
        </w:tc>
      </w:tr>
      <w:tr>
        <w:tblPrEx>
          <w:tblCellMar>
            <w:top w:w="0" w:type="dxa"/>
            <w:left w:w="0" w:type="dxa"/>
            <w:bottom w:w="0" w:type="dxa"/>
            <w:right w:w="0" w:type="dxa"/>
          </w:tblCellMar>
        </w:tblPrEx>
        <w:trPr>
          <w:trHeight w:val="1180" w:hRule="atLeast"/>
        </w:trPr>
        <w:tc>
          <w:tcPr>
            <w:tcW w:w="737" w:type="dxa"/>
            <w:tcBorders>
              <w:top w:val="single" w:color="auto" w:sz="4" w:space="0"/>
              <w:left w:val="single" w:color="000000" w:sz="4" w:space="0"/>
              <w:bottom w:val="single" w:color="000000" w:sz="4" w:space="0"/>
              <w:right w:val="single" w:color="auto" w:sz="4" w:space="0"/>
            </w:tcBorders>
            <w:noWrap/>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ascii="Times New Roman" w:hAnsi="Times New Roman" w:cs="Times New Roman"/>
                <w:sz w:val="21"/>
                <w:szCs w:val="21"/>
              </w:rPr>
              <w:t>1</w:t>
            </w:r>
            <w:r>
              <w:rPr>
                <w:rFonts w:hint="eastAsia" w:cs="Times New Roman"/>
                <w:sz w:val="21"/>
                <w:szCs w:val="21"/>
              </w:rPr>
              <w:t>2</w:t>
            </w:r>
          </w:p>
        </w:tc>
        <w:tc>
          <w:tcPr>
            <w:tcW w:w="934" w:type="dxa"/>
            <w:vMerge w:val="continue"/>
            <w:tcBorders>
              <w:left w:val="single" w:color="000000" w:sz="4" w:space="0"/>
              <w:bottom w:val="single" w:color="auto" w:sz="4" w:space="0"/>
              <w:right w:val="single" w:color="000000" w:sz="4" w:space="0"/>
            </w:tcBorders>
            <w:tcMar>
              <w:top w:w="10" w:type="dxa"/>
              <w:left w:w="10" w:type="dxa"/>
              <w:right w:w="10" w:type="dxa"/>
            </w:tcMar>
            <w:vAlign w:val="center"/>
          </w:tcPr>
          <w:p>
            <w:pPr>
              <w:spacing w:before="120" w:beforeLines="50"/>
              <w:jc w:val="center"/>
              <w:rPr>
                <w:rFonts w:ascii="Times New Roman" w:hAnsi="Times New Roman" w:cs="Times New Roman"/>
                <w:sz w:val="21"/>
                <w:szCs w:val="21"/>
              </w:rPr>
            </w:pPr>
          </w:p>
        </w:tc>
        <w:tc>
          <w:tcPr>
            <w:tcW w:w="5276"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pacing w:before="120" w:beforeLines="50"/>
              <w:textAlignment w:val="center"/>
              <w:rPr>
                <w:rFonts w:ascii="Times New Roman" w:hAnsi="Times New Roman" w:cs="Times New Roman"/>
                <w:sz w:val="21"/>
                <w:szCs w:val="21"/>
              </w:rPr>
            </w:pPr>
            <w:r>
              <w:rPr>
                <w:rFonts w:hint="eastAsia" w:cs="Times New Roman"/>
                <w:kern w:val="2"/>
                <w:sz w:val="21"/>
                <w:szCs w:val="21"/>
              </w:rPr>
              <w:t>若发包人或监理人发现工地上有未签订劳务分包合同或劳务分包合同未进行备案的劳务企业人员在现场施工，承包人应向发包人支付违约金2万元/人次。</w:t>
            </w:r>
          </w:p>
        </w:tc>
        <w:tc>
          <w:tcPr>
            <w:tcW w:w="21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hint="eastAsia" w:cs="Times New Roman"/>
                <w:kern w:val="2"/>
                <w:sz w:val="21"/>
                <w:szCs w:val="21"/>
              </w:rPr>
              <w:t>2万元/人次</w:t>
            </w:r>
          </w:p>
        </w:tc>
      </w:tr>
      <w:tr>
        <w:tblPrEx>
          <w:tblCellMar>
            <w:top w:w="0" w:type="dxa"/>
            <w:left w:w="0" w:type="dxa"/>
            <w:bottom w:w="0" w:type="dxa"/>
            <w:right w:w="0" w:type="dxa"/>
          </w:tblCellMar>
        </w:tblPrEx>
        <w:trPr>
          <w:trHeight w:val="1180" w:hRule="atLeast"/>
        </w:trPr>
        <w:tc>
          <w:tcPr>
            <w:tcW w:w="737" w:type="dxa"/>
            <w:tcBorders>
              <w:top w:val="single" w:color="000000" w:sz="4" w:space="0"/>
              <w:left w:val="single" w:color="000000" w:sz="4" w:space="0"/>
              <w:bottom w:val="single" w:color="000000" w:sz="4" w:space="0"/>
              <w:right w:val="single" w:color="auto" w:sz="4" w:space="0"/>
            </w:tcBorders>
            <w:noWrap/>
            <w:tcMar>
              <w:top w:w="10" w:type="dxa"/>
              <w:left w:w="10" w:type="dxa"/>
              <w:right w:w="10" w:type="dxa"/>
            </w:tcMar>
            <w:vAlign w:val="center"/>
          </w:tcPr>
          <w:p>
            <w:pPr>
              <w:spacing w:before="120" w:beforeLines="50"/>
              <w:jc w:val="center"/>
              <w:textAlignment w:val="center"/>
              <w:rPr>
                <w:rFonts w:ascii="Times New Roman" w:hAnsi="Times New Roman" w:cs="Times New Roman"/>
                <w:sz w:val="21"/>
                <w:szCs w:val="21"/>
              </w:rPr>
            </w:pPr>
            <w:r>
              <w:rPr>
                <w:rFonts w:hint="eastAsia" w:cs="Times New Roman"/>
                <w:sz w:val="21"/>
                <w:szCs w:val="21"/>
              </w:rPr>
              <w:t>13</w:t>
            </w:r>
          </w:p>
        </w:tc>
        <w:tc>
          <w:tcPr>
            <w:tcW w:w="934" w:type="dxa"/>
            <w:tcBorders>
              <w:top w:val="single" w:color="auto" w:sz="4" w:space="0"/>
              <w:left w:val="single" w:color="auto" w:sz="4" w:space="0"/>
              <w:right w:val="single" w:color="auto" w:sz="4" w:space="0"/>
            </w:tcBorders>
            <w:tcMar>
              <w:top w:w="10" w:type="dxa"/>
              <w:left w:w="10" w:type="dxa"/>
              <w:right w:w="10" w:type="dxa"/>
            </w:tcMar>
            <w:vAlign w:val="center"/>
          </w:tcPr>
          <w:p>
            <w:pPr>
              <w:spacing w:before="120" w:beforeLines="50"/>
              <w:jc w:val="center"/>
              <w:rPr>
                <w:rFonts w:ascii="Times New Roman" w:hAnsi="Times New Roman" w:cs="Times New Roman"/>
                <w:sz w:val="21"/>
                <w:szCs w:val="21"/>
              </w:rPr>
            </w:pPr>
            <w:r>
              <w:rPr>
                <w:rFonts w:hint="eastAsia" w:cs="Times New Roman"/>
                <w:sz w:val="21"/>
                <w:szCs w:val="21"/>
              </w:rPr>
              <w:t>工期</w:t>
            </w:r>
          </w:p>
        </w:tc>
        <w:tc>
          <w:tcPr>
            <w:tcW w:w="5276"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逾期竣工违约金计算方法：因承包人原因导致工程（含单项工程）工期的延误，承包人应承担违约责任，按1万元/天进行处罚，累计罚款不超过签约合同价的2%，发包人直接从结算款中扣除。如工期拖延超过30天，发包人有权解除本合同，并没收承包人递交的履约保证金。发包人解除合同的，承包人还应按合同未完成部分所对应的签约合同价的30%向发包人支付违约金。</w:t>
            </w:r>
          </w:p>
        </w:tc>
        <w:tc>
          <w:tcPr>
            <w:tcW w:w="21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rPr>
              <w:t>1万元/天，累计罚款不超过签约合同价的2%。工期拖延超过30天，违约金为未完成部分所对应的签约合同价的30%的30%</w:t>
            </w:r>
          </w:p>
        </w:tc>
      </w:tr>
      <w:tr>
        <w:tblPrEx>
          <w:tblCellMar>
            <w:top w:w="0" w:type="dxa"/>
            <w:left w:w="0" w:type="dxa"/>
            <w:bottom w:w="0" w:type="dxa"/>
            <w:right w:w="0" w:type="dxa"/>
          </w:tblCellMar>
        </w:tblPrEx>
        <w:trPr>
          <w:trHeight w:val="3025"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14</w:t>
            </w:r>
          </w:p>
        </w:tc>
        <w:tc>
          <w:tcPr>
            <w:tcW w:w="934" w:type="dxa"/>
            <w:vMerge w:val="restart"/>
            <w:tcBorders>
              <w:top w:val="single" w:color="auto" w:sz="4" w:space="0"/>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r>
              <w:rPr>
                <w:rFonts w:hint="eastAsia" w:ascii="Times New Roman" w:hAnsi="Times New Roman" w:cs="Times New Roman"/>
                <w:sz w:val="21"/>
                <w:szCs w:val="21"/>
              </w:rPr>
              <w:t>材料设备</w:t>
            </w:r>
          </w:p>
        </w:tc>
        <w:tc>
          <w:tcPr>
            <w:tcW w:w="5276" w:type="dxa"/>
            <w:tcBorders>
              <w:top w:val="single" w:color="auto" w:sz="4" w:space="0"/>
              <w:left w:val="single" w:color="auto" w:sz="4" w:space="0"/>
              <w:bottom w:val="single" w:color="000000" w:sz="4" w:space="0"/>
              <w:right w:val="single" w:color="000000"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ascii="Times New Roman" w:hAnsi="Times New Roman" w:cs="Times New Roman"/>
                <w:kern w:val="2"/>
                <w:sz w:val="21"/>
                <w:szCs w:val="21"/>
              </w:rPr>
              <w:t>监理人及发包人可要求承包人无条件使用不低于参考品牌的材料设备，承包人必须服从，否则由此引起的工期延误及其他责任由承包人承担。发包人有权根据实际情况调整材料设备厂家品牌，承包人拒绝执行的，则发包人有权选择自行供应此部分材料或设备，由此产生的费用由承包人承担，承包人另外向发包人支付该部分实际采购价格20％的违约金，以上款项从合同价款中直接扣除，由承包人承担工期延误的责任。</w:t>
            </w:r>
          </w:p>
        </w:tc>
        <w:tc>
          <w:tcPr>
            <w:tcW w:w="2100" w:type="dxa"/>
            <w:tcBorders>
              <w:top w:val="single" w:color="auto"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ascii="Times New Roman" w:hAnsi="Times New Roman" w:cs="Times New Roman"/>
                <w:kern w:val="2"/>
                <w:sz w:val="21"/>
                <w:szCs w:val="21"/>
              </w:rPr>
              <w:t>实际采购价格20％</w:t>
            </w:r>
          </w:p>
        </w:tc>
      </w:tr>
      <w:tr>
        <w:tblPrEx>
          <w:tblCellMar>
            <w:top w:w="0" w:type="dxa"/>
            <w:left w:w="0" w:type="dxa"/>
            <w:bottom w:w="0" w:type="dxa"/>
            <w:right w:w="0" w:type="dxa"/>
          </w:tblCellMar>
        </w:tblPrEx>
        <w:trPr>
          <w:trHeight w:val="1203"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15</w:t>
            </w:r>
          </w:p>
        </w:tc>
        <w:tc>
          <w:tcPr>
            <w:tcW w:w="934" w:type="dxa"/>
            <w:vMerge w:val="continue"/>
            <w:tcBorders>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000000"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textAlignment w:val="center"/>
              <w:rPr>
                <w:rFonts w:ascii="Times New Roman" w:hAnsi="Times New Roman" w:cs="Times New Roman"/>
                <w:kern w:val="2"/>
                <w:sz w:val="21"/>
                <w:szCs w:val="21"/>
              </w:rPr>
            </w:pPr>
            <w:r>
              <w:rPr>
                <w:rFonts w:hint="eastAsia" w:ascii="Times New Roman" w:hAnsi="Times New Roman" w:cs="Times New Roman"/>
                <w:kern w:val="2"/>
                <w:sz w:val="21"/>
                <w:szCs w:val="21"/>
              </w:rPr>
              <w:t>如现场发现使用假冒、伪劣产品、货不对板，每发现一次罚款2万元，并将此产品全部退场，罚款直接在工程进度款中全额扣除。</w:t>
            </w:r>
          </w:p>
        </w:tc>
        <w:tc>
          <w:tcPr>
            <w:tcW w:w="210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kern w:val="2"/>
                <w:sz w:val="21"/>
                <w:szCs w:val="21"/>
              </w:rPr>
            </w:pPr>
            <w:r>
              <w:rPr>
                <w:rFonts w:hint="eastAsia" w:ascii="Times New Roman" w:hAnsi="Times New Roman" w:cs="Times New Roman"/>
                <w:kern w:val="2"/>
                <w:sz w:val="21"/>
                <w:szCs w:val="21"/>
              </w:rPr>
              <w:t>2万元/次</w:t>
            </w:r>
          </w:p>
        </w:tc>
      </w:tr>
      <w:tr>
        <w:tblPrEx>
          <w:tblCellMar>
            <w:top w:w="0" w:type="dxa"/>
            <w:left w:w="0" w:type="dxa"/>
            <w:bottom w:w="0" w:type="dxa"/>
            <w:right w:w="0" w:type="dxa"/>
          </w:tblCellMar>
        </w:tblPrEx>
        <w:trPr>
          <w:trHeight w:val="121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16</w:t>
            </w:r>
          </w:p>
        </w:tc>
        <w:tc>
          <w:tcPr>
            <w:tcW w:w="934" w:type="dxa"/>
            <w:vMerge w:val="restart"/>
            <w:tcBorders>
              <w:top w:val="single" w:color="auto" w:sz="4" w:space="0"/>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r>
              <w:rPr>
                <w:rFonts w:hint="eastAsia" w:ascii="Times New Roman" w:hAnsi="Times New Roman" w:cs="Times New Roman"/>
                <w:kern w:val="2"/>
                <w:sz w:val="21"/>
                <w:szCs w:val="21"/>
              </w:rPr>
              <w:t>余泥渣土运输车辆要求</w:t>
            </w:r>
          </w:p>
        </w:tc>
        <w:tc>
          <w:tcPr>
            <w:tcW w:w="5276"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textAlignment w:val="center"/>
              <w:rPr>
                <w:rFonts w:ascii="Times New Roman" w:hAnsi="Times New Roman" w:cs="Times New Roman"/>
                <w:kern w:val="2"/>
                <w:sz w:val="21"/>
                <w:szCs w:val="21"/>
              </w:rPr>
            </w:pPr>
            <w:r>
              <w:rPr>
                <w:rFonts w:hint="eastAsia" w:ascii="Times New Roman" w:hAnsi="Times New Roman" w:cs="Times New Roman"/>
                <w:kern w:val="2"/>
                <w:sz w:val="21"/>
                <w:szCs w:val="21"/>
              </w:rPr>
              <w:t>承包人不具备通用条款第18.1款相关证件，不具备余泥渣土运输任务能力而自行承担余泥渣土运输任务，应支付违约金1万元。同时，由此导致发包人被处罚的金额由承包人承担。</w:t>
            </w:r>
          </w:p>
        </w:tc>
        <w:tc>
          <w:tcPr>
            <w:tcW w:w="2100" w:type="dxa"/>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kern w:val="2"/>
                <w:sz w:val="21"/>
                <w:szCs w:val="21"/>
              </w:rPr>
            </w:pPr>
            <w:r>
              <w:rPr>
                <w:rFonts w:hint="eastAsia" w:ascii="Times New Roman" w:hAnsi="Times New Roman" w:cs="Times New Roman"/>
                <w:kern w:val="2"/>
                <w:sz w:val="21"/>
                <w:szCs w:val="21"/>
              </w:rPr>
              <w:t>1万元</w:t>
            </w:r>
          </w:p>
        </w:tc>
      </w:tr>
      <w:tr>
        <w:tblPrEx>
          <w:tblCellMar>
            <w:top w:w="0" w:type="dxa"/>
            <w:left w:w="0" w:type="dxa"/>
            <w:bottom w:w="0" w:type="dxa"/>
            <w:right w:w="0" w:type="dxa"/>
          </w:tblCellMar>
        </w:tblPrEx>
        <w:trPr>
          <w:trHeight w:val="121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17</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textAlignment w:val="center"/>
              <w:rPr>
                <w:rFonts w:ascii="Times New Roman" w:hAnsi="Times New Roman" w:cs="Times New Roman"/>
                <w:kern w:val="2"/>
                <w:sz w:val="21"/>
                <w:szCs w:val="21"/>
              </w:rPr>
            </w:pPr>
            <w:r>
              <w:rPr>
                <w:rFonts w:hint="eastAsia" w:cs="Times New Roman"/>
                <w:kern w:val="2"/>
                <w:sz w:val="21"/>
                <w:szCs w:val="21"/>
              </w:rPr>
              <w:t>承包人将余泥渣土运输任务分包给不具备相应运输资质的单位时，应支付违约金1万元。同时，由此导致发包人被处罚的金额由承包人承担。</w:t>
            </w:r>
          </w:p>
        </w:tc>
        <w:tc>
          <w:tcPr>
            <w:tcW w:w="2100" w:type="dxa"/>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kern w:val="2"/>
                <w:sz w:val="21"/>
                <w:szCs w:val="21"/>
              </w:rPr>
            </w:pPr>
            <w:r>
              <w:rPr>
                <w:rFonts w:hint="eastAsia" w:cs="Times New Roman"/>
                <w:kern w:val="2"/>
                <w:sz w:val="21"/>
                <w:szCs w:val="21"/>
              </w:rPr>
              <w:t>1万元</w:t>
            </w:r>
          </w:p>
        </w:tc>
      </w:tr>
      <w:tr>
        <w:tblPrEx>
          <w:tblCellMar>
            <w:top w:w="0" w:type="dxa"/>
            <w:left w:w="0" w:type="dxa"/>
            <w:bottom w:w="0" w:type="dxa"/>
            <w:right w:w="0" w:type="dxa"/>
          </w:tblCellMar>
        </w:tblPrEx>
        <w:trPr>
          <w:trHeight w:val="121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18</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承包人安排的车辆不符合通用条款第18.5(1)款规定的证件要求，或未如实向监理工程师报送车辆和驾驶员信息，或未依程序自行改变车辆和专职驾驶员名单，承包人应向发包人支付违约金0.5万元/车·次。</w:t>
            </w:r>
          </w:p>
        </w:tc>
        <w:tc>
          <w:tcPr>
            <w:tcW w:w="2100" w:type="dxa"/>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rPr>
              <w:t>0.5万元/车·次</w:t>
            </w:r>
          </w:p>
        </w:tc>
      </w:tr>
      <w:tr>
        <w:tblPrEx>
          <w:tblCellMar>
            <w:top w:w="0" w:type="dxa"/>
            <w:left w:w="0" w:type="dxa"/>
            <w:bottom w:w="0" w:type="dxa"/>
            <w:right w:w="0" w:type="dxa"/>
          </w:tblCellMar>
        </w:tblPrEx>
        <w:trPr>
          <w:trHeight w:val="121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19</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承包人违反通用条款第18.7款约定，对发现问题拒不履行其应尽的合同义务，承包人应支付违约金人民币1万元整。</w:t>
            </w:r>
          </w:p>
        </w:tc>
        <w:tc>
          <w:tcPr>
            <w:tcW w:w="2100" w:type="dxa"/>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rPr>
              <w:t>1万元</w:t>
            </w:r>
          </w:p>
        </w:tc>
      </w:tr>
      <w:tr>
        <w:tblPrEx>
          <w:tblCellMar>
            <w:top w:w="0" w:type="dxa"/>
            <w:left w:w="0" w:type="dxa"/>
            <w:bottom w:w="0" w:type="dxa"/>
            <w:right w:w="0" w:type="dxa"/>
          </w:tblCellMar>
        </w:tblPrEx>
        <w:trPr>
          <w:trHeight w:val="121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20</w:t>
            </w:r>
          </w:p>
        </w:tc>
        <w:tc>
          <w:tcPr>
            <w:tcW w:w="934" w:type="dxa"/>
            <w:vMerge w:val="continue"/>
            <w:tcBorders>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承包人指定的专职检查人员未履行合同约定的检查纠正职责，承包人应支违约金人民币1万元整。</w:t>
            </w:r>
          </w:p>
        </w:tc>
        <w:tc>
          <w:tcPr>
            <w:tcW w:w="2100" w:type="dxa"/>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rPr>
              <w:t>1万元</w:t>
            </w:r>
          </w:p>
        </w:tc>
      </w:tr>
      <w:tr>
        <w:tblPrEx>
          <w:tblCellMar>
            <w:top w:w="0" w:type="dxa"/>
            <w:left w:w="0" w:type="dxa"/>
            <w:bottom w:w="0" w:type="dxa"/>
            <w:right w:w="0" w:type="dxa"/>
          </w:tblCellMar>
        </w:tblPrEx>
        <w:trPr>
          <w:trHeight w:val="121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21</w:t>
            </w:r>
          </w:p>
        </w:tc>
        <w:tc>
          <w:tcPr>
            <w:tcW w:w="934" w:type="dxa"/>
            <w:vMerge w:val="restart"/>
            <w:tcBorders>
              <w:top w:val="single" w:color="auto" w:sz="4" w:space="0"/>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r>
              <w:rPr>
                <w:rFonts w:hint="eastAsia" w:cs="Times New Roman"/>
                <w:sz w:val="21"/>
                <w:szCs w:val="21"/>
              </w:rPr>
              <w:t>工程款</w:t>
            </w:r>
          </w:p>
        </w:tc>
        <w:tc>
          <w:tcPr>
            <w:tcW w:w="5276"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ascii="Times New Roman" w:hAnsi="Times New Roman" w:cs="Times New Roman"/>
                <w:kern w:val="2"/>
                <w:sz w:val="21"/>
                <w:szCs w:val="21"/>
              </w:rPr>
              <w:t>工程预付款为发包人提供给承包人为完成本工程进行备料和组织实施工程项目的各项准备工作的专用款项，如发现承包人挪用本工程预付款或接到本工程材料供应商关于付款方面的投诉并确认后，发包人有权对承包人按次处以该预付款金额10%的处罚，因挪用工程预付款影响工程节点工期时，发包人有权单方面终止与承包人的施工合同。</w:t>
            </w:r>
          </w:p>
        </w:tc>
        <w:tc>
          <w:tcPr>
            <w:tcW w:w="2100" w:type="dxa"/>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ascii="Times New Roman" w:hAnsi="Times New Roman" w:cs="Times New Roman"/>
                <w:kern w:val="2"/>
                <w:sz w:val="21"/>
                <w:szCs w:val="21"/>
              </w:rPr>
              <w:t>预付款金额10%</w:t>
            </w:r>
          </w:p>
        </w:tc>
      </w:tr>
      <w:tr>
        <w:tblPrEx>
          <w:tblCellMar>
            <w:top w:w="0" w:type="dxa"/>
            <w:left w:w="0" w:type="dxa"/>
            <w:bottom w:w="0" w:type="dxa"/>
            <w:right w:w="0" w:type="dxa"/>
          </w:tblCellMar>
        </w:tblPrEx>
        <w:trPr>
          <w:trHeight w:val="121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22</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textAlignment w:val="center"/>
              <w:rPr>
                <w:rFonts w:ascii="Times New Roman" w:hAnsi="Times New Roman" w:cs="Times New Roman"/>
                <w:kern w:val="2"/>
                <w:sz w:val="21"/>
                <w:szCs w:val="21"/>
              </w:rPr>
            </w:pPr>
            <w:r>
              <w:rPr>
                <w:rFonts w:hint="eastAsia" w:ascii="Times New Roman" w:hAnsi="Times New Roman" w:cs="Times New Roman"/>
                <w:kern w:val="2"/>
                <w:sz w:val="21"/>
                <w:szCs w:val="21"/>
              </w:rPr>
              <w:t>每次付款前，承包人应提交支付等额的合格增值税专用发票，不得使用假发票、套开发票，否则承包人无条件更换发票，并承担票面金额10%的违约金，由此引起发包人的损失由承包人按双倍金额赔偿。同时，发包人将承包人列为不合格供方，保留对其法律责任的追究。若承包人未在本条款约定的时间内向发包人提供规定的发票，发包人付款的期限应当无条件顺延，并不承担由此造成的任何责任和损失。经发包人审核无误后25工作日内支付。</w:t>
            </w:r>
          </w:p>
        </w:tc>
        <w:tc>
          <w:tcPr>
            <w:tcW w:w="2100" w:type="dxa"/>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kern w:val="2"/>
                <w:sz w:val="21"/>
                <w:szCs w:val="21"/>
              </w:rPr>
            </w:pPr>
            <w:r>
              <w:rPr>
                <w:rFonts w:hint="eastAsia" w:ascii="Times New Roman" w:hAnsi="Times New Roman" w:cs="Times New Roman"/>
                <w:kern w:val="2"/>
                <w:sz w:val="21"/>
                <w:szCs w:val="21"/>
              </w:rPr>
              <w:t>票面金额10%</w:t>
            </w:r>
          </w:p>
        </w:tc>
      </w:tr>
      <w:tr>
        <w:tblPrEx>
          <w:tblCellMar>
            <w:top w:w="0" w:type="dxa"/>
            <w:left w:w="0" w:type="dxa"/>
            <w:bottom w:w="0" w:type="dxa"/>
            <w:right w:w="0" w:type="dxa"/>
          </w:tblCellMar>
        </w:tblPrEx>
        <w:trPr>
          <w:trHeight w:val="121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23</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textAlignment w:val="center"/>
              <w:rPr>
                <w:rFonts w:ascii="Times New Roman" w:hAnsi="Times New Roman" w:cs="Times New Roman"/>
                <w:kern w:val="2"/>
                <w:sz w:val="21"/>
                <w:szCs w:val="21"/>
              </w:rPr>
            </w:pPr>
            <w:r>
              <w:rPr>
                <w:rFonts w:hint="eastAsia" w:ascii="Times New Roman" w:hAnsi="Times New Roman" w:cs="Times New Roman"/>
                <w:kern w:val="2"/>
                <w:sz w:val="21"/>
                <w:szCs w:val="21"/>
              </w:rPr>
              <w:t>承包人进场施工后，需保证工人工资及时发放（按深圳市人社局相关《深圳市保障农民工工资支付工作考核办法》（深府办函【2018】234号）和《深圳市2019年度保障农民工工资支付工作考核方案》（深薪联发【2019】18号）等相关文件要求执行，落实农民工工资支付各项保障措施）；</w:t>
            </w:r>
            <w:r>
              <w:rPr>
                <w:rFonts w:hint="eastAsia" w:ascii="Times New Roman" w:hAnsi="Times New Roman" w:cs="Times New Roman" w:eastAsiaTheme="minorEastAsia"/>
                <w:kern w:val="2"/>
                <w:sz w:val="21"/>
                <w:szCs w:val="21"/>
              </w:rPr>
              <w:t>如因工资未及时发放，导致工人发生过激行为者</w:t>
            </w:r>
            <w:r>
              <w:rPr>
                <w:rFonts w:hint="eastAsia" w:ascii="Times New Roman" w:hAnsi="Times New Roman" w:cs="Times New Roman"/>
                <w:kern w:val="2"/>
                <w:sz w:val="21"/>
                <w:szCs w:val="21"/>
              </w:rPr>
              <w:t>，除需及时发放相应工资及赔偿工人损失、接受政府相关部门处罚外，并需接受发包人处罚，具体如下：</w:t>
            </w:r>
          </w:p>
        </w:tc>
        <w:tc>
          <w:tcPr>
            <w:tcW w:w="2100" w:type="dxa"/>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kern w:val="2"/>
                <w:sz w:val="21"/>
                <w:szCs w:val="21"/>
              </w:rPr>
            </w:pPr>
          </w:p>
        </w:tc>
      </w:tr>
      <w:tr>
        <w:tblPrEx>
          <w:tblCellMar>
            <w:top w:w="0" w:type="dxa"/>
            <w:left w:w="0" w:type="dxa"/>
            <w:bottom w:w="0" w:type="dxa"/>
            <w:right w:w="0" w:type="dxa"/>
          </w:tblCellMar>
        </w:tblPrEx>
        <w:trPr>
          <w:trHeight w:val="121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23.1</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textAlignment w:val="center"/>
              <w:rPr>
                <w:rFonts w:ascii="Times New Roman" w:hAnsi="Times New Roman" w:cs="Times New Roman"/>
                <w:kern w:val="2"/>
                <w:sz w:val="21"/>
                <w:szCs w:val="21"/>
              </w:rPr>
            </w:pPr>
            <w:r>
              <w:rPr>
                <w:rFonts w:hint="eastAsia" w:ascii="Times New Roman" w:hAnsi="Times New Roman" w:cs="Times New Roman"/>
                <w:kern w:val="2"/>
                <w:sz w:val="21"/>
                <w:szCs w:val="21"/>
              </w:rPr>
              <w:t>在工地范围发生打架、斗殴、凶杀等恶性事件，处以每次人民币</w:t>
            </w:r>
            <w:r>
              <w:rPr>
                <w:rFonts w:hint="eastAsia" w:ascii="Times New Roman" w:hAnsi="Times New Roman" w:cs="Times New Roman"/>
                <w:kern w:val="2"/>
                <w:sz w:val="21"/>
                <w:szCs w:val="21"/>
                <w:lang w:val="en-US" w:eastAsia="zh-CN"/>
              </w:rPr>
              <w:t>2</w:t>
            </w:r>
            <w:r>
              <w:rPr>
                <w:rFonts w:hint="eastAsia" w:ascii="Times New Roman" w:hAnsi="Times New Roman" w:cs="Times New Roman"/>
                <w:kern w:val="2"/>
                <w:sz w:val="21"/>
                <w:szCs w:val="21"/>
              </w:rPr>
              <w:t>万元处罚。</w:t>
            </w:r>
          </w:p>
        </w:tc>
        <w:tc>
          <w:tcPr>
            <w:tcW w:w="2100" w:type="dxa"/>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kern w:val="2"/>
                <w:sz w:val="21"/>
                <w:szCs w:val="21"/>
              </w:rPr>
            </w:pPr>
            <w:r>
              <w:rPr>
                <w:rFonts w:hint="eastAsia" w:cs="Times New Roman"/>
                <w:kern w:val="2"/>
                <w:sz w:val="21"/>
                <w:szCs w:val="21"/>
                <w:lang w:val="en-US" w:eastAsia="zh-CN"/>
              </w:rPr>
              <w:t>2</w:t>
            </w:r>
            <w:r>
              <w:rPr>
                <w:rFonts w:hint="eastAsia" w:cs="Times New Roman"/>
                <w:kern w:val="2"/>
                <w:sz w:val="21"/>
                <w:szCs w:val="21"/>
              </w:rPr>
              <w:t>万元/次</w:t>
            </w:r>
          </w:p>
        </w:tc>
      </w:tr>
      <w:tr>
        <w:tblPrEx>
          <w:tblCellMar>
            <w:top w:w="0" w:type="dxa"/>
            <w:left w:w="0" w:type="dxa"/>
            <w:bottom w:w="0" w:type="dxa"/>
            <w:right w:w="0" w:type="dxa"/>
          </w:tblCellMar>
        </w:tblPrEx>
        <w:trPr>
          <w:trHeight w:val="121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23.2</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textAlignment w:val="center"/>
              <w:rPr>
                <w:rFonts w:ascii="Times New Roman" w:hAnsi="Times New Roman" w:cs="Times New Roman"/>
                <w:kern w:val="2"/>
                <w:sz w:val="21"/>
                <w:szCs w:val="21"/>
              </w:rPr>
            </w:pPr>
            <w:r>
              <w:rPr>
                <w:rFonts w:hint="eastAsia" w:ascii="Times New Roman" w:hAnsi="Times New Roman" w:cs="Times New Roman"/>
                <w:kern w:val="2"/>
                <w:sz w:val="21"/>
                <w:szCs w:val="21"/>
              </w:rPr>
              <w:t>有自残、自杀等行为发生，处以每次人民币</w:t>
            </w:r>
            <w:r>
              <w:rPr>
                <w:rFonts w:hint="eastAsia" w:ascii="Times New Roman" w:hAnsi="Times New Roman" w:cs="Times New Roman"/>
                <w:kern w:val="2"/>
                <w:sz w:val="21"/>
                <w:szCs w:val="21"/>
                <w:lang w:val="en-US" w:eastAsia="zh-CN"/>
              </w:rPr>
              <w:t>5</w:t>
            </w:r>
            <w:r>
              <w:rPr>
                <w:rFonts w:hint="eastAsia" w:ascii="Times New Roman" w:hAnsi="Times New Roman" w:cs="Times New Roman"/>
                <w:kern w:val="2"/>
                <w:sz w:val="21"/>
                <w:szCs w:val="21"/>
              </w:rPr>
              <w:t>万元处罚。</w:t>
            </w:r>
          </w:p>
        </w:tc>
        <w:tc>
          <w:tcPr>
            <w:tcW w:w="2100" w:type="dxa"/>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rPr>
              <w:t>5万元/次</w:t>
            </w:r>
          </w:p>
        </w:tc>
      </w:tr>
      <w:tr>
        <w:tblPrEx>
          <w:tblCellMar>
            <w:top w:w="0" w:type="dxa"/>
            <w:left w:w="0" w:type="dxa"/>
            <w:bottom w:w="0" w:type="dxa"/>
            <w:right w:w="0" w:type="dxa"/>
          </w:tblCellMar>
        </w:tblPrEx>
        <w:trPr>
          <w:trHeight w:val="121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23.3</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textAlignment w:val="center"/>
              <w:rPr>
                <w:rFonts w:ascii="Times New Roman" w:hAnsi="Times New Roman" w:cs="Times New Roman"/>
                <w:kern w:val="2"/>
                <w:sz w:val="21"/>
                <w:szCs w:val="21"/>
              </w:rPr>
            </w:pPr>
            <w:r>
              <w:rPr>
                <w:rFonts w:hint="eastAsia" w:ascii="Times New Roman" w:hAnsi="Times New Roman" w:cs="Times New Roman"/>
                <w:kern w:val="2"/>
                <w:sz w:val="21"/>
                <w:szCs w:val="21"/>
              </w:rPr>
              <w:t>有围堵监理、发包人办公区域、工地大门，处以每次人民币5万元处罚。</w:t>
            </w:r>
          </w:p>
        </w:tc>
        <w:tc>
          <w:tcPr>
            <w:tcW w:w="2100" w:type="dxa"/>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rPr>
              <w:t>5万元/次</w:t>
            </w:r>
          </w:p>
        </w:tc>
      </w:tr>
      <w:tr>
        <w:tblPrEx>
          <w:tblCellMar>
            <w:top w:w="0" w:type="dxa"/>
            <w:left w:w="0" w:type="dxa"/>
            <w:bottom w:w="0" w:type="dxa"/>
            <w:right w:w="0" w:type="dxa"/>
          </w:tblCellMar>
        </w:tblPrEx>
        <w:trPr>
          <w:trHeight w:val="121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23.4</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textAlignment w:val="center"/>
              <w:rPr>
                <w:rFonts w:ascii="Times New Roman" w:hAnsi="Times New Roman" w:cs="Times New Roman"/>
                <w:kern w:val="2"/>
                <w:sz w:val="21"/>
                <w:szCs w:val="21"/>
              </w:rPr>
            </w:pPr>
            <w:r>
              <w:rPr>
                <w:rFonts w:hint="eastAsia" w:ascii="Times New Roman" w:hAnsi="Times New Roman" w:cs="Times New Roman"/>
                <w:kern w:val="2"/>
                <w:sz w:val="21"/>
                <w:szCs w:val="21"/>
              </w:rPr>
              <w:t>有围堵市政道路、政府机关及在国家信访局等网站信访等行为，处以每次人民币10万元处罚。</w:t>
            </w:r>
          </w:p>
        </w:tc>
        <w:tc>
          <w:tcPr>
            <w:tcW w:w="2100" w:type="dxa"/>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rPr>
              <w:t>10万元/次</w:t>
            </w:r>
          </w:p>
        </w:tc>
      </w:tr>
      <w:tr>
        <w:tblPrEx>
          <w:tblCellMar>
            <w:top w:w="0" w:type="dxa"/>
            <w:left w:w="0" w:type="dxa"/>
            <w:bottom w:w="0" w:type="dxa"/>
            <w:right w:w="0" w:type="dxa"/>
          </w:tblCellMar>
        </w:tblPrEx>
        <w:trPr>
          <w:trHeight w:val="121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23.5</w:t>
            </w:r>
          </w:p>
        </w:tc>
        <w:tc>
          <w:tcPr>
            <w:tcW w:w="934" w:type="dxa"/>
            <w:vMerge w:val="continue"/>
            <w:tcBorders>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textAlignment w:val="center"/>
              <w:rPr>
                <w:rFonts w:ascii="Times New Roman" w:hAnsi="Times New Roman" w:cs="Times New Roman"/>
                <w:kern w:val="2"/>
                <w:sz w:val="21"/>
                <w:szCs w:val="21"/>
              </w:rPr>
            </w:pPr>
            <w:r>
              <w:rPr>
                <w:rFonts w:hint="eastAsia" w:ascii="Times New Roman" w:hAnsi="Times New Roman" w:cs="Times New Roman"/>
                <w:kern w:val="2"/>
                <w:sz w:val="21"/>
                <w:szCs w:val="21"/>
              </w:rPr>
              <w:t>承包人及其专业分包、劳务分包单位的管理人员因纠纷导致管理人员出现上述过激行为亦按上述条款进行处罚</w:t>
            </w:r>
          </w:p>
        </w:tc>
        <w:tc>
          <w:tcPr>
            <w:tcW w:w="2100" w:type="dxa"/>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p>
        </w:tc>
      </w:tr>
      <w:tr>
        <w:tblPrEx>
          <w:tblCellMar>
            <w:top w:w="0" w:type="dxa"/>
            <w:left w:w="0" w:type="dxa"/>
            <w:bottom w:w="0" w:type="dxa"/>
            <w:right w:w="0" w:type="dxa"/>
          </w:tblCellMar>
        </w:tblPrEx>
        <w:trPr>
          <w:trHeight w:val="121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23.6</w:t>
            </w:r>
          </w:p>
        </w:tc>
        <w:tc>
          <w:tcPr>
            <w:tcW w:w="934" w:type="dxa"/>
            <w:vMerge w:val="continue"/>
            <w:tcBorders>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textAlignment w:val="center"/>
              <w:rPr>
                <w:rFonts w:ascii="Times New Roman" w:hAnsi="Times New Roman" w:cs="Times New Roman"/>
                <w:kern w:val="2"/>
                <w:sz w:val="21"/>
                <w:szCs w:val="21"/>
              </w:rPr>
            </w:pPr>
            <w:r>
              <w:rPr>
                <w:rFonts w:hint="eastAsia" w:ascii="Times New Roman" w:hAnsi="Times New Roman" w:cs="Times New Roman"/>
                <w:kern w:val="2"/>
                <w:sz w:val="21"/>
                <w:szCs w:val="21"/>
              </w:rPr>
              <w:t>如承包人无法及时处理欠薪事件且相关人员、班组已提供相关欠薪确凿证据的，发包人除报住建部门曝光处理外，将直接从承包人提交的履约保函进行索付，承包人不得提出异议</w:t>
            </w:r>
          </w:p>
          <w:p>
            <w:pPr>
              <w:spacing w:before="120" w:beforeLines="50"/>
              <w:textAlignment w:val="center"/>
              <w:rPr>
                <w:rFonts w:ascii="Times New Roman" w:hAnsi="Times New Roman" w:cs="Times New Roman"/>
                <w:kern w:val="2"/>
                <w:sz w:val="21"/>
                <w:szCs w:val="21"/>
              </w:rPr>
            </w:pPr>
            <w:r>
              <w:rPr>
                <w:rFonts w:hint="eastAsia" w:ascii="Times New Roman" w:hAnsi="Times New Roman" w:cs="Times New Roman"/>
                <w:kern w:val="2"/>
                <w:sz w:val="21"/>
                <w:szCs w:val="21"/>
              </w:rPr>
              <w:t>因以上行为，造成发包人名誉受损，除承担相应的经济处罚外，并保留进一步索赔权利。</w:t>
            </w:r>
          </w:p>
        </w:tc>
        <w:tc>
          <w:tcPr>
            <w:tcW w:w="2100" w:type="dxa"/>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highlight w:val="cyan"/>
              </w:rPr>
            </w:pPr>
          </w:p>
        </w:tc>
      </w:tr>
      <w:tr>
        <w:tblPrEx>
          <w:tblCellMar>
            <w:top w:w="0" w:type="dxa"/>
            <w:left w:w="0" w:type="dxa"/>
            <w:bottom w:w="0" w:type="dxa"/>
            <w:right w:w="0" w:type="dxa"/>
          </w:tblCellMar>
        </w:tblPrEx>
        <w:trPr>
          <w:trHeight w:val="121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24</w:t>
            </w:r>
          </w:p>
        </w:tc>
        <w:tc>
          <w:tcPr>
            <w:tcW w:w="934" w:type="dxa"/>
            <w:vMerge w:val="restart"/>
            <w:tcBorders>
              <w:top w:val="single" w:color="auto" w:sz="4" w:space="0"/>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r>
              <w:rPr>
                <w:rFonts w:hint="eastAsia" w:cs="Times New Roman"/>
                <w:sz w:val="21"/>
                <w:szCs w:val="21"/>
              </w:rPr>
              <w:t>竣工验收</w:t>
            </w:r>
          </w:p>
        </w:tc>
        <w:tc>
          <w:tcPr>
            <w:tcW w:w="5276"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承包人不按时向发包人移交本工程的，每延迟一天，承包人向发包人支付违约金2万元，不超过签约合同价的5%。</w:t>
            </w:r>
          </w:p>
        </w:tc>
        <w:tc>
          <w:tcPr>
            <w:tcW w:w="2100" w:type="dxa"/>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kern w:val="2"/>
                <w:sz w:val="21"/>
                <w:szCs w:val="21"/>
              </w:rPr>
            </w:pPr>
            <w:r>
              <w:rPr>
                <w:rFonts w:hint="eastAsia" w:cs="Times New Roman"/>
                <w:kern w:val="2"/>
                <w:sz w:val="21"/>
                <w:szCs w:val="21"/>
              </w:rPr>
              <w:t>2万元/天</w:t>
            </w:r>
          </w:p>
        </w:tc>
      </w:tr>
      <w:tr>
        <w:tblPrEx>
          <w:tblCellMar>
            <w:top w:w="0" w:type="dxa"/>
            <w:left w:w="0" w:type="dxa"/>
            <w:bottom w:w="0" w:type="dxa"/>
            <w:right w:w="0" w:type="dxa"/>
          </w:tblCellMar>
        </w:tblPrEx>
        <w:trPr>
          <w:trHeight w:val="121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24.1</w:t>
            </w:r>
          </w:p>
        </w:tc>
        <w:tc>
          <w:tcPr>
            <w:tcW w:w="934" w:type="dxa"/>
            <w:vMerge w:val="continue"/>
            <w:tcBorders>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工程竣工验收通过后，承包人不得因经济纠纷而拒绝交付工程，否则视为承包人违约，承包人应按本合同规定的竣工验收日期延误责任向发包人支付违约金，并承担未向发包人移交工程而造成发包人向使用单位交楼时间延误引起的索赔费用和一切责任。发包人有权采取相应措施维护自身的合法权益。</w:t>
            </w:r>
          </w:p>
        </w:tc>
        <w:tc>
          <w:tcPr>
            <w:tcW w:w="2100" w:type="dxa"/>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spacing w:before="120" w:beforeLines="50"/>
              <w:textAlignment w:val="center"/>
              <w:rPr>
                <w:rFonts w:cs="Times New Roman"/>
                <w:kern w:val="2"/>
                <w:sz w:val="21"/>
                <w:szCs w:val="21"/>
              </w:rPr>
            </w:pPr>
          </w:p>
        </w:tc>
      </w:tr>
      <w:tr>
        <w:tblPrEx>
          <w:tblCellMar>
            <w:top w:w="0" w:type="dxa"/>
            <w:left w:w="0" w:type="dxa"/>
            <w:bottom w:w="0" w:type="dxa"/>
            <w:right w:w="0" w:type="dxa"/>
          </w:tblCellMar>
        </w:tblPrEx>
        <w:trPr>
          <w:trHeight w:val="121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25</w:t>
            </w:r>
          </w:p>
        </w:tc>
        <w:tc>
          <w:tcPr>
            <w:tcW w:w="934" w:type="dxa"/>
            <w:vMerge w:val="continue"/>
            <w:tcBorders>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若因承包人原因造成工程竣工验收没有一次性通过（即被验收委员会或验收小组评定为工程质量达不到本合同约定的质量标准），承包人需无偿返工整改至验收合格为止，造成的工期延误需按照本合同条款规定支付违约金；且承包人还应按当次验收标的物工程造价的5‰向发包人支付违约金，违约金累计计算；如承包人自收到返工通知书3日内拒不修复，发包人可视为承包人已不具备继续承担本工程任务的能力，发包人有权停止支付进度款，有权解除本合同，且承包人需一次性向发包人支付签约合同价20%等额的违约金，如因此给发包人造成的损失超过该金额的，承包人还应对超过部分作出赔偿。由此造成发包人其他损失的，承包人还须赔偿发包人的全部损失。</w:t>
            </w:r>
          </w:p>
        </w:tc>
        <w:tc>
          <w:tcPr>
            <w:tcW w:w="2100" w:type="dxa"/>
            <w:tcBorders>
              <w:top w:val="single" w:color="auto" w:sz="4" w:space="0"/>
              <w:left w:val="single" w:color="000000"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rPr>
              <w:t>验收标的物工程造价的5‰；拒不修复的支付签约合同价20%等额的违约金</w:t>
            </w:r>
          </w:p>
        </w:tc>
      </w:tr>
      <w:tr>
        <w:tblPrEx>
          <w:tblCellMar>
            <w:top w:w="0" w:type="dxa"/>
            <w:left w:w="0" w:type="dxa"/>
            <w:bottom w:w="0" w:type="dxa"/>
            <w:right w:w="0" w:type="dxa"/>
          </w:tblCellMar>
        </w:tblPrEx>
        <w:trPr>
          <w:trHeight w:val="1164"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26</w:t>
            </w:r>
          </w:p>
        </w:tc>
        <w:tc>
          <w:tcPr>
            <w:tcW w:w="934"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r>
              <w:rPr>
                <w:rFonts w:hint="eastAsia" w:cs="Times New Roman"/>
                <w:sz w:val="21"/>
                <w:szCs w:val="21"/>
              </w:rPr>
              <w:t>竣工结算</w:t>
            </w: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ascii="Times New Roman" w:hAnsi="Times New Roman" w:cs="Times New Roman"/>
                <w:kern w:val="2"/>
                <w:sz w:val="21"/>
                <w:szCs w:val="21"/>
              </w:rPr>
              <w:t>承包人在收到监理人通知14天内仍不提交竣工结算书及结算资料的，延期一天处以1万元/天的违约金，违约金不超过签约合同价2%。</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ascii="Times New Roman" w:hAnsi="Times New Roman" w:cs="Times New Roman"/>
                <w:kern w:val="2"/>
                <w:sz w:val="21"/>
                <w:szCs w:val="21"/>
              </w:rPr>
              <w:t>1万元/天，不超过签约合同价2%</w:t>
            </w:r>
          </w:p>
        </w:tc>
      </w:tr>
      <w:tr>
        <w:tblPrEx>
          <w:tblCellMar>
            <w:top w:w="0" w:type="dxa"/>
            <w:left w:w="0" w:type="dxa"/>
            <w:bottom w:w="0" w:type="dxa"/>
            <w:right w:w="0" w:type="dxa"/>
          </w:tblCellMar>
        </w:tblPrEx>
        <w:trPr>
          <w:trHeight w:val="1164"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27</w:t>
            </w:r>
          </w:p>
        </w:tc>
        <w:tc>
          <w:tcPr>
            <w:tcW w:w="934" w:type="dxa"/>
            <w:vMerge w:val="restart"/>
            <w:tcBorders>
              <w:top w:val="single" w:color="auto" w:sz="4" w:space="0"/>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r>
              <w:rPr>
                <w:rFonts w:hint="eastAsia" w:cs="Times New Roman"/>
                <w:sz w:val="21"/>
                <w:szCs w:val="21"/>
              </w:rPr>
              <w:t>承包人违约</w:t>
            </w: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ascii="Times New Roman" w:hAnsi="Times New Roman" w:cs="Times New Roman"/>
                <w:kern w:val="2"/>
                <w:sz w:val="21"/>
                <w:szCs w:val="21"/>
              </w:rPr>
            </w:pPr>
            <w:r>
              <w:rPr>
                <w:rFonts w:hint="eastAsia" w:ascii="等线" w:hAnsi="等线" w:cs="Times New Roman"/>
                <w:kern w:val="2"/>
                <w:sz w:val="21"/>
                <w:szCs w:val="21"/>
              </w:rPr>
              <w:t>承包人应承担的违约责任：</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kern w:val="2"/>
                <w:sz w:val="21"/>
                <w:szCs w:val="21"/>
              </w:rPr>
            </w:pPr>
          </w:p>
        </w:tc>
      </w:tr>
      <w:tr>
        <w:tblPrEx>
          <w:tblCellMar>
            <w:top w:w="0" w:type="dxa"/>
            <w:left w:w="0" w:type="dxa"/>
            <w:bottom w:w="0" w:type="dxa"/>
            <w:right w:w="0" w:type="dxa"/>
          </w:tblCellMar>
        </w:tblPrEx>
        <w:trPr>
          <w:trHeight w:val="1164"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27.1</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ascii="等线" w:hAnsi="等线" w:cs="Times New Roman"/>
                <w:kern w:val="2"/>
                <w:sz w:val="21"/>
                <w:szCs w:val="21"/>
              </w:rPr>
            </w:pPr>
            <w:r>
              <w:rPr>
                <w:rFonts w:hint="eastAsia" w:cs="Times New Roman"/>
                <w:kern w:val="2"/>
                <w:sz w:val="21"/>
                <w:szCs w:val="21"/>
              </w:rPr>
              <w:t>工程施工过程中出现工程质量问题的，承包人须按发包方要求进行整改，费用由承包人承担，工期不予顺延；质量问题每出现一次，承包人应向发包方支付人民币1万元的违约金，出现三次以上（含三次）的，发包方有权单方解除本合同，合同解除后，对承包人已完成且验收合格的工程量按80%结算，同时承包人向发包方支付合同（暂定）总价20%的违约金。</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kern w:val="2"/>
                <w:sz w:val="21"/>
                <w:szCs w:val="21"/>
              </w:rPr>
            </w:pPr>
            <w:r>
              <w:rPr>
                <w:rFonts w:hint="eastAsia" w:cs="Times New Roman"/>
                <w:kern w:val="2"/>
                <w:sz w:val="21"/>
                <w:szCs w:val="21"/>
              </w:rPr>
              <w:t>1万元/次，出现三次以上（含三次）的，支付合同（暂定）总价20%</w:t>
            </w:r>
          </w:p>
        </w:tc>
      </w:tr>
      <w:tr>
        <w:tblPrEx>
          <w:tblCellMar>
            <w:top w:w="0" w:type="dxa"/>
            <w:left w:w="0" w:type="dxa"/>
            <w:bottom w:w="0" w:type="dxa"/>
            <w:right w:w="0" w:type="dxa"/>
          </w:tblCellMar>
        </w:tblPrEx>
        <w:trPr>
          <w:trHeight w:val="1164"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27.2</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承包人违章施工或施工质量不符合规范要求，而造成总工程或单项工程的质量事故，承包人须按发包方要求进行整改，费用由承包人承担，工期不予顺延；同时发包方有权单方解除本合同，承包人按以下标准向发包方支付违约金：一般质量安全事故违约金10万元/次，重大质量安全事故违约金50万元/次。</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rPr>
              <w:t>一般质量安全事故：10万元/次；重大质量安全事故：50万元/次</w:t>
            </w:r>
          </w:p>
        </w:tc>
      </w:tr>
      <w:tr>
        <w:tblPrEx>
          <w:tblCellMar>
            <w:top w:w="0" w:type="dxa"/>
            <w:left w:w="0" w:type="dxa"/>
            <w:bottom w:w="0" w:type="dxa"/>
            <w:right w:w="0" w:type="dxa"/>
          </w:tblCellMar>
        </w:tblPrEx>
        <w:trPr>
          <w:trHeight w:val="212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27.3</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ascii="Times New Roman" w:hAnsi="Times New Roman" w:cs="Times New Roman"/>
                <w:kern w:val="2"/>
                <w:sz w:val="21"/>
                <w:szCs w:val="21"/>
              </w:rPr>
              <w:t>工程全部竣工，经发包方验收工程质量未能达到本合同约定标准和国家相关标准的，承包人应向发包方支付本合同总价20%的违约金，同时承包人须按发包方要求无条件整改至合格，费用由承包人承担，工期不予顺延，造成工期延误的，承包人还应按逾期完工的约定承担违约责任。</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ascii="Times New Roman" w:hAnsi="Times New Roman" w:cs="Times New Roman"/>
                <w:kern w:val="2"/>
                <w:sz w:val="21"/>
                <w:szCs w:val="21"/>
              </w:rPr>
              <w:t>合同总价20%</w:t>
            </w:r>
          </w:p>
        </w:tc>
      </w:tr>
      <w:tr>
        <w:tblPrEx>
          <w:tblCellMar>
            <w:top w:w="0" w:type="dxa"/>
            <w:left w:w="0" w:type="dxa"/>
            <w:bottom w:w="0" w:type="dxa"/>
            <w:right w:w="0" w:type="dxa"/>
          </w:tblCellMar>
        </w:tblPrEx>
        <w:trPr>
          <w:trHeight w:val="2090"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27.4</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ascii="Times New Roman" w:hAnsi="Times New Roman" w:cs="Times New Roman"/>
                <w:kern w:val="2"/>
                <w:sz w:val="21"/>
                <w:szCs w:val="21"/>
              </w:rPr>
            </w:pPr>
            <w:r>
              <w:rPr>
                <w:rFonts w:hint="eastAsia" w:ascii="Times New Roman" w:hAnsi="Times New Roman" w:cs="Times New Roman"/>
                <w:kern w:val="2"/>
                <w:sz w:val="21"/>
                <w:szCs w:val="21"/>
              </w:rPr>
              <w:t>承包人未按本合同约定的施工图纸施工的，应向发包方支付此部分工程造价2倍的违约金，</w:t>
            </w:r>
            <w:r>
              <w:rPr>
                <w:rFonts w:hint="eastAsia" w:cs="Times New Roman"/>
                <w:kern w:val="2"/>
                <w:sz w:val="21"/>
                <w:szCs w:val="21"/>
              </w:rPr>
              <w:t>视情节严重报住建部门依据《建设工程质量管理条例》第六十四条进行处罚</w:t>
            </w:r>
            <w:r>
              <w:rPr>
                <w:rFonts w:hint="eastAsia" w:ascii="Times New Roman" w:hAnsi="Times New Roman" w:cs="Times New Roman"/>
                <w:kern w:val="2"/>
                <w:sz w:val="21"/>
                <w:szCs w:val="21"/>
              </w:rPr>
              <w:t>；承包人未按图纸施工部分造价达到工程总造价20%的，发包方有权单方解除本合同，承包人已完成且验收合格的工程量按80%结算，同时承包人向发包方支付合同（暂定）总价20%的违约金。</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kern w:val="2"/>
                <w:sz w:val="21"/>
                <w:szCs w:val="21"/>
              </w:rPr>
            </w:pPr>
            <w:r>
              <w:rPr>
                <w:rFonts w:hint="eastAsia" w:ascii="Times New Roman" w:hAnsi="Times New Roman" w:cs="Times New Roman"/>
                <w:kern w:val="2"/>
                <w:sz w:val="21"/>
                <w:szCs w:val="21"/>
              </w:rPr>
              <w:t>相应部分工程造价2倍的违约金，</w:t>
            </w:r>
            <w:r>
              <w:rPr>
                <w:rFonts w:hint="eastAsia" w:cs="Times New Roman"/>
                <w:kern w:val="2"/>
                <w:sz w:val="21"/>
                <w:szCs w:val="21"/>
              </w:rPr>
              <w:t>视情节严重报住建部门依据《建设工程质量管理条例》第六十四条进行处罚</w:t>
            </w:r>
            <w:r>
              <w:rPr>
                <w:rFonts w:hint="eastAsia" w:ascii="Times New Roman" w:hAnsi="Times New Roman" w:cs="Times New Roman"/>
                <w:kern w:val="2"/>
                <w:sz w:val="21"/>
                <w:szCs w:val="21"/>
              </w:rPr>
              <w:t>；承包人未按图纸施工部分造价达到工程总造价20%时，违约金为合同（暂定）总价20%</w:t>
            </w:r>
          </w:p>
        </w:tc>
      </w:tr>
      <w:tr>
        <w:tblPrEx>
          <w:tblCellMar>
            <w:top w:w="0" w:type="dxa"/>
            <w:left w:w="0" w:type="dxa"/>
            <w:bottom w:w="0" w:type="dxa"/>
            <w:right w:w="0" w:type="dxa"/>
          </w:tblCellMar>
        </w:tblPrEx>
        <w:trPr>
          <w:trHeight w:val="2090"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27.5</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ascii="Times New Roman" w:hAnsi="Times New Roman" w:cs="Times New Roman"/>
                <w:kern w:val="2"/>
                <w:sz w:val="21"/>
                <w:szCs w:val="21"/>
              </w:rPr>
            </w:pPr>
            <w:r>
              <w:rPr>
                <w:rFonts w:hint="eastAsia" w:cs="Times New Roman"/>
                <w:kern w:val="2"/>
                <w:sz w:val="21"/>
                <w:szCs w:val="21"/>
              </w:rPr>
              <w:t>承包人偷工减料、擅自更换合同约定的材料设备或提供的材料设备的产地、品牌、型号不符合合同约定的，应向发包方支付该部分材料设备价款3倍的违约金</w:t>
            </w:r>
            <w:r>
              <w:rPr>
                <w:rFonts w:hint="eastAsia" w:ascii="Times New Roman" w:hAnsi="Times New Roman" w:cs="Times New Roman"/>
                <w:kern w:val="2"/>
                <w:sz w:val="21"/>
                <w:szCs w:val="21"/>
              </w:rPr>
              <w:t>，</w:t>
            </w:r>
            <w:r>
              <w:rPr>
                <w:rFonts w:hint="eastAsia" w:cs="Times New Roman"/>
                <w:kern w:val="2"/>
                <w:sz w:val="21"/>
                <w:szCs w:val="21"/>
              </w:rPr>
              <w:t>视情节严重报住建部门依据《建设工程质量管理条例》第六十四条进行处罚，如对发包方造成损失的，还应赔偿实际损失；承包人发生前述违约情形超过2次（含2次）的，发包方有权单方解除本合同，承包人已完成且验收合格的工程量按80%结算，同时承包人向发包方支付合同（暂定）总价20%的违约金。</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kern w:val="2"/>
                <w:sz w:val="21"/>
                <w:szCs w:val="21"/>
              </w:rPr>
            </w:pPr>
            <w:r>
              <w:rPr>
                <w:rFonts w:hint="eastAsia" w:cs="Times New Roman"/>
                <w:kern w:val="2"/>
                <w:sz w:val="21"/>
                <w:szCs w:val="21"/>
              </w:rPr>
              <w:t>相应部分材料设备价款3倍</w:t>
            </w:r>
            <w:r>
              <w:rPr>
                <w:rFonts w:hint="eastAsia" w:ascii="Times New Roman" w:hAnsi="Times New Roman" w:cs="Times New Roman"/>
                <w:kern w:val="2"/>
                <w:sz w:val="21"/>
                <w:szCs w:val="21"/>
              </w:rPr>
              <w:t>，</w:t>
            </w:r>
            <w:r>
              <w:rPr>
                <w:rFonts w:hint="eastAsia" w:cs="Times New Roman"/>
                <w:kern w:val="2"/>
                <w:sz w:val="21"/>
                <w:szCs w:val="21"/>
              </w:rPr>
              <w:t>视情节严重报住建部门依据《建设工程质量管理条例》第六十四条进行处罚；承包人发生前述违约情形超过2次（含2次）的，</w:t>
            </w:r>
            <w:r>
              <w:rPr>
                <w:rFonts w:hint="eastAsia" w:ascii="Times New Roman" w:hAnsi="Times New Roman" w:cs="Times New Roman"/>
                <w:kern w:val="2"/>
                <w:sz w:val="21"/>
                <w:szCs w:val="21"/>
              </w:rPr>
              <w:t>违约金为合同（暂定）总价20%。</w:t>
            </w:r>
          </w:p>
        </w:tc>
      </w:tr>
      <w:tr>
        <w:tblPrEx>
          <w:tblCellMar>
            <w:top w:w="0" w:type="dxa"/>
            <w:left w:w="0" w:type="dxa"/>
            <w:bottom w:w="0" w:type="dxa"/>
            <w:right w:w="0" w:type="dxa"/>
          </w:tblCellMar>
        </w:tblPrEx>
        <w:trPr>
          <w:trHeight w:val="2090"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27.6</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双方在本合同履行过程中，若产生争议、纠纷（包括但不限于对本合同条款的理解、施工图预算、工程款的支付、工程签证、工程承包范围等存在争议），争议、纠纷的解决不得影响工程的进度，承包人不得以此为由采取消极怠工、擅自停工等行为，否则承包人应向发包方支付人民币2万元/天的违约金。</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rPr>
              <w:t>2万元/天</w:t>
            </w:r>
          </w:p>
        </w:tc>
      </w:tr>
      <w:tr>
        <w:tblPrEx>
          <w:tblCellMar>
            <w:top w:w="0" w:type="dxa"/>
            <w:left w:w="0" w:type="dxa"/>
            <w:bottom w:w="0" w:type="dxa"/>
            <w:right w:w="0" w:type="dxa"/>
          </w:tblCellMar>
        </w:tblPrEx>
        <w:trPr>
          <w:trHeight w:val="1026"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27.7</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发包方为承包人垫付工人工资或材料设备款的，承包人应向发包方支付垫付款项1倍的违约金。</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rPr>
              <w:t>垫付款项1倍</w:t>
            </w:r>
          </w:p>
        </w:tc>
      </w:tr>
      <w:tr>
        <w:tblPrEx>
          <w:tblCellMar>
            <w:top w:w="0" w:type="dxa"/>
            <w:left w:w="0" w:type="dxa"/>
            <w:bottom w:w="0" w:type="dxa"/>
            <w:right w:w="0" w:type="dxa"/>
          </w:tblCellMar>
        </w:tblPrEx>
        <w:trPr>
          <w:trHeight w:val="1026"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27.8</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承包人损坏施工现场周围建筑物、设备管线及其他相关专业的施工成品、半成品的，承包人须无条件修复并向发包方支付人民币1万元/次的违约金。</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rPr>
              <w:t>1万元/次</w:t>
            </w:r>
          </w:p>
        </w:tc>
      </w:tr>
      <w:tr>
        <w:tblPrEx>
          <w:tblCellMar>
            <w:top w:w="0" w:type="dxa"/>
            <w:left w:w="0" w:type="dxa"/>
            <w:bottom w:w="0" w:type="dxa"/>
            <w:right w:w="0" w:type="dxa"/>
          </w:tblCellMar>
        </w:tblPrEx>
        <w:trPr>
          <w:trHeight w:val="70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27.9</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ascii="Times New Roman" w:hAnsi="Times New Roman" w:cs="Times New Roman"/>
                <w:kern w:val="2"/>
                <w:sz w:val="21"/>
                <w:szCs w:val="21"/>
              </w:rPr>
              <w:t>工程移交发包方或合同解除后，承包人的人员、材料及设施设备应在3天内撤离现场。超过3天承包人仍未撤离现场的，按人民币1万元/天向发包方支付场地使用费，发包方有权将承包人遗留在施工现场的设施设备折价处理，并优先受偿。</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ascii="Times New Roman" w:hAnsi="Times New Roman" w:cs="Times New Roman"/>
                <w:kern w:val="2"/>
                <w:sz w:val="21"/>
                <w:szCs w:val="21"/>
              </w:rPr>
              <w:t>1万元/天</w:t>
            </w:r>
          </w:p>
        </w:tc>
      </w:tr>
      <w:tr>
        <w:tblPrEx>
          <w:tblCellMar>
            <w:top w:w="0" w:type="dxa"/>
            <w:left w:w="0" w:type="dxa"/>
            <w:bottom w:w="0" w:type="dxa"/>
            <w:right w:w="0" w:type="dxa"/>
          </w:tblCellMar>
        </w:tblPrEx>
        <w:trPr>
          <w:trHeight w:val="70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27.10</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ascii="Times New Roman" w:hAnsi="Times New Roman" w:cs="Times New Roman"/>
                <w:kern w:val="2"/>
                <w:sz w:val="21"/>
                <w:szCs w:val="21"/>
              </w:rPr>
            </w:pPr>
            <w:r>
              <w:rPr>
                <w:rFonts w:hint="eastAsia" w:cs="Times New Roman"/>
                <w:kern w:val="2"/>
                <w:sz w:val="21"/>
                <w:szCs w:val="21"/>
              </w:rPr>
              <w:t>若本工程经验收不符合本合同约定的工程质量技术等级和发包方要求，经整改后仍无法满足或拒不整改，发包方降级接收本工程的，发包方有权扣除本工程结算总价的10%作为违约金。</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ascii="Times New Roman" w:hAnsi="Times New Roman" w:cs="Times New Roman"/>
                <w:kern w:val="2"/>
                <w:sz w:val="21"/>
                <w:szCs w:val="21"/>
              </w:rPr>
            </w:pPr>
            <w:r>
              <w:rPr>
                <w:rFonts w:hint="eastAsia" w:cs="Times New Roman"/>
                <w:kern w:val="2"/>
                <w:sz w:val="21"/>
                <w:szCs w:val="21"/>
              </w:rPr>
              <w:t>工程结算总价的10%</w:t>
            </w:r>
          </w:p>
        </w:tc>
      </w:tr>
      <w:tr>
        <w:tblPrEx>
          <w:tblCellMar>
            <w:top w:w="0" w:type="dxa"/>
            <w:left w:w="0" w:type="dxa"/>
            <w:bottom w:w="0" w:type="dxa"/>
            <w:right w:w="0" w:type="dxa"/>
          </w:tblCellMar>
        </w:tblPrEx>
        <w:trPr>
          <w:trHeight w:val="70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27.11</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承包人不得拒收发包人、监理人的书面指令，如认为发包人、监理人指令不合理，应在收到指令后24小时内向发包人、监理人提出修改指令的书面报告，发包人、监理人可作出修改指令或继续执行原指令的决定，拒收一次，承包人须向发包人支付违约金1万元。紧急情况下，发包人、监理人要求承包人立即执行的指令，承包人应无条件予以执行，承包人拒不执行指令的，须向发包人支付违约金2万元</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拒收一次，向发包人支付违约金1万元，</w:t>
            </w:r>
          </w:p>
          <w:p>
            <w:pPr>
              <w:ind w:firstLine="420"/>
              <w:rPr>
                <w:szCs w:val="20"/>
              </w:rPr>
            </w:pPr>
            <w:r>
              <w:rPr>
                <w:rFonts w:hint="eastAsia" w:cs="Times New Roman"/>
                <w:kern w:val="2"/>
                <w:sz w:val="21"/>
                <w:szCs w:val="21"/>
              </w:rPr>
              <w:t>拒不执行指令的，向发包人支付违约金2万元</w:t>
            </w:r>
          </w:p>
        </w:tc>
      </w:tr>
      <w:tr>
        <w:tblPrEx>
          <w:tblCellMar>
            <w:top w:w="0" w:type="dxa"/>
            <w:left w:w="0" w:type="dxa"/>
            <w:bottom w:w="0" w:type="dxa"/>
            <w:right w:w="0" w:type="dxa"/>
          </w:tblCellMar>
        </w:tblPrEx>
        <w:trPr>
          <w:trHeight w:val="90"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27.12</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承包人应严格执行政府对安全文明施工的法律法规要求，若因承包人原因给发包人声誉造成不良影响的，处违约金10万元，若不足以弥补发包人损失，发包人向承包人另行追偿。承包人应严格遵守并执行发包人制定并适用于本项目工程的安全文明施工奖罚规定。</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rPr>
              <w:t>10万元</w:t>
            </w:r>
          </w:p>
        </w:tc>
      </w:tr>
      <w:tr>
        <w:tblPrEx>
          <w:tblCellMar>
            <w:top w:w="0" w:type="dxa"/>
            <w:left w:w="0" w:type="dxa"/>
            <w:bottom w:w="0" w:type="dxa"/>
            <w:right w:w="0" w:type="dxa"/>
          </w:tblCellMar>
        </w:tblPrEx>
        <w:trPr>
          <w:trHeight w:val="70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27.13</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在整个项目施工至竣工验收期间，如承包人违规施工、工人上访等原因而被新闻媒体曝光或给发包人造成不良社会影响的，发包人将视事情情节严重程度对承包人处以违约金人民币</w:t>
            </w:r>
            <w:r>
              <w:rPr>
                <w:rFonts w:hint="eastAsia" w:cs="Times New Roman"/>
                <w:kern w:val="2"/>
                <w:sz w:val="21"/>
                <w:szCs w:val="21"/>
                <w:lang w:val="en-US" w:eastAsia="zh-CN"/>
              </w:rPr>
              <w:t>2</w:t>
            </w:r>
            <w:r>
              <w:rPr>
                <w:rFonts w:hint="eastAsia" w:cs="Times New Roman"/>
                <w:kern w:val="2"/>
                <w:sz w:val="21"/>
                <w:szCs w:val="21"/>
              </w:rPr>
              <w:t>万元/次，若不足以弥补发包人损失，发包人向承包人另行追偿。</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lang w:val="en-US" w:eastAsia="zh-CN"/>
              </w:rPr>
              <w:t>2</w:t>
            </w:r>
            <w:r>
              <w:rPr>
                <w:rFonts w:hint="eastAsia" w:cs="Times New Roman"/>
                <w:kern w:val="2"/>
                <w:sz w:val="21"/>
                <w:szCs w:val="21"/>
              </w:rPr>
              <w:t>万元/次</w:t>
            </w:r>
          </w:p>
        </w:tc>
      </w:tr>
      <w:tr>
        <w:tblPrEx>
          <w:tblCellMar>
            <w:top w:w="0" w:type="dxa"/>
            <w:left w:w="0" w:type="dxa"/>
            <w:bottom w:w="0" w:type="dxa"/>
            <w:right w:w="0" w:type="dxa"/>
          </w:tblCellMar>
        </w:tblPrEx>
        <w:trPr>
          <w:trHeight w:val="70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27.14</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在整个项目施工至竣工验收期间，由于承包人责任出现人员伤亡或造成重大财产损失的，每死亡一人，承包人向发包人支付违约金人民币50万元；重伤少于三人的，承包人向发包人支付违约金人民币10万元/人/次；重伤超过3人（含3人）的，违约金为30万元/人/次。每造成重大财产损失一次，承包人向发包人支付违约金10万元。若不足以弥补发包人损失，发包人向承包人另行追偿。</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rPr>
              <w:t>每死亡一人：50万元；</w:t>
            </w:r>
          </w:p>
          <w:p>
            <w:pPr>
              <w:spacing w:before="120" w:beforeLines="50"/>
              <w:jc w:val="center"/>
              <w:textAlignment w:val="center"/>
              <w:rPr>
                <w:rFonts w:cs="Times New Roman"/>
                <w:kern w:val="2"/>
                <w:sz w:val="21"/>
                <w:szCs w:val="21"/>
              </w:rPr>
            </w:pPr>
            <w:r>
              <w:rPr>
                <w:rFonts w:hint="eastAsia" w:cs="Times New Roman"/>
                <w:kern w:val="2"/>
                <w:sz w:val="21"/>
                <w:szCs w:val="21"/>
              </w:rPr>
              <w:t>重伤少于三人的：10万元/人/次；</w:t>
            </w:r>
          </w:p>
          <w:p>
            <w:pPr>
              <w:spacing w:before="120" w:beforeLines="50"/>
              <w:jc w:val="center"/>
              <w:textAlignment w:val="center"/>
              <w:rPr>
                <w:rFonts w:cs="Times New Roman"/>
                <w:kern w:val="2"/>
                <w:sz w:val="21"/>
                <w:szCs w:val="21"/>
              </w:rPr>
            </w:pPr>
            <w:r>
              <w:rPr>
                <w:rFonts w:hint="eastAsia" w:cs="Times New Roman"/>
                <w:kern w:val="2"/>
                <w:sz w:val="21"/>
                <w:szCs w:val="21"/>
              </w:rPr>
              <w:t>重伤超过3人（含3人）的：30万元/人/次。每造成重大财产损失一次，承包人向发包人支付违约金10万元，不足另行追偿。</w:t>
            </w:r>
          </w:p>
          <w:p>
            <w:pPr>
              <w:ind w:left="240"/>
              <w:rPr>
                <w:smallCaps/>
                <w:sz w:val="21"/>
                <w:szCs w:val="21"/>
              </w:rPr>
            </w:pPr>
          </w:p>
        </w:tc>
      </w:tr>
      <w:tr>
        <w:tblPrEx>
          <w:tblCellMar>
            <w:top w:w="0" w:type="dxa"/>
            <w:left w:w="0" w:type="dxa"/>
            <w:bottom w:w="0" w:type="dxa"/>
            <w:right w:w="0" w:type="dxa"/>
          </w:tblCellMar>
        </w:tblPrEx>
        <w:trPr>
          <w:trHeight w:val="70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27.15</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承包人未将事故按要求上报发包人，违约金为30万元/次</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rPr>
              <w:t>30万元/次</w:t>
            </w:r>
          </w:p>
        </w:tc>
      </w:tr>
      <w:tr>
        <w:tblPrEx>
          <w:tblCellMar>
            <w:top w:w="0" w:type="dxa"/>
            <w:left w:w="0" w:type="dxa"/>
            <w:bottom w:w="0" w:type="dxa"/>
            <w:right w:w="0" w:type="dxa"/>
          </w:tblCellMar>
        </w:tblPrEx>
        <w:trPr>
          <w:trHeight w:val="70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27.16</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承包人拒绝或不能按合同约定要求完成应由承包人完成或提供服务的工作，发包人有权安排其它单位完成，所发生的费用从承包人当期工程款中抵扣，承包人另向发包人支付该项发生费用的20%的管理费，影响工期的责任由承包人承担。</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rPr>
              <w:t>相应费用的20%</w:t>
            </w:r>
          </w:p>
        </w:tc>
      </w:tr>
      <w:tr>
        <w:tblPrEx>
          <w:tblCellMar>
            <w:top w:w="0" w:type="dxa"/>
            <w:left w:w="0" w:type="dxa"/>
            <w:bottom w:w="0" w:type="dxa"/>
            <w:right w:w="0" w:type="dxa"/>
          </w:tblCellMar>
        </w:tblPrEx>
        <w:trPr>
          <w:trHeight w:val="70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27.17</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若发包人或监理人发现承包人上道工序未经验收或验收不合格，擅自进行下道工序的，承包人必须拆除重建，且每发生一次，承包人向发包人支付违约金人民币1万元。</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rPr>
              <w:t>1万元/次</w:t>
            </w:r>
          </w:p>
        </w:tc>
      </w:tr>
      <w:tr>
        <w:tblPrEx>
          <w:tblCellMar>
            <w:top w:w="0" w:type="dxa"/>
            <w:left w:w="0" w:type="dxa"/>
            <w:bottom w:w="0" w:type="dxa"/>
            <w:right w:w="0" w:type="dxa"/>
          </w:tblCellMar>
        </w:tblPrEx>
        <w:trPr>
          <w:trHeight w:val="70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27.18</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分部分项隐蔽工程，若发现承包人在验收合格后到隐蔽施工前，对合格部分有任何改动，双方应重新进行验收。若承包人同一分项工程验收两次仍不合格，则以后每增加一次验收，承包人向发包人支付违约金2万元。</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rPr>
              <w:t>每增加一次验收，支付违约金2万元</w:t>
            </w:r>
          </w:p>
        </w:tc>
      </w:tr>
      <w:tr>
        <w:tblPrEx>
          <w:tblCellMar>
            <w:top w:w="0" w:type="dxa"/>
            <w:left w:w="0" w:type="dxa"/>
            <w:bottom w:w="0" w:type="dxa"/>
            <w:right w:w="0" w:type="dxa"/>
          </w:tblCellMar>
        </w:tblPrEx>
        <w:trPr>
          <w:trHeight w:val="70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27.19</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sz w:val="21"/>
                <w:szCs w:val="21"/>
              </w:rPr>
              <w:t>对于相关会议或监理通知单中确定承包人限期内完成的事项，承包人必须及时履行，否则，发包人有权要求承包人支付违约金0.5万元/次，同时，由此造成其他项目的工期延误或其他任何损失均由承包人负责赔偿。</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rPr>
              <w:t>0.5万元/次</w:t>
            </w:r>
          </w:p>
        </w:tc>
      </w:tr>
      <w:tr>
        <w:tblPrEx>
          <w:tblCellMar>
            <w:top w:w="0" w:type="dxa"/>
            <w:left w:w="0" w:type="dxa"/>
            <w:bottom w:w="0" w:type="dxa"/>
            <w:right w:w="0" w:type="dxa"/>
          </w:tblCellMar>
        </w:tblPrEx>
        <w:trPr>
          <w:trHeight w:val="70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27.20</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ascii="Times New Roman" w:hAnsi="Times New Roman" w:cs="Times New Roman"/>
                <w:kern w:val="2"/>
                <w:sz w:val="21"/>
                <w:szCs w:val="21"/>
              </w:rPr>
              <w:t>对于施工过程中由于承包人原因造成工程受政府相关部门处理的，除接受政府相关部门的处理外，发包人有权根据事件影响对承包人进行处罚；具体如下：</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p>
        </w:tc>
      </w:tr>
      <w:tr>
        <w:tblPrEx>
          <w:tblCellMar>
            <w:top w:w="0" w:type="dxa"/>
            <w:left w:w="0" w:type="dxa"/>
            <w:bottom w:w="0" w:type="dxa"/>
            <w:right w:w="0" w:type="dxa"/>
          </w:tblCellMar>
        </w:tblPrEx>
        <w:trPr>
          <w:trHeight w:val="70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27.20.1</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受黄牌警告者，处以每次人民币5万元处罚。</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rPr>
              <w:t>5万元</w:t>
            </w:r>
          </w:p>
        </w:tc>
      </w:tr>
      <w:tr>
        <w:tblPrEx>
          <w:tblCellMar>
            <w:top w:w="0" w:type="dxa"/>
            <w:left w:w="0" w:type="dxa"/>
            <w:bottom w:w="0" w:type="dxa"/>
            <w:right w:w="0" w:type="dxa"/>
          </w:tblCellMar>
        </w:tblPrEx>
        <w:trPr>
          <w:trHeight w:val="70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27.20.2</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受红牌警告者，处以每次人民币10万元处罚。</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rPr>
              <w:t>10万元</w:t>
            </w:r>
          </w:p>
        </w:tc>
      </w:tr>
      <w:tr>
        <w:tblPrEx>
          <w:tblCellMar>
            <w:top w:w="0" w:type="dxa"/>
            <w:left w:w="0" w:type="dxa"/>
            <w:bottom w:w="0" w:type="dxa"/>
            <w:right w:w="0" w:type="dxa"/>
          </w:tblCellMar>
        </w:tblPrEx>
        <w:trPr>
          <w:trHeight w:val="70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jc w:val="center"/>
              <w:rPr>
                <w:smallCaps/>
                <w:sz w:val="21"/>
                <w:szCs w:val="21"/>
              </w:rPr>
            </w:pPr>
            <w:r>
              <w:rPr>
                <w:rFonts w:hint="eastAsia" w:cs="Times New Roman"/>
                <w:smallCaps/>
                <w:sz w:val="21"/>
                <w:szCs w:val="21"/>
              </w:rPr>
              <w:t>27.20.3</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因红黄牌及其它原因造成停工者，处以每次人民币10万元处罚。</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cs="Times New Roman"/>
                <w:kern w:val="2"/>
                <w:sz w:val="21"/>
                <w:szCs w:val="21"/>
              </w:rPr>
              <w:t>10万元/次</w:t>
            </w:r>
          </w:p>
        </w:tc>
      </w:tr>
      <w:tr>
        <w:tblPrEx>
          <w:tblCellMar>
            <w:top w:w="0" w:type="dxa"/>
            <w:left w:w="0" w:type="dxa"/>
            <w:bottom w:w="0" w:type="dxa"/>
            <w:right w:w="0" w:type="dxa"/>
          </w:tblCellMar>
        </w:tblPrEx>
        <w:trPr>
          <w:trHeight w:val="70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27.20.4</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除进行上述罚款外，承包需承担因停工对发包人工期延误的责任，并保留因此致使发包人名誉受损的进一步索赔权利。</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p>
        </w:tc>
      </w:tr>
      <w:tr>
        <w:tblPrEx>
          <w:tblCellMar>
            <w:top w:w="0" w:type="dxa"/>
            <w:left w:w="0" w:type="dxa"/>
            <w:bottom w:w="0" w:type="dxa"/>
            <w:right w:w="0" w:type="dxa"/>
          </w:tblCellMar>
        </w:tblPrEx>
        <w:trPr>
          <w:trHeight w:val="70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27.21</w:t>
            </w:r>
          </w:p>
        </w:tc>
        <w:tc>
          <w:tcPr>
            <w:tcW w:w="934" w:type="dxa"/>
            <w:vMerge w:val="continue"/>
            <w:tcBorders>
              <w:left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如果承包人在投标过程或合同实施过程中实施了商业贿赂或欺诈行为，承包人通过贿赂、送礼或其它不正当手段企图获得或已经获得额外费用的，或承包人违反了附件廉洁协议书中相关约定的，发包人将根据相关法律规定及合同约定追究承包人的法律责任，承包人因此等行为获得的额外费用必须退还发包人，造成的工程损害、发包人的经济损失的，承包人应负一切责任，并予赔偿。情节严重者，发包人有权终止承包人在本合同项下的承包。</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p>
        </w:tc>
      </w:tr>
      <w:tr>
        <w:tblPrEx>
          <w:tblCellMar>
            <w:top w:w="0" w:type="dxa"/>
            <w:left w:w="0" w:type="dxa"/>
            <w:bottom w:w="0" w:type="dxa"/>
            <w:right w:w="0" w:type="dxa"/>
          </w:tblCellMar>
        </w:tblPrEx>
        <w:trPr>
          <w:trHeight w:val="70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27.22</w:t>
            </w:r>
          </w:p>
        </w:tc>
        <w:tc>
          <w:tcPr>
            <w:tcW w:w="934" w:type="dxa"/>
            <w:vMerge w:val="continue"/>
            <w:tcBorders>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cs="Times New Roman"/>
                <w:kern w:val="2"/>
                <w:sz w:val="21"/>
                <w:szCs w:val="21"/>
              </w:rPr>
              <w:t>按本合同约定，承包人应承担的所有违约金、罚款等发包方均有权直接在支付给承包人的工程款、进度款中直接扣除,各种违约金、罚款属违约金的计算方式，可同时适用。</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p>
        </w:tc>
      </w:tr>
      <w:tr>
        <w:tblPrEx>
          <w:tblCellMar>
            <w:top w:w="0" w:type="dxa"/>
            <w:left w:w="0" w:type="dxa"/>
            <w:bottom w:w="0" w:type="dxa"/>
            <w:right w:w="0" w:type="dxa"/>
          </w:tblCellMar>
        </w:tblPrEx>
        <w:trPr>
          <w:trHeight w:val="70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28</w:t>
            </w:r>
          </w:p>
        </w:tc>
        <w:tc>
          <w:tcPr>
            <w:tcW w:w="934"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r>
              <w:rPr>
                <w:rFonts w:hint="eastAsia" w:cs="Times New Roman"/>
                <w:sz w:val="21"/>
                <w:szCs w:val="21"/>
              </w:rPr>
              <w:t>施工组织设计</w:t>
            </w: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rFonts w:cs="Times New Roman"/>
                <w:kern w:val="2"/>
                <w:sz w:val="21"/>
                <w:szCs w:val="21"/>
              </w:rPr>
            </w:pPr>
            <w:r>
              <w:rPr>
                <w:rFonts w:hint="eastAsia"/>
                <w:kern w:val="2"/>
                <w:sz w:val="21"/>
                <w:szCs w:val="21"/>
              </w:rPr>
              <w:t>承包人需在收到中标通知书7天内提供施工组织设计、详细的进度计划、施工专项方案、管理人员架构表等资料，承包人不按图纸及规范要求施工的，不服从发包人安排的，不按审批过的施工组织设计方案或专项施工方案施工的，根据情节的严重性每次给予</w:t>
            </w:r>
            <w:r>
              <w:rPr>
                <w:rFonts w:hint="eastAsia"/>
                <w:kern w:val="2"/>
                <w:sz w:val="21"/>
                <w:szCs w:val="21"/>
                <w:lang w:val="en-US" w:eastAsia="zh-CN"/>
              </w:rPr>
              <w:t>2</w:t>
            </w:r>
            <w:r>
              <w:rPr>
                <w:rFonts w:hint="eastAsia"/>
                <w:kern w:val="2"/>
                <w:sz w:val="21"/>
                <w:szCs w:val="21"/>
              </w:rPr>
              <w:t>万元的处罚。</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rFonts w:cs="Times New Roman"/>
                <w:kern w:val="2"/>
                <w:sz w:val="21"/>
                <w:szCs w:val="21"/>
              </w:rPr>
            </w:pPr>
            <w:r>
              <w:rPr>
                <w:rFonts w:hint="eastAsia"/>
                <w:kern w:val="2"/>
                <w:sz w:val="21"/>
                <w:szCs w:val="21"/>
                <w:lang w:val="en-US" w:eastAsia="zh-CN"/>
              </w:rPr>
              <w:t>2</w:t>
            </w:r>
            <w:r>
              <w:rPr>
                <w:rFonts w:hint="eastAsia"/>
                <w:kern w:val="2"/>
                <w:sz w:val="21"/>
                <w:szCs w:val="21"/>
              </w:rPr>
              <w:t>万元/次</w:t>
            </w:r>
          </w:p>
        </w:tc>
      </w:tr>
      <w:tr>
        <w:tblPrEx>
          <w:tblCellMar>
            <w:top w:w="0" w:type="dxa"/>
            <w:left w:w="0" w:type="dxa"/>
            <w:bottom w:w="0" w:type="dxa"/>
            <w:right w:w="0" w:type="dxa"/>
          </w:tblCellMar>
        </w:tblPrEx>
        <w:trPr>
          <w:trHeight w:val="1736"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29</w:t>
            </w:r>
          </w:p>
        </w:tc>
        <w:tc>
          <w:tcPr>
            <w:tcW w:w="934"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numPr>
                <w:ilvl w:val="255"/>
                <w:numId w:val="0"/>
              </w:numPr>
              <w:spacing w:before="120" w:beforeLines="50"/>
              <w:textAlignment w:val="center"/>
              <w:rPr>
                <w:kern w:val="2"/>
                <w:sz w:val="21"/>
                <w:szCs w:val="21"/>
              </w:rPr>
            </w:pPr>
            <w:r>
              <w:rPr>
                <w:rFonts w:hint="eastAsia"/>
                <w:kern w:val="2"/>
                <w:sz w:val="21"/>
                <w:szCs w:val="21"/>
              </w:rPr>
              <w:t>违反以下事项的，将从工程款中扣除违约金10万元：</w:t>
            </w:r>
          </w:p>
          <w:p>
            <w:pPr>
              <w:numPr>
                <w:ilvl w:val="255"/>
                <w:numId w:val="0"/>
              </w:numPr>
              <w:spacing w:before="120" w:beforeLines="50"/>
              <w:textAlignment w:val="center"/>
              <w:rPr>
                <w:kern w:val="2"/>
                <w:sz w:val="21"/>
                <w:szCs w:val="21"/>
              </w:rPr>
            </w:pPr>
            <w:r>
              <w:rPr>
                <w:rFonts w:hint="eastAsia"/>
                <w:kern w:val="2"/>
                <w:sz w:val="21"/>
                <w:szCs w:val="21"/>
              </w:rPr>
              <w:t>发生死亡事故；</w:t>
            </w:r>
          </w:p>
          <w:p>
            <w:pPr>
              <w:numPr>
                <w:ilvl w:val="255"/>
                <w:numId w:val="0"/>
              </w:numPr>
              <w:spacing w:before="120" w:beforeLines="50"/>
              <w:textAlignment w:val="center"/>
              <w:rPr>
                <w:kern w:val="2"/>
                <w:sz w:val="21"/>
                <w:szCs w:val="21"/>
              </w:rPr>
            </w:pPr>
            <w:r>
              <w:rPr>
                <w:rFonts w:hint="eastAsia"/>
                <w:kern w:val="2"/>
                <w:sz w:val="21"/>
                <w:szCs w:val="21"/>
              </w:rPr>
              <w:t>每起发生2人及以上人员重伤的事故；</w:t>
            </w:r>
          </w:p>
          <w:p>
            <w:pPr>
              <w:spacing w:before="120" w:beforeLines="50"/>
              <w:textAlignment w:val="center"/>
              <w:rPr>
                <w:kern w:val="2"/>
                <w:sz w:val="21"/>
                <w:szCs w:val="21"/>
              </w:rPr>
            </w:pPr>
            <w:r>
              <w:rPr>
                <w:rFonts w:hint="eastAsia"/>
                <w:kern w:val="2"/>
                <w:sz w:val="21"/>
                <w:szCs w:val="21"/>
              </w:rPr>
              <w:t>发生直接经济损失超过50万元事故。</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kern w:val="2"/>
                <w:sz w:val="21"/>
                <w:szCs w:val="21"/>
              </w:rPr>
            </w:pPr>
            <w:r>
              <w:rPr>
                <w:rFonts w:hint="eastAsia"/>
                <w:kern w:val="2"/>
                <w:sz w:val="21"/>
                <w:szCs w:val="21"/>
              </w:rPr>
              <w:t>10万元</w:t>
            </w:r>
          </w:p>
        </w:tc>
      </w:tr>
      <w:tr>
        <w:tblPrEx>
          <w:tblCellMar>
            <w:top w:w="0" w:type="dxa"/>
            <w:left w:w="0" w:type="dxa"/>
            <w:bottom w:w="0" w:type="dxa"/>
            <w:right w:w="0" w:type="dxa"/>
          </w:tblCellMar>
        </w:tblPrEx>
        <w:trPr>
          <w:trHeight w:val="70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30</w:t>
            </w:r>
          </w:p>
        </w:tc>
        <w:tc>
          <w:tcPr>
            <w:tcW w:w="934"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numPr>
                <w:ilvl w:val="255"/>
                <w:numId w:val="0"/>
              </w:numPr>
              <w:spacing w:before="120" w:beforeLines="50"/>
              <w:textAlignment w:val="center"/>
              <w:rPr>
                <w:kern w:val="2"/>
                <w:sz w:val="21"/>
                <w:szCs w:val="21"/>
              </w:rPr>
            </w:pPr>
            <w:r>
              <w:rPr>
                <w:rFonts w:hint="eastAsia"/>
                <w:kern w:val="2"/>
                <w:sz w:val="21"/>
                <w:szCs w:val="21"/>
              </w:rPr>
              <w:t>违反以下事项的，将从工程款中扣除违约金5万元：</w:t>
            </w:r>
          </w:p>
          <w:p>
            <w:pPr>
              <w:numPr>
                <w:ilvl w:val="255"/>
                <w:numId w:val="0"/>
              </w:numPr>
              <w:spacing w:before="120" w:beforeLines="50"/>
              <w:textAlignment w:val="center"/>
              <w:rPr>
                <w:kern w:val="2"/>
                <w:sz w:val="21"/>
                <w:szCs w:val="21"/>
              </w:rPr>
            </w:pPr>
            <w:r>
              <w:rPr>
                <w:rFonts w:hint="eastAsia"/>
                <w:kern w:val="2"/>
                <w:sz w:val="21"/>
                <w:szCs w:val="21"/>
              </w:rPr>
              <w:t>发生重伤事故或群伤事故；</w:t>
            </w:r>
          </w:p>
          <w:p>
            <w:pPr>
              <w:spacing w:before="120" w:beforeLines="50"/>
              <w:textAlignment w:val="center"/>
              <w:rPr>
                <w:kern w:val="2"/>
                <w:sz w:val="21"/>
                <w:szCs w:val="21"/>
              </w:rPr>
            </w:pPr>
            <w:r>
              <w:rPr>
                <w:rFonts w:hint="eastAsia"/>
                <w:kern w:val="2"/>
                <w:sz w:val="21"/>
                <w:szCs w:val="21"/>
              </w:rPr>
              <w:t>发生直接经济损失超过20万元的事件。</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kern w:val="2"/>
                <w:sz w:val="21"/>
                <w:szCs w:val="21"/>
              </w:rPr>
            </w:pPr>
            <w:r>
              <w:rPr>
                <w:rFonts w:hint="eastAsia"/>
                <w:kern w:val="2"/>
                <w:sz w:val="21"/>
                <w:szCs w:val="21"/>
              </w:rPr>
              <w:t>5万元，</w:t>
            </w:r>
          </w:p>
          <w:p>
            <w:pPr>
              <w:spacing w:before="120" w:beforeLines="50"/>
              <w:jc w:val="center"/>
              <w:textAlignment w:val="center"/>
              <w:rPr>
                <w:kern w:val="2"/>
                <w:sz w:val="21"/>
                <w:szCs w:val="21"/>
              </w:rPr>
            </w:pPr>
            <w:r>
              <w:rPr>
                <w:rFonts w:hint="eastAsia"/>
                <w:kern w:val="2"/>
                <w:sz w:val="21"/>
                <w:szCs w:val="21"/>
              </w:rPr>
              <w:t>两倍或20万元（取大值）</w:t>
            </w:r>
          </w:p>
        </w:tc>
      </w:tr>
      <w:tr>
        <w:tblPrEx>
          <w:tblCellMar>
            <w:top w:w="0" w:type="dxa"/>
            <w:left w:w="0" w:type="dxa"/>
            <w:bottom w:w="0" w:type="dxa"/>
            <w:right w:w="0" w:type="dxa"/>
          </w:tblCellMar>
        </w:tblPrEx>
        <w:trPr>
          <w:trHeight w:val="95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31</w:t>
            </w:r>
          </w:p>
        </w:tc>
        <w:tc>
          <w:tcPr>
            <w:tcW w:w="934"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textAlignment w:val="center"/>
              <w:rPr>
                <w:kern w:val="2"/>
                <w:sz w:val="21"/>
                <w:szCs w:val="21"/>
              </w:rPr>
            </w:pPr>
            <w:r>
              <w:rPr>
                <w:rFonts w:hint="eastAsia"/>
                <w:kern w:val="2"/>
                <w:sz w:val="21"/>
                <w:szCs w:val="21"/>
              </w:rPr>
              <w:t>发生受到政府行政执法机关通报的环境负面事件，若同时受到经济处罚，则扣除的违约金为受到经济处罚金额的两倍或20万元（取大值）</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kern w:val="2"/>
                <w:sz w:val="21"/>
                <w:szCs w:val="21"/>
              </w:rPr>
            </w:pPr>
            <w:r>
              <w:rPr>
                <w:rFonts w:hint="eastAsia"/>
                <w:kern w:val="2"/>
                <w:sz w:val="21"/>
                <w:szCs w:val="21"/>
              </w:rPr>
              <w:t>两倍或20万元（取大值）</w:t>
            </w:r>
          </w:p>
        </w:tc>
      </w:tr>
      <w:tr>
        <w:tblPrEx>
          <w:tblCellMar>
            <w:top w:w="0" w:type="dxa"/>
            <w:left w:w="0" w:type="dxa"/>
            <w:bottom w:w="0" w:type="dxa"/>
            <w:right w:w="0" w:type="dxa"/>
          </w:tblCellMar>
        </w:tblPrEx>
        <w:trPr>
          <w:trHeight w:val="70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32</w:t>
            </w:r>
          </w:p>
        </w:tc>
        <w:tc>
          <w:tcPr>
            <w:tcW w:w="934"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numPr>
                <w:ilvl w:val="255"/>
                <w:numId w:val="0"/>
              </w:numPr>
              <w:spacing w:before="120" w:beforeLines="50"/>
              <w:textAlignment w:val="center"/>
              <w:rPr>
                <w:kern w:val="2"/>
                <w:sz w:val="21"/>
                <w:szCs w:val="21"/>
              </w:rPr>
            </w:pPr>
            <w:r>
              <w:rPr>
                <w:rFonts w:hint="eastAsia"/>
                <w:kern w:val="2"/>
                <w:sz w:val="21"/>
                <w:szCs w:val="21"/>
              </w:rPr>
              <w:t>未按照规定设置安全生产管理机构或者配备足够安全生产管理人员的；</w:t>
            </w:r>
          </w:p>
          <w:p>
            <w:pPr>
              <w:numPr>
                <w:ilvl w:val="255"/>
                <w:numId w:val="0"/>
              </w:numPr>
              <w:spacing w:before="120" w:beforeLines="50"/>
              <w:textAlignment w:val="center"/>
              <w:rPr>
                <w:kern w:val="2"/>
                <w:sz w:val="21"/>
                <w:szCs w:val="21"/>
              </w:rPr>
            </w:pPr>
            <w:r>
              <w:rPr>
                <w:rFonts w:hint="eastAsia"/>
                <w:kern w:val="2"/>
                <w:sz w:val="21"/>
                <w:szCs w:val="21"/>
              </w:rPr>
              <w:t>施工相关作业文件、人员培训记录、资质报告文件等弄虚作假；</w:t>
            </w:r>
          </w:p>
          <w:p>
            <w:pPr>
              <w:numPr>
                <w:ilvl w:val="255"/>
                <w:numId w:val="0"/>
              </w:numPr>
              <w:spacing w:before="120" w:beforeLines="50"/>
              <w:textAlignment w:val="center"/>
              <w:rPr>
                <w:kern w:val="2"/>
                <w:sz w:val="21"/>
                <w:szCs w:val="21"/>
              </w:rPr>
            </w:pPr>
            <w:r>
              <w:rPr>
                <w:rFonts w:hint="eastAsia"/>
                <w:kern w:val="2"/>
                <w:sz w:val="21"/>
                <w:szCs w:val="21"/>
              </w:rPr>
              <w:t>管理人员违章指挥、强令冒险作业，即刻风险不及时制止或拒绝整改；</w:t>
            </w:r>
          </w:p>
          <w:p>
            <w:pPr>
              <w:numPr>
                <w:ilvl w:val="255"/>
                <w:numId w:val="0"/>
              </w:numPr>
              <w:spacing w:before="120" w:beforeLines="50"/>
              <w:textAlignment w:val="center"/>
              <w:rPr>
                <w:kern w:val="2"/>
                <w:sz w:val="21"/>
                <w:szCs w:val="21"/>
              </w:rPr>
            </w:pPr>
            <w:r>
              <w:rPr>
                <w:rFonts w:hint="eastAsia"/>
                <w:kern w:val="2"/>
                <w:sz w:val="21"/>
                <w:szCs w:val="21"/>
              </w:rPr>
              <w:t>无施工文件（施工方案、工作程序等）情况下组织施工（包括未经审批或审批未完成）、不按施工文件（施工方案、工作程序等）要求施工，擅自改变既定的安全措施，降低防护水平或条件；</w:t>
            </w:r>
          </w:p>
          <w:p>
            <w:pPr>
              <w:numPr>
                <w:ilvl w:val="255"/>
                <w:numId w:val="0"/>
              </w:numPr>
              <w:spacing w:before="120" w:beforeLines="50"/>
              <w:textAlignment w:val="center"/>
              <w:rPr>
                <w:kern w:val="2"/>
                <w:sz w:val="21"/>
                <w:szCs w:val="21"/>
              </w:rPr>
            </w:pPr>
            <w:r>
              <w:rPr>
                <w:rFonts w:hint="eastAsia"/>
                <w:kern w:val="2"/>
                <w:sz w:val="21"/>
                <w:szCs w:val="21"/>
              </w:rPr>
              <w:t>塔吊、施工升降机、吊篮、爬架等特殊设备设施未经检验或检验不合格擅自使用；</w:t>
            </w:r>
          </w:p>
          <w:p>
            <w:pPr>
              <w:numPr>
                <w:ilvl w:val="255"/>
                <w:numId w:val="0"/>
              </w:numPr>
              <w:spacing w:before="120" w:beforeLines="50"/>
              <w:textAlignment w:val="center"/>
              <w:rPr>
                <w:kern w:val="2"/>
                <w:sz w:val="21"/>
                <w:szCs w:val="21"/>
              </w:rPr>
            </w:pPr>
            <w:r>
              <w:rPr>
                <w:rFonts w:hint="eastAsia"/>
                <w:kern w:val="2"/>
                <w:sz w:val="21"/>
                <w:szCs w:val="21"/>
              </w:rPr>
              <w:t>特种作业人员或特种设备操作人员未持证上岗或从事的工作与其技能不符；</w:t>
            </w:r>
          </w:p>
          <w:p>
            <w:pPr>
              <w:numPr>
                <w:ilvl w:val="255"/>
                <w:numId w:val="0"/>
              </w:numPr>
              <w:spacing w:before="120" w:beforeLines="50"/>
              <w:textAlignment w:val="center"/>
              <w:rPr>
                <w:kern w:val="2"/>
                <w:sz w:val="21"/>
                <w:szCs w:val="21"/>
              </w:rPr>
            </w:pPr>
            <w:r>
              <w:rPr>
                <w:rFonts w:hint="eastAsia"/>
                <w:kern w:val="2"/>
                <w:sz w:val="21"/>
                <w:szCs w:val="21"/>
              </w:rPr>
              <w:t>项目经理或安全经理未经发包人同意连续半个月以上不在现场；</w:t>
            </w:r>
          </w:p>
          <w:p>
            <w:pPr>
              <w:spacing w:before="120" w:beforeLines="50"/>
              <w:textAlignment w:val="center"/>
              <w:rPr>
                <w:kern w:val="2"/>
                <w:sz w:val="21"/>
                <w:szCs w:val="21"/>
              </w:rPr>
            </w:pPr>
            <w:r>
              <w:rPr>
                <w:rFonts w:hint="eastAsia"/>
                <w:kern w:val="2"/>
                <w:sz w:val="21"/>
                <w:szCs w:val="21"/>
              </w:rPr>
              <w:t>其他发包人视情节认定的情形</w:t>
            </w:r>
          </w:p>
        </w:tc>
        <w:tc>
          <w:tcPr>
            <w:tcW w:w="2100" w:type="dxa"/>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p>
            <w:pPr>
              <w:spacing w:before="120" w:beforeLines="50"/>
              <w:jc w:val="center"/>
              <w:textAlignment w:val="center"/>
              <w:rPr>
                <w:kern w:val="2"/>
                <w:sz w:val="21"/>
                <w:szCs w:val="21"/>
              </w:rPr>
            </w:pPr>
            <w:r>
              <w:rPr>
                <w:rFonts w:hint="eastAsia"/>
                <w:kern w:val="2"/>
                <w:sz w:val="21"/>
                <w:szCs w:val="21"/>
                <w:lang w:val="en-US" w:eastAsia="zh-CN"/>
              </w:rPr>
              <w:t>2</w:t>
            </w:r>
            <w:r>
              <w:rPr>
                <w:rFonts w:hint="eastAsia"/>
                <w:kern w:val="2"/>
                <w:sz w:val="21"/>
                <w:szCs w:val="21"/>
              </w:rPr>
              <w:t>万元</w:t>
            </w:r>
          </w:p>
        </w:tc>
      </w:tr>
      <w:tr>
        <w:tblPrEx>
          <w:tblCellMar>
            <w:top w:w="0" w:type="dxa"/>
            <w:left w:w="0" w:type="dxa"/>
            <w:bottom w:w="0" w:type="dxa"/>
            <w:right w:w="0" w:type="dxa"/>
          </w:tblCellMar>
        </w:tblPrEx>
        <w:trPr>
          <w:trHeight w:val="702" w:hRule="atLeast"/>
        </w:trPr>
        <w:tc>
          <w:tcPr>
            <w:tcW w:w="737"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before="120" w:beforeLines="50"/>
              <w:jc w:val="center"/>
              <w:textAlignment w:val="center"/>
              <w:rPr>
                <w:rFonts w:cs="Times New Roman"/>
                <w:sz w:val="21"/>
                <w:szCs w:val="21"/>
              </w:rPr>
            </w:pPr>
            <w:r>
              <w:rPr>
                <w:rFonts w:hint="eastAsia" w:cs="Times New Roman"/>
                <w:sz w:val="21"/>
                <w:szCs w:val="21"/>
              </w:rPr>
              <w:t>33</w:t>
            </w:r>
          </w:p>
        </w:tc>
        <w:tc>
          <w:tcPr>
            <w:tcW w:w="934"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spacing w:before="120" w:beforeLines="50"/>
              <w:jc w:val="center"/>
              <w:rPr>
                <w:rFonts w:cs="Times New Roman"/>
                <w:sz w:val="21"/>
                <w:szCs w:val="21"/>
              </w:rPr>
            </w:pPr>
          </w:p>
        </w:tc>
        <w:tc>
          <w:tcPr>
            <w:tcW w:w="52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numPr>
                <w:ilvl w:val="255"/>
                <w:numId w:val="0"/>
              </w:numPr>
              <w:spacing w:before="120" w:beforeLines="50"/>
              <w:textAlignment w:val="center"/>
              <w:rPr>
                <w:kern w:val="2"/>
                <w:sz w:val="21"/>
                <w:szCs w:val="21"/>
              </w:rPr>
            </w:pPr>
            <w:r>
              <w:rPr>
                <w:rFonts w:hint="eastAsia"/>
                <w:kern w:val="2"/>
                <w:sz w:val="21"/>
                <w:szCs w:val="21"/>
              </w:rPr>
              <w:t>未按规定办理隔离票、动土证、一级动火证、起重吊装许可证、受限空间许可证等许可票证进行作业；</w:t>
            </w:r>
          </w:p>
          <w:p>
            <w:pPr>
              <w:numPr>
                <w:ilvl w:val="255"/>
                <w:numId w:val="0"/>
              </w:numPr>
              <w:spacing w:before="120" w:beforeLines="50"/>
              <w:textAlignment w:val="center"/>
              <w:rPr>
                <w:kern w:val="2"/>
                <w:sz w:val="21"/>
                <w:szCs w:val="21"/>
              </w:rPr>
            </w:pPr>
            <w:r>
              <w:rPr>
                <w:rFonts w:hint="eastAsia"/>
                <w:kern w:val="2"/>
                <w:sz w:val="21"/>
                <w:szCs w:val="21"/>
              </w:rPr>
              <w:t>未按照规定对从业人员、被派遣劳动者、实习学生进行安全生产教育和培训，或者未按照规定如实告知有关的安全生产事项的，或未如实记录安全生产教育和培训情况的；</w:t>
            </w:r>
          </w:p>
          <w:p>
            <w:pPr>
              <w:numPr>
                <w:ilvl w:val="255"/>
                <w:numId w:val="0"/>
              </w:numPr>
              <w:spacing w:before="120" w:beforeLines="50"/>
              <w:textAlignment w:val="center"/>
              <w:rPr>
                <w:kern w:val="2"/>
                <w:sz w:val="21"/>
                <w:szCs w:val="21"/>
              </w:rPr>
            </w:pPr>
            <w:r>
              <w:rPr>
                <w:rFonts w:hint="eastAsia"/>
                <w:kern w:val="2"/>
                <w:sz w:val="21"/>
                <w:szCs w:val="21"/>
              </w:rPr>
              <w:t>从业人员个人劳动保护用品配备标准不满足本合同要求或质量不符合相应标准，逾期整改的；</w:t>
            </w:r>
          </w:p>
          <w:p>
            <w:pPr>
              <w:numPr>
                <w:ilvl w:val="255"/>
                <w:numId w:val="0"/>
              </w:numPr>
              <w:spacing w:before="120" w:beforeLines="50"/>
              <w:textAlignment w:val="center"/>
              <w:rPr>
                <w:kern w:val="2"/>
                <w:sz w:val="21"/>
                <w:szCs w:val="21"/>
              </w:rPr>
            </w:pPr>
            <w:r>
              <w:rPr>
                <w:rFonts w:hint="eastAsia"/>
                <w:kern w:val="2"/>
                <w:sz w:val="21"/>
                <w:szCs w:val="21"/>
              </w:rPr>
              <w:t>安全资源（包括人力、经费、物资）投入不到位，逾期不整改；</w:t>
            </w:r>
          </w:p>
          <w:p>
            <w:pPr>
              <w:numPr>
                <w:ilvl w:val="255"/>
                <w:numId w:val="0"/>
              </w:numPr>
              <w:spacing w:before="120" w:beforeLines="50"/>
              <w:textAlignment w:val="center"/>
              <w:rPr>
                <w:kern w:val="2"/>
                <w:sz w:val="21"/>
                <w:szCs w:val="21"/>
              </w:rPr>
            </w:pPr>
            <w:r>
              <w:rPr>
                <w:rFonts w:hint="eastAsia"/>
                <w:kern w:val="2"/>
                <w:sz w:val="21"/>
                <w:szCs w:val="21"/>
              </w:rPr>
              <w:t>安全防护用具、机械设备、施工机具及配件在进入施工现场前未经查验或者查验不合格即投入使用的；</w:t>
            </w:r>
          </w:p>
          <w:p>
            <w:pPr>
              <w:numPr>
                <w:ilvl w:val="255"/>
                <w:numId w:val="0"/>
              </w:numPr>
              <w:spacing w:before="120" w:beforeLines="50"/>
              <w:textAlignment w:val="center"/>
              <w:rPr>
                <w:kern w:val="2"/>
                <w:sz w:val="21"/>
                <w:szCs w:val="21"/>
              </w:rPr>
            </w:pPr>
            <w:r>
              <w:rPr>
                <w:rFonts w:hint="eastAsia"/>
                <w:kern w:val="2"/>
                <w:sz w:val="21"/>
                <w:szCs w:val="21"/>
              </w:rPr>
              <w:t>发包人发出的书面整改行动逾期不整改；</w:t>
            </w:r>
          </w:p>
          <w:p>
            <w:pPr>
              <w:numPr>
                <w:ilvl w:val="255"/>
                <w:numId w:val="0"/>
              </w:numPr>
              <w:spacing w:before="120" w:beforeLines="50"/>
              <w:textAlignment w:val="center"/>
              <w:rPr>
                <w:kern w:val="2"/>
                <w:sz w:val="21"/>
                <w:szCs w:val="21"/>
              </w:rPr>
            </w:pPr>
            <w:r>
              <w:rPr>
                <w:rFonts w:hint="eastAsia"/>
                <w:kern w:val="2"/>
                <w:sz w:val="21"/>
                <w:szCs w:val="21"/>
              </w:rPr>
              <w:t>其他发包人视情节认定的情形。</w:t>
            </w:r>
          </w:p>
          <w:p>
            <w:pPr>
              <w:spacing w:before="120" w:beforeLines="50"/>
              <w:textAlignment w:val="center"/>
              <w:rPr>
                <w:kern w:val="2"/>
                <w:sz w:val="21"/>
                <w:szCs w:val="21"/>
              </w:rPr>
            </w:pPr>
          </w:p>
        </w:tc>
        <w:tc>
          <w:tcPr>
            <w:tcW w:w="2100" w:type="dxa"/>
            <w:tcBorders>
              <w:top w:val="single" w:color="auto" w:sz="4" w:space="0"/>
              <w:left w:val="single" w:color="auto" w:sz="4" w:space="0"/>
              <w:bottom w:val="single" w:color="000000" w:sz="4" w:space="0"/>
              <w:right w:val="single" w:color="000000" w:sz="4" w:space="0"/>
            </w:tcBorders>
            <w:tcMar>
              <w:top w:w="10" w:type="dxa"/>
              <w:left w:w="10" w:type="dxa"/>
              <w:right w:w="10" w:type="dxa"/>
            </w:tcMar>
            <w:vAlign w:val="center"/>
          </w:tcPr>
          <w:p>
            <w:pPr>
              <w:spacing w:before="120" w:beforeLines="50"/>
              <w:jc w:val="center"/>
              <w:textAlignment w:val="center"/>
              <w:rPr>
                <w:kern w:val="2"/>
                <w:sz w:val="21"/>
                <w:szCs w:val="21"/>
              </w:rPr>
            </w:pPr>
            <w:r>
              <w:rPr>
                <w:rFonts w:hint="eastAsia"/>
                <w:kern w:val="2"/>
                <w:sz w:val="21"/>
                <w:szCs w:val="21"/>
              </w:rPr>
              <w:t>1万元</w:t>
            </w:r>
          </w:p>
        </w:tc>
      </w:tr>
    </w:tbl>
    <w:p>
      <w:pPr>
        <w:widowControl/>
        <w:jc w:val="left"/>
        <w:rPr>
          <w:rFonts w:hint="eastAsia" w:ascii="宋体" w:hAnsi="宋体" w:cs="仿宋_GB2312"/>
          <w:szCs w:val="21"/>
        </w:rPr>
      </w:pPr>
    </w:p>
    <w:p>
      <w:pPr>
        <w:widowControl w:val="0"/>
        <w:numPr>
          <w:ilvl w:val="-1"/>
          <w:numId w:val="0"/>
        </w:numPr>
        <w:spacing w:line="360" w:lineRule="auto"/>
        <w:ind w:left="483" w:leftChars="0" w:hanging="483" w:hangingChars="230"/>
        <w:rPr>
          <w:rFonts w:hint="eastAsia" w:cs="Times New Roman"/>
          <w:b/>
          <w:kern w:val="2"/>
          <w:lang w:eastAsia="zh-CN"/>
        </w:rPr>
      </w:pPr>
    </w:p>
    <w:p>
      <w:pPr>
        <w:widowControl w:val="0"/>
        <w:numPr>
          <w:ilvl w:val="-1"/>
          <w:numId w:val="0"/>
        </w:numPr>
        <w:spacing w:line="360" w:lineRule="auto"/>
        <w:ind w:left="483" w:leftChars="0" w:hanging="483" w:hangingChars="230"/>
        <w:rPr>
          <w:rFonts w:hint="eastAsia" w:cs="Times New Roman"/>
          <w:kern w:val="2"/>
        </w:rPr>
      </w:pPr>
      <w:r>
        <w:rPr>
          <w:rFonts w:hint="eastAsia" w:cs="Times New Roman"/>
          <w:b/>
          <w:kern w:val="2"/>
          <w:lang w:eastAsia="zh-CN"/>
        </w:rPr>
        <w:t>第二章、</w:t>
      </w:r>
      <w:r>
        <w:rPr>
          <w:rFonts w:hint="eastAsia" w:cs="Times New Roman"/>
          <w:b/>
          <w:kern w:val="2"/>
        </w:rPr>
        <w:t>项目日常管理</w:t>
      </w:r>
    </w:p>
    <w:p>
      <w:pPr>
        <w:widowControl w:val="0"/>
        <w:numPr>
          <w:ilvl w:val="0"/>
          <w:numId w:val="2"/>
        </w:numPr>
        <w:spacing w:line="360" w:lineRule="auto"/>
        <w:ind w:left="2" w:hanging="2"/>
        <w:jc w:val="left"/>
        <w:rPr>
          <w:rFonts w:hint="eastAsia" w:ascii="宋体" w:hAnsi="宋体" w:cs="仿宋_GB2312"/>
          <w:szCs w:val="21"/>
        </w:rPr>
      </w:pPr>
      <w:r>
        <w:rPr>
          <w:rFonts w:hint="eastAsia" w:cs="Times New Roman"/>
          <w:kern w:val="2"/>
        </w:rPr>
        <w:t>工程质量管理</w:t>
      </w:r>
      <w:r>
        <w:rPr>
          <w:rFonts w:hint="eastAsia" w:cs="Times New Roman"/>
          <w:kern w:val="2"/>
        </w:rPr>
        <w:cr/>
      </w:r>
      <w:r>
        <w:rPr>
          <w:rFonts w:hint="eastAsia" w:cs="Times New Roman"/>
          <w:kern w:val="2"/>
        </w:rPr>
        <w:t>1. 现场应建立健全质量管理保证体系，未按要求配备质量管理人员的，由监理部提出书面限期整改要求，未按要求限期整改的，每次罚款5000元。</w:t>
      </w:r>
      <w:r>
        <w:rPr>
          <w:rFonts w:hint="eastAsia" w:cs="Times New Roman"/>
          <w:kern w:val="2"/>
        </w:rPr>
        <w:cr/>
      </w:r>
      <w:r>
        <w:rPr>
          <w:rFonts w:hint="eastAsia" w:cs="Times New Roman"/>
          <w:kern w:val="2"/>
        </w:rPr>
        <w:t>2. 施工单位必须严格按照批准的施工组织设计（方案）、专项施工方案施工，不得擅自修改、调整。如在施工过程中考虑到工期、质量因素确需调整、修改时，必须以书面形式上报监理部审核其调整可行性，监理同意后，上报建设单位批准实施，施工方案未经审批或擅自不按批准的施工组织设计（方案）、专项施工方案施工的，罚款2000元。</w:t>
      </w:r>
      <w:r>
        <w:rPr>
          <w:rFonts w:hint="eastAsia" w:cs="Times New Roman"/>
          <w:kern w:val="2"/>
        </w:rPr>
        <w:cr/>
      </w:r>
      <w:r>
        <w:rPr>
          <w:rFonts w:hint="eastAsia" w:cs="Times New Roman"/>
          <w:kern w:val="2"/>
        </w:rPr>
        <w:t>3. 在分项或子分项工程施工前，施工单位技术人员必须向操作人员进行技术交底，交底应真实、有效、有记录、有交底人和被交底人签字。没有进行交底或交底不清的，按每个分项工程罚款</w:t>
      </w:r>
      <w:r>
        <w:rPr>
          <w:rFonts w:hint="eastAsia" w:cs="Times New Roman"/>
          <w:kern w:val="2"/>
          <w:lang w:val="en-US" w:eastAsia="zh-CN"/>
        </w:rPr>
        <w:t>5000</w:t>
      </w:r>
      <w:r>
        <w:rPr>
          <w:rFonts w:hint="eastAsia" w:cs="Times New Roman"/>
          <w:kern w:val="2"/>
        </w:rPr>
        <w:t>元处理；有交底但操作人员未按交底执行，发生质量问题，按每个分项工程罚款</w:t>
      </w:r>
      <w:r>
        <w:rPr>
          <w:rFonts w:hint="eastAsia" w:cs="Times New Roman"/>
          <w:kern w:val="2"/>
          <w:lang w:val="en-US" w:eastAsia="zh-CN"/>
        </w:rPr>
        <w:t>2000</w:t>
      </w:r>
      <w:r>
        <w:rPr>
          <w:rFonts w:hint="eastAsia" w:cs="Times New Roman"/>
          <w:kern w:val="2"/>
        </w:rPr>
        <w:t>元。</w:t>
      </w:r>
      <w:r>
        <w:rPr>
          <w:rFonts w:hint="eastAsia" w:cs="Times New Roman"/>
          <w:kern w:val="2"/>
        </w:rPr>
        <w:cr/>
      </w:r>
      <w:r>
        <w:rPr>
          <w:rFonts w:hint="eastAsia" w:cs="Times New Roman"/>
          <w:kern w:val="2"/>
        </w:rPr>
        <w:t>4. 工程材料、设备、构配件进场及使用必须经专业监理工程师签字同意，未经同意不得进场和使用，违者除返工、材料退场之外，每次罚款5000元。</w:t>
      </w:r>
      <w:r>
        <w:rPr>
          <w:rFonts w:hint="eastAsia" w:cs="Times New Roman"/>
          <w:kern w:val="2"/>
        </w:rPr>
        <w:cr/>
      </w:r>
      <w:r>
        <w:rPr>
          <w:rFonts w:hint="eastAsia" w:cs="Times New Roman"/>
          <w:kern w:val="2"/>
        </w:rPr>
        <w:t>5. 按规定凡属监理单位见证取样的项目，必须通知监理单位见证取样，如未通知擅自取样送检的，除复试取样无效外，每次按罚款5000元处理；建筑材料须在取得见证送检合格报告后，才能使用，如擅自提前使用，每发现一次，罚款2000元。</w:t>
      </w:r>
      <w:r>
        <w:rPr>
          <w:rFonts w:hint="eastAsia" w:cs="Times New Roman"/>
          <w:kern w:val="2"/>
        </w:rPr>
        <w:cr/>
      </w:r>
      <w:r>
        <w:rPr>
          <w:rFonts w:hint="eastAsia" w:cs="Times New Roman"/>
          <w:kern w:val="2"/>
        </w:rPr>
        <w:t>6. 为确保本项目建设质量，施工单位在原则上应在项目实施过程中选择合同材料品牌库内的品牌，并在使用前报建设单位确认批准，未经建设单位确认批准而擅自使用的，每次罚款5000元；如选择材料品牌库范围外的品牌，其品牌品质应不低于参考品牌，并取得建设单位书面认可，未按要求取得建设单位书面同意而擅自使用的，每次罚款10000元。</w:t>
      </w:r>
      <w:r>
        <w:rPr>
          <w:rFonts w:hint="eastAsia" w:cs="Times New Roman"/>
          <w:kern w:val="2"/>
        </w:rPr>
        <w:cr/>
      </w:r>
      <w:r>
        <w:rPr>
          <w:rFonts w:hint="eastAsia" w:cs="Times New Roman"/>
          <w:kern w:val="2"/>
        </w:rPr>
        <w:t>7. 在施工过程中应严格执行“三检制”（自检、互检、交接检），未执行“三检制”或检查工作不认真，造成监理二次验收不合格及以上者，每次罚款</w:t>
      </w:r>
      <w:r>
        <w:rPr>
          <w:rFonts w:hint="eastAsia" w:cs="Times New Roman"/>
          <w:kern w:val="2"/>
          <w:lang w:val="en-US" w:eastAsia="zh-CN"/>
        </w:rPr>
        <w:t>2000</w:t>
      </w:r>
      <w:r>
        <w:rPr>
          <w:rFonts w:hint="eastAsia" w:cs="Times New Roman"/>
          <w:kern w:val="2"/>
        </w:rPr>
        <w:t>元。</w:t>
      </w:r>
      <w:r>
        <w:rPr>
          <w:rFonts w:hint="eastAsia" w:cs="Times New Roman"/>
          <w:kern w:val="2"/>
        </w:rPr>
        <w:cr/>
      </w:r>
      <w:r>
        <w:rPr>
          <w:rFonts w:hint="eastAsia" w:cs="Times New Roman"/>
          <w:kern w:val="2"/>
        </w:rPr>
        <w:t>8. 现场出现的质量问题，应编制处理方案或措施，并按审批后的方案或措施进行整改处理，未按要求私自处理的，每次罚款</w:t>
      </w:r>
      <w:r>
        <w:rPr>
          <w:rFonts w:hint="eastAsia" w:cs="Times New Roman"/>
          <w:kern w:val="2"/>
          <w:lang w:val="en-US" w:eastAsia="zh-CN"/>
        </w:rPr>
        <w:t>5000</w:t>
      </w:r>
      <w:r>
        <w:rPr>
          <w:rFonts w:hint="eastAsia" w:cs="Times New Roman"/>
          <w:kern w:val="2"/>
        </w:rPr>
        <w:t>元。</w:t>
      </w:r>
      <w:r>
        <w:rPr>
          <w:rFonts w:hint="eastAsia" w:cs="Times New Roman"/>
          <w:kern w:val="2"/>
        </w:rPr>
        <w:cr/>
      </w:r>
      <w:r>
        <w:rPr>
          <w:rFonts w:hint="eastAsia" w:cs="Times New Roman"/>
          <w:kern w:val="2"/>
        </w:rPr>
        <w:t>9. 监理在日常巡视、旁站、平行检验等过程中发现的质量问题，会以《工作联系单》或《监理通知单》的方式要求整改，施工单位未按规定时间整改或整改不到位的，每次罚款2000元，以上包括未按规定回复《监理通知单》。</w:t>
      </w:r>
      <w:r>
        <w:rPr>
          <w:rFonts w:hint="eastAsia" w:cs="Times New Roman"/>
          <w:kern w:val="2"/>
        </w:rPr>
        <w:cr/>
      </w:r>
      <w:r>
        <w:rPr>
          <w:rFonts w:hint="eastAsia" w:cs="Times New Roman"/>
          <w:kern w:val="2"/>
        </w:rPr>
        <w:t>10. 对工程会议上要求解决的质量问题及各方商定认可的决议，施工单位应按时执行，无正当理由未执行的，以每一项为单位，罚款</w:t>
      </w:r>
      <w:r>
        <w:rPr>
          <w:rFonts w:hint="eastAsia" w:cs="Times New Roman"/>
          <w:kern w:val="2"/>
          <w:lang w:val="en-US" w:eastAsia="zh-CN"/>
        </w:rPr>
        <w:t>2000</w:t>
      </w:r>
      <w:r>
        <w:rPr>
          <w:rFonts w:hint="eastAsia" w:cs="Times New Roman"/>
          <w:kern w:val="2"/>
        </w:rPr>
        <w:t>元，每拖延一天，罚款1000元，罚款总额累计计算。</w:t>
      </w:r>
      <w:r>
        <w:rPr>
          <w:rFonts w:hint="eastAsia" w:cs="Times New Roman"/>
          <w:kern w:val="2"/>
        </w:rPr>
        <w:cr/>
      </w:r>
      <w:r>
        <w:rPr>
          <w:rFonts w:hint="eastAsia" w:cs="Times New Roman"/>
          <w:kern w:val="2"/>
        </w:rPr>
        <w:t>11. 所有的分项工程必须事先进行样板施工，对不进行样板施工的，或样板施工验收不合格而擅自进行施工的，且工程质量达不到要求的，返工并罚款5000元/每次。</w:t>
      </w:r>
      <w:r>
        <w:rPr>
          <w:rFonts w:hint="eastAsia" w:cs="Times New Roman"/>
          <w:kern w:val="2"/>
        </w:rPr>
        <w:cr/>
      </w:r>
      <w:r>
        <w:rPr>
          <w:rFonts w:hint="eastAsia" w:cs="Times New Roman"/>
          <w:kern w:val="2"/>
        </w:rPr>
        <w:t>12.  伪造或擅自涂改现场隐蔽验收记录，每发现一次，罚款5000元。</w:t>
      </w:r>
      <w:r>
        <w:rPr>
          <w:rFonts w:hint="eastAsia" w:cs="Times New Roman"/>
          <w:kern w:val="2"/>
        </w:rPr>
        <w:cr/>
      </w:r>
      <w:r>
        <w:rPr>
          <w:rFonts w:hint="eastAsia" w:cs="Times New Roman"/>
          <w:kern w:val="2"/>
        </w:rPr>
        <w:t>13.  伪造材质检验单或提供不合格材质检验单，每发现一次，罚款5000元。</w:t>
      </w:r>
      <w:r>
        <w:rPr>
          <w:rFonts w:hint="eastAsia" w:cs="Times New Roman"/>
          <w:kern w:val="2"/>
        </w:rPr>
        <w:cr/>
      </w:r>
      <w:r>
        <w:rPr>
          <w:rFonts w:hint="eastAsia" w:cs="Times New Roman"/>
          <w:kern w:val="2"/>
        </w:rPr>
        <w:t>14. 施工单位应严格按行业标准及规范进行施工，未按相关标准及规范施工而造成质量问题或达不到验收标准的情况，每次给予2000元罚款。</w:t>
      </w:r>
      <w:r>
        <w:rPr>
          <w:rFonts w:hint="eastAsia" w:cs="Times New Roman"/>
          <w:kern w:val="2"/>
        </w:rPr>
        <w:cr/>
      </w:r>
      <w:r>
        <w:rPr>
          <w:rFonts w:hint="eastAsia" w:cs="Times New Roman"/>
          <w:kern w:val="2"/>
        </w:rPr>
        <w:t>15. 在政府部门质检过程中发生被勒令返工的，每次罚款5000元，被勒令停工的罚款10000元。</w:t>
      </w:r>
      <w:r>
        <w:rPr>
          <w:rFonts w:hint="eastAsia" w:cs="Times New Roman"/>
          <w:kern w:val="2"/>
        </w:rPr>
        <w:cr/>
      </w:r>
      <w:r>
        <w:rPr>
          <w:rFonts w:hint="eastAsia" w:cs="Times New Roman"/>
          <w:kern w:val="2"/>
        </w:rPr>
        <w:t>16.  在政府主管部门检查过程中受到通报批评的，每次罚款10000元。</w:t>
      </w:r>
      <w:r>
        <w:rPr>
          <w:rFonts w:hint="eastAsia" w:cs="Times New Roman"/>
          <w:kern w:val="2"/>
        </w:rPr>
        <w:cr/>
      </w:r>
      <w:r>
        <w:rPr>
          <w:rFonts w:hint="eastAsia" w:cs="Times New Roman"/>
          <w:kern w:val="2"/>
        </w:rPr>
        <w:t>二、工程进度管理</w:t>
      </w:r>
      <w:r>
        <w:rPr>
          <w:rFonts w:hint="eastAsia" w:cs="Times New Roman"/>
          <w:kern w:val="2"/>
        </w:rPr>
        <w:cr/>
      </w:r>
      <w:r>
        <w:rPr>
          <w:rFonts w:hint="eastAsia" w:cs="Times New Roman"/>
          <w:kern w:val="2"/>
        </w:rPr>
        <w:t xml:space="preserve"> 施工单位应按合同约定和建设单位要求编制工程总进度计划，经监理单位、建设单位批准后实施，监理部、项目部备案，并以此为依据进行进度检查和控制。</w:t>
      </w:r>
      <w:r>
        <w:rPr>
          <w:rFonts w:hint="eastAsia" w:cs="Times New Roman"/>
          <w:kern w:val="2"/>
        </w:rPr>
        <w:cr/>
      </w:r>
      <w:r>
        <w:rPr>
          <w:rFonts w:hint="eastAsia" w:cs="Times New Roman"/>
          <w:kern w:val="2"/>
        </w:rPr>
        <w:t>17. 施工单位应依据批准的施工总进度计划按规定的时间制定和上报月进度计划和周进度计划，未在规定时间内上报周进度计划的，每次罚款1000元；未在规定时间内上报月进度计划的，每次罚款2000元。</w:t>
      </w:r>
      <w:r>
        <w:rPr>
          <w:rFonts w:hint="eastAsia" w:cs="Times New Roman"/>
          <w:kern w:val="2"/>
        </w:rPr>
        <w:cr/>
      </w:r>
      <w:r>
        <w:rPr>
          <w:rFonts w:hint="eastAsia" w:cs="Times New Roman"/>
          <w:kern w:val="2"/>
        </w:rPr>
        <w:t>18. 各施工进度计划应科学合理，并以此为依据组织、安排生产，严格控制进度，不得造成拖延。由于施工单位自身原因造成的关键工作工期延误，不能按期完成周计划的，每拖延一天罚款1000元，不能按期完成月计划的，每拖延一天罚款5000元，罚款金额累计计算。</w:t>
      </w:r>
      <w:r>
        <w:rPr>
          <w:rFonts w:hint="eastAsia" w:cs="Times New Roman"/>
          <w:kern w:val="2"/>
        </w:rPr>
        <w:cr/>
      </w:r>
      <w:r>
        <w:rPr>
          <w:rFonts w:hint="eastAsia" w:cs="Times New Roman"/>
          <w:kern w:val="2"/>
        </w:rPr>
        <w:t>19. 施工单位应按监理和建设单位要求，根据工程进展情况，同步收集、整理、编写档案资料，并及时送到监理部，未及时提交资料的，每次罚款1000元。</w:t>
      </w:r>
      <w:r>
        <w:rPr>
          <w:rFonts w:hint="eastAsia" w:cs="Times New Roman"/>
          <w:kern w:val="2"/>
        </w:rPr>
        <w:cr/>
      </w:r>
      <w:r>
        <w:rPr>
          <w:rFonts w:hint="eastAsia" w:cs="Times New Roman"/>
          <w:kern w:val="2"/>
        </w:rPr>
        <w:t>三、工程安全文明施工管理</w:t>
      </w:r>
      <w:r>
        <w:rPr>
          <w:rFonts w:hint="eastAsia" w:cs="Times New Roman"/>
          <w:kern w:val="2"/>
        </w:rPr>
        <w:cr/>
      </w:r>
      <w:r>
        <w:rPr>
          <w:rFonts w:hint="eastAsia" w:cs="Times New Roman"/>
          <w:kern w:val="2"/>
        </w:rPr>
        <w:t>20. 必须建立健全的安全组织机构、安全管理体系和文明施工保证体系，配置专职安全人员。未按要求配置的，由监理部提出限期整改要求，未限期整改的，每次罚款5000元。</w:t>
      </w:r>
      <w:r>
        <w:rPr>
          <w:rFonts w:hint="eastAsia" w:cs="Times New Roman"/>
          <w:kern w:val="2"/>
        </w:rPr>
        <w:cr/>
      </w:r>
      <w:r>
        <w:rPr>
          <w:rFonts w:hint="eastAsia" w:cs="Times New Roman"/>
          <w:kern w:val="2"/>
        </w:rPr>
        <w:t>21. 必须建立健全各项安全生产规章制度，制度不健全的，要求限期整改，未限期整改的，每次罚款2000元。</w:t>
      </w:r>
      <w:r>
        <w:rPr>
          <w:rFonts w:hint="eastAsia" w:cs="Times New Roman"/>
          <w:kern w:val="2"/>
        </w:rPr>
        <w:cr/>
      </w:r>
      <w:r>
        <w:rPr>
          <w:rFonts w:hint="eastAsia" w:cs="Times New Roman"/>
          <w:kern w:val="2"/>
        </w:rPr>
        <w:t>22. 施工现场专职安全员必须持证上岗，全面负责施工现场安全检查、安全活动、安全宣传工作。施工现场如没有专职安全员或专职安全员没上岗证，处以5000元罚款。</w:t>
      </w:r>
      <w:r>
        <w:rPr>
          <w:rFonts w:hint="eastAsia" w:cs="Times New Roman"/>
          <w:kern w:val="2"/>
        </w:rPr>
        <w:cr/>
      </w:r>
      <w:r>
        <w:rPr>
          <w:rFonts w:hint="eastAsia" w:cs="Times New Roman"/>
          <w:kern w:val="2"/>
        </w:rPr>
        <w:t>23. 工程开工前专项施工方案必须按程序进行审批，施工单位应严格按照审批的方案进行安全施工，专项方案未经审批或违反方案施工的，罚款5000元。</w:t>
      </w:r>
      <w:r>
        <w:rPr>
          <w:rFonts w:hint="eastAsia" w:cs="Times New Roman"/>
          <w:kern w:val="2"/>
        </w:rPr>
        <w:cr/>
      </w:r>
      <w:r>
        <w:rPr>
          <w:rFonts w:hint="eastAsia" w:cs="Times New Roman"/>
          <w:kern w:val="2"/>
        </w:rPr>
        <w:t>24. 施工现场的库房、机械设备、材料、成品、半成品、模板、脚手工具、加工场地、办公室、厕所等布置，须严格按照监理部批准的最新现场总平面图中位置布置，不按照规定的位置布置，以每处为单位，每处罚款</w:t>
      </w:r>
      <w:r>
        <w:rPr>
          <w:rFonts w:hint="eastAsia" w:cs="Times New Roman"/>
          <w:kern w:val="2"/>
          <w:lang w:val="en-US" w:eastAsia="zh-CN"/>
        </w:rPr>
        <w:t>500</w:t>
      </w:r>
      <w:r>
        <w:rPr>
          <w:rFonts w:hint="eastAsia" w:cs="Times New Roman"/>
          <w:kern w:val="2"/>
        </w:rPr>
        <w:t>元。未按监理通知限定的期限整改，每拖延一天整改，罚款200元，罚款总额累加。</w:t>
      </w:r>
      <w:r>
        <w:rPr>
          <w:rFonts w:hint="eastAsia" w:cs="Times New Roman"/>
          <w:kern w:val="2"/>
        </w:rPr>
        <w:cr/>
      </w:r>
      <w:r>
        <w:rPr>
          <w:rFonts w:hint="eastAsia" w:cs="Times New Roman"/>
          <w:kern w:val="2"/>
        </w:rPr>
        <w:t>25. 建筑垃圾或废旧材料不按照现场总平面布置位置堆放、不按时清运或堆放场已满，不及时外运。每发现一次，罚款</w:t>
      </w:r>
      <w:r>
        <w:rPr>
          <w:rFonts w:hint="eastAsia" w:cs="Times New Roman"/>
          <w:kern w:val="2"/>
          <w:lang w:val="en-US" w:eastAsia="zh-CN"/>
        </w:rPr>
        <w:t>10</w:t>
      </w:r>
      <w:r>
        <w:rPr>
          <w:rFonts w:hint="eastAsia" w:cs="Times New Roman"/>
          <w:kern w:val="2"/>
        </w:rPr>
        <w:t>00元。未按监理或甲方通知限定的期限整改，每拖延一天，罚款500元，罚款总额累加。</w:t>
      </w:r>
      <w:r>
        <w:rPr>
          <w:rFonts w:hint="eastAsia" w:cs="Times New Roman"/>
          <w:kern w:val="2"/>
        </w:rPr>
        <w:cr/>
      </w:r>
      <w:r>
        <w:rPr>
          <w:rFonts w:hint="eastAsia" w:cs="Times New Roman"/>
          <w:kern w:val="2"/>
        </w:rPr>
        <w:t>26. 材料必须分类堆放且堆放整齐，做好明确标识；如无明确标识或未堆放整齐，每发现一次罚款</w:t>
      </w:r>
      <w:r>
        <w:rPr>
          <w:rFonts w:hint="eastAsia" w:cs="Times New Roman"/>
          <w:kern w:val="2"/>
          <w:lang w:val="en-US" w:eastAsia="zh-CN"/>
        </w:rPr>
        <w:t>500</w:t>
      </w:r>
      <w:r>
        <w:rPr>
          <w:rFonts w:hint="eastAsia" w:cs="Times New Roman"/>
          <w:kern w:val="2"/>
        </w:rPr>
        <w:t>元；未按监理或甲方通知限定的期限整改，每拖延一天，罚款200元，罚款总额累加。</w:t>
      </w:r>
      <w:r>
        <w:rPr>
          <w:rFonts w:hint="eastAsia" w:cs="Times New Roman"/>
          <w:kern w:val="2"/>
        </w:rPr>
        <w:cr/>
      </w:r>
      <w:r>
        <w:rPr>
          <w:rFonts w:hint="eastAsia" w:cs="Times New Roman"/>
          <w:kern w:val="2"/>
        </w:rPr>
        <w:t>27. 现场内的雨污水排放等，不及时清理排放，每发现一次，罚款</w:t>
      </w:r>
      <w:r>
        <w:rPr>
          <w:rFonts w:hint="eastAsia" w:cs="Times New Roman"/>
          <w:kern w:val="2"/>
          <w:lang w:val="en-US" w:eastAsia="zh-CN"/>
        </w:rPr>
        <w:t>500</w:t>
      </w:r>
      <w:r>
        <w:rPr>
          <w:rFonts w:hint="eastAsia" w:cs="Times New Roman"/>
          <w:kern w:val="2"/>
        </w:rPr>
        <w:t>元，并按监理或甲方通知限定的期限整改，不按时整改，每拖延一天，罚款200元，罚款总额累加。</w:t>
      </w:r>
      <w:r>
        <w:rPr>
          <w:rFonts w:hint="eastAsia" w:cs="Times New Roman"/>
          <w:kern w:val="2"/>
        </w:rPr>
        <w:cr/>
      </w:r>
      <w:r>
        <w:rPr>
          <w:rFonts w:hint="eastAsia" w:cs="Times New Roman"/>
          <w:kern w:val="2"/>
        </w:rPr>
        <w:t>28. 施工现场的临时施工用电方案须经监理部批准后，方可施工。现场内的临时施工线路敷设，必须使用合格的电力电缆埋地敷设，架空或挂墙须按规范敷设，接入设备或配电箱的电线电缆要规整 ，未按方案要求执行，每处罚款2000元。未按监理或甲方通知限定的期限整改，每拖延一天，每处罚款1000元，罚款总额累加。</w:t>
      </w:r>
      <w:r>
        <w:rPr>
          <w:rFonts w:hint="eastAsia" w:cs="Times New Roman"/>
          <w:kern w:val="2"/>
        </w:rPr>
        <w:cr/>
      </w:r>
      <w:r>
        <w:rPr>
          <w:rFonts w:hint="eastAsia" w:cs="Times New Roman"/>
          <w:kern w:val="2"/>
        </w:rPr>
        <w:t>29. 配电箱（柜）、开关箱安装使用应符合《施工现场临时用电安全技术规范》JGJ46-2005标准要求，无工作零线端子、无保护接地端子、非三相五线制、非一机一闸一漏电、开关无盖、配电箱无箱门，无防雨措施等，以每一项或每一条为单位，罚款</w:t>
      </w:r>
      <w:r>
        <w:rPr>
          <w:rFonts w:hint="eastAsia" w:cs="Times New Roman"/>
          <w:kern w:val="2"/>
          <w:lang w:val="en-US" w:eastAsia="zh-CN"/>
        </w:rPr>
        <w:t>2000</w:t>
      </w:r>
      <w:r>
        <w:rPr>
          <w:rFonts w:hint="eastAsia" w:cs="Times New Roman"/>
          <w:kern w:val="2"/>
        </w:rPr>
        <w:t>元。未按监理或甲方通知限定的期限整改，每拖延一天，对每一项或每一条罚款1000元，罚款总额累加。</w:t>
      </w:r>
      <w:r>
        <w:rPr>
          <w:rFonts w:hint="eastAsia" w:cs="Times New Roman"/>
          <w:kern w:val="2"/>
        </w:rPr>
        <w:cr/>
      </w:r>
      <w:r>
        <w:rPr>
          <w:rFonts w:hint="eastAsia" w:cs="Times New Roman"/>
          <w:kern w:val="2"/>
        </w:rPr>
        <w:t>30. 施工现场严禁酗酒、赌博、聚众滋事、打架斗殴、每发生一次罚款</w:t>
      </w:r>
      <w:r>
        <w:rPr>
          <w:rFonts w:hint="eastAsia" w:cs="Times New Roman"/>
          <w:kern w:val="2"/>
          <w:lang w:val="en-US" w:eastAsia="zh-CN"/>
        </w:rPr>
        <w:t>10000</w:t>
      </w:r>
      <w:r>
        <w:rPr>
          <w:rFonts w:hint="eastAsia" w:cs="Times New Roman"/>
          <w:kern w:val="2"/>
        </w:rPr>
        <w:t>元，情节严重的移交公安机关处理。</w:t>
      </w:r>
      <w:r>
        <w:rPr>
          <w:rFonts w:hint="eastAsia" w:cs="Times New Roman"/>
          <w:kern w:val="2"/>
        </w:rPr>
        <w:cr/>
      </w:r>
      <w:r>
        <w:rPr>
          <w:rFonts w:hint="eastAsia" w:cs="Times New Roman"/>
          <w:kern w:val="2"/>
        </w:rPr>
        <w:t>31. 在施工现场穿拖鞋或凉鞋的工人，每人次罚款200元。在施工现场禁烟吸烟，楼层内随地大小便，每发现一处，罚款</w:t>
      </w:r>
      <w:r>
        <w:rPr>
          <w:rFonts w:hint="eastAsia" w:cs="Times New Roman"/>
          <w:kern w:val="2"/>
          <w:lang w:val="en-US" w:eastAsia="zh-CN"/>
        </w:rPr>
        <w:t>200</w:t>
      </w:r>
      <w:r>
        <w:rPr>
          <w:rFonts w:hint="eastAsia" w:cs="Times New Roman"/>
          <w:kern w:val="2"/>
        </w:rPr>
        <w:t>元。</w:t>
      </w:r>
      <w:r>
        <w:rPr>
          <w:rFonts w:hint="eastAsia" w:cs="Times New Roman"/>
          <w:kern w:val="2"/>
        </w:rPr>
        <w:cr/>
      </w:r>
      <w:r>
        <w:rPr>
          <w:rFonts w:hint="eastAsia" w:cs="Times New Roman"/>
          <w:kern w:val="2"/>
        </w:rPr>
        <w:t>32. 进入施工现场不戴安全帽者、不扣帽扣，高处作业安全带不系、挂设规范，每人次罚款</w:t>
      </w:r>
      <w:r>
        <w:rPr>
          <w:rFonts w:hint="eastAsia" w:cs="Times New Roman"/>
          <w:kern w:val="2"/>
          <w:lang w:val="en-US" w:eastAsia="zh-CN"/>
        </w:rPr>
        <w:t>500</w:t>
      </w:r>
      <w:r>
        <w:rPr>
          <w:rFonts w:hint="eastAsia" w:cs="Times New Roman"/>
          <w:kern w:val="2"/>
        </w:rPr>
        <w:t>元</w:t>
      </w:r>
      <w:r>
        <w:rPr>
          <w:rFonts w:hint="eastAsia" w:cs="Times New Roman"/>
          <w:kern w:val="2"/>
        </w:rPr>
        <w:cr/>
      </w:r>
      <w:r>
        <w:rPr>
          <w:rFonts w:hint="eastAsia" w:cs="Times New Roman"/>
          <w:kern w:val="2"/>
        </w:rPr>
        <w:t>33. “三宝、四口、五临边”防护不合格，罚款500元/项•条。未按监理通知限定的期限整改，每拖延一天罚款200元，罚款总额累加。</w:t>
      </w:r>
      <w:r>
        <w:rPr>
          <w:rFonts w:hint="eastAsia" w:cs="Times New Roman"/>
          <w:kern w:val="2"/>
        </w:rPr>
        <w:cr/>
      </w:r>
      <w:r>
        <w:rPr>
          <w:rFonts w:hint="eastAsia" w:cs="Times New Roman"/>
          <w:kern w:val="2"/>
        </w:rPr>
        <w:t>34. 安全通道不合格、无安全通道指示标志、无封道指示标志、安全通道无照明、照明设施无人及时维护者，以每一项或每一条为单位，罚款500元。未按监理通知限定的期限整改，每拖一天罚款500元，罚款总额累加。</w:t>
      </w:r>
      <w:r>
        <w:rPr>
          <w:rFonts w:hint="eastAsia" w:cs="Times New Roman"/>
          <w:kern w:val="2"/>
        </w:rPr>
        <w:cr/>
      </w:r>
      <w:r>
        <w:rPr>
          <w:rFonts w:hint="eastAsia" w:cs="Times New Roman"/>
          <w:kern w:val="2"/>
        </w:rPr>
        <w:t>35. 施工现场应在规定的位置设置灭火器，未在规定的位置上设置灭火器、灭火器数量不足、灭火器没有标注检查日期或失效，罚款500元/项•处，未按监理或甲方通知限定的期限整改，每拖延一天罚款200元，罚款总额累加。</w:t>
      </w:r>
      <w:r>
        <w:rPr>
          <w:rFonts w:hint="eastAsia" w:cs="Times New Roman"/>
          <w:kern w:val="2"/>
        </w:rPr>
        <w:tab/>
      </w:r>
      <w:r>
        <w:rPr>
          <w:rFonts w:hint="eastAsia" w:cs="Times New Roman"/>
          <w:kern w:val="2"/>
        </w:rPr>
        <w:cr/>
      </w:r>
      <w:r>
        <w:rPr>
          <w:rFonts w:hint="eastAsia" w:cs="Times New Roman"/>
          <w:kern w:val="2"/>
        </w:rPr>
        <w:t>36. 现场施工机械设备无防护罩（如：电锯、电焊机等），罚款1000元/台，未按监理或甲方通知限定的期限整改，每拖延一天罚款500元/台，罚款总额累加。</w:t>
      </w:r>
      <w:r>
        <w:rPr>
          <w:rFonts w:hint="eastAsia" w:cs="Times New Roman"/>
          <w:kern w:val="2"/>
        </w:rPr>
        <w:cr/>
      </w:r>
      <w:r>
        <w:rPr>
          <w:rFonts w:hint="eastAsia" w:cs="Times New Roman"/>
          <w:kern w:val="2"/>
        </w:rPr>
        <w:t>37. 起重、垂直运输设备必须有产品合格证；安拆方案必须经过监理工程师审批；专业安装单位必须具有法定的安装资质；施工单位和专业安装单位在交接手续上签字必须齐全；运行时机械操作人员、指挥人员必须持证上岗；操作室安全保护措施完善；以上条件每缺少一项罚款1000元。</w:t>
      </w:r>
      <w:r>
        <w:rPr>
          <w:rFonts w:hint="eastAsia" w:cs="Times New Roman"/>
          <w:kern w:val="2"/>
        </w:rPr>
        <w:cr/>
      </w:r>
      <w:r>
        <w:rPr>
          <w:rFonts w:hint="eastAsia" w:cs="Times New Roman"/>
          <w:kern w:val="2"/>
        </w:rPr>
        <w:t>38. 特殊工种操作证必须真实、有效，人证相符，无证上岗或人证不符的，罚款1000元。</w:t>
      </w:r>
      <w:r>
        <w:rPr>
          <w:rFonts w:hint="eastAsia" w:cs="Times New Roman"/>
          <w:kern w:val="2"/>
        </w:rPr>
        <w:cr/>
      </w:r>
      <w:r>
        <w:rPr>
          <w:rFonts w:hint="eastAsia" w:cs="Times New Roman"/>
          <w:kern w:val="2"/>
        </w:rPr>
        <w:t>39. 施工现场采用明火施工作业未办理动火证或未设专人监督管理的，每处罚款1000元。</w:t>
      </w:r>
      <w:r>
        <w:rPr>
          <w:rFonts w:hint="eastAsia" w:cs="Times New Roman"/>
          <w:kern w:val="2"/>
        </w:rPr>
        <w:cr/>
      </w:r>
      <w:r>
        <w:rPr>
          <w:rFonts w:hint="eastAsia" w:cs="Times New Roman"/>
          <w:kern w:val="2"/>
        </w:rPr>
        <w:t>40. 氧气瓶、乙炔瓶等危险物品存放及使用管理不符合安全要求的，每次处罚款1000元。</w:t>
      </w:r>
      <w:r>
        <w:rPr>
          <w:rFonts w:hint="eastAsia" w:cs="Times New Roman"/>
          <w:kern w:val="2"/>
        </w:rPr>
        <w:cr/>
      </w:r>
      <w:r>
        <w:rPr>
          <w:rFonts w:hint="eastAsia" w:cs="Times New Roman"/>
          <w:kern w:val="2"/>
        </w:rPr>
        <w:t>41. 施工区域及各主要进出口和安全通道口必须设置安全文明管理标志牌，未按要求在指定位置悬挂相应的安全文明标志牌，罚款</w:t>
      </w:r>
      <w:r>
        <w:rPr>
          <w:rFonts w:hint="eastAsia" w:cs="Times New Roman"/>
          <w:kern w:val="2"/>
          <w:lang w:val="en-US" w:eastAsia="zh-CN"/>
        </w:rPr>
        <w:t>200</w:t>
      </w:r>
      <w:r>
        <w:rPr>
          <w:rFonts w:hint="eastAsia" w:cs="Times New Roman"/>
          <w:kern w:val="2"/>
        </w:rPr>
        <w:t>元。</w:t>
      </w:r>
      <w:r>
        <w:rPr>
          <w:rFonts w:hint="eastAsia" w:cs="Times New Roman"/>
          <w:kern w:val="2"/>
        </w:rPr>
        <w:cr/>
      </w:r>
      <w:r>
        <w:rPr>
          <w:rFonts w:hint="eastAsia" w:cs="Times New Roman"/>
          <w:kern w:val="2"/>
          <w:lang w:eastAsia="zh-CN"/>
        </w:rPr>
        <w:t>四、</w:t>
      </w:r>
      <w:r>
        <w:rPr>
          <w:rFonts w:hint="eastAsia" w:cs="Times New Roman"/>
          <w:kern w:val="2"/>
        </w:rPr>
        <w:t xml:space="preserve"> 其他管理</w:t>
      </w:r>
      <w:r>
        <w:rPr>
          <w:rFonts w:hint="eastAsia" w:cs="Times New Roman"/>
          <w:kern w:val="2"/>
          <w:lang w:eastAsia="zh-CN"/>
        </w:rPr>
        <w:t>条例</w:t>
      </w:r>
      <w:r>
        <w:rPr>
          <w:rFonts w:hint="eastAsia" w:cs="Times New Roman"/>
          <w:kern w:val="2"/>
        </w:rPr>
        <w:cr/>
      </w:r>
      <w:r>
        <w:rPr>
          <w:rFonts w:hint="eastAsia" w:cs="Times New Roman"/>
          <w:kern w:val="2"/>
        </w:rPr>
        <w:t>42. 相关人员无故不参加建设单位、监理单位主持召开的会议以及不参加建设单位、监理单位组织的安全、质量检查验收等活动的，每人每次罚款2000元，迟到或者早退者，每人每次</w:t>
      </w:r>
      <w:r>
        <w:rPr>
          <w:rFonts w:hint="eastAsia" w:cs="Times New Roman"/>
          <w:kern w:val="2"/>
          <w:lang w:val="en-US" w:eastAsia="zh-CN"/>
        </w:rPr>
        <w:t>200</w:t>
      </w:r>
      <w:r>
        <w:rPr>
          <w:rFonts w:hint="eastAsia" w:cs="Times New Roman"/>
          <w:kern w:val="2"/>
        </w:rPr>
        <w:t>元。</w:t>
      </w:r>
      <w:r>
        <w:rPr>
          <w:rFonts w:hint="eastAsia" w:cs="Times New Roman"/>
          <w:kern w:val="2"/>
        </w:rPr>
        <w:cr/>
      </w:r>
      <w:r>
        <w:rPr>
          <w:rFonts w:hint="eastAsia" w:cs="Times New Roman"/>
          <w:kern w:val="2"/>
        </w:rPr>
        <w:t>53. 暂停施工期间，一切与暂停令要求的补救、完善、整改无关的工程必须全面停止施工，一经发现并核实继续施工的，处以20000元的罚款。</w:t>
      </w:r>
      <w:r>
        <w:rPr>
          <w:rFonts w:hint="eastAsia" w:cs="Times New Roman"/>
          <w:kern w:val="2"/>
        </w:rPr>
        <w:cr/>
      </w:r>
      <w:r>
        <w:rPr>
          <w:rFonts w:hint="eastAsia" w:cs="Times New Roman"/>
          <w:kern w:val="2"/>
        </w:rPr>
        <w:t>44. 对建设单位和监理单位合理安排的工作任务不予执行的，每次罚款5000元。</w:t>
      </w:r>
    </w:p>
    <w:p/>
    <w:p>
      <w:pPr>
        <w:widowControl w:val="0"/>
        <w:adjustRightInd w:val="0"/>
        <w:snapToGrid w:val="0"/>
        <w:spacing w:after="200" w:line="360" w:lineRule="auto"/>
        <w:textAlignment w:val="baseline"/>
        <w:outlineLvl w:val="2"/>
        <w:rPr>
          <w:rFonts w:cs="Times New Roman"/>
          <w:b/>
          <w:kern w:val="2"/>
          <w:sz w:val="21"/>
          <w:szCs w:val="21"/>
        </w:rPr>
      </w:pPr>
      <w:r>
        <w:rPr>
          <w:rFonts w:hint="eastAsia" w:cs="Times New Roman"/>
          <w:b/>
          <w:kern w:val="2"/>
          <w:sz w:val="21"/>
          <w:szCs w:val="21"/>
        </w:rPr>
        <w:t>附件</w:t>
      </w:r>
      <w:r>
        <w:rPr>
          <w:rFonts w:hint="eastAsia" w:eastAsia="宋体" w:cs="Times New Roman"/>
          <w:b/>
          <w:kern w:val="2"/>
          <w:sz w:val="21"/>
          <w:szCs w:val="21"/>
          <w:lang w:val="en-US" w:eastAsia="zh-CN"/>
        </w:rPr>
        <w:t>6</w:t>
      </w:r>
      <w:r>
        <w:rPr>
          <w:rFonts w:hint="eastAsia" w:cs="Times New Roman"/>
          <w:b/>
          <w:kern w:val="2"/>
          <w:sz w:val="21"/>
          <w:szCs w:val="21"/>
        </w:rPr>
        <w:t>：项目安全管理规定</w:t>
      </w:r>
    </w:p>
    <w:p>
      <w:pPr>
        <w:widowControl w:val="0"/>
        <w:spacing w:line="500" w:lineRule="exact"/>
        <w:ind w:firstLine="420" w:firstLineChars="200"/>
        <w:jc w:val="center"/>
        <w:rPr>
          <w:rFonts w:cs="Times New Roman"/>
          <w:b/>
          <w:kern w:val="2"/>
        </w:rPr>
      </w:pPr>
      <w:r>
        <w:rPr>
          <w:rFonts w:hint="eastAsia" w:cs="Times New Roman"/>
          <w:b/>
          <w:kern w:val="2"/>
        </w:rPr>
        <w:t>安全管理规定</w:t>
      </w:r>
    </w:p>
    <w:p>
      <w:pPr>
        <w:jc w:val="center"/>
        <w:rPr>
          <w:rFonts w:ascii="仿宋_GB2312" w:eastAsia="仿宋_GB2312"/>
          <w:b/>
        </w:rPr>
      </w:pPr>
    </w:p>
    <w:p>
      <w:pPr>
        <w:jc w:val="center"/>
        <w:rPr>
          <w:rFonts w:ascii="仿宋_GB2312" w:eastAsia="仿宋_GB2312"/>
          <w:b/>
        </w:rPr>
      </w:pPr>
      <w:r>
        <w:rPr>
          <w:rFonts w:hint="eastAsia" w:ascii="仿宋_GB2312" w:eastAsia="仿宋_GB2312"/>
          <w:b/>
        </w:rPr>
        <w:t>目 录</w:t>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rPr>
          <w:rFonts w:hint="eastAsia" w:ascii="仿宋_GB2312" w:eastAsia="仿宋_GB2312"/>
          <w:b/>
          <w:bCs/>
          <w:caps/>
          <w:kern w:val="2"/>
        </w:rPr>
        <w:fldChar w:fldCharType="begin"/>
      </w:r>
      <w:r>
        <w:rPr>
          <w:rFonts w:hint="eastAsia" w:ascii="仿宋_GB2312" w:eastAsia="仿宋_GB2312"/>
          <w:b/>
          <w:bCs/>
          <w:caps/>
          <w:kern w:val="2"/>
        </w:rPr>
        <w:instrText xml:space="preserve"> TOC \o "1-3" \h \z \u </w:instrText>
      </w:r>
      <w:r>
        <w:rPr>
          <w:rFonts w:hint="eastAsia" w:ascii="仿宋_GB2312" w:eastAsia="仿宋_GB2312"/>
          <w:b/>
          <w:bCs/>
          <w:caps/>
          <w:kern w:val="2"/>
        </w:rPr>
        <w:fldChar w:fldCharType="separate"/>
      </w:r>
      <w:r>
        <w:fldChar w:fldCharType="begin"/>
      </w:r>
      <w:r>
        <w:instrText xml:space="preserve"> HYPERLINK \l "_Toc112325019" </w:instrText>
      </w:r>
      <w:r>
        <w:fldChar w:fldCharType="separate"/>
      </w:r>
      <w:r>
        <w:rPr>
          <w:rFonts w:hint="eastAsia" w:ascii="仿宋_GB2312" w:hAnsi="Times New Roman" w:eastAsia="仿宋_GB2312" w:cs="Times New Roman"/>
          <w:b/>
          <w:bCs/>
          <w:caps/>
          <w:kern w:val="2"/>
          <w:sz w:val="20"/>
          <w:szCs w:val="20"/>
          <w:u w:val="single"/>
        </w:rPr>
        <w:t>1</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总则</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_Toc112325019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"_Toc112325020" </w:instrText>
      </w:r>
      <w:r>
        <w:fldChar w:fldCharType="separate"/>
      </w:r>
      <w:r>
        <w:rPr>
          <w:rFonts w:hint="eastAsia" w:ascii="仿宋_GB2312" w:hAnsi="Times New Roman" w:eastAsia="仿宋_GB2312" w:cs="Times New Roman"/>
          <w:b/>
          <w:bCs/>
          <w:caps/>
          <w:kern w:val="2"/>
          <w:sz w:val="20"/>
          <w:szCs w:val="20"/>
          <w:u w:val="single"/>
        </w:rPr>
        <w:t>2</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法律法规</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_Toc112325020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"_Toc112325021" </w:instrText>
      </w:r>
      <w:r>
        <w:fldChar w:fldCharType="separate"/>
      </w:r>
      <w:r>
        <w:rPr>
          <w:rFonts w:hint="eastAsia" w:ascii="仿宋_GB2312" w:hAnsi="Times New Roman" w:eastAsia="仿宋_GB2312" w:cs="Times New Roman"/>
          <w:b/>
          <w:bCs/>
          <w:caps/>
          <w:kern w:val="2"/>
          <w:sz w:val="20"/>
          <w:szCs w:val="20"/>
          <w:u w:val="single"/>
        </w:rPr>
        <w:t>3</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发包人管理制度</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_Toc112325021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"_Toc112325022" </w:instrText>
      </w:r>
      <w:r>
        <w:fldChar w:fldCharType="separate"/>
      </w:r>
      <w:r>
        <w:rPr>
          <w:rFonts w:hint="eastAsia" w:ascii="仿宋_GB2312" w:hAnsi="Times New Roman" w:eastAsia="仿宋_GB2312" w:cs="Times New Roman"/>
          <w:b/>
          <w:bCs/>
          <w:caps/>
          <w:kern w:val="2"/>
          <w:sz w:val="20"/>
          <w:szCs w:val="20"/>
          <w:u w:val="single"/>
        </w:rPr>
        <w:t>4</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对承包人职业健康、安全、环境的要求</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_Toc112325022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"_Toc112325023" </w:instrText>
      </w:r>
      <w:r>
        <w:fldChar w:fldCharType="separate"/>
      </w:r>
      <w:r>
        <w:rPr>
          <w:rFonts w:hint="eastAsia" w:ascii="仿宋_GB2312" w:hAnsi="Times New Roman" w:eastAsia="仿宋_GB2312" w:cs="Times New Roman"/>
          <w:b/>
          <w:bCs/>
          <w:caps/>
          <w:kern w:val="2"/>
          <w:sz w:val="20"/>
          <w:szCs w:val="20"/>
          <w:u w:val="single"/>
        </w:rPr>
        <w:t>5</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职业健康、安全、环境目标</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_Toc112325023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"_Toc112325024" </w:instrText>
      </w:r>
      <w:r>
        <w:fldChar w:fldCharType="separate"/>
      </w:r>
      <w:r>
        <w:rPr>
          <w:rFonts w:hint="eastAsia" w:ascii="仿宋_GB2312" w:hAnsi="Times New Roman" w:eastAsia="仿宋_GB2312" w:cs="Times New Roman"/>
          <w:b/>
          <w:bCs/>
          <w:caps/>
          <w:kern w:val="2"/>
          <w:sz w:val="20"/>
          <w:szCs w:val="20"/>
          <w:u w:val="single"/>
        </w:rPr>
        <w:t>6</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责任承担</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_Toc112325024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"_Toc112325025" </w:instrText>
      </w:r>
      <w:r>
        <w:fldChar w:fldCharType="separate"/>
      </w:r>
      <w:r>
        <w:rPr>
          <w:rFonts w:hint="eastAsia" w:ascii="仿宋_GB2312" w:hAnsi="Times New Roman" w:eastAsia="仿宋_GB2312" w:cs="Times New Roman"/>
          <w:b/>
          <w:bCs/>
          <w:caps/>
          <w:kern w:val="2"/>
          <w:sz w:val="20"/>
          <w:szCs w:val="20"/>
          <w:u w:val="single"/>
        </w:rPr>
        <w:t>7</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安全协议与接口协调</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_Toc112325025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"_Toc112325026" </w:instrText>
      </w:r>
      <w:r>
        <w:fldChar w:fldCharType="separate"/>
      </w:r>
      <w:r>
        <w:rPr>
          <w:rFonts w:hint="eastAsia" w:ascii="仿宋_GB2312" w:hAnsi="Times New Roman" w:eastAsia="仿宋_GB2312" w:cs="Times New Roman"/>
          <w:b/>
          <w:bCs/>
          <w:caps/>
          <w:kern w:val="2"/>
          <w:sz w:val="20"/>
          <w:szCs w:val="20"/>
          <w:u w:val="single"/>
        </w:rPr>
        <w:t>8</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安全监督组织与网络</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_Toc112325026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"_Toc112325027" </w:instrText>
      </w:r>
      <w:r>
        <w:fldChar w:fldCharType="separate"/>
      </w:r>
      <w:r>
        <w:rPr>
          <w:rFonts w:hint="eastAsia" w:ascii="仿宋_GB2312" w:hAnsi="Times New Roman" w:eastAsia="仿宋_GB2312" w:cs="Times New Roman"/>
          <w:b/>
          <w:bCs/>
          <w:caps/>
          <w:kern w:val="2"/>
          <w:sz w:val="20"/>
          <w:szCs w:val="20"/>
          <w:u w:val="single"/>
        </w:rPr>
        <w:t>9</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人员基本素质</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_Toc112325027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"_Toc112325028" </w:instrText>
      </w:r>
      <w:r>
        <w:fldChar w:fldCharType="separate"/>
      </w:r>
      <w:r>
        <w:rPr>
          <w:rFonts w:hint="eastAsia" w:ascii="仿宋_GB2312" w:hAnsi="Times New Roman" w:eastAsia="仿宋_GB2312" w:cs="Times New Roman"/>
          <w:b/>
          <w:bCs/>
          <w:caps/>
          <w:kern w:val="2"/>
          <w:sz w:val="20"/>
          <w:szCs w:val="20"/>
          <w:u w:val="single"/>
        </w:rPr>
        <w:t>10</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班组管理</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_Toc112325028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"_Toc112325029" </w:instrText>
      </w:r>
      <w:r>
        <w:fldChar w:fldCharType="separate"/>
      </w:r>
      <w:r>
        <w:rPr>
          <w:rFonts w:hint="eastAsia" w:ascii="仿宋_GB2312" w:hAnsi="Times New Roman" w:eastAsia="仿宋_GB2312" w:cs="Times New Roman"/>
          <w:b/>
          <w:bCs/>
          <w:caps/>
          <w:kern w:val="2"/>
          <w:sz w:val="20"/>
          <w:szCs w:val="20"/>
          <w:u w:val="single"/>
        </w:rPr>
        <w:t>11</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安全培训与授权</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_Toc112325029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"_Toc112325030" </w:instrText>
      </w:r>
      <w:r>
        <w:fldChar w:fldCharType="separate"/>
      </w:r>
      <w:r>
        <w:rPr>
          <w:rFonts w:hint="eastAsia" w:ascii="仿宋_GB2312" w:hAnsi="Times New Roman" w:eastAsia="仿宋_GB2312" w:cs="Times New Roman"/>
          <w:b/>
          <w:bCs/>
          <w:caps/>
          <w:kern w:val="2"/>
          <w:sz w:val="20"/>
          <w:szCs w:val="20"/>
          <w:u w:val="single"/>
        </w:rPr>
        <w:t>12</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开工控制</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_Toc112325030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"_Toc112325031" </w:instrText>
      </w:r>
      <w:r>
        <w:fldChar w:fldCharType="separate"/>
      </w:r>
      <w:r>
        <w:rPr>
          <w:rFonts w:hint="eastAsia" w:ascii="仿宋_GB2312" w:hAnsi="Times New Roman" w:eastAsia="仿宋_GB2312" w:cs="Times New Roman"/>
          <w:b/>
          <w:bCs/>
          <w:caps/>
          <w:kern w:val="2"/>
          <w:sz w:val="20"/>
          <w:szCs w:val="20"/>
          <w:u w:val="single"/>
        </w:rPr>
        <w:t>13</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出入管理与治安保卫</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_Toc112325031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"_Toc112325032" </w:instrText>
      </w:r>
      <w:r>
        <w:fldChar w:fldCharType="separate"/>
      </w:r>
      <w:r>
        <w:rPr>
          <w:rFonts w:hint="eastAsia" w:ascii="仿宋_GB2312" w:hAnsi="Times New Roman" w:eastAsia="仿宋_GB2312" w:cs="Times New Roman"/>
          <w:b/>
          <w:bCs/>
          <w:caps/>
          <w:kern w:val="2"/>
          <w:sz w:val="20"/>
          <w:szCs w:val="20"/>
          <w:u w:val="single"/>
        </w:rPr>
        <w:t>14</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安全投入</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_Toc112325032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"_Toc112325033" </w:instrText>
      </w:r>
      <w:r>
        <w:fldChar w:fldCharType="separate"/>
      </w:r>
      <w:r>
        <w:rPr>
          <w:rFonts w:hint="eastAsia" w:ascii="仿宋_GB2312" w:hAnsi="Times New Roman" w:eastAsia="仿宋_GB2312" w:cs="Times New Roman"/>
          <w:b/>
          <w:bCs/>
          <w:caps/>
          <w:kern w:val="2"/>
          <w:sz w:val="20"/>
          <w:szCs w:val="20"/>
          <w:u w:val="single"/>
        </w:rPr>
        <w:t>15</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分包商及劳务用工安全</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_Toc112325033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"_Toc112325034" </w:instrText>
      </w:r>
      <w:r>
        <w:fldChar w:fldCharType="separate"/>
      </w:r>
      <w:r>
        <w:rPr>
          <w:rFonts w:hint="eastAsia" w:ascii="仿宋_GB2312" w:hAnsi="Times New Roman" w:eastAsia="仿宋_GB2312" w:cs="Times New Roman"/>
          <w:b/>
          <w:bCs/>
          <w:caps/>
          <w:kern w:val="2"/>
          <w:sz w:val="20"/>
          <w:szCs w:val="20"/>
          <w:u w:val="single"/>
        </w:rPr>
        <w:t>16</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职业健康与卫生防疫</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_Toc112325034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"_Toc112325035" </w:instrText>
      </w:r>
      <w:r>
        <w:fldChar w:fldCharType="separate"/>
      </w:r>
      <w:r>
        <w:rPr>
          <w:rFonts w:hint="eastAsia" w:ascii="仿宋_GB2312" w:hAnsi="Times New Roman" w:eastAsia="仿宋_GB2312" w:cs="Times New Roman"/>
          <w:b/>
          <w:bCs/>
          <w:caps/>
          <w:kern w:val="2"/>
          <w:sz w:val="20"/>
          <w:szCs w:val="20"/>
          <w:u w:val="single"/>
        </w:rPr>
        <w:t>17</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风险分级管理与隐患排查</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_Toc112325035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"_Toc112325036" </w:instrText>
      </w:r>
      <w:r>
        <w:fldChar w:fldCharType="separate"/>
      </w:r>
      <w:r>
        <w:rPr>
          <w:rFonts w:hint="eastAsia" w:ascii="仿宋_GB2312" w:hAnsi="Times New Roman" w:eastAsia="仿宋_GB2312" w:cs="Times New Roman"/>
          <w:b/>
          <w:bCs/>
          <w:caps/>
          <w:kern w:val="2"/>
          <w:sz w:val="20"/>
          <w:szCs w:val="20"/>
          <w:u w:val="single"/>
        </w:rPr>
        <w:t>18</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基本安全设施</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_Toc112325036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"_Toc112325037" </w:instrText>
      </w:r>
      <w:r>
        <w:fldChar w:fldCharType="separate"/>
      </w:r>
      <w:r>
        <w:rPr>
          <w:rFonts w:hint="eastAsia" w:ascii="仿宋_GB2312" w:hAnsi="Times New Roman" w:eastAsia="仿宋_GB2312" w:cs="Times New Roman"/>
          <w:b/>
          <w:bCs/>
          <w:caps/>
          <w:kern w:val="2"/>
          <w:sz w:val="20"/>
          <w:szCs w:val="20"/>
          <w:u w:val="single"/>
        </w:rPr>
        <w:t>19</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劳动保护</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_Toc112325037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"_Toc112325038" </w:instrText>
      </w:r>
      <w:r>
        <w:fldChar w:fldCharType="separate"/>
      </w:r>
      <w:r>
        <w:rPr>
          <w:rFonts w:hint="eastAsia" w:ascii="仿宋_GB2312" w:hAnsi="Times New Roman" w:eastAsia="仿宋_GB2312" w:cs="Times New Roman"/>
          <w:b/>
          <w:bCs/>
          <w:caps/>
          <w:kern w:val="2"/>
          <w:sz w:val="20"/>
          <w:szCs w:val="20"/>
          <w:u w:val="single"/>
        </w:rPr>
        <w:t>20</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施工机具安全</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_Toc112325038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"_Toc112325039" </w:instrText>
      </w:r>
      <w:r>
        <w:fldChar w:fldCharType="separate"/>
      </w:r>
      <w:r>
        <w:rPr>
          <w:rFonts w:hint="eastAsia" w:ascii="仿宋_GB2312" w:hAnsi="Times New Roman" w:eastAsia="仿宋_GB2312" w:cs="Times New Roman"/>
          <w:b/>
          <w:bCs/>
          <w:caps/>
          <w:kern w:val="2"/>
          <w:sz w:val="20"/>
          <w:szCs w:val="20"/>
          <w:u w:val="single"/>
        </w:rPr>
        <w:t>21</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消防安全</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_Toc112325039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"_Toc112325040" </w:instrText>
      </w:r>
      <w:r>
        <w:fldChar w:fldCharType="separate"/>
      </w:r>
      <w:r>
        <w:rPr>
          <w:rFonts w:hint="eastAsia" w:ascii="仿宋_GB2312" w:hAnsi="Times New Roman" w:eastAsia="仿宋_GB2312" w:cs="Times New Roman"/>
          <w:b/>
          <w:bCs/>
          <w:caps/>
          <w:kern w:val="2"/>
          <w:sz w:val="20"/>
          <w:szCs w:val="20"/>
          <w:u w:val="single"/>
        </w:rPr>
        <w:t>22</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电气安全</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_Toc112325040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"_Toc112325041" </w:instrText>
      </w:r>
      <w:r>
        <w:fldChar w:fldCharType="separate"/>
      </w:r>
      <w:r>
        <w:rPr>
          <w:rFonts w:hint="eastAsia" w:ascii="仿宋_GB2312" w:hAnsi="Times New Roman" w:eastAsia="仿宋_GB2312" w:cs="Times New Roman"/>
          <w:b/>
          <w:bCs/>
          <w:caps/>
          <w:kern w:val="2"/>
          <w:sz w:val="20"/>
          <w:szCs w:val="20"/>
          <w:u w:val="single"/>
        </w:rPr>
        <w:t>23</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环境保护</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_Toc112325041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"_Toc112325042" </w:instrText>
      </w:r>
      <w:r>
        <w:fldChar w:fldCharType="separate"/>
      </w:r>
      <w:r>
        <w:rPr>
          <w:rFonts w:hint="eastAsia" w:ascii="仿宋_GB2312" w:hAnsi="Times New Roman" w:eastAsia="仿宋_GB2312" w:cs="Times New Roman"/>
          <w:b/>
          <w:bCs/>
          <w:caps/>
          <w:kern w:val="2"/>
          <w:sz w:val="20"/>
          <w:szCs w:val="20"/>
          <w:u w:val="single"/>
        </w:rPr>
        <w:t>24</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施工临建安全</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_Toc112325042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"_Toc112325043" </w:instrText>
      </w:r>
      <w:r>
        <w:fldChar w:fldCharType="separate"/>
      </w:r>
      <w:r>
        <w:rPr>
          <w:rFonts w:hint="eastAsia" w:ascii="仿宋_GB2312" w:hAnsi="Times New Roman" w:eastAsia="仿宋_GB2312" w:cs="Times New Roman"/>
          <w:b/>
          <w:bCs/>
          <w:caps/>
          <w:kern w:val="2"/>
          <w:sz w:val="20"/>
          <w:szCs w:val="20"/>
          <w:u w:val="single"/>
        </w:rPr>
        <w:t>25</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事故报告与应急救援</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_Toc112325043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"_Toc112325044" </w:instrText>
      </w:r>
      <w:r>
        <w:fldChar w:fldCharType="separate"/>
      </w:r>
      <w:r>
        <w:rPr>
          <w:rFonts w:hint="eastAsia" w:ascii="仿宋_GB2312" w:hAnsi="Times New Roman" w:eastAsia="仿宋_GB2312" w:cs="Times New Roman"/>
          <w:b/>
          <w:bCs/>
          <w:caps/>
          <w:kern w:val="2"/>
          <w:sz w:val="20"/>
          <w:szCs w:val="20"/>
          <w:u w:val="single"/>
        </w:rPr>
        <w:t>26</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工作时间以外风险控制</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_Toc112325044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"_Toc112325045" </w:instrText>
      </w:r>
      <w:r>
        <w:fldChar w:fldCharType="separate"/>
      </w:r>
      <w:r>
        <w:rPr>
          <w:rFonts w:hint="eastAsia" w:ascii="仿宋_GB2312" w:hAnsi="Times New Roman" w:eastAsia="仿宋_GB2312" w:cs="Times New Roman"/>
          <w:b/>
          <w:bCs/>
          <w:caps/>
          <w:kern w:val="2"/>
          <w:sz w:val="20"/>
          <w:szCs w:val="20"/>
          <w:u w:val="single"/>
        </w:rPr>
        <w:t>27</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工伤保险</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_Toc112325045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"_Toc112325046" </w:instrText>
      </w:r>
      <w:r>
        <w:fldChar w:fldCharType="separate"/>
      </w:r>
      <w:r>
        <w:rPr>
          <w:rFonts w:hint="eastAsia" w:ascii="仿宋_GB2312" w:hAnsi="Times New Roman" w:eastAsia="仿宋_GB2312" w:cs="Times New Roman"/>
          <w:b/>
          <w:bCs/>
          <w:caps/>
          <w:kern w:val="2"/>
          <w:sz w:val="20"/>
          <w:szCs w:val="20"/>
          <w:u w:val="single"/>
        </w:rPr>
        <w:t>28</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安全业绩考核</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_Toc112325046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"_Toc112325047" </w:instrText>
      </w:r>
      <w:r>
        <w:fldChar w:fldCharType="separate"/>
      </w:r>
      <w:r>
        <w:rPr>
          <w:rFonts w:hint="eastAsia" w:ascii="仿宋_GB2312" w:hAnsi="Times New Roman" w:eastAsia="仿宋_GB2312" w:cs="Times New Roman"/>
          <w:b/>
          <w:bCs/>
          <w:caps/>
          <w:kern w:val="2"/>
          <w:sz w:val="20"/>
          <w:szCs w:val="20"/>
          <w:u w:val="single"/>
        </w:rPr>
        <w:t>29</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奖励</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_Toc112325047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"_Toc112325048" </w:instrText>
      </w:r>
      <w:r>
        <w:fldChar w:fldCharType="separate"/>
      </w:r>
      <w:r>
        <w:rPr>
          <w:rFonts w:hint="eastAsia" w:ascii="仿宋_GB2312" w:hAnsi="Times New Roman" w:eastAsia="仿宋_GB2312" w:cs="Times New Roman"/>
          <w:b/>
          <w:bCs/>
          <w:caps/>
          <w:kern w:val="2"/>
          <w:sz w:val="20"/>
          <w:szCs w:val="20"/>
          <w:u w:val="single"/>
        </w:rPr>
        <w:t>30</w:t>
      </w:r>
      <w:r>
        <w:rPr>
          <w:rFonts w:hint="eastAsia" w:ascii="仿宋_GB2312" w:hAnsi="Calibri" w:eastAsia="仿宋_GB2312"/>
          <w:b/>
          <w:bCs/>
          <w:caps/>
          <w:kern w:val="2"/>
          <w:sz w:val="20"/>
          <w:szCs w:val="22"/>
        </w:rPr>
        <w:tab/>
      </w:r>
      <w:r>
        <w:rPr>
          <w:rFonts w:hint="eastAsia" w:ascii="仿宋_GB2312" w:eastAsia="仿宋_GB2312" w:cs="新宋体-18030"/>
          <w:b/>
          <w:bCs/>
          <w:caps/>
          <w:kern w:val="2"/>
          <w:sz w:val="20"/>
          <w:szCs w:val="20"/>
          <w:u w:val="single"/>
        </w:rPr>
        <w:t>违约</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_Toc112325048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420"/>
          <w:tab w:val="right" w:leader="dot" w:pos="8778"/>
        </w:tabs>
        <w:spacing w:before="120" w:after="120"/>
        <w:jc w:val="both"/>
        <w:rPr>
          <w:rFonts w:ascii="仿宋_GB2312" w:hAnsi="Calibri" w:eastAsia="仿宋_GB2312"/>
          <w:b/>
          <w:bCs/>
          <w:caps/>
          <w:kern w:val="2"/>
          <w:sz w:val="20"/>
          <w:szCs w:val="22"/>
        </w:rPr>
      </w:pPr>
      <w:r>
        <w:fldChar w:fldCharType="begin"/>
      </w:r>
      <w:r>
        <w:instrText xml:space="preserve"> HYPERLINK \l "_Toc112325049" </w:instrText>
      </w:r>
      <w:r>
        <w:fldChar w:fldCharType="separate"/>
      </w:r>
      <w:r>
        <w:rPr>
          <w:rFonts w:hint="eastAsia" w:ascii="仿宋_GB2312" w:hAnsi="Times New Roman" w:eastAsia="仿宋_GB2312" w:cs="Times New Roman"/>
          <w:b/>
          <w:bCs/>
          <w:caps/>
          <w:kern w:val="2"/>
          <w:sz w:val="20"/>
          <w:szCs w:val="20"/>
          <w:u w:val="single"/>
        </w:rPr>
        <w:t>附件：</w:t>
      </w:r>
      <w:r>
        <w:rPr>
          <w:rFonts w:hint="eastAsia" w:ascii="仿宋_GB2312" w:eastAsia="仿宋_GB2312"/>
          <w:b/>
          <w:bCs/>
          <w:caps/>
          <w:kern w:val="2"/>
          <w:sz w:val="20"/>
          <w:szCs w:val="20"/>
        </w:rPr>
        <w:tab/>
      </w:r>
      <w:r>
        <w:rPr>
          <w:rFonts w:hint="eastAsia" w:ascii="仿宋_GB2312" w:eastAsia="仿宋_GB2312"/>
          <w:b/>
          <w:bCs/>
          <w:caps/>
          <w:kern w:val="2"/>
          <w:sz w:val="20"/>
          <w:szCs w:val="20"/>
        </w:rPr>
        <w:fldChar w:fldCharType="begin"/>
      </w:r>
      <w:r>
        <w:rPr>
          <w:rFonts w:hint="eastAsia" w:ascii="仿宋_GB2312" w:eastAsia="仿宋_GB2312"/>
          <w:b/>
          <w:bCs/>
          <w:caps/>
          <w:kern w:val="2"/>
          <w:sz w:val="20"/>
          <w:szCs w:val="20"/>
        </w:rPr>
        <w:instrText xml:space="preserve"> PAGEREF _Toc112325049 \h </w:instrText>
      </w:r>
      <w:r>
        <w:rPr>
          <w:rFonts w:hint="eastAsia" w:ascii="仿宋_GB2312" w:eastAsia="仿宋_GB2312"/>
          <w:b/>
          <w:bCs/>
          <w:caps/>
          <w:kern w:val="2"/>
          <w:sz w:val="20"/>
          <w:szCs w:val="20"/>
        </w:rPr>
        <w:fldChar w:fldCharType="separate"/>
      </w:r>
      <w:r>
        <w:rPr>
          <w:rFonts w:hint="eastAsia" w:ascii="仿宋_GB2312" w:eastAsia="仿宋_GB2312"/>
          <w:caps/>
          <w:kern w:val="2"/>
          <w:sz w:val="20"/>
          <w:szCs w:val="20"/>
        </w:rPr>
        <w:t>错误!未定义书签。</w:t>
      </w:r>
      <w:r>
        <w:rPr>
          <w:rFonts w:hint="eastAsia" w:ascii="仿宋_GB2312" w:eastAsia="仿宋_GB2312"/>
          <w:b/>
          <w:bCs/>
          <w:caps/>
          <w:kern w:val="2"/>
          <w:sz w:val="20"/>
          <w:szCs w:val="20"/>
        </w:rPr>
        <w:fldChar w:fldCharType="end"/>
      </w:r>
      <w:r>
        <w:rPr>
          <w:rFonts w:hint="eastAsia" w:ascii="仿宋_GB2312" w:eastAsia="仿宋_GB2312"/>
          <w:b/>
          <w:bCs/>
          <w:caps/>
          <w:kern w:val="2"/>
          <w:sz w:val="20"/>
          <w:szCs w:val="20"/>
        </w:rPr>
        <w:fldChar w:fldCharType="end"/>
      </w:r>
    </w:p>
    <w:p>
      <w:pPr>
        <w:widowControl w:val="0"/>
        <w:tabs>
          <w:tab w:val="left" w:pos="1365"/>
        </w:tabs>
        <w:snapToGrid w:val="0"/>
        <w:spacing w:line="360" w:lineRule="auto"/>
        <w:rPr>
          <w:rFonts w:ascii="仿宋_GB2312" w:hAnsi="Calibri" w:eastAsia="仿宋_GB2312" w:cs="新宋体-18030"/>
          <w:bCs/>
          <w:kern w:val="2"/>
        </w:rPr>
        <w:sectPr>
          <w:headerReference r:id="rId3" w:type="default"/>
          <w:footerReference r:id="rId4" w:type="default"/>
          <w:pgSz w:w="11907" w:h="16840"/>
          <w:pgMar w:top="1355" w:right="1463" w:bottom="1355" w:left="1463" w:header="851" w:footer="992" w:gutter="0"/>
          <w:cols w:space="425" w:num="1"/>
          <w:docGrid w:linePitch="285" w:charSpace="0"/>
        </w:sectPr>
      </w:pPr>
      <w:r>
        <w:rPr>
          <w:rFonts w:hint="eastAsia" w:ascii="仿宋_GB2312" w:eastAsia="仿宋_GB2312"/>
        </w:rPr>
        <w:fldChar w:fldCharType="end"/>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总则</w:t>
      </w:r>
    </w:p>
    <w:p>
      <w:pPr>
        <w:snapToGrid w:val="0"/>
        <w:spacing w:before="120" w:after="120" w:line="360" w:lineRule="auto"/>
        <w:ind w:left="424" w:leftChars="202" w:firstLine="420" w:firstLineChars="200"/>
        <w:rPr>
          <w:rFonts w:ascii="仿宋_GB2312" w:eastAsia="仿宋_GB2312" w:cs="新宋体-18030"/>
        </w:rPr>
      </w:pPr>
      <w:r>
        <w:rPr>
          <w:rFonts w:hint="eastAsia" w:ascii="仿宋_GB2312" w:eastAsia="仿宋_GB2312" w:cs="新宋体-18030"/>
        </w:rPr>
        <w:t>依据中华人民共和国职业健康、安全生产类、环境保护类相关法律、法规、标准的要求</w:t>
      </w:r>
      <w:r>
        <w:rPr>
          <w:rFonts w:hint="eastAsia" w:ascii="仿宋_GB2312" w:eastAsia="仿宋_GB2312" w:cs="新宋体-18030"/>
          <w:bCs/>
        </w:rPr>
        <w:t>，</w:t>
      </w:r>
      <w:r>
        <w:rPr>
          <w:rFonts w:hint="eastAsia" w:ascii="仿宋_GB2312" w:eastAsia="仿宋_GB2312" w:cs="新宋体-18030"/>
        </w:rPr>
        <w:t>发包人对承包人承包合同规定的活动中的职业健康、安全生产和环境保护（以下简称“安全”）工作实行统一的协调、管理和指导。</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法律法规</w:t>
      </w:r>
    </w:p>
    <w:p>
      <w:pPr>
        <w:snapToGrid w:val="0"/>
        <w:spacing w:before="120" w:after="120" w:line="360" w:lineRule="auto"/>
        <w:ind w:left="418" w:leftChars="199" w:firstLine="388" w:firstLineChars="185"/>
        <w:rPr>
          <w:rFonts w:ascii="仿宋_GB2312" w:eastAsia="仿宋_GB2312" w:cs="新宋体-18030"/>
        </w:rPr>
      </w:pPr>
      <w:r>
        <w:rPr>
          <w:rFonts w:hint="eastAsia" w:ascii="仿宋_GB2312" w:eastAsia="仿宋_GB2312" w:cs="新宋体-18030"/>
        </w:rPr>
        <w:t>承包人在从事项目活动时必须遵守国家安全生产、职业健康和环境保护相关的法律、法规、强制性国家标准和相关行业标准，</w:t>
      </w:r>
      <w:r>
        <w:rPr>
          <w:rFonts w:hint="eastAsia" w:ascii="仿宋_GB2312" w:eastAsia="仿宋_GB2312"/>
        </w:rPr>
        <w:t>当国家法律、法规、标准变更时，以新版本为准。</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发包人管理制度</w:t>
      </w:r>
    </w:p>
    <w:p>
      <w:pPr>
        <w:tabs>
          <w:tab w:val="left" w:pos="1512"/>
        </w:tabs>
        <w:snapToGrid w:val="0"/>
        <w:spacing w:line="360" w:lineRule="auto"/>
        <w:ind w:left="420" w:leftChars="200" w:firstLine="420" w:firstLineChars="200"/>
        <w:rPr>
          <w:rFonts w:ascii="仿宋_GB2312" w:eastAsia="仿宋_GB2312" w:cs="新宋体-18030"/>
        </w:rPr>
      </w:pPr>
      <w:r>
        <w:rPr>
          <w:rFonts w:hint="eastAsia" w:ascii="仿宋_GB2312" w:eastAsia="仿宋_GB2312" w:cs="新宋体-18030"/>
        </w:rPr>
        <w:t>承包人应遵守发包人职业健康、安全、环境有关规章制度，包括但不限于以下内容（当发包人制度文件升版时，以新版本为准）：</w:t>
      </w:r>
    </w:p>
    <w:p>
      <w:pPr>
        <w:numPr>
          <w:ilvl w:val="0"/>
          <w:numId w:val="4"/>
        </w:numPr>
        <w:snapToGrid w:val="0"/>
        <w:spacing w:line="360" w:lineRule="auto"/>
        <w:ind w:left="1134" w:hanging="708"/>
        <w:rPr>
          <w:rFonts w:ascii="仿宋_GB2312" w:eastAsia="仿宋_GB2312" w:cs="新宋体-18030"/>
        </w:rPr>
      </w:pPr>
      <w:r>
        <w:rPr>
          <w:rFonts w:hint="eastAsia" w:ascii="仿宋_GB2312" w:eastAsia="仿宋_GB2312" w:cs="新宋体-18030"/>
        </w:rPr>
        <w:t>作业安全许可管理规定</w:t>
      </w:r>
    </w:p>
    <w:p>
      <w:pPr>
        <w:numPr>
          <w:ilvl w:val="0"/>
          <w:numId w:val="4"/>
        </w:numPr>
        <w:snapToGrid w:val="0"/>
        <w:spacing w:line="360" w:lineRule="auto"/>
        <w:ind w:left="1134" w:hanging="708"/>
        <w:rPr>
          <w:rFonts w:ascii="仿宋_GB2312" w:eastAsia="仿宋_GB2312" w:cs="新宋体-18030"/>
        </w:rPr>
      </w:pPr>
      <w:r>
        <w:rPr>
          <w:rFonts w:hint="eastAsia" w:ascii="仿宋_GB2312" w:eastAsia="仿宋_GB2312" w:cs="新宋体-18030"/>
        </w:rPr>
        <w:t>施工承包商安全管理办法</w:t>
      </w:r>
    </w:p>
    <w:p>
      <w:pPr>
        <w:numPr>
          <w:ilvl w:val="0"/>
          <w:numId w:val="4"/>
        </w:numPr>
        <w:snapToGrid w:val="0"/>
        <w:spacing w:line="360" w:lineRule="auto"/>
        <w:ind w:left="1134" w:hanging="708"/>
        <w:rPr>
          <w:rFonts w:ascii="仿宋_GB2312" w:eastAsia="仿宋_GB2312" w:cs="新宋体-18030"/>
        </w:rPr>
      </w:pPr>
      <w:r>
        <w:rPr>
          <w:rFonts w:hint="eastAsia" w:ascii="仿宋_GB2312" w:eastAsia="仿宋_GB2312" w:cs="新宋体-18030"/>
        </w:rPr>
        <w:t>特殊工作时间安全管理办法</w:t>
      </w:r>
    </w:p>
    <w:p>
      <w:pPr>
        <w:numPr>
          <w:ilvl w:val="0"/>
          <w:numId w:val="4"/>
        </w:numPr>
        <w:snapToGrid w:val="0"/>
        <w:spacing w:line="360" w:lineRule="auto"/>
        <w:ind w:left="1134" w:hanging="708"/>
        <w:rPr>
          <w:rFonts w:ascii="仿宋_GB2312" w:eastAsia="仿宋_GB2312" w:cs="新宋体-18030"/>
        </w:rPr>
      </w:pPr>
      <w:r>
        <w:rPr>
          <w:rFonts w:hint="eastAsia" w:ascii="仿宋_GB2312" w:eastAsia="仿宋_GB2312" w:cs="新宋体-18030"/>
        </w:rPr>
        <w:t>基层班组安全生产标准化工作指引</w:t>
      </w:r>
    </w:p>
    <w:p>
      <w:pPr>
        <w:numPr>
          <w:ilvl w:val="0"/>
          <w:numId w:val="4"/>
        </w:numPr>
        <w:snapToGrid w:val="0"/>
        <w:spacing w:line="360" w:lineRule="auto"/>
        <w:ind w:left="1134" w:hanging="708"/>
        <w:rPr>
          <w:rFonts w:ascii="仿宋_GB2312" w:eastAsia="仿宋_GB2312" w:cs="新宋体-18030"/>
        </w:rPr>
      </w:pPr>
      <w:r>
        <w:rPr>
          <w:rFonts w:hint="eastAsia" w:ascii="仿宋_GB2312" w:eastAsia="仿宋_GB2312" w:cs="新宋体-18030"/>
        </w:rPr>
        <w:t>安全生产标准化图集</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对承包人职业健康、安全、环境的要求</w:t>
      </w:r>
    </w:p>
    <w:p>
      <w:pPr>
        <w:tabs>
          <w:tab w:val="left" w:pos="1155"/>
          <w:tab w:val="left" w:pos="1575"/>
        </w:tabs>
        <w:snapToGrid w:val="0"/>
        <w:spacing w:line="360" w:lineRule="auto"/>
        <w:ind w:firstLine="420" w:firstLineChars="200"/>
        <w:rPr>
          <w:rFonts w:ascii="仿宋_GB2312" w:eastAsia="仿宋_GB2312" w:cs="新宋体-18030"/>
          <w:bCs/>
          <w:snapToGrid w:val="0"/>
        </w:rPr>
      </w:pPr>
      <w:r>
        <w:rPr>
          <w:rFonts w:hint="eastAsia" w:ascii="仿宋_GB2312" w:eastAsia="仿宋_GB2312" w:cs="新宋体-18030"/>
          <w:bCs/>
          <w:snapToGrid w:val="0"/>
        </w:rPr>
        <w:t>承包人应建立健全本单位本工程的安全管理大纲及管理体系，在合同签订后1个月内(工程开工前)向发包人提供安全规章制度文件清单和对应文件。工程正式开工前，应完成所有HSE大纲和关键制度文件的编审批工作。其中，关键程序包括但不限于以下内容：</w:t>
      </w:r>
    </w:p>
    <w:p>
      <w:pPr>
        <w:numPr>
          <w:ilvl w:val="0"/>
          <w:numId w:val="5"/>
        </w:numPr>
        <w:tabs>
          <w:tab w:val="left" w:pos="1155"/>
          <w:tab w:val="left" w:pos="1575"/>
        </w:tabs>
        <w:snapToGrid w:val="0"/>
        <w:spacing w:line="360" w:lineRule="auto"/>
        <w:ind w:hanging="834"/>
        <w:rPr>
          <w:rFonts w:ascii="仿宋_GB2312" w:eastAsia="仿宋_GB2312" w:cs="新宋体-18030"/>
          <w:bCs/>
          <w:snapToGrid w:val="0"/>
        </w:rPr>
      </w:pPr>
      <w:r>
        <w:rPr>
          <w:rFonts w:hint="eastAsia" w:ascii="仿宋_GB2312" w:eastAsia="仿宋_GB2312" w:cs="新宋体-18030"/>
          <w:bCs/>
          <w:snapToGrid w:val="0"/>
        </w:rPr>
        <w:t>安全管理组织机构与运作</w:t>
      </w:r>
    </w:p>
    <w:p>
      <w:pPr>
        <w:numPr>
          <w:ilvl w:val="0"/>
          <w:numId w:val="5"/>
        </w:numPr>
        <w:tabs>
          <w:tab w:val="left" w:pos="1155"/>
          <w:tab w:val="left" w:pos="1575"/>
        </w:tabs>
        <w:snapToGrid w:val="0"/>
        <w:spacing w:line="360" w:lineRule="auto"/>
        <w:ind w:hanging="834"/>
        <w:rPr>
          <w:rFonts w:ascii="仿宋_GB2312" w:eastAsia="仿宋_GB2312" w:cs="新宋体-18030"/>
          <w:bCs/>
          <w:snapToGrid w:val="0"/>
        </w:rPr>
      </w:pPr>
      <w:r>
        <w:rPr>
          <w:rFonts w:hint="eastAsia" w:ascii="仿宋_GB2312" w:eastAsia="仿宋_GB2312" w:cs="新宋体-18030"/>
          <w:bCs/>
          <w:snapToGrid w:val="0"/>
        </w:rPr>
        <w:t>安全生产责任制及目标考核</w:t>
      </w:r>
    </w:p>
    <w:p>
      <w:pPr>
        <w:numPr>
          <w:ilvl w:val="0"/>
          <w:numId w:val="5"/>
        </w:numPr>
        <w:tabs>
          <w:tab w:val="left" w:pos="1155"/>
          <w:tab w:val="left" w:pos="1575"/>
        </w:tabs>
        <w:snapToGrid w:val="0"/>
        <w:spacing w:line="360" w:lineRule="auto"/>
        <w:ind w:hanging="834"/>
        <w:rPr>
          <w:rFonts w:ascii="仿宋_GB2312" w:eastAsia="仿宋_GB2312" w:cs="新宋体-18030"/>
          <w:bCs/>
          <w:snapToGrid w:val="0"/>
        </w:rPr>
      </w:pPr>
      <w:r>
        <w:rPr>
          <w:rFonts w:hint="eastAsia" w:ascii="仿宋_GB2312" w:eastAsia="仿宋_GB2312" w:cs="新宋体-18030"/>
          <w:bCs/>
          <w:snapToGrid w:val="0"/>
        </w:rPr>
        <w:t>安全教育培训与授权</w:t>
      </w:r>
    </w:p>
    <w:p>
      <w:pPr>
        <w:numPr>
          <w:ilvl w:val="0"/>
          <w:numId w:val="5"/>
        </w:numPr>
        <w:tabs>
          <w:tab w:val="left" w:pos="1155"/>
          <w:tab w:val="left" w:pos="1575"/>
        </w:tabs>
        <w:snapToGrid w:val="0"/>
        <w:spacing w:line="360" w:lineRule="auto"/>
        <w:ind w:hanging="834"/>
        <w:rPr>
          <w:rFonts w:ascii="仿宋_GB2312" w:eastAsia="仿宋_GB2312" w:cs="新宋体-18030"/>
          <w:bCs/>
          <w:snapToGrid w:val="0"/>
        </w:rPr>
      </w:pPr>
      <w:r>
        <w:rPr>
          <w:rFonts w:hint="eastAsia" w:ascii="仿宋_GB2312" w:eastAsia="仿宋_GB2312" w:cs="新宋体-18030"/>
          <w:bCs/>
          <w:snapToGrid w:val="0"/>
        </w:rPr>
        <w:t>安全工作例会制度</w:t>
      </w:r>
    </w:p>
    <w:p>
      <w:pPr>
        <w:numPr>
          <w:ilvl w:val="0"/>
          <w:numId w:val="5"/>
        </w:numPr>
        <w:tabs>
          <w:tab w:val="left" w:pos="1155"/>
          <w:tab w:val="left" w:pos="1575"/>
        </w:tabs>
        <w:snapToGrid w:val="0"/>
        <w:spacing w:line="360" w:lineRule="auto"/>
        <w:ind w:hanging="834"/>
        <w:rPr>
          <w:rFonts w:ascii="仿宋_GB2312" w:eastAsia="仿宋_GB2312" w:cs="新宋体-18030"/>
          <w:bCs/>
          <w:snapToGrid w:val="0"/>
        </w:rPr>
      </w:pPr>
      <w:r>
        <w:rPr>
          <w:rFonts w:hint="eastAsia" w:ascii="仿宋_GB2312" w:eastAsia="仿宋_GB2312" w:cs="新宋体-18030"/>
          <w:bCs/>
          <w:snapToGrid w:val="0"/>
        </w:rPr>
        <w:t>安全生产费用管理</w:t>
      </w:r>
    </w:p>
    <w:p>
      <w:pPr>
        <w:numPr>
          <w:ilvl w:val="0"/>
          <w:numId w:val="5"/>
        </w:numPr>
        <w:tabs>
          <w:tab w:val="left" w:pos="1155"/>
          <w:tab w:val="left" w:pos="1575"/>
        </w:tabs>
        <w:snapToGrid w:val="0"/>
        <w:spacing w:line="360" w:lineRule="auto"/>
        <w:ind w:hanging="834"/>
        <w:rPr>
          <w:rFonts w:ascii="仿宋_GB2312" w:eastAsia="仿宋_GB2312" w:cs="新宋体-18030"/>
          <w:bCs/>
          <w:snapToGrid w:val="0"/>
        </w:rPr>
      </w:pPr>
      <w:r>
        <w:rPr>
          <w:rFonts w:hint="eastAsia" w:ascii="仿宋_GB2312" w:eastAsia="仿宋_GB2312" w:cs="新宋体-18030"/>
          <w:bCs/>
          <w:snapToGrid w:val="0"/>
        </w:rPr>
        <w:t>风险识别与控制</w:t>
      </w:r>
    </w:p>
    <w:p>
      <w:pPr>
        <w:numPr>
          <w:ilvl w:val="0"/>
          <w:numId w:val="5"/>
        </w:numPr>
        <w:tabs>
          <w:tab w:val="left" w:pos="1155"/>
          <w:tab w:val="left" w:pos="1575"/>
        </w:tabs>
        <w:snapToGrid w:val="0"/>
        <w:spacing w:line="360" w:lineRule="auto"/>
        <w:ind w:hanging="834"/>
        <w:rPr>
          <w:rFonts w:ascii="仿宋_GB2312" w:eastAsia="仿宋_GB2312" w:cs="新宋体-18030"/>
          <w:bCs/>
          <w:snapToGrid w:val="0"/>
        </w:rPr>
      </w:pPr>
      <w:r>
        <w:rPr>
          <w:rFonts w:hint="eastAsia" w:ascii="仿宋_GB2312" w:eastAsia="仿宋_GB2312" w:cs="新宋体-18030"/>
          <w:bCs/>
          <w:snapToGrid w:val="0"/>
        </w:rPr>
        <w:t>安全检查及隐患排查治理</w:t>
      </w:r>
    </w:p>
    <w:p>
      <w:pPr>
        <w:numPr>
          <w:ilvl w:val="0"/>
          <w:numId w:val="5"/>
        </w:numPr>
        <w:tabs>
          <w:tab w:val="left" w:pos="1155"/>
          <w:tab w:val="left" w:pos="1575"/>
        </w:tabs>
        <w:snapToGrid w:val="0"/>
        <w:spacing w:line="360" w:lineRule="auto"/>
        <w:ind w:hanging="834"/>
        <w:rPr>
          <w:rFonts w:ascii="仿宋_GB2312" w:eastAsia="仿宋_GB2312" w:cs="新宋体-18030"/>
          <w:bCs/>
          <w:snapToGrid w:val="0"/>
        </w:rPr>
      </w:pPr>
      <w:r>
        <w:rPr>
          <w:rFonts w:hint="eastAsia" w:ascii="仿宋_GB2312" w:eastAsia="仿宋_GB2312" w:cs="新宋体-18030"/>
          <w:bCs/>
          <w:snapToGrid w:val="0"/>
        </w:rPr>
        <w:t>关键岗位及特种作业人员管理</w:t>
      </w:r>
    </w:p>
    <w:p>
      <w:pPr>
        <w:numPr>
          <w:ilvl w:val="0"/>
          <w:numId w:val="5"/>
        </w:numPr>
        <w:tabs>
          <w:tab w:val="left" w:pos="1155"/>
          <w:tab w:val="left" w:pos="1575"/>
        </w:tabs>
        <w:snapToGrid w:val="0"/>
        <w:spacing w:line="360" w:lineRule="auto"/>
        <w:ind w:hanging="834"/>
        <w:rPr>
          <w:rFonts w:ascii="仿宋_GB2312" w:eastAsia="仿宋_GB2312" w:cs="新宋体-18030"/>
          <w:bCs/>
          <w:snapToGrid w:val="0"/>
        </w:rPr>
      </w:pPr>
      <w:r>
        <w:rPr>
          <w:rFonts w:hint="eastAsia" w:ascii="仿宋_GB2312" w:eastAsia="仿宋_GB2312" w:cs="新宋体-18030"/>
          <w:bCs/>
          <w:snapToGrid w:val="0"/>
        </w:rPr>
        <w:t>分包安全管理</w:t>
      </w:r>
    </w:p>
    <w:p>
      <w:pPr>
        <w:numPr>
          <w:ilvl w:val="0"/>
          <w:numId w:val="5"/>
        </w:numPr>
        <w:tabs>
          <w:tab w:val="left" w:pos="1155"/>
          <w:tab w:val="left" w:pos="1575"/>
        </w:tabs>
        <w:snapToGrid w:val="0"/>
        <w:spacing w:line="360" w:lineRule="auto"/>
        <w:ind w:hanging="834"/>
        <w:rPr>
          <w:rFonts w:ascii="仿宋_GB2312" w:eastAsia="仿宋_GB2312" w:cs="新宋体-18030"/>
          <w:bCs/>
          <w:snapToGrid w:val="0"/>
        </w:rPr>
      </w:pPr>
      <w:r>
        <w:rPr>
          <w:rFonts w:hint="eastAsia" w:ascii="仿宋_GB2312" w:eastAsia="仿宋_GB2312" w:cs="新宋体-18030"/>
          <w:bCs/>
          <w:snapToGrid w:val="0"/>
        </w:rPr>
        <w:t>安全施工许可管理</w:t>
      </w:r>
    </w:p>
    <w:p>
      <w:pPr>
        <w:numPr>
          <w:ilvl w:val="0"/>
          <w:numId w:val="5"/>
        </w:numPr>
        <w:tabs>
          <w:tab w:val="left" w:pos="1155"/>
          <w:tab w:val="left" w:pos="1575"/>
        </w:tabs>
        <w:snapToGrid w:val="0"/>
        <w:spacing w:line="360" w:lineRule="auto"/>
        <w:ind w:hanging="834"/>
        <w:rPr>
          <w:rFonts w:ascii="仿宋_GB2312" w:eastAsia="仿宋_GB2312" w:cs="新宋体-18030"/>
          <w:bCs/>
          <w:snapToGrid w:val="0"/>
        </w:rPr>
      </w:pPr>
      <w:r>
        <w:rPr>
          <w:rFonts w:hint="eastAsia" w:ascii="仿宋_GB2312" w:eastAsia="仿宋_GB2312" w:cs="新宋体-18030"/>
          <w:bCs/>
          <w:snapToGrid w:val="0"/>
        </w:rPr>
        <w:t>安全设施与劳动防护用品管理</w:t>
      </w:r>
    </w:p>
    <w:p>
      <w:pPr>
        <w:numPr>
          <w:ilvl w:val="0"/>
          <w:numId w:val="5"/>
        </w:numPr>
        <w:tabs>
          <w:tab w:val="left" w:pos="1155"/>
          <w:tab w:val="left" w:pos="1575"/>
        </w:tabs>
        <w:snapToGrid w:val="0"/>
        <w:spacing w:line="360" w:lineRule="auto"/>
        <w:ind w:hanging="834"/>
        <w:rPr>
          <w:rFonts w:ascii="仿宋_GB2312" w:eastAsia="仿宋_GB2312" w:cs="新宋体-18030"/>
          <w:bCs/>
          <w:snapToGrid w:val="0"/>
        </w:rPr>
      </w:pPr>
      <w:r>
        <w:rPr>
          <w:rFonts w:hint="eastAsia" w:ascii="仿宋_GB2312" w:eastAsia="仿宋_GB2312" w:cs="新宋体-18030"/>
          <w:bCs/>
          <w:snapToGrid w:val="0"/>
        </w:rPr>
        <w:t>施工方案编审及安全技术交底</w:t>
      </w:r>
    </w:p>
    <w:p>
      <w:pPr>
        <w:numPr>
          <w:ilvl w:val="0"/>
          <w:numId w:val="5"/>
        </w:numPr>
        <w:tabs>
          <w:tab w:val="left" w:pos="1155"/>
          <w:tab w:val="left" w:pos="1575"/>
        </w:tabs>
        <w:snapToGrid w:val="0"/>
        <w:spacing w:line="360" w:lineRule="auto"/>
        <w:ind w:hanging="834"/>
        <w:rPr>
          <w:rFonts w:ascii="仿宋_GB2312" w:eastAsia="仿宋_GB2312" w:cs="新宋体-18030"/>
          <w:bCs/>
          <w:snapToGrid w:val="0"/>
        </w:rPr>
      </w:pPr>
      <w:r>
        <w:rPr>
          <w:rFonts w:hint="eastAsia" w:ascii="仿宋_GB2312" w:eastAsia="仿宋_GB2312" w:cs="新宋体-18030"/>
          <w:bCs/>
          <w:snapToGrid w:val="0"/>
        </w:rPr>
        <w:t>施工机械、工器具安全管理</w:t>
      </w:r>
    </w:p>
    <w:p>
      <w:pPr>
        <w:numPr>
          <w:ilvl w:val="0"/>
          <w:numId w:val="5"/>
        </w:numPr>
        <w:tabs>
          <w:tab w:val="left" w:pos="1155"/>
          <w:tab w:val="left" w:pos="1575"/>
        </w:tabs>
        <w:snapToGrid w:val="0"/>
        <w:spacing w:line="360" w:lineRule="auto"/>
        <w:ind w:hanging="834"/>
        <w:rPr>
          <w:rFonts w:ascii="仿宋_GB2312" w:eastAsia="仿宋_GB2312" w:cs="新宋体-18030"/>
          <w:bCs/>
          <w:snapToGrid w:val="0"/>
        </w:rPr>
      </w:pPr>
      <w:r>
        <w:rPr>
          <w:rFonts w:hint="eastAsia" w:ascii="仿宋_GB2312" w:eastAsia="仿宋_GB2312" w:cs="新宋体-18030"/>
          <w:bCs/>
          <w:snapToGrid w:val="0"/>
        </w:rPr>
        <w:t>脚手架搭拆、验收、使用管理</w:t>
      </w:r>
    </w:p>
    <w:p>
      <w:pPr>
        <w:numPr>
          <w:ilvl w:val="0"/>
          <w:numId w:val="5"/>
        </w:numPr>
        <w:tabs>
          <w:tab w:val="left" w:pos="1155"/>
          <w:tab w:val="left" w:pos="1575"/>
        </w:tabs>
        <w:snapToGrid w:val="0"/>
        <w:spacing w:line="360" w:lineRule="auto"/>
        <w:ind w:hanging="834"/>
        <w:rPr>
          <w:rFonts w:ascii="仿宋_GB2312" w:eastAsia="仿宋_GB2312" w:cs="新宋体-18030"/>
          <w:bCs/>
          <w:snapToGrid w:val="0"/>
        </w:rPr>
      </w:pPr>
      <w:r>
        <w:rPr>
          <w:rFonts w:hint="eastAsia" w:ascii="仿宋_GB2312" w:eastAsia="仿宋_GB2312" w:cs="新宋体-18030"/>
          <w:bCs/>
          <w:snapToGrid w:val="0"/>
        </w:rPr>
        <w:t>临时施工用电管理</w:t>
      </w:r>
    </w:p>
    <w:p>
      <w:pPr>
        <w:numPr>
          <w:ilvl w:val="0"/>
          <w:numId w:val="5"/>
        </w:numPr>
        <w:tabs>
          <w:tab w:val="left" w:pos="1155"/>
          <w:tab w:val="left" w:pos="1575"/>
        </w:tabs>
        <w:snapToGrid w:val="0"/>
        <w:spacing w:line="360" w:lineRule="auto"/>
        <w:ind w:hanging="834"/>
        <w:rPr>
          <w:rFonts w:ascii="仿宋_GB2312" w:eastAsia="仿宋_GB2312" w:cs="新宋体-18030"/>
          <w:bCs/>
          <w:snapToGrid w:val="0"/>
        </w:rPr>
      </w:pPr>
      <w:r>
        <w:rPr>
          <w:rFonts w:hint="eastAsia" w:ascii="仿宋_GB2312" w:eastAsia="仿宋_GB2312" w:cs="新宋体-18030"/>
          <w:bCs/>
          <w:snapToGrid w:val="0"/>
        </w:rPr>
        <w:t>交通运输安全管理</w:t>
      </w:r>
    </w:p>
    <w:p>
      <w:pPr>
        <w:numPr>
          <w:ilvl w:val="0"/>
          <w:numId w:val="5"/>
        </w:numPr>
        <w:tabs>
          <w:tab w:val="left" w:pos="1155"/>
          <w:tab w:val="left" w:pos="1575"/>
        </w:tabs>
        <w:snapToGrid w:val="0"/>
        <w:spacing w:line="360" w:lineRule="auto"/>
        <w:ind w:hanging="834"/>
        <w:rPr>
          <w:rFonts w:ascii="仿宋_GB2312" w:eastAsia="仿宋_GB2312" w:cs="新宋体-18030"/>
          <w:bCs/>
          <w:snapToGrid w:val="0"/>
        </w:rPr>
      </w:pPr>
      <w:r>
        <w:rPr>
          <w:rFonts w:hint="eastAsia" w:ascii="仿宋_GB2312" w:eastAsia="仿宋_GB2312" w:cs="新宋体-18030"/>
          <w:bCs/>
          <w:snapToGrid w:val="0"/>
        </w:rPr>
        <w:t>消防保卫管理</w:t>
      </w:r>
    </w:p>
    <w:p>
      <w:pPr>
        <w:numPr>
          <w:ilvl w:val="0"/>
          <w:numId w:val="5"/>
        </w:numPr>
        <w:tabs>
          <w:tab w:val="left" w:pos="1155"/>
          <w:tab w:val="left" w:pos="1575"/>
        </w:tabs>
        <w:snapToGrid w:val="0"/>
        <w:spacing w:line="360" w:lineRule="auto"/>
        <w:ind w:hanging="834"/>
        <w:rPr>
          <w:rFonts w:ascii="仿宋_GB2312" w:eastAsia="仿宋_GB2312" w:cs="新宋体-18030"/>
          <w:bCs/>
          <w:snapToGrid w:val="0"/>
        </w:rPr>
      </w:pPr>
      <w:r>
        <w:rPr>
          <w:rFonts w:hint="eastAsia" w:ascii="仿宋_GB2312" w:eastAsia="仿宋_GB2312" w:cs="新宋体-18030"/>
          <w:bCs/>
          <w:snapToGrid w:val="0"/>
        </w:rPr>
        <w:t>应急管理</w:t>
      </w:r>
    </w:p>
    <w:p>
      <w:pPr>
        <w:numPr>
          <w:ilvl w:val="0"/>
          <w:numId w:val="5"/>
        </w:numPr>
        <w:tabs>
          <w:tab w:val="left" w:pos="1155"/>
          <w:tab w:val="left" w:pos="1575"/>
        </w:tabs>
        <w:snapToGrid w:val="0"/>
        <w:spacing w:line="360" w:lineRule="auto"/>
        <w:ind w:hanging="834"/>
        <w:rPr>
          <w:rFonts w:ascii="仿宋_GB2312" w:eastAsia="仿宋_GB2312" w:cs="新宋体-18030"/>
          <w:bCs/>
          <w:snapToGrid w:val="0"/>
        </w:rPr>
      </w:pPr>
      <w:r>
        <w:rPr>
          <w:rFonts w:hint="eastAsia" w:ascii="仿宋_GB2312" w:eastAsia="仿宋_GB2312" w:cs="新宋体-18030"/>
          <w:bCs/>
          <w:snapToGrid w:val="0"/>
        </w:rPr>
        <w:t>事件报告与调查处理</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职业健康、安全、环境目标</w:t>
      </w:r>
    </w:p>
    <w:p>
      <w:pPr>
        <w:numPr>
          <w:ilvl w:val="1"/>
          <w:numId w:val="3"/>
        </w:numPr>
        <w:tabs>
          <w:tab w:val="left" w:pos="993"/>
        </w:tabs>
        <w:snapToGrid w:val="0"/>
        <w:spacing w:before="120" w:after="120" w:line="360" w:lineRule="auto"/>
        <w:ind w:left="1134" w:hanging="714"/>
        <w:rPr>
          <w:rFonts w:ascii="仿宋_GB2312" w:eastAsia="仿宋_GB2312" w:cs="新宋体-18030"/>
          <w:bCs/>
        </w:rPr>
      </w:pPr>
      <w:r>
        <w:rPr>
          <w:rFonts w:hint="eastAsia" w:ascii="仿宋_GB2312" w:eastAsia="仿宋_GB2312" w:cs="新宋体-18030"/>
          <w:bCs/>
        </w:rPr>
        <w:t>本项目安全目标：</w:t>
      </w:r>
    </w:p>
    <w:p>
      <w:pPr>
        <w:numPr>
          <w:ilvl w:val="2"/>
          <w:numId w:val="3"/>
        </w:numPr>
        <w:tabs>
          <w:tab w:val="left" w:pos="1260"/>
        </w:tabs>
        <w:snapToGrid w:val="0"/>
        <w:spacing w:before="120" w:after="120" w:line="360" w:lineRule="auto"/>
        <w:rPr>
          <w:rFonts w:ascii="仿宋_GB2312" w:eastAsia="仿宋_GB2312" w:cs="新宋体-18030"/>
        </w:rPr>
      </w:pPr>
      <w:r>
        <w:rPr>
          <w:rFonts w:hint="eastAsia" w:ascii="仿宋_GB2312" w:eastAsia="仿宋_GB2312" w:cs="新宋体-18030"/>
        </w:rPr>
        <w:t>不发生重伤或群伤事故（3人及以上）及以上的人身伤亡事故。</w:t>
      </w:r>
    </w:p>
    <w:p>
      <w:pPr>
        <w:numPr>
          <w:ilvl w:val="2"/>
          <w:numId w:val="3"/>
        </w:numPr>
        <w:tabs>
          <w:tab w:val="left" w:pos="1260"/>
        </w:tabs>
        <w:snapToGrid w:val="0"/>
        <w:spacing w:before="120" w:after="120" w:line="360" w:lineRule="auto"/>
        <w:ind w:left="1260" w:hanging="409"/>
        <w:rPr>
          <w:rFonts w:ascii="仿宋_GB2312" w:eastAsia="仿宋_GB2312" w:cs="新宋体-18030"/>
          <w:bCs/>
        </w:rPr>
      </w:pPr>
      <w:r>
        <w:rPr>
          <w:rFonts w:hint="eastAsia" w:ascii="仿宋_GB2312" w:eastAsia="仿宋_GB2312" w:cs="新宋体-18030"/>
          <w:bCs/>
        </w:rPr>
        <w:t>不发生交通安全事故。</w:t>
      </w:r>
    </w:p>
    <w:p>
      <w:pPr>
        <w:numPr>
          <w:ilvl w:val="2"/>
          <w:numId w:val="3"/>
        </w:numPr>
        <w:tabs>
          <w:tab w:val="left" w:pos="1260"/>
        </w:tabs>
        <w:snapToGrid w:val="0"/>
        <w:spacing w:before="120" w:after="120" w:line="360" w:lineRule="auto"/>
        <w:ind w:left="1260" w:hanging="409"/>
        <w:rPr>
          <w:rFonts w:ascii="仿宋_GB2312" w:eastAsia="仿宋_GB2312" w:cs="新宋体-18030"/>
          <w:bCs/>
        </w:rPr>
      </w:pPr>
      <w:r>
        <w:rPr>
          <w:rFonts w:hint="eastAsia" w:ascii="仿宋_GB2312" w:eastAsia="仿宋_GB2312" w:cs="???-18030"/>
          <w:bCs/>
        </w:rPr>
        <w:t>不发生一次财产损失超过50万事件</w:t>
      </w:r>
      <w:r>
        <w:rPr>
          <w:rFonts w:hint="eastAsia" w:ascii="仿宋_GB2312" w:eastAsia="仿宋_GB2312" w:cs="新宋体-18030"/>
          <w:bCs/>
        </w:rPr>
        <w:t>。</w:t>
      </w:r>
    </w:p>
    <w:p>
      <w:pPr>
        <w:numPr>
          <w:ilvl w:val="2"/>
          <w:numId w:val="3"/>
        </w:numPr>
        <w:tabs>
          <w:tab w:val="left" w:pos="1260"/>
        </w:tabs>
        <w:snapToGrid w:val="0"/>
        <w:spacing w:before="120" w:after="120" w:line="360" w:lineRule="auto"/>
        <w:ind w:left="1260" w:hanging="409"/>
        <w:rPr>
          <w:rFonts w:ascii="仿宋_GB2312" w:eastAsia="仿宋_GB2312" w:cs="新宋体-18030"/>
          <w:bCs/>
        </w:rPr>
      </w:pPr>
      <w:r>
        <w:rPr>
          <w:rFonts w:hint="eastAsia" w:ascii="仿宋_GB2312" w:eastAsia="仿宋_GB2312" w:cs="新宋体-18030"/>
          <w:bCs/>
        </w:rPr>
        <w:t>不发生集体食物中毒事件（同时5人及以上的食物中毒）。</w:t>
      </w:r>
    </w:p>
    <w:p>
      <w:pPr>
        <w:numPr>
          <w:ilvl w:val="2"/>
          <w:numId w:val="3"/>
        </w:numPr>
        <w:tabs>
          <w:tab w:val="left" w:pos="1260"/>
        </w:tabs>
        <w:snapToGrid w:val="0"/>
        <w:spacing w:before="120" w:after="120" w:line="360" w:lineRule="auto"/>
        <w:ind w:left="1260" w:hanging="409"/>
        <w:rPr>
          <w:rFonts w:ascii="仿宋_GB2312" w:eastAsia="仿宋_GB2312" w:cs="新宋体-18030"/>
          <w:bCs/>
        </w:rPr>
      </w:pPr>
      <w:r>
        <w:rPr>
          <w:rFonts w:hint="eastAsia" w:ascii="仿宋_GB2312" w:eastAsia="仿宋_GB2312" w:cs="新宋体-18030"/>
          <w:bCs/>
        </w:rPr>
        <w:t>不发生流行性传染病。</w:t>
      </w:r>
    </w:p>
    <w:p>
      <w:pPr>
        <w:numPr>
          <w:ilvl w:val="2"/>
          <w:numId w:val="3"/>
        </w:numPr>
        <w:tabs>
          <w:tab w:val="left" w:pos="1260"/>
        </w:tabs>
        <w:snapToGrid w:val="0"/>
        <w:spacing w:before="120" w:after="120" w:line="360" w:lineRule="auto"/>
        <w:ind w:left="1260" w:hanging="409"/>
        <w:rPr>
          <w:rFonts w:ascii="仿宋_GB2312" w:eastAsia="仿宋_GB2312" w:cs="新宋体-18030"/>
          <w:bCs/>
        </w:rPr>
      </w:pPr>
      <w:r>
        <w:rPr>
          <w:rFonts w:hint="eastAsia" w:ascii="仿宋_GB2312" w:eastAsia="仿宋_GB2312" w:cs="新宋体-18030"/>
          <w:bCs/>
        </w:rPr>
        <w:t>不发生</w:t>
      </w:r>
      <w:r>
        <w:rPr>
          <w:rFonts w:hint="eastAsia" w:ascii="仿宋_GB2312" w:eastAsia="仿宋_GB2312" w:cs="楷体_GB2312"/>
        </w:rPr>
        <w:t>受到政府执法部门处罚的环境污染事件</w:t>
      </w:r>
      <w:r>
        <w:rPr>
          <w:rFonts w:hint="eastAsia" w:ascii="仿宋_GB2312" w:eastAsia="仿宋_GB2312" w:cs="新宋体-18030"/>
          <w:bCs/>
        </w:rPr>
        <w:t>。</w:t>
      </w:r>
    </w:p>
    <w:p>
      <w:pPr>
        <w:numPr>
          <w:ilvl w:val="2"/>
          <w:numId w:val="3"/>
        </w:numPr>
        <w:tabs>
          <w:tab w:val="left" w:pos="1260"/>
        </w:tabs>
        <w:snapToGrid w:val="0"/>
        <w:spacing w:before="120" w:after="120" w:line="360" w:lineRule="auto"/>
        <w:ind w:left="1260" w:hanging="409"/>
        <w:rPr>
          <w:rFonts w:ascii="仿宋_GB2312" w:eastAsia="仿宋_GB2312" w:cs="新宋体-18030"/>
          <w:bCs/>
        </w:rPr>
      </w:pPr>
      <w:r>
        <w:rPr>
          <w:rFonts w:hint="eastAsia" w:ascii="仿宋_GB2312" w:eastAsia="仿宋_GB2312" w:cs="新宋体-18030"/>
          <w:bCs/>
        </w:rPr>
        <w:t>不发生迟报、谎报、瞒报、漏报未遂及以上安全事故/事件。</w:t>
      </w:r>
    </w:p>
    <w:p>
      <w:pPr>
        <w:numPr>
          <w:ilvl w:val="1"/>
          <w:numId w:val="3"/>
        </w:numPr>
        <w:tabs>
          <w:tab w:val="left" w:pos="1155"/>
        </w:tabs>
        <w:snapToGrid w:val="0"/>
        <w:spacing w:before="120" w:after="120" w:line="360" w:lineRule="auto"/>
        <w:ind w:left="1134" w:hanging="714"/>
        <w:rPr>
          <w:rFonts w:ascii="仿宋_GB2312" w:eastAsia="仿宋_GB2312" w:cs="新宋体-18030"/>
          <w:bCs/>
        </w:rPr>
      </w:pPr>
      <w:r>
        <w:rPr>
          <w:rFonts w:hint="eastAsia" w:ascii="仿宋_GB2312" w:eastAsia="仿宋_GB2312" w:cs="新宋体-18030"/>
          <w:bCs/>
        </w:rPr>
        <w:t>承包人应建立与本项目安全目标相一致生产安全控制指标体系，并</w:t>
      </w:r>
      <w:r>
        <w:rPr>
          <w:rFonts w:hint="eastAsia" w:ascii="仿宋_GB2312" w:eastAsia="仿宋_GB2312" w:cs="新宋体-18030"/>
        </w:rPr>
        <w:t>对本单位总体安全目标和年度安全目标进行检查、监督，如出现偏差，分析原因并制定纠偏措施。</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责任承担</w:t>
      </w:r>
    </w:p>
    <w:p>
      <w:pPr>
        <w:tabs>
          <w:tab w:val="left" w:pos="1260"/>
        </w:tabs>
        <w:snapToGrid w:val="0"/>
        <w:spacing w:before="120" w:after="120" w:line="360" w:lineRule="auto"/>
        <w:ind w:left="851"/>
        <w:rPr>
          <w:rFonts w:ascii="仿宋_GB2312" w:eastAsia="仿宋_GB2312" w:cs="新宋体-18030"/>
          <w:bCs/>
        </w:rPr>
      </w:pPr>
      <w:r>
        <w:rPr>
          <w:rFonts w:hint="eastAsia" w:ascii="仿宋_GB2312" w:eastAsia="仿宋_GB2312" w:cs="新宋体-18030"/>
          <w:bCs/>
        </w:rPr>
        <w:t>承包人应承诺在合同规定的活动中承担以下安全、环境责任：</w:t>
      </w:r>
    </w:p>
    <w:p>
      <w:pPr>
        <w:numPr>
          <w:ilvl w:val="2"/>
          <w:numId w:val="3"/>
        </w:numPr>
        <w:tabs>
          <w:tab w:val="left" w:pos="1365"/>
          <w:tab w:val="clear" w:pos="1418"/>
        </w:tabs>
        <w:snapToGrid w:val="0"/>
        <w:spacing w:line="360" w:lineRule="auto"/>
        <w:ind w:left="1367" w:hanging="516"/>
        <w:rPr>
          <w:rFonts w:ascii="仿宋_GB2312" w:eastAsia="仿宋_GB2312" w:cs="新宋体-18030"/>
          <w:bCs/>
          <w:iCs/>
        </w:rPr>
      </w:pPr>
      <w:r>
        <w:rPr>
          <w:rFonts w:hint="eastAsia" w:ascii="仿宋_GB2312" w:eastAsia="仿宋_GB2312" w:cs="新宋体-18030"/>
          <w:bCs/>
          <w:iCs/>
        </w:rPr>
        <w:t>承包人的法人代表或其授权人对本合同活动的职业健康、安全、环境负有全面的领导责任。</w:t>
      </w:r>
    </w:p>
    <w:p>
      <w:pPr>
        <w:numPr>
          <w:ilvl w:val="2"/>
          <w:numId w:val="3"/>
        </w:numPr>
        <w:tabs>
          <w:tab w:val="left" w:pos="1365"/>
          <w:tab w:val="clear" w:pos="1418"/>
        </w:tabs>
        <w:snapToGrid w:val="0"/>
        <w:spacing w:line="360" w:lineRule="auto"/>
        <w:ind w:left="1367" w:hanging="516"/>
        <w:rPr>
          <w:rFonts w:ascii="仿宋_GB2312" w:eastAsia="仿宋_GB2312" w:cs="新宋体-18030"/>
          <w:bCs/>
        </w:rPr>
      </w:pPr>
      <w:r>
        <w:rPr>
          <w:rFonts w:hint="eastAsia" w:ascii="仿宋_GB2312" w:eastAsia="仿宋_GB2312" w:cs="新宋体-18030"/>
          <w:bCs/>
        </w:rPr>
        <w:t>承包人项目负责人对合同活动的</w:t>
      </w:r>
      <w:r>
        <w:rPr>
          <w:rFonts w:hint="eastAsia" w:ascii="仿宋_GB2312" w:eastAsia="仿宋_GB2312" w:cs="新宋体-18030"/>
          <w:bCs/>
          <w:iCs/>
        </w:rPr>
        <w:t>职业健康、</w:t>
      </w:r>
      <w:r>
        <w:rPr>
          <w:rFonts w:hint="eastAsia" w:ascii="仿宋_GB2312" w:eastAsia="仿宋_GB2312" w:cs="新宋体-18030"/>
          <w:bCs/>
        </w:rPr>
        <w:t>安全</w:t>
      </w:r>
      <w:r>
        <w:rPr>
          <w:rFonts w:hint="eastAsia" w:ascii="仿宋_GB2312" w:eastAsia="仿宋_GB2312" w:cs="新宋体-18030"/>
          <w:bCs/>
          <w:iCs/>
        </w:rPr>
        <w:t>、环境</w:t>
      </w:r>
      <w:r>
        <w:rPr>
          <w:rFonts w:hint="eastAsia" w:ascii="仿宋_GB2312" w:eastAsia="仿宋_GB2312" w:cs="新宋体-18030"/>
          <w:bCs/>
        </w:rPr>
        <w:t>工作负有全面的直接管理责任。</w:t>
      </w:r>
    </w:p>
    <w:p>
      <w:pPr>
        <w:numPr>
          <w:ilvl w:val="2"/>
          <w:numId w:val="3"/>
        </w:numPr>
        <w:tabs>
          <w:tab w:val="left" w:pos="1365"/>
          <w:tab w:val="clear" w:pos="1418"/>
        </w:tabs>
        <w:snapToGrid w:val="0"/>
        <w:spacing w:line="360" w:lineRule="auto"/>
        <w:ind w:left="1367" w:hanging="516"/>
        <w:rPr>
          <w:rFonts w:ascii="仿宋_GB2312" w:eastAsia="仿宋_GB2312" w:cs="新宋体-18030"/>
          <w:bCs/>
          <w:iCs/>
        </w:rPr>
      </w:pPr>
      <w:r>
        <w:rPr>
          <w:rFonts w:hint="eastAsia" w:ascii="仿宋_GB2312" w:eastAsia="仿宋_GB2312" w:cs="新宋体-18030"/>
          <w:bCs/>
          <w:iCs/>
        </w:rPr>
        <w:t>承包人应保证本单位安全生产投入的有效实施。</w:t>
      </w:r>
    </w:p>
    <w:p>
      <w:pPr>
        <w:numPr>
          <w:ilvl w:val="2"/>
          <w:numId w:val="3"/>
        </w:numPr>
        <w:tabs>
          <w:tab w:val="left" w:pos="1365"/>
          <w:tab w:val="clear" w:pos="1418"/>
        </w:tabs>
        <w:snapToGrid w:val="0"/>
        <w:spacing w:line="360" w:lineRule="auto"/>
        <w:ind w:left="1367" w:hanging="516"/>
        <w:rPr>
          <w:rFonts w:ascii="仿宋_GB2312" w:eastAsia="仿宋_GB2312" w:cs="新宋体-18030"/>
          <w:bCs/>
          <w:iCs/>
        </w:rPr>
      </w:pPr>
      <w:r>
        <w:rPr>
          <w:rFonts w:hint="eastAsia" w:ascii="仿宋_GB2312" w:eastAsia="仿宋_GB2312" w:cs="新宋体-18030"/>
          <w:bCs/>
          <w:iCs/>
        </w:rPr>
        <w:t>承包人应承诺服从发包人对安全、环境工作的统一协调和管理。</w:t>
      </w:r>
    </w:p>
    <w:p>
      <w:pPr>
        <w:numPr>
          <w:ilvl w:val="2"/>
          <w:numId w:val="3"/>
        </w:numPr>
        <w:tabs>
          <w:tab w:val="left" w:pos="1365"/>
          <w:tab w:val="clear" w:pos="1418"/>
        </w:tabs>
        <w:snapToGrid w:val="0"/>
        <w:spacing w:line="360" w:lineRule="auto"/>
        <w:ind w:left="1367" w:hanging="516"/>
        <w:rPr>
          <w:rFonts w:ascii="仿宋_GB2312" w:eastAsia="仿宋_GB2312" w:cs="新宋体-18030"/>
          <w:bCs/>
          <w:iCs/>
        </w:rPr>
      </w:pPr>
      <w:r>
        <w:rPr>
          <w:rFonts w:hint="eastAsia" w:ascii="仿宋_GB2312" w:eastAsia="仿宋_GB2312" w:cs="新宋体-18030"/>
          <w:bCs/>
          <w:iCs/>
        </w:rPr>
        <w:t>承包人应与分包商、供应商签订安全协议，明确双方安全职责与分工，保证分包商、供应商的资格符合发包人的要求，对施工队伍的安全实施统一管理，对分包商、供应商的安全向发包人负责。</w:t>
      </w:r>
    </w:p>
    <w:p>
      <w:pPr>
        <w:numPr>
          <w:ilvl w:val="2"/>
          <w:numId w:val="3"/>
        </w:numPr>
        <w:tabs>
          <w:tab w:val="left" w:pos="1365"/>
          <w:tab w:val="clear" w:pos="1418"/>
        </w:tabs>
        <w:snapToGrid w:val="0"/>
        <w:spacing w:line="360" w:lineRule="auto"/>
        <w:ind w:left="1367" w:hanging="516"/>
        <w:rPr>
          <w:rFonts w:ascii="仿宋_GB2312" w:eastAsia="仿宋_GB2312" w:cs="新宋体-18030"/>
          <w:bCs/>
          <w:iCs/>
        </w:rPr>
      </w:pPr>
      <w:r>
        <w:rPr>
          <w:rFonts w:hint="eastAsia" w:ascii="仿宋_GB2312" w:eastAsia="仿宋_GB2312" w:cs="新宋体-18030"/>
          <w:bCs/>
          <w:iCs/>
        </w:rPr>
        <w:t>承包人应保证采购、租赁物项的安全性能、环保性能符合国家法律、标准和发包人的要求，对其实施统一的安全管理，并向发包人负责。</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安全协议与接口协调</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承包人应指定专人作为安全协调人，与发包人的安全相关部门接口，参与协调管理。</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在发生同一区域多个单位施工且影响相互间的安全生产时，承包人有义务与有关单位协商，确定协调的责任和方法，必要时可签订相关协议。该协议应征求发包人的意见，并在发包人备案。</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建立区域、物项移交安全控制机制，避免出现移交过程安全失控或安全管理漏洞。在向下游单位移交时，保证安全条件和措施满足移交条件后，再向发包人提出移交申请。发包人负责施工现场移交协调管理，确定厂房、区域移交的时机和责任，区域、物项的安全条件和措施（含照明、通风、消防设备设施、临边孔洞防护措施等）必须随同移交下游单位。在接受上游单位移交时，必须检查确认安全条件和措施是否满足安全要求，经检查合格并移交双方签字确认方可接受。区域、物项移交一旦生效，由接受方履行移交区域或物项的安全管理职责（移交过程移交双方达成遗留项除外），包括但不限于照明、通风、消防设备设施、临边孔洞防护以及文明施工等。区域、物项的安全条件和措施的最终物项归属初始施工方。</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安全监督组织与网络</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本项目专职安全人员数量应不少于项目部全体员工人数的2%（包含分包商人员、劳务用工人员等），承包人的安全专职人员必须持有注册安全工程师或政府部门颁发的其他安全资质证书，同时专职安全人员持有注册安全工程师证书的比例应符合国家法律及发包人的要求。承包人的专职安全人员在业务上接受发包人的协调和指导。</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承包人应建立安全管理监督网络，建立诸如安全委员会或其他形式的安全协调机构，并定期组织安全会议，必要时组织专项会议。</w:t>
      </w:r>
    </w:p>
    <w:p>
      <w:pPr>
        <w:numPr>
          <w:ilvl w:val="1"/>
          <w:numId w:val="3"/>
        </w:numPr>
        <w:tabs>
          <w:tab w:val="left" w:pos="1155"/>
        </w:tabs>
        <w:snapToGrid w:val="0"/>
        <w:spacing w:line="360" w:lineRule="auto"/>
        <w:ind w:left="1134" w:hanging="714"/>
        <w:rPr>
          <w:rFonts w:ascii="仿宋_GB2312" w:eastAsia="仿宋_GB2312" w:cs="???-18030"/>
          <w:bCs/>
        </w:rPr>
      </w:pPr>
      <w:r>
        <w:rPr>
          <w:rFonts w:hint="eastAsia" w:ascii="仿宋_GB2312" w:eastAsia="仿宋_GB2312" w:cs="新宋体-18030"/>
          <w:bCs/>
        </w:rPr>
        <w:t>承包人应建立领导安全管理带班巡视制度，明确项目管理团队人员安全管理巡视的具体方式、频次、参与人员等。</w:t>
      </w:r>
      <w:r>
        <w:rPr>
          <w:rFonts w:hint="eastAsia" w:ascii="仿宋_GB2312" w:eastAsia="仿宋_GB2312" w:cs="???-18030"/>
          <w:bCs/>
        </w:rPr>
        <w:t>承包人项目经理部成员</w:t>
      </w:r>
      <w:r>
        <w:rPr>
          <w:rFonts w:hint="eastAsia" w:ascii="仿宋_GB2312" w:eastAsia="仿宋_GB2312" w:cs="新宋体-18030"/>
          <w:bCs/>
        </w:rPr>
        <w:t>应每周进行现场管理巡视，</w:t>
      </w:r>
      <w:r>
        <w:rPr>
          <w:rFonts w:hint="eastAsia" w:ascii="仿宋_GB2312" w:eastAsia="仿宋_GB2312" w:cs="???-18030"/>
          <w:bCs/>
        </w:rPr>
        <w:t>每月应参加一次班组会议或班组讨论。</w:t>
      </w:r>
    </w:p>
    <w:p>
      <w:pPr>
        <w:numPr>
          <w:ilvl w:val="1"/>
          <w:numId w:val="3"/>
        </w:numPr>
        <w:tabs>
          <w:tab w:val="left" w:pos="1155"/>
        </w:tabs>
        <w:snapToGrid w:val="0"/>
        <w:spacing w:line="360" w:lineRule="auto"/>
        <w:ind w:left="1134" w:hanging="714"/>
        <w:rPr>
          <w:rFonts w:ascii="仿宋_GB2312" w:eastAsia="仿宋_GB2312" w:cs="???-18030"/>
          <w:bCs/>
        </w:rPr>
      </w:pPr>
      <w:r>
        <w:rPr>
          <w:rFonts w:hint="eastAsia" w:ascii="仿宋_GB2312" w:eastAsia="仿宋_GB2312" w:cs="???-18030"/>
          <w:bCs/>
        </w:rPr>
        <w:t>承包人应遵照《特殊工作时间安全管理办法》要求特别强化对节假日、夜间等特殊作业时间施工活动管理，严格执行作业申报、作业安全条件检查、交接班管理、领导带班巡视和作业后安全检查确认等五项制度。</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当发包人生产主管部门和安全部门的人员要求立即中止违章作业时，承包人员工应无条件立即执行。发包人有权根据现场的安全风险情况自行签发或委托监理单位“停工令”。在接到停工令后，承包人应立即停止规定范围内的施工活动，组织安全整改，停工造成的影响和损失由承包人负责承担。</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人员基本素质</w:t>
      </w:r>
    </w:p>
    <w:p>
      <w:pPr>
        <w:numPr>
          <w:ilvl w:val="1"/>
          <w:numId w:val="3"/>
        </w:numPr>
        <w:tabs>
          <w:tab w:val="left" w:pos="1155"/>
        </w:tabs>
        <w:snapToGrid w:val="0"/>
        <w:spacing w:before="120" w:after="120" w:line="360" w:lineRule="auto"/>
        <w:ind w:left="1134" w:hanging="714"/>
        <w:rPr>
          <w:rFonts w:ascii="仿宋_GB2312" w:eastAsia="仿宋_GB2312" w:cs="新宋体-18030"/>
          <w:bCs/>
        </w:rPr>
      </w:pPr>
      <w:r>
        <w:rPr>
          <w:rFonts w:hint="eastAsia" w:ascii="仿宋_GB2312" w:eastAsia="仿宋_GB2312" w:cs="新宋体-18030"/>
          <w:bCs/>
        </w:rPr>
        <w:t>承包人应对所有进场施工人员进行医学健康体检，特殊工种和特殊岗位人员应按照国家相关规定进行特殊职业能力体检，确保有职业禁忌症人员从事禁忌作业。所有从业人员应满足岗位所需的文化程度、工作经验和身体素质，年龄不超过55周岁且无刑事案件牵连。</w:t>
      </w:r>
    </w:p>
    <w:p>
      <w:pPr>
        <w:numPr>
          <w:ilvl w:val="1"/>
          <w:numId w:val="3"/>
        </w:numPr>
        <w:tabs>
          <w:tab w:val="left" w:pos="851"/>
          <w:tab w:val="clear" w:pos="1512"/>
        </w:tabs>
        <w:snapToGrid w:val="0"/>
        <w:spacing w:before="120" w:after="120" w:line="360" w:lineRule="auto"/>
        <w:ind w:left="1081" w:leftChars="338" w:hanging="371" w:hangingChars="177"/>
        <w:rPr>
          <w:rFonts w:ascii="仿宋_GB2312" w:eastAsia="仿宋_GB2312" w:cs="新宋体-18030"/>
          <w:bCs/>
        </w:rPr>
      </w:pPr>
      <w:r>
        <w:rPr>
          <w:rFonts w:hint="eastAsia" w:ascii="仿宋_GB2312" w:eastAsia="仿宋_GB2312" w:cs="新宋体-18030"/>
          <w:bCs/>
        </w:rPr>
        <w:t>承包人的主要负责人、项目负责人、专职安全生产管理人员和特种从业人员应当国家及地方行政主管部门或者其他有关部门考核合格并取得有效资格证书（注：职业技能鉴定证书等不取代特种作业资格证）后方可任职。承包人应建立内部技能考核制度，对特殊工种和特殊岗位人员进行技能培训和能力考核，确保满足岗位需要。</w:t>
      </w:r>
    </w:p>
    <w:p>
      <w:pPr>
        <w:numPr>
          <w:ilvl w:val="1"/>
          <w:numId w:val="3"/>
        </w:numPr>
        <w:tabs>
          <w:tab w:val="left" w:pos="851"/>
          <w:tab w:val="clear" w:pos="1512"/>
        </w:tabs>
        <w:snapToGrid w:val="0"/>
        <w:spacing w:before="120" w:after="120" w:line="360" w:lineRule="auto"/>
        <w:ind w:left="1081" w:leftChars="338" w:hanging="371" w:hangingChars="177"/>
        <w:rPr>
          <w:rFonts w:ascii="仿宋_GB2312" w:eastAsia="仿宋_GB2312" w:cs="新宋体-18030"/>
          <w:bCs/>
        </w:rPr>
      </w:pPr>
      <w:r>
        <w:rPr>
          <w:rFonts w:hint="eastAsia" w:ascii="仿宋_GB2312" w:eastAsia="仿宋_GB2312" w:cs="新宋体-18030"/>
          <w:bCs/>
        </w:rPr>
        <w:t>发包人及其上级单位有权对承包人人员的基本素质情况进行检查，对不能满足要求的人员有权清退出场，由此产生的经济和法律后果由承包人承担。</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班组管理</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根据《基层安全班组安全生产标准化工作指引》要求开展班组管理各项工作，落实班组长注册制度、晨会制度、班组培训与学习制度、班组工器具管理制度、班组环境制度、班组隐患排查治理以及班组绩效考核等要求。</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对班组实行班组实名注册制度，设定班组安全绩效考核指标，每月对班组进行考核评比，对优秀班组进行激励。承包人对绩效考核的结果进行独立评审，并在现场宣传栏、施工入口等处进行公示，保证绩效结果的公平和公正。</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安全培训与授权</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承包人应严格按照《生产经营单位</w:t>
      </w:r>
      <w:r>
        <w:rPr>
          <w:rFonts w:hint="eastAsia" w:ascii="仿宋_GB2312" w:eastAsia="仿宋_GB2312" w:cs="新宋体-18030"/>
        </w:rPr>
        <w:t>安全培训</w:t>
      </w:r>
      <w:r>
        <w:rPr>
          <w:rFonts w:hint="eastAsia" w:ascii="仿宋_GB2312" w:eastAsia="仿宋_GB2312" w:cs="新宋体-18030"/>
          <w:bCs/>
        </w:rPr>
        <w:t>规定》应建立健全安全培训和考核制度，</w:t>
      </w:r>
      <w:r>
        <w:rPr>
          <w:rFonts w:hint="eastAsia" w:ascii="仿宋_GB2312" w:hAnsi="ˎ̥" w:eastAsia="仿宋_GB2312"/>
        </w:rPr>
        <w:t>对项目主要负责人、安全生产管理人员、特种作业人员和其他从业人员进行安全培训，使其熟悉有关安全生产规章制度和安全操作规程，具备必要的安全生产知识，掌握本岗位的安全操作技能，增强预防事故、控制职业危害和应急处理的能力。承包人所有入场人员必须接受入场三级教育和定期安全复训，未经安全生产培训合格的从业人员，不得上岗作业。</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承包人应建设有专门的培训教室，并且培训教室配备有良好的培训设施，包括桌椅、投影仪、电脑、音响等，应根据施工规模和员工数量配备情况对培训设施必要的增加、更新。</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识别施工人员关键岗位，如特种作业人和其他关键性操作工种，并组织对其开展企业内部技能考核工作，采用技能考试、面试等方式评估员工工作能力，包括技术能力、个人行为、品质和态度、工作所需的具体身体条件等内容。</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承包人引入的学习人员、参观人员、供应商代表等负有同样的安全培训与考核的责任，包括入场安全培训和现场作业过程安全监督。</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开工控制</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项目开工前，发包人或监理单位将组织开工安全检查，检查内容包括但不限于：项目安全管理规划、全员安全责任制、安全投入计划、风险辨识与评价、隐患排查与治理、安全教育与培训、施工组织设计、安全生产标准化建设计划、现场安全文明状况等内容。</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采购、租赁的安全防护用具、机械设备、施工机具及配件，应当具有生产(制造)许可证、产品合格证，并在场外进行预先验收，对不合格产品一律做清退处理。对于现场检查中发现的不合格产品，发包人对承包人入场验收放行人员保留责任追究权利。</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施工现场的安全防护用具、机械设备、施工机具及配件必须由专人管理，承包人应指定专门部门按照国家法规及技术标准要求定期进行检查、维修和保养，建立相应的资料档案，并按照国家有关规定及时报废。</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承包人应将现场作业基本安全条件作为施工计划的先决条件之一，开工前必须予以检查。发现问题未处理的，不得开工作业。</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出入管理与治安保卫</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承包人应按市级有关标准和《安全生产标准化图集》要求实施场区封闭管理，设置门禁系统，配备专职保安人员，采取人防、技防、物防控制措施确保施工区域安保措施受控。</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rPr>
        <w:t>承包人根据发包人要求进行责任区域的移交管理。移交前，下游承包商提前介入安装设备的照管责任由介入承包商负责。承包人在将房间、区域、厂房移交下游承包商时，应办理移交证书，明确移交双方的责任、移交内容及状态，包括反移交、设备引入等。</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安全投入</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承包人在投标时应提交本工程安全费用工程量清单，作为合同安全费用报价依据，</w:t>
      </w:r>
      <w:r>
        <w:rPr>
          <w:rFonts w:hint="eastAsia" w:ascii="仿宋_GB2312" w:eastAsia="仿宋_GB2312"/>
        </w:rPr>
        <w:t>安全费用工程量清单应与报价的清单保持一致</w:t>
      </w:r>
      <w:r>
        <w:rPr>
          <w:rFonts w:hint="eastAsia" w:ascii="仿宋_GB2312" w:eastAsia="仿宋_GB2312" w:cs="新宋体-18030"/>
          <w:bCs/>
        </w:rPr>
        <w:t>。</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在施工组织设计阶段完成安全费用投入计划的编制，安全费用投入计划应随施工组织设计方案同时报送发包人或监理单位审核，经发包人或监理单位审核确认后的安全费用投入计划作为安全费用支付依据。</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承包人应建立安全费用专用账户，保证施工合同安全费用资金专款专用。</w:t>
      </w:r>
      <w:r>
        <w:rPr>
          <w:rFonts w:hint="eastAsia" w:ascii="仿宋_GB2312" w:eastAsia="仿宋_GB2312"/>
        </w:rPr>
        <w:t>承包人应建立安措费支取、安全设施采购和使用数据库，并向发包人无条件公开，</w:t>
      </w:r>
      <w:r>
        <w:rPr>
          <w:rFonts w:hint="eastAsia" w:ascii="仿宋_GB2312" w:eastAsia="仿宋_GB2312" w:cs="新宋体-18030"/>
          <w:bCs/>
        </w:rPr>
        <w:t>发包人有权不定期核查。</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如承包人未建立安措费支取、安全设施采购和使用数据库，或虽建立但未向发包人无条件公开，或发包人在核查承包人的安措费使用情况发现重大问题而承包人未按时整改的，则发包人有权扣除承包人剩余安全措施费用相应金额的合同款。</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承包人安全费用（包括安全生产、文明施工和环境保护费用）的费率不得低于国家或地方政府相关部门规定的最低标准，发包人将安全费用列入工程造价，在竞标时，不得删减，列入标外管理。</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承包人不得克扣其分供商或分包商的安全投入，并且要监督其分供商或分包商安全投入使用情况。</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承包人应监督检查其劳保用品发放情况，严禁承包人从劳务工工资中扣除劳保费用。</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分包商及劳务用工安全</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承包人应遵守发包人分包管理程序</w:t>
      </w:r>
      <w:r>
        <w:rPr>
          <w:rFonts w:hint="eastAsia" w:ascii="仿宋_GB2312" w:eastAsia="仿宋_GB2312" w:cs="新宋体-18030"/>
        </w:rPr>
        <w:t>选择分包商，</w:t>
      </w:r>
      <w:r>
        <w:rPr>
          <w:rFonts w:hint="eastAsia" w:ascii="仿宋_GB2312" w:eastAsia="仿宋_GB2312" w:cs="新宋体-18030"/>
          <w:bCs/>
        </w:rPr>
        <w:t>并根据合同约定建立合格分包方名录（清单），建立分包商资格审查程序，审核验证分包商资质，并报发包人和监理单位审核备案。</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承包人按照合同规定与分包方签订分包合同，分包合同应包含安全协议，传递发包人和承包人自身安全管理要求，确保分包人在承包人安全管理体系下运作，并对分包方进行安全监管。</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以任何用工形式使用的长期劳务用工和短期、临时劳务用工、参观人员都属于承包人本单位员工。承包人应对其分包商及劳务用工或学徒、技校生实行直接的安全管理，承包人对分包商、劳务用工、本单位临时人员的安全管理负有全部责任。</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职业健康与卫生防疫</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根据国家有关法律法规及标准和发包人要求建立职业健康管理制度，识别涉职业危害重点岗位和人员，并为其建立职业健康监护档案。同时实施施工作业环境影响监测制度，对作业区域粉尘、噪声、有毒有害物质以及温湿度等影响从业人员职业健康因素进行定期监测，形成监测分析报告，针对不符合事项制定改进措施并落实，监测和措施情况报告报发包人备案。</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承包人必须在项目建设过程中按照国家法律要求建立健康关怀系统，包括以下内容：体检、饮水及卫生设施、就餐及休息设施、健身活动、健身设施、吸烟点、禁烟活动。</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建立卫生防疫措施计划，做好生活区和施工区的卫生防疫工作。制定和执行保证饮水卫生、饮食卫生、环境卫生和预防集体食物中毒的措施。有灭蚊、灭鼠和消毒的专项工作计划和措施。有针对性地制订预防各类传染疾病的措施。</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承包人应严格遵守疫情防控有关规定，健全本单位疫情防控管理制度和应急处置方案，备足备齐疫情防控物资装备，根据有关工作指引开展疫情防控工作。</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风险分级管理与隐患排查</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承包人应对本合同活动进行全面、深入的风险识别和评价，制定风险分级管控措施，定期对所有活动的安全风险进行复核，编制风险识别与评价报告并报发包人和监理单位。</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充分识别本合同所涉及的危险性较大的分部分项工程，制定专项施工方案编制计划，严格按照《危险性较大的分部分项工程安全管理规定》《危险性较大的分部分项工程专项施工方案编制指南》要求编制、审核和批准。对涉及超一定规模的危险性较大的分部分项工程，应组织专家评审。施工期间应严格按照方案施工，涉及变更的应重新组织审查和评审，对现场要害部位、关键节点给予必要的警戒标识，防止误动或违规破坏。</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承包人应制定高危作业许可管理制度，实施高危作业许可管理，许可范围和有关规定应不低于发包人《</w:t>
      </w:r>
      <w:r>
        <w:rPr>
          <w:rFonts w:hint="eastAsia" w:ascii="仿宋_GB2312" w:eastAsia="仿宋_GB2312" w:cs="新宋体-18030"/>
        </w:rPr>
        <w:t>作业安全许可管理规定</w:t>
      </w:r>
      <w:r>
        <w:rPr>
          <w:rFonts w:hint="eastAsia" w:ascii="仿宋_GB2312" w:eastAsia="仿宋_GB2312" w:cs="新宋体-18030"/>
          <w:bCs/>
        </w:rPr>
        <w:t>》相关要求。</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承包人应制定安全检查和隐患排查治理制度，明确内部职责与分工，开展经常性安全检查和各类专项安全检查活动，组织各层级落实事故隐患排查和治理，确保事故隐患及时发现和处理。</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承包人应应建立事故隐患排查整治台账，定期对事故隐患进行统计分析，制定有针对性改进行动。</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基本安全设施</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承包人应根据发包人要求规定现场作业的基本安全条件，包括照明、通风、作业平台和通道、物料堆放、供电供水、吸烟点、厕所、休息点等。</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对于脚手架及其安全网等配套防护设施或措施，应建立设计、搭制、验收、使用、拆除的技术标准和管理程序，明确责任和分工，实现规范化操作。同时，承包人应对脚手架实施专项归口管理，其工作内容包括但不限于建立和修订脚手架管制制度、脚手架相关施工方案审核、架子工资格管理、脚手架现场使用全周期（材料入场控制、脚手架搭设、验收、使用、变更和拆除）进行综合协调管理。</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挖掘作业必须落实地下管线（水、电、气、信）保护措施，即地下管线、设施保护“6 个 100%”措施（100%签署地下管线保护协议,100%查明地下管线分布情况，100%制定地下管线保护方案，100%配备管线工程师， 100%实施《动土令》制度，100%做好作业技术交底）工作要求。</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设备或管道吊装就位，或因施工要求需临时吊挂的，吊点必须经专门的设计验算，并制作成标准件，现场使用时喷涂红白相间油漆并张贴荷载和管理验收信息。在钢格栅上架设的临时吊点时，其支撑两端必须设置在承重钢梁上。一般情况下禁止使用吊装设备（吊车、倒链等）进行长期（注：吊车、倒链等起重设备只能在起重、调整期间受力）承重吊挂，若需长期吊挂时，必须设置二次保护措施。吊挂点下方可坠落范围设立隔离边界，禁止无关进入隔离区。</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承包人应在本合同工程范围中使用盘扣式脚手架，其技术要求应满足《建筑施工扣件式钢管脚手架安全技术规范》《直缝电焊钢管》相应要求，脚手板应满足《连续热镀锌钢板及钢带》的相应要求。</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劳动保护</w:t>
      </w:r>
    </w:p>
    <w:p>
      <w:pPr>
        <w:numPr>
          <w:ilvl w:val="1"/>
          <w:numId w:val="3"/>
        </w:numPr>
        <w:tabs>
          <w:tab w:val="left" w:pos="1155"/>
          <w:tab w:val="left" w:pos="1560"/>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承包人所有现场作业人员均应穿戴安全帽、工作服和安全鞋，高处及临边作业人员必须使用双大钩安全带。</w:t>
      </w:r>
    </w:p>
    <w:p>
      <w:pPr>
        <w:numPr>
          <w:ilvl w:val="1"/>
          <w:numId w:val="3"/>
        </w:numPr>
        <w:tabs>
          <w:tab w:val="left" w:pos="1155"/>
          <w:tab w:val="left" w:pos="1560"/>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按国家标准所规定的劳保用品配备标准为员工配备个人防护用品，并制定管理规定，对个人防护用品进行管理，包括对基本劳动保护用品、特殊防护用品、安全常用仪器仪表的种类、品牌、使用寿命、使用部位、验收内容、使用方法、注意事项等进行规定。</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承包人在制定施工方案时，考虑在合适的地方采用设计、工程和管理控制来取代个人防护用品的方案。</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特殊作业人员必须根据实际需要，配备反光背心、安全带、救生衣、手套、护目镜、耳塞、口罩等特殊劳动保护。</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特种作业人员应采取一定的措施，在安全帽或工作服标识上与其他工种进行区分。</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承包人为所有作业人员（含分包商人员）统一采购、配发一般劳动防护用品（含冬季劳动防护）和特殊劳动防护用品，对所采购劳动防护用品合规性负责。</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施工机具安全</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带入现场的施工机械、施工机具及安全相关的施工作业材料必须经过发包人或监理人的外观和性能检查，发包人也可以要求承包人委托有资格的技术监督机构依据国家或行业的强制性标准对其进行安全技术性检查。不满足发包人安全要求的不得进入现场使用，发包人或监理单位的检查并不减轻承包人应承担的安全责任。对于所有施工租赁设备，承包人负有同等的安全管理责任。</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承包人应建立施工机械安全的管理程序，对缺陷报告、维护、维修、试验、检测、报废以及档案、记录等各个环节作出规定；承包人应建立施工机械安全技术程序，包括操作、检验、试验程序。</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承包人现场使用自制工器具时，必须执行自制工器具设计和验收制度（明确维护、保养、报废要求），规范自制工器具的制作与安全使用。自制工机具需报发包人同意后方可使用。</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消防安全</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承包人应根据《建设工程施工现场消防安全技术规范》建立和维护本施工区域临时消防水系统，确保临时消防水系统可用。</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承包人责建立消防器材动态数据库，数据库内容至少包括以下内容：灭火器材种类、灭火器材数量、责任人。消防器材的配置与要求应严格国家有关法律法规及标准执行，原则上配置标准应不低于正式设计文件。</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承包人应参照发包人程序建立施工动火控制制度，动火作业须办理动火证，并根据《建筑工程消防安全技术规范》为每一处动火作业点配置专职监护人。</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承包人应尽量减少可（易）燃物的储存；确需要储存时必须办理临时存放许可证；可（易）燃物的储存区必须远离火源，配备消防器材、设置消防通道并保持畅通。</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电气安全</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按《施工现场临时用电安全技术规范》及现场条件，编制临时用电施工组织设计，对用电设备容量、电缆走向、电缆敷设、电器安全设施参数、用电管理等进行规定，经发包人或监理单位审核、批准后实施。现场实际情况变更时，应予提前升版和报审。</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施工现场临时用电配电系统应设置配电柜或总配电箱（即一级配电箱）、分配电箱、开关箱，实行三级配电。总配电箱、开关箱必须装设漏电保护。</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现场范围内露天不能使用架空线供电，</w:t>
      </w:r>
      <w:r>
        <w:rPr>
          <w:rFonts w:hint="eastAsia" w:ascii="仿宋_GB2312" w:eastAsia="仿宋_GB2312"/>
        </w:rPr>
        <w:t>地埋电缆禁止直埋，必须加套管或保护层，埋设深度不应小于700mm，并按规定布置标志桩</w:t>
      </w:r>
      <w:r>
        <w:rPr>
          <w:rFonts w:hint="eastAsia" w:ascii="仿宋_GB2312" w:eastAsia="仿宋_GB2312" w:cs="新宋体-18030"/>
          <w:bCs/>
        </w:rPr>
        <w:t>，禁止采取铺砂盖砖的敷设方式。室内</w:t>
      </w:r>
      <w:r>
        <w:rPr>
          <w:rFonts w:hint="eastAsia" w:ascii="仿宋_GB2312" w:eastAsia="仿宋_GB2312"/>
        </w:rPr>
        <w:t>电缆敷设应根据施工环境特点安装高度应能够避免机械损伤和其他损伤，电缆距离地面高度不宜小于2.5m，采用绝缘挂钩悬挂走线，不得直接挂在金属构架、脚手架等其他支架上。当电缆敷设穿越楼板、墙壁和空洞时应采取绝缘管或护套进行保护。</w:t>
      </w:r>
      <w:r>
        <w:rPr>
          <w:rFonts w:hint="eastAsia" w:ascii="仿宋_GB2312" w:eastAsia="仿宋_GB2312" w:cs="新宋体-18030"/>
          <w:bCs/>
        </w:rPr>
        <w:t>当采用地面走线时，电缆布置应根据施工用电配电系统及用电需求布置配电线路槽盒，通道处须设置过桥保护。</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结合施工现场临时施工用电施工组织设计建立匹配的接地网络，接地网络按建筑层逐层布置，综合考虑配电系统、用电设备就近连接。不得采用铝导体做接地体或地下接地线。垂直接地体宜采用角钢、钢管或光面圆钢，不得采用螺纹钢。</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配电箱编号、上锁，张贴设备标牌、维护责任人信息牌、警示标牌，室外配电箱必须采取加固措施；高压变压器四周必须设置护栏，防止非作业人员进入。</w:t>
      </w:r>
    </w:p>
    <w:p>
      <w:pPr>
        <w:numPr>
          <w:ilvl w:val="1"/>
          <w:numId w:val="3"/>
        </w:numPr>
        <w:tabs>
          <w:tab w:val="left" w:pos="1155"/>
        </w:tabs>
        <w:snapToGrid w:val="0"/>
        <w:spacing w:before="120" w:after="120" w:line="360" w:lineRule="auto"/>
        <w:ind w:left="1134" w:hanging="714"/>
        <w:rPr>
          <w:rFonts w:ascii="仿宋_GB2312" w:eastAsia="仿宋_GB2312" w:cs="新宋体-18030"/>
          <w:bCs/>
        </w:rPr>
      </w:pPr>
      <w:r>
        <w:rPr>
          <w:rFonts w:hint="eastAsia" w:ascii="仿宋_GB2312" w:eastAsia="仿宋_GB2312" w:cs="新宋体-18030"/>
          <w:bCs/>
        </w:rPr>
        <w:t>施工现场所有区域应布置照明设施，施工作业面最低照度应不低于50LX，非作业区照度应不低于10LX。</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环境保护</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承包人须对本单位相关的环境因素按年度逐一进行识别，制定环境因素评价准则，评价、确定重要环境因素，编制环境因素和重要环境因素清单及控制措施，报发包人和监理单位备案。</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承包人应根据实际需要，在施工现场布置满足发包人要求的临时卫生设施（洗手间、卫生间等），并安排专门人员、设备等资源维护现场卫生设施，保证卫生设施清洁、整洁、无异味。</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承包人应充分重视防止水土流失，土石方开挖、边坡防护、临时道路等有水土流失隐患的分部工程开工前，须向发包人或监理单位提交该分部工程的水土保持措施施工组织设计，审核同意后方可开工。</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承包人应严格执行扬尘污染防治措施，落实“6 个 100%”（施工围挡及外架100%全封闭、出入口及车行道100%硬底化、出入口100%安装冲洗设施、易起尘作业面100%湿法施工、裸露土及易起尘物料100%覆盖、出入口 100%安装 TSP 在线监测设备）工作要求。</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承包人施工中应及时对裸露的地基、边坡、开挖出来的沙、土以及砂、石、水泥等建筑材料予以保护，防止风刮扬尘，雨水冲刷，流入海洋或下水道、排洪沟。</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在生产过程中产生的“三废”应严格按照国家有关环境法律法规及标准处理。固体废物应集中存储并处理，涉危险化学品废物处理必须委托有资质单位处理并报发包人备案。危险化学品库房设计与建造应充分考虑存储安全和事故状态下应急处置相关要求。</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施工临建安全</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承包人根据发包人现场总体规划制定生产临建规划方案，临建规划布置应满足有关法律法规及标准要求，临建规划方案应报发包人审批合格后方可实施。</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承包人在工地内的临建设施，必须满足国家法规和地方政府的安全规定和发包人在合同中规定的卫生、防疫、消防等要求。临时施工建筑的建设标准应不低于有关标准规范和发包人安全生产标准化图集要求。</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 xml:space="preserve">承包人应按照所在地地方政府有关管理规定执行生产临建、危化品库房以及消防设施等报建和验收工作，保存有关设计、建设及验收记录，发包人有权对其进行监督检查。 </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的生活营地（包括自建的和租用的营地）应满足消防、安全用电、卫生防疫、防抗台风、雷雨、暴雨、大风、寒潮、暴风雪等方面的安全要求，并建立相应的管理制度；尤其严格消防管理，禁止封锁逃生通道。</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在发包人管辖区域内所建立的临建设施，如车间、仓库、加工场地、预制场地等等，必须满足发包人的规划要求，这些临建设施必须具备基本的安全性能，包括抗震、防台、防雷雨大风、防暴雨、防大风、防寒潮、消防、应急逃生、安全距离、应急照明、通风空调、卫生、安全标志、防盗等性能。对于有特殊风险的厂房，如油漆喷沙车间，则必须配置专项安全装置。</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任何区域的用于本合同相关活动的临建厂房所使用的特种机械，如行车、机床、充电设备等，必须符合国家强制性标准和特种设备的要求。存放危险化学品、压缩气体、射线探伤装置和放射源的设施，必须满足分隔存放等安全要求，禁止混放。禁止使用工作场所、仓库、生活场所“三合一”的设施。</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事故报告与应急救援</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参照发包人的标准，建立生产安全事件报告准则；对于未遂事故及以上级别的安全事件和事故，应建立事故快速报告制度，即在事件、事故发生后，立即报告发包人和监理单位。不得迟报、谎报、漏报和瞒报。</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承包人应执行发包人规定的24小时事件报告制度，即在事件发生后的24小时以内，发出书面安全事件通告。</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承包人应建立安全事故事件统计记录、未遂事故统计记录、违章统计记录，并根据统计情况进行分析，并就分析结果制定相应的预防措施。</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承包人负责组织的事故调查，发包人有权参与调查。在事故发生后的30个工作日内，承包人应向发包人递交正式的事故调查处理报告。</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承包人应建立事故应急救援机制，明确事故处置的基本原则，即现场发生事故时，首先抢救生命，向救援组织报警，并采取措施限制事故扩大。</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建立专项应急响应预案，包括重大人身伤亡事故的救护预案、火灾响应预案、“自然灾害”预案（如防台风、防雷击、防暴雨、防暑等等），并提交发包人和监理单位审核、备案。承包人应对应急预案进行适当演练，保证应急预案的可操作性。</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工作时间以外风险控制</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承包人应建立集体活动审批制度，明确工作时间以外集体活动组织安全控制要求，避免发生群体事件或群死群伤事故。</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承包人应建立工作时间以外安全管理制度，规范个人或集体工作时间外活动行为。针对节假日外出、周边活动安全风险点发出安全风险提醒。</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工伤保险</w:t>
      </w:r>
    </w:p>
    <w:p>
      <w:pPr>
        <w:tabs>
          <w:tab w:val="left" w:pos="1365"/>
        </w:tabs>
        <w:snapToGrid w:val="0"/>
        <w:spacing w:before="120" w:after="120" w:line="360" w:lineRule="auto"/>
        <w:ind w:firstLine="420" w:firstLineChars="200"/>
        <w:rPr>
          <w:rFonts w:ascii="仿宋_GB2312" w:eastAsia="仿宋_GB2312" w:cs="新宋体-18030"/>
          <w:bCs/>
        </w:rPr>
      </w:pPr>
      <w:r>
        <w:rPr>
          <w:rFonts w:hint="eastAsia" w:ascii="仿宋_GB2312" w:eastAsia="仿宋_GB2312" w:cs="新宋体-18030"/>
          <w:bCs/>
        </w:rPr>
        <w:t>承包人负责所有人员（包括分包商及其临时劳务工）的工伤保险，上述保险不得从工资和福利中扣除。</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安全业绩考核</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承包人应建立分级问责制度，结合发包人的分级问责评价机制建立自己单位内部的相关制度或规定，并严格执行。</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承包人应建立职业健康、安全生产、环境目标考核制度，对各级组织的安全管理业绩和个人的安全业绩进行考核，并给予奖惩。</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奖励</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发包人可根据年度和整个项目过程中取得的良好安全业绩给予承包人或承包人所属的人员一定的履约奖励。</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rPr>
        <w:t>为激励承包人单位或个人在合同执行内对项目安全的贡献，发包人可以采取不同形式的激励措施。承包人在接收到相关精神或物质激励后，应如数拨付至具体的组织或个人，并将发放记录报发包人备案，发包人有权随时进行核查。</w:t>
      </w:r>
    </w:p>
    <w:p>
      <w:pPr>
        <w:numPr>
          <w:ilvl w:val="0"/>
          <w:numId w:val="3"/>
        </w:numPr>
        <w:snapToGrid w:val="0"/>
        <w:spacing w:before="120" w:after="120" w:line="360" w:lineRule="auto"/>
        <w:rPr>
          <w:rFonts w:ascii="仿宋_GB2312" w:eastAsia="仿宋_GB2312" w:cs="新宋体-18030"/>
          <w:b/>
          <w:bCs/>
        </w:rPr>
      </w:pPr>
      <w:r>
        <w:rPr>
          <w:rFonts w:hint="eastAsia" w:ascii="仿宋_GB2312" w:eastAsia="仿宋_GB2312" w:cs="新宋体-18030"/>
          <w:b/>
          <w:bCs/>
        </w:rPr>
        <w:t xml:space="preserve">违约 </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对于承包人违反国家及地方有关法律法规、标准及本合同约定的，发包人有权根据违约情节作出要求撤换承包人关键岗位人员、约谈投标方主要负责人、停工整改以及扣除违约金等一种或多种处理措施。承包人因安全问题被发包人要求停工整改的，其停工期间所造成的一切损失由承包人自行承担。</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存在违反下列事项的，发包人有权要求承包人更换项目关键岗位人员（不限于项目负责人、技术负责人、安全负责人、质量负责人）：</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 xml:space="preserve">发生重伤及以上安全事故； </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不能履行岗位安全职责，经约谈后仍无改善；</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其他甲方视情节认定的情形。</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存在违反下列事项的，发包人有权视情节严重性约谈承包人主要负责人或项目负责人：</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发生轻伤或重大未遂安全事件；</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受行政主管部门行政处罚或红黄牌警示的；</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典型安全隐患重复发生且不响应甲方改进要求的；</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月度安全隐患按期整改率低于95%；</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其他管理岗位人员不履行安全职责，或发生违规行为且不接受甲方整改要求的；</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发生安全事故瞒报、谎报、迟报；</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其他甲方视情节认定的情形。</w:t>
      </w:r>
    </w:p>
    <w:p>
      <w:pPr>
        <w:numPr>
          <w:ilvl w:val="1"/>
          <w:numId w:val="3"/>
        </w:numPr>
        <w:tabs>
          <w:tab w:val="left" w:pos="1155"/>
        </w:tabs>
        <w:snapToGrid w:val="0"/>
        <w:spacing w:line="360" w:lineRule="auto"/>
        <w:ind w:left="1134" w:hanging="714"/>
        <w:rPr>
          <w:rFonts w:ascii="仿宋_GB2312" w:eastAsia="仿宋_GB2312" w:cs="新宋体-18030"/>
          <w:bCs/>
        </w:rPr>
      </w:pPr>
      <w:r>
        <w:rPr>
          <w:rFonts w:hint="eastAsia" w:ascii="仿宋_GB2312" w:eastAsia="仿宋_GB2312" w:cs="新宋体-18030"/>
          <w:bCs/>
        </w:rPr>
        <w:t>根据承包人违约事项和情节不同，承包方按照附件《施工合同违约处罚汇总表》中相应违约条款支付违约金，发包人将从工程款中扣除相应款项。</w:t>
      </w:r>
    </w:p>
    <w:p>
      <w:pPr>
        <w:snapToGrid w:val="0"/>
        <w:spacing w:line="360" w:lineRule="auto"/>
        <w:ind w:left="420" w:leftChars="200" w:firstLine="630" w:firstLineChars="300"/>
        <w:rPr>
          <w:rFonts w:ascii="仿宋_GB2312" w:eastAsia="仿宋_GB2312" w:cs="新宋体-18030"/>
          <w:bCs/>
        </w:rPr>
      </w:pPr>
      <w:r>
        <w:rPr>
          <w:rFonts w:hint="eastAsia" w:ascii="仿宋_GB2312" w:eastAsia="仿宋_GB2312" w:cs="新宋体-18030"/>
          <w:bCs/>
        </w:rPr>
        <w:t>（1）违反以下事项的：</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发生死亡事故；</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每起发生2人及以上人员重伤的事故；</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发生直接经济损失超过50万元事故。</w:t>
      </w:r>
    </w:p>
    <w:p>
      <w:pPr>
        <w:widowControl w:val="0"/>
        <w:snapToGrid w:val="0"/>
        <w:spacing w:line="360" w:lineRule="auto"/>
        <w:ind w:left="210" w:leftChars="100" w:firstLine="840" w:firstLineChars="400"/>
        <w:rPr>
          <w:rFonts w:ascii="仿宋_GB2312" w:eastAsia="仿宋_GB2312"/>
          <w:kern w:val="2"/>
        </w:rPr>
      </w:pPr>
      <w:r>
        <w:rPr>
          <w:rFonts w:hint="eastAsia" w:ascii="仿宋_GB2312" w:eastAsia="仿宋_GB2312"/>
          <w:kern w:val="2"/>
        </w:rPr>
        <w:t>（2）违反以下事项的：</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发生重伤事故或群伤事故；</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发生受到政府行政执法机关通报的环境负面事件；</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发生直接经济损失超过20万元的事件。</w:t>
      </w:r>
    </w:p>
    <w:p>
      <w:pPr>
        <w:snapToGrid w:val="0"/>
        <w:spacing w:line="360" w:lineRule="auto"/>
        <w:ind w:left="210" w:leftChars="100" w:firstLine="840" w:firstLineChars="400"/>
        <w:rPr>
          <w:rFonts w:ascii="仿宋_GB2312" w:eastAsia="仿宋_GB2312"/>
        </w:rPr>
      </w:pPr>
      <w:r>
        <w:rPr>
          <w:rFonts w:hint="eastAsia" w:ascii="仿宋_GB2312" w:eastAsia="仿宋_GB2312"/>
        </w:rPr>
        <w:t>（3）违反以下事项的：</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未按照规定设置安全生产管理机构或者配备足够安全生产管理人员的；</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施工相关作业文件、人员培训记录、资质报告文件等弄虚作假；</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管理人员违章指挥、强令冒险作业，即刻风险不及时制止或拒绝整改；</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无施工文件（施工方案、工作程序等）情况下组织施工（包括未经审批或审批未完成）、不按施工文件（施工方案、工作程序等）要求施工，擅自改变既定的安全措施，降低防护水平或条件；</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塔吊、施工升降机、吊篮、爬架等特殊设备设施未经检验或检验不合格擅自使用；</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特种作业人员或特种设备操作人员未持证上岗或从事的工作与其技能不符；</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项目经理或安全经理未经发包人同意连续半个月以上不在现场；</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其他发包人视情节认定的情形。</w:t>
      </w:r>
    </w:p>
    <w:p>
      <w:pPr>
        <w:snapToGrid w:val="0"/>
        <w:spacing w:line="360" w:lineRule="auto"/>
        <w:ind w:left="210" w:leftChars="100" w:firstLine="840" w:firstLineChars="400"/>
        <w:rPr>
          <w:rFonts w:ascii="仿宋_GB2312" w:eastAsia="仿宋_GB2312"/>
        </w:rPr>
      </w:pPr>
      <w:r>
        <w:rPr>
          <w:rFonts w:hint="eastAsia" w:ascii="仿宋_GB2312" w:eastAsia="仿宋_GB2312"/>
        </w:rPr>
        <w:t>（4）违反以下事项的：</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未按规定办理隔离票、动土证、一级动火证、起重吊装许可证、受限空间许可证等许可票证进行作业；</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未按照规定对从业人员、被派遣劳动者、实习学生进行安全生产教育和培训，或者未按照规定如实告知有关的安全生产事项的，或未如实记录安全生产教育和培训情况的；</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从业人员个人劳动保护用品配备标准不满足本合同要求或质量不符合相应标准，逾期整改的；</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安全资源（包括人力、经费、物资）投入不到位，逾期不整改；</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安全防护用具、机械设备、施工机具及配件在进入施工现场前未经查验或者查验不合格即投入使用的；</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发包人发出的书面整改行动逾期不整改；</w:t>
      </w:r>
    </w:p>
    <w:p>
      <w:pPr>
        <w:widowControl w:val="0"/>
        <w:numPr>
          <w:ilvl w:val="0"/>
          <w:numId w:val="6"/>
        </w:numPr>
        <w:snapToGrid w:val="0"/>
        <w:spacing w:line="360" w:lineRule="auto"/>
        <w:ind w:hanging="278"/>
        <w:rPr>
          <w:rFonts w:ascii="仿宋_GB2312" w:eastAsia="仿宋_GB2312"/>
          <w:kern w:val="2"/>
        </w:rPr>
      </w:pPr>
      <w:r>
        <w:rPr>
          <w:rFonts w:hint="eastAsia" w:ascii="仿宋_GB2312" w:eastAsia="仿宋_GB2312"/>
          <w:kern w:val="2"/>
        </w:rPr>
        <w:t>其他发包人视情节认定的情形。</w:t>
      </w:r>
    </w:p>
    <w:p>
      <w:pPr>
        <w:snapToGrid w:val="0"/>
        <w:spacing w:line="360" w:lineRule="auto"/>
        <w:rPr>
          <w:rFonts w:ascii="仿宋_GB2312" w:eastAsia="仿宋_GB2312"/>
        </w:rPr>
      </w:pPr>
      <w:r>
        <w:rPr>
          <w:rFonts w:hint="eastAsia" w:ascii="仿宋_GB2312" w:eastAsia="仿宋_GB2312"/>
        </w:rPr>
        <w:t>以上条款执行以发包人发出正式函件为准，相关违约金直接从当期工程款中扣除。</w:t>
      </w:r>
    </w:p>
    <w:p>
      <w:pPr>
        <w:snapToGrid w:val="0"/>
        <w:spacing w:line="360" w:lineRule="auto"/>
        <w:rPr>
          <w:rFonts w:ascii="仿宋_GB2312" w:eastAsia="仿宋_GB2312" w:cs="新宋体-18030"/>
          <w:b/>
        </w:rPr>
      </w:pPr>
    </w:p>
    <w:p>
      <w:pPr>
        <w:snapToGrid w:val="0"/>
        <w:spacing w:line="360" w:lineRule="auto"/>
        <w:rPr>
          <w:rFonts w:ascii="仿宋_GB2312" w:eastAsia="仿宋_GB2312" w:cs="新宋体-18030"/>
          <w:b/>
        </w:rPr>
      </w:pPr>
      <w:r>
        <w:rPr>
          <w:rFonts w:hint="eastAsia" w:ascii="仿宋_GB2312" w:eastAsia="仿宋_GB2312" w:cs="新宋体-18030"/>
          <w:b/>
        </w:rPr>
        <w:t>以下附件详见发包人制度，需无条件执行：</w:t>
      </w:r>
    </w:p>
    <w:p>
      <w:pPr>
        <w:snapToGrid w:val="0"/>
        <w:spacing w:line="360" w:lineRule="auto"/>
        <w:ind w:firstLine="525" w:firstLineChars="250"/>
        <w:rPr>
          <w:rFonts w:ascii="仿宋_GB2312" w:eastAsia="仿宋_GB2312" w:cs="新宋体-18030"/>
        </w:rPr>
      </w:pPr>
      <w:r>
        <w:rPr>
          <w:rFonts w:hint="eastAsia" w:ascii="仿宋_GB2312" w:eastAsia="仿宋_GB2312" w:cs="新宋体-18030"/>
        </w:rPr>
        <w:t>1.施工承包商安全管理办法</w:t>
      </w:r>
    </w:p>
    <w:p>
      <w:pPr>
        <w:snapToGrid w:val="0"/>
        <w:spacing w:line="360" w:lineRule="auto"/>
        <w:ind w:firstLine="525" w:firstLineChars="250"/>
        <w:rPr>
          <w:rFonts w:ascii="仿宋_GB2312" w:eastAsia="仿宋_GB2312" w:cs="新宋体-18030"/>
        </w:rPr>
      </w:pPr>
      <w:r>
        <w:rPr>
          <w:rFonts w:hint="eastAsia" w:ascii="仿宋_GB2312" w:eastAsia="仿宋_GB2312" w:cs="新宋体-18030"/>
        </w:rPr>
        <w:t>2.作业安全许可管理规定</w:t>
      </w:r>
    </w:p>
    <w:p>
      <w:pPr>
        <w:snapToGrid w:val="0"/>
        <w:spacing w:line="360" w:lineRule="auto"/>
        <w:ind w:firstLine="525" w:firstLineChars="250"/>
        <w:rPr>
          <w:rFonts w:ascii="仿宋_GB2312" w:eastAsia="仿宋_GB2312" w:cs="新宋体-18030"/>
        </w:rPr>
      </w:pPr>
      <w:r>
        <w:rPr>
          <w:rFonts w:hint="eastAsia" w:ascii="仿宋_GB2312" w:eastAsia="仿宋_GB2312" w:cs="新宋体-18030"/>
        </w:rPr>
        <w:t>3.特殊工作时间安全管理办法</w:t>
      </w:r>
    </w:p>
    <w:p>
      <w:pPr>
        <w:snapToGrid w:val="0"/>
        <w:spacing w:line="360" w:lineRule="auto"/>
        <w:ind w:firstLine="525" w:firstLineChars="250"/>
        <w:rPr>
          <w:rFonts w:ascii="仿宋_GB2312" w:eastAsia="仿宋_GB2312" w:cs="新宋体-18030"/>
        </w:rPr>
      </w:pPr>
      <w:r>
        <w:rPr>
          <w:rFonts w:hint="eastAsia" w:ascii="仿宋_GB2312" w:eastAsia="仿宋_GB2312" w:cs="新宋体-18030"/>
        </w:rPr>
        <w:t>4.基层班组安全生产标准化工作指引</w:t>
      </w:r>
    </w:p>
    <w:p>
      <w:pPr>
        <w:widowControl w:val="0"/>
        <w:snapToGrid w:val="0"/>
        <w:spacing w:line="360" w:lineRule="auto"/>
        <w:ind w:firstLine="525" w:firstLineChars="250"/>
        <w:jc w:val="both"/>
        <w:rPr>
          <w:rFonts w:ascii="Calibri" w:hAnsi="Calibri" w:cs="Times New Roman"/>
          <w:kern w:val="2"/>
          <w:sz w:val="21"/>
        </w:rPr>
      </w:pPr>
      <w:r>
        <w:rPr>
          <w:rFonts w:hint="eastAsia" w:ascii="仿宋_GB2312" w:eastAsia="仿宋_GB2312" w:cs="新宋体-18030"/>
        </w:rPr>
        <w:t>5.安全生产标准化图集</w:t>
      </w:r>
    </w:p>
    <w:p>
      <w:pPr>
        <w:keepNext w:val="0"/>
        <w:keepLines w:val="0"/>
        <w:pageBreakBefore w:val="0"/>
        <w:wordWrap/>
        <w:overflowPunct/>
        <w:topLinePunct w:val="0"/>
        <w:bidi w:val="0"/>
        <w:adjustRightInd w:val="0"/>
        <w:snapToGrid w:val="0"/>
        <w:spacing w:line="360" w:lineRule="auto"/>
        <w:rPr>
          <w:snapToGrid w:val="0"/>
          <w:szCs w:val="21"/>
        </w:rPr>
      </w:pPr>
    </w:p>
    <w:p>
      <w:pPr>
        <w:keepNext w:val="0"/>
        <w:keepLines w:val="0"/>
        <w:pageBreakBefore w:val="0"/>
        <w:wordWrap/>
        <w:overflowPunct/>
        <w:topLinePunct w:val="0"/>
        <w:bidi w:val="0"/>
        <w:adjustRightInd/>
        <w:snapToGrid/>
        <w:spacing w:line="240" w:lineRule="auto"/>
        <w:rPr>
          <w:snapToGrid w:val="0"/>
          <w:szCs w:val="21"/>
        </w:rPr>
      </w:pPr>
      <w:r>
        <w:rPr>
          <w:snapToGrid w:val="0"/>
          <w:szCs w:val="21"/>
        </w:rPr>
        <w:br w:type="page"/>
      </w:r>
    </w:p>
    <w:p>
      <w:pPr>
        <w:keepNext w:val="0"/>
        <w:keepLines w:val="0"/>
        <w:pageBreakBefore w:val="0"/>
        <w:wordWrap/>
        <w:overflowPunct/>
        <w:topLinePunct w:val="0"/>
        <w:bidi w:val="0"/>
        <w:adjustRightInd w:val="0"/>
        <w:snapToGrid w:val="0"/>
        <w:spacing w:line="360" w:lineRule="auto"/>
        <w:rPr>
          <w:snapToGrid w:val="0"/>
          <w:szCs w:val="21"/>
        </w:rPr>
        <w:sectPr>
          <w:pgSz w:w="11906" w:h="16838"/>
          <w:pgMar w:top="1440" w:right="1800" w:bottom="1440" w:left="1800" w:header="851" w:footer="992" w:gutter="0"/>
          <w:cols w:space="425" w:num="1"/>
          <w:docGrid w:type="lines" w:linePitch="312" w:charSpace="0"/>
        </w:sectPr>
      </w:pPr>
    </w:p>
    <w:p>
      <w:pPr>
        <w:pStyle w:val="5"/>
        <w:rPr>
          <w:rFonts w:hint="default" w:ascii="Times New Roman" w:eastAsia="宋体"/>
          <w:b/>
          <w:bCs/>
          <w:sz w:val="22"/>
          <w:szCs w:val="40"/>
          <w:lang w:val="en-US" w:eastAsia="zh-CN"/>
        </w:rPr>
      </w:pPr>
      <w:r>
        <w:rPr>
          <w:rFonts w:hint="eastAsia" w:ascii="Times New Roman" w:eastAsia="宋体"/>
          <w:b/>
          <w:bCs/>
          <w:sz w:val="22"/>
          <w:szCs w:val="40"/>
          <w:lang w:val="en-US" w:eastAsia="zh-CN"/>
        </w:rPr>
        <w:t>附件7.材料品牌库</w:t>
      </w:r>
    </w:p>
    <w:p>
      <w:pPr>
        <w:pStyle w:val="5"/>
        <w:rPr>
          <w:rFonts w:ascii="Times New Roman"/>
          <w:sz w:val="20"/>
        </w:rPr>
      </w:pPr>
    </w:p>
    <w:p>
      <w:pPr>
        <w:widowControl/>
        <w:numPr>
          <w:ilvl w:val="-1"/>
          <w:numId w:val="0"/>
        </w:numPr>
        <w:jc w:val="both"/>
        <w:rPr>
          <w:rFonts w:hint="eastAsia"/>
          <w:b/>
          <w:bCs/>
          <w:color w:val="000000"/>
          <w:sz w:val="31"/>
          <w:szCs w:val="31"/>
          <w:lang w:val="en-US" w:bidi="ar"/>
        </w:rPr>
      </w:pPr>
      <w:r>
        <w:rPr>
          <w:b/>
          <w:bCs/>
          <w:color w:val="000000"/>
          <w:sz w:val="31"/>
          <w:szCs w:val="31"/>
          <w:lang w:val="en-US" w:bidi="ar"/>
        </w:rPr>
        <w:t>建筑装饰类材料参考品牌</w:t>
      </w:r>
      <w:r>
        <w:rPr>
          <w:rFonts w:hint="eastAsia"/>
          <w:b/>
          <w:bCs/>
          <w:color w:val="000000"/>
          <w:sz w:val="31"/>
          <w:szCs w:val="31"/>
          <w:lang w:val="en-US" w:bidi="ar"/>
        </w:rPr>
        <w:t>（排名不分先后）</w:t>
      </w:r>
    </w:p>
    <w:p/>
    <w:p>
      <w:pPr>
        <w:pStyle w:val="5"/>
        <w:rPr>
          <w:rFonts w:ascii="Times New Roman"/>
          <w:sz w:val="13"/>
        </w:rPr>
      </w:pPr>
    </w:p>
    <w:tbl>
      <w:tblPr>
        <w:tblStyle w:val="10"/>
        <w:tblW w:w="0" w:type="auto"/>
        <w:tblInd w:w="3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6"/>
        <w:gridCol w:w="2865"/>
        <w:gridCol w:w="8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1616" w:type="dxa"/>
          </w:tcPr>
          <w:p>
            <w:pPr>
              <w:pStyle w:val="17"/>
              <w:spacing w:before="179"/>
              <w:ind w:left="114" w:right="110"/>
              <w:jc w:val="center"/>
              <w:rPr>
                <w:b/>
                <w:color w:val="auto"/>
                <w:sz w:val="30"/>
                <w:highlight w:val="none"/>
              </w:rPr>
            </w:pPr>
            <w:r>
              <w:rPr>
                <w:b/>
                <w:color w:val="auto"/>
                <w:sz w:val="30"/>
                <w:highlight w:val="none"/>
              </w:rPr>
              <w:t>编号</w:t>
            </w:r>
          </w:p>
        </w:tc>
        <w:tc>
          <w:tcPr>
            <w:tcW w:w="2865" w:type="dxa"/>
          </w:tcPr>
          <w:p>
            <w:pPr>
              <w:pStyle w:val="17"/>
              <w:spacing w:before="179"/>
              <w:ind w:left="16" w:right="7"/>
              <w:jc w:val="center"/>
              <w:rPr>
                <w:b/>
                <w:color w:val="auto"/>
                <w:sz w:val="30"/>
                <w:highlight w:val="none"/>
              </w:rPr>
            </w:pPr>
            <w:r>
              <w:rPr>
                <w:b/>
                <w:color w:val="auto"/>
                <w:sz w:val="30"/>
                <w:highlight w:val="none"/>
              </w:rPr>
              <w:t>材料设备品种</w:t>
            </w:r>
          </w:p>
        </w:tc>
        <w:tc>
          <w:tcPr>
            <w:tcW w:w="8040" w:type="dxa"/>
          </w:tcPr>
          <w:p>
            <w:pPr>
              <w:pStyle w:val="17"/>
              <w:spacing w:before="179"/>
              <w:ind w:left="2307" w:right="2301"/>
              <w:jc w:val="center"/>
              <w:rPr>
                <w:b/>
                <w:color w:val="auto"/>
                <w:sz w:val="30"/>
                <w:highlight w:val="none"/>
              </w:rPr>
            </w:pPr>
            <w:r>
              <w:rPr>
                <w:b/>
                <w:color w:val="auto"/>
                <w:sz w:val="30"/>
                <w:highlight w:val="none"/>
              </w:rPr>
              <w:t>正常使用参考品牌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color w:val="auto"/>
                <w:sz w:val="30"/>
                <w:szCs w:val="30"/>
                <w:highlight w:val="none"/>
              </w:rPr>
            </w:pPr>
            <w:r>
              <w:rPr>
                <w:color w:val="auto"/>
                <w:sz w:val="30"/>
                <w:szCs w:val="30"/>
                <w:highlight w:val="none"/>
              </w:rPr>
              <w:t>201</w:t>
            </w:r>
          </w:p>
        </w:tc>
        <w:tc>
          <w:tcPr>
            <w:tcW w:w="2865" w:type="dxa"/>
            <w:vAlign w:val="center"/>
          </w:tcPr>
          <w:p>
            <w:pPr>
              <w:jc w:val="center"/>
              <w:rPr>
                <w:color w:val="auto"/>
                <w:sz w:val="30"/>
                <w:szCs w:val="30"/>
                <w:highlight w:val="none"/>
              </w:rPr>
            </w:pPr>
            <w:r>
              <w:rPr>
                <w:color w:val="auto"/>
                <w:sz w:val="30"/>
                <w:szCs w:val="30"/>
                <w:highlight w:val="none"/>
              </w:rPr>
              <w:t>墙面氟碳涂料</w:t>
            </w:r>
          </w:p>
        </w:tc>
        <w:tc>
          <w:tcPr>
            <w:tcW w:w="8040" w:type="dxa"/>
            <w:shd w:val="clear" w:color="auto" w:fill="FFFFFF" w:themeFill="background1"/>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color w:val="auto"/>
                <w:sz w:val="30"/>
                <w:highlight w:val="none"/>
              </w:rPr>
            </w:pPr>
            <w:r>
              <w:rPr>
                <w:color w:val="auto"/>
                <w:sz w:val="30"/>
                <w:highlight w:val="none"/>
                <w:shd w:val="clear" w:fill="FFFFFF" w:themeFill="background1"/>
              </w:rPr>
              <w:t>多乐士、嘉宝莉、</w:t>
            </w:r>
            <w:r>
              <w:rPr>
                <w:color w:val="auto"/>
                <w:sz w:val="30"/>
                <w:highlight w:val="none"/>
              </w:rPr>
              <w:t>SKK、嘉达、菊花、明远、美涂士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Merge w:val="restart"/>
            <w:vAlign w:val="center"/>
          </w:tcPr>
          <w:p>
            <w:pPr>
              <w:jc w:val="center"/>
              <w:rPr>
                <w:color w:val="auto"/>
                <w:sz w:val="30"/>
                <w:szCs w:val="30"/>
                <w:highlight w:val="none"/>
              </w:rPr>
            </w:pPr>
            <w:r>
              <w:rPr>
                <w:color w:val="auto"/>
                <w:sz w:val="30"/>
                <w:szCs w:val="30"/>
                <w:highlight w:val="none"/>
              </w:rPr>
              <w:t>202</w:t>
            </w:r>
          </w:p>
        </w:tc>
        <w:tc>
          <w:tcPr>
            <w:tcW w:w="2865" w:type="dxa"/>
            <w:vMerge w:val="restart"/>
            <w:vAlign w:val="center"/>
          </w:tcPr>
          <w:p>
            <w:pPr>
              <w:jc w:val="center"/>
              <w:rPr>
                <w:color w:val="auto"/>
                <w:sz w:val="30"/>
                <w:szCs w:val="30"/>
                <w:highlight w:val="none"/>
              </w:rPr>
            </w:pPr>
          </w:p>
          <w:p>
            <w:pPr>
              <w:jc w:val="center"/>
              <w:rPr>
                <w:color w:val="auto"/>
                <w:sz w:val="30"/>
                <w:szCs w:val="30"/>
                <w:highlight w:val="none"/>
              </w:rPr>
            </w:pPr>
            <w:r>
              <w:rPr>
                <w:color w:val="auto"/>
                <w:sz w:val="30"/>
                <w:szCs w:val="30"/>
                <w:highlight w:val="none"/>
              </w:rPr>
              <w:t>地弹簧</w:t>
            </w:r>
          </w:p>
        </w:tc>
        <w:tc>
          <w:tcPr>
            <w:tcW w:w="8040" w:type="dxa"/>
            <w:vMerge w:val="restart"/>
            <w:shd w:val="clear" w:color="auto" w:fill="FFFFFF" w:themeFill="background1"/>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color w:val="auto"/>
                <w:sz w:val="30"/>
                <w:highlight w:val="none"/>
              </w:rPr>
            </w:pPr>
            <w:r>
              <w:rPr>
                <w:color w:val="auto"/>
                <w:sz w:val="30"/>
                <w:highlight w:val="none"/>
              </w:rPr>
              <w:t>摩登、</w:t>
            </w:r>
            <w:r>
              <w:rPr>
                <w:color w:val="auto"/>
                <w:sz w:val="30"/>
                <w:highlight w:val="none"/>
                <w:shd w:val="clear" w:fill="FFFFFF" w:themeFill="background1"/>
              </w:rPr>
              <w:t>坚朗</w:t>
            </w:r>
            <w:r>
              <w:rPr>
                <w:rFonts w:hint="eastAsia"/>
                <w:color w:val="auto"/>
                <w:sz w:val="30"/>
                <w:highlight w:val="none"/>
                <w:shd w:val="clear" w:fill="FFFFFF" w:themeFill="background1"/>
                <w:lang w:val="en-US"/>
              </w:rPr>
              <w:t>、瑞</w:t>
            </w:r>
            <w:r>
              <w:rPr>
                <w:rFonts w:hint="eastAsia"/>
                <w:color w:val="auto"/>
                <w:sz w:val="30"/>
                <w:highlight w:val="none"/>
                <w:lang w:val="en-US"/>
              </w:rPr>
              <w:t>高</w:t>
            </w:r>
            <w:r>
              <w:rPr>
                <w:rFonts w:hint="eastAsia"/>
                <w:color w:val="auto"/>
                <w:sz w:val="30"/>
                <w:highlight w:val="none"/>
                <w:lang w:val="en-US" w:eastAsia="zh-CN"/>
              </w:rPr>
              <w:t>、汇泰龙、瑞博尔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Merge w:val="continue"/>
            <w:tcBorders>
              <w:top w:val="nil"/>
            </w:tcBorders>
            <w:vAlign w:val="center"/>
          </w:tcPr>
          <w:p>
            <w:pPr>
              <w:jc w:val="center"/>
              <w:rPr>
                <w:color w:val="auto"/>
                <w:sz w:val="30"/>
                <w:szCs w:val="30"/>
                <w:highlight w:val="none"/>
              </w:rPr>
            </w:pPr>
          </w:p>
        </w:tc>
        <w:tc>
          <w:tcPr>
            <w:tcW w:w="2865" w:type="dxa"/>
            <w:vMerge w:val="continue"/>
            <w:tcBorders>
              <w:top w:val="nil"/>
            </w:tcBorders>
            <w:vAlign w:val="center"/>
          </w:tcPr>
          <w:p>
            <w:pPr>
              <w:jc w:val="center"/>
              <w:rPr>
                <w:color w:val="auto"/>
                <w:sz w:val="30"/>
                <w:szCs w:val="30"/>
                <w:highlight w:val="none"/>
              </w:rPr>
            </w:pPr>
          </w:p>
        </w:tc>
        <w:tc>
          <w:tcPr>
            <w:tcW w:w="8040" w:type="dxa"/>
            <w:vMerge w:val="continue"/>
            <w:shd w:val="clear" w:color="auto" w:fill="FFFFFF" w:themeFill="background1"/>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color w:val="auto"/>
                <w:sz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0" w:hRule="atLeast"/>
        </w:trPr>
        <w:tc>
          <w:tcPr>
            <w:tcW w:w="1616" w:type="dxa"/>
            <w:vMerge w:val="restart"/>
            <w:vAlign w:val="center"/>
          </w:tcPr>
          <w:p>
            <w:pPr>
              <w:jc w:val="center"/>
              <w:rPr>
                <w:color w:val="auto"/>
                <w:sz w:val="30"/>
                <w:szCs w:val="30"/>
                <w:highlight w:val="none"/>
              </w:rPr>
            </w:pPr>
            <w:r>
              <w:rPr>
                <w:color w:val="auto"/>
                <w:sz w:val="30"/>
                <w:szCs w:val="30"/>
                <w:highlight w:val="none"/>
              </w:rPr>
              <w:t>203</w:t>
            </w:r>
          </w:p>
        </w:tc>
        <w:tc>
          <w:tcPr>
            <w:tcW w:w="2865" w:type="dxa"/>
            <w:vMerge w:val="restart"/>
            <w:vAlign w:val="center"/>
          </w:tcPr>
          <w:p>
            <w:pPr>
              <w:jc w:val="center"/>
              <w:rPr>
                <w:color w:val="auto"/>
                <w:sz w:val="30"/>
                <w:szCs w:val="30"/>
                <w:highlight w:val="none"/>
              </w:rPr>
            </w:pPr>
          </w:p>
          <w:p>
            <w:pPr>
              <w:jc w:val="center"/>
              <w:rPr>
                <w:color w:val="auto"/>
                <w:sz w:val="30"/>
                <w:szCs w:val="30"/>
                <w:highlight w:val="none"/>
              </w:rPr>
            </w:pPr>
            <w:r>
              <w:rPr>
                <w:color w:val="auto"/>
                <w:sz w:val="30"/>
                <w:szCs w:val="30"/>
                <w:highlight w:val="none"/>
              </w:rPr>
              <w:t>闭门器</w:t>
            </w:r>
          </w:p>
        </w:tc>
        <w:tc>
          <w:tcPr>
            <w:tcW w:w="8040" w:type="dxa"/>
            <w:shd w:val="clear" w:color="auto" w:fill="FFFFFF" w:themeFill="background1"/>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color w:val="auto"/>
                <w:sz w:val="30"/>
                <w:highlight w:val="none"/>
              </w:rPr>
            </w:pPr>
            <w:r>
              <w:rPr>
                <w:color w:val="auto"/>
                <w:sz w:val="30"/>
                <w:highlight w:val="none"/>
              </w:rPr>
              <w:t>摩登、</w:t>
            </w:r>
            <w:r>
              <w:rPr>
                <w:color w:val="auto"/>
                <w:sz w:val="30"/>
                <w:highlight w:val="none"/>
                <w:shd w:val="clear" w:fill="FFFFFF" w:themeFill="background1"/>
              </w:rPr>
              <w:t>坚朗</w:t>
            </w:r>
            <w:r>
              <w:rPr>
                <w:rFonts w:hint="eastAsia"/>
                <w:color w:val="auto"/>
                <w:sz w:val="30"/>
                <w:highlight w:val="none"/>
                <w:shd w:val="clear" w:fill="FFFFFF" w:themeFill="background1"/>
                <w:lang w:val="en-US"/>
              </w:rPr>
              <w:t>、</w:t>
            </w:r>
            <w:r>
              <w:rPr>
                <w:rFonts w:hint="eastAsia"/>
                <w:color w:val="auto"/>
                <w:sz w:val="30"/>
                <w:highlight w:val="none"/>
                <w:lang w:val="en-US"/>
              </w:rPr>
              <w:t>瑞高</w:t>
            </w:r>
            <w:r>
              <w:rPr>
                <w:rFonts w:hint="eastAsia"/>
                <w:color w:val="auto"/>
                <w:sz w:val="30"/>
                <w:highlight w:val="none"/>
                <w:lang w:val="en-US" w:eastAsia="zh-CN"/>
              </w:rPr>
              <w:t>、汇泰龙、瑞博尔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0" w:hRule="atLeast"/>
        </w:trPr>
        <w:tc>
          <w:tcPr>
            <w:tcW w:w="1616" w:type="dxa"/>
            <w:vMerge w:val="restart"/>
            <w:vAlign w:val="center"/>
          </w:tcPr>
          <w:p>
            <w:pPr>
              <w:jc w:val="center"/>
              <w:rPr>
                <w:color w:val="auto"/>
                <w:sz w:val="30"/>
                <w:szCs w:val="30"/>
                <w:highlight w:val="none"/>
              </w:rPr>
            </w:pPr>
            <w:r>
              <w:rPr>
                <w:color w:val="auto"/>
                <w:sz w:val="30"/>
                <w:szCs w:val="30"/>
                <w:highlight w:val="none"/>
              </w:rPr>
              <w:t>204</w:t>
            </w:r>
          </w:p>
        </w:tc>
        <w:tc>
          <w:tcPr>
            <w:tcW w:w="2865" w:type="dxa"/>
            <w:vMerge w:val="restart"/>
            <w:vAlign w:val="center"/>
          </w:tcPr>
          <w:p>
            <w:pPr>
              <w:jc w:val="center"/>
              <w:rPr>
                <w:color w:val="auto"/>
                <w:sz w:val="30"/>
                <w:szCs w:val="30"/>
                <w:highlight w:val="none"/>
              </w:rPr>
            </w:pPr>
            <w:r>
              <w:rPr>
                <w:color w:val="auto"/>
                <w:sz w:val="30"/>
                <w:szCs w:val="30"/>
                <w:highlight w:val="none"/>
              </w:rPr>
              <w:t>门锁五金</w:t>
            </w:r>
          </w:p>
        </w:tc>
        <w:tc>
          <w:tcPr>
            <w:tcW w:w="8040" w:type="dxa"/>
            <w:shd w:val="clear" w:color="auto" w:fill="FFFFFF" w:themeFill="background1"/>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rFonts w:hint="default" w:eastAsia="仿宋"/>
                <w:color w:val="auto"/>
                <w:sz w:val="30"/>
                <w:highlight w:val="none"/>
                <w:lang w:val="en-US" w:eastAsia="zh-CN"/>
              </w:rPr>
            </w:pPr>
            <w:r>
              <w:rPr>
                <w:color w:val="auto"/>
                <w:sz w:val="30"/>
                <w:highlight w:val="none"/>
              </w:rPr>
              <w:t>摩</w:t>
            </w:r>
            <w:r>
              <w:rPr>
                <w:color w:val="auto"/>
                <w:sz w:val="30"/>
                <w:highlight w:val="none"/>
                <w:shd w:val="clear" w:fill="FFFFFF" w:themeFill="background1"/>
              </w:rPr>
              <w:t>登、坚朗</w:t>
            </w:r>
            <w:r>
              <w:rPr>
                <w:rFonts w:hint="eastAsia"/>
                <w:color w:val="auto"/>
                <w:sz w:val="30"/>
                <w:highlight w:val="none"/>
                <w:shd w:val="clear" w:fill="FFFFFF" w:themeFill="background1"/>
                <w:lang w:val="en-US"/>
              </w:rPr>
              <w:t>、瑞</w:t>
            </w:r>
            <w:r>
              <w:rPr>
                <w:rFonts w:hint="eastAsia"/>
                <w:color w:val="auto"/>
                <w:sz w:val="30"/>
                <w:highlight w:val="none"/>
                <w:lang w:val="en-US"/>
              </w:rPr>
              <w:t>高</w:t>
            </w:r>
            <w:r>
              <w:rPr>
                <w:rFonts w:hint="eastAsia"/>
                <w:color w:val="auto"/>
                <w:sz w:val="30"/>
                <w:highlight w:val="none"/>
                <w:lang w:val="en-US" w:eastAsia="zh-CN"/>
              </w:rPr>
              <w:t>、汇泰龙、瑞博尔、安恒、曼特、河淳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616" w:type="dxa"/>
            <w:vMerge w:val="restart"/>
            <w:vAlign w:val="center"/>
          </w:tcPr>
          <w:p>
            <w:pPr>
              <w:jc w:val="center"/>
              <w:rPr>
                <w:rFonts w:hint="default"/>
                <w:color w:val="auto"/>
                <w:sz w:val="30"/>
                <w:szCs w:val="30"/>
                <w:highlight w:val="none"/>
                <w:lang w:val="en-US" w:eastAsia="zh-CN"/>
              </w:rPr>
            </w:pPr>
            <w:r>
              <w:rPr>
                <w:rFonts w:hint="default"/>
                <w:color w:val="auto"/>
                <w:sz w:val="30"/>
                <w:szCs w:val="30"/>
                <w:highlight w:val="none"/>
                <w:lang w:val="en-US" w:eastAsia="zh-CN"/>
              </w:rPr>
              <w:t>205</w:t>
            </w:r>
          </w:p>
        </w:tc>
        <w:tc>
          <w:tcPr>
            <w:tcW w:w="2865" w:type="dxa"/>
            <w:vMerge w:val="restart"/>
            <w:vAlign w:val="center"/>
          </w:tcPr>
          <w:p>
            <w:pPr>
              <w:jc w:val="center"/>
              <w:rPr>
                <w:color w:val="auto"/>
                <w:sz w:val="30"/>
                <w:szCs w:val="30"/>
                <w:highlight w:val="none"/>
              </w:rPr>
            </w:pPr>
            <w:r>
              <w:rPr>
                <w:color w:val="auto"/>
                <w:sz w:val="30"/>
                <w:szCs w:val="30"/>
                <w:highlight w:val="none"/>
              </w:rPr>
              <w:t>电子门锁</w:t>
            </w:r>
          </w:p>
        </w:tc>
        <w:tc>
          <w:tcPr>
            <w:tcW w:w="8040"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rFonts w:hint="eastAsia" w:eastAsia="仿宋"/>
                <w:color w:val="auto"/>
                <w:sz w:val="30"/>
                <w:highlight w:val="none"/>
                <w:lang w:val="en-US" w:eastAsia="zh-CN"/>
              </w:rPr>
            </w:pPr>
            <w:r>
              <w:rPr>
                <w:color w:val="auto"/>
                <w:sz w:val="30"/>
                <w:highlight w:val="none"/>
              </w:rPr>
              <w:t>德施曼、小米、鹿客、voc、华为</w:t>
            </w:r>
            <w:r>
              <w:rPr>
                <w:rFonts w:hint="eastAsia"/>
                <w:color w:val="auto"/>
                <w:sz w:val="30"/>
                <w:highlight w:val="none"/>
                <w:lang w:eastAsia="zh-CN"/>
              </w:rPr>
              <w:t>、松下、亚太天能、樱花、TCL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206</w:t>
            </w:r>
          </w:p>
        </w:tc>
        <w:tc>
          <w:tcPr>
            <w:tcW w:w="2865" w:type="dxa"/>
            <w:vAlign w:val="center"/>
          </w:tcPr>
          <w:p>
            <w:pPr>
              <w:jc w:val="center"/>
              <w:rPr>
                <w:rFonts w:hint="default"/>
                <w:color w:val="auto"/>
                <w:sz w:val="30"/>
                <w:szCs w:val="30"/>
                <w:highlight w:val="none"/>
                <w:lang w:val="en-US" w:eastAsia="zh-CN"/>
              </w:rPr>
            </w:pPr>
            <w:r>
              <w:rPr>
                <w:rFonts w:hint="default"/>
                <w:color w:val="auto"/>
                <w:sz w:val="30"/>
                <w:szCs w:val="30"/>
                <w:highlight w:val="none"/>
                <w:lang w:val="en-US" w:eastAsia="zh-CN"/>
              </w:rPr>
              <w:t>入户门</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leftChars="0" w:right="0"/>
              <w:jc w:val="left"/>
              <w:rPr>
                <w:rFonts w:hint="eastAsia" w:eastAsia="仿宋"/>
                <w:color w:val="auto"/>
                <w:sz w:val="30"/>
                <w:highlight w:val="none"/>
                <w:lang w:eastAsia="zh-CN"/>
              </w:rPr>
            </w:pPr>
            <w:r>
              <w:rPr>
                <w:rFonts w:hint="eastAsia"/>
                <w:color w:val="auto"/>
                <w:sz w:val="30"/>
                <w:highlight w:val="none"/>
              </w:rPr>
              <w:t>群升、春天、新多、富新、大力</w:t>
            </w:r>
            <w:r>
              <w:rPr>
                <w:rFonts w:hint="eastAsia"/>
                <w:color w:val="auto"/>
                <w:sz w:val="30"/>
                <w:highlight w:val="none"/>
                <w:lang w:eastAsia="zh-CN"/>
              </w:rPr>
              <w:t>、</w:t>
            </w:r>
            <w:r>
              <w:rPr>
                <w:rFonts w:hint="eastAsia"/>
                <w:color w:val="auto"/>
                <w:sz w:val="30"/>
                <w:highlight w:val="none"/>
                <w:lang w:val="en-US" w:eastAsia="zh-CN"/>
              </w:rPr>
              <w:t>江山赛银、东莞华棱、广东家吉、深圳艾斯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207</w:t>
            </w:r>
          </w:p>
        </w:tc>
        <w:tc>
          <w:tcPr>
            <w:tcW w:w="2865" w:type="dxa"/>
            <w:vAlign w:val="center"/>
          </w:tcPr>
          <w:p>
            <w:pPr>
              <w:jc w:val="center"/>
              <w:rPr>
                <w:rFonts w:hint="default"/>
                <w:color w:val="auto"/>
                <w:sz w:val="30"/>
                <w:szCs w:val="30"/>
                <w:highlight w:val="none"/>
                <w:lang w:val="en-US" w:eastAsia="zh-CN"/>
              </w:rPr>
            </w:pPr>
            <w:r>
              <w:rPr>
                <w:rFonts w:hint="default"/>
                <w:color w:val="auto"/>
                <w:sz w:val="30"/>
                <w:szCs w:val="30"/>
                <w:highlight w:val="none"/>
                <w:lang w:val="en-US" w:eastAsia="zh-CN"/>
              </w:rPr>
              <w:t>木门</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leftChars="0" w:right="0"/>
              <w:jc w:val="left"/>
              <w:rPr>
                <w:color w:val="auto"/>
                <w:sz w:val="30"/>
                <w:highlight w:val="none"/>
              </w:rPr>
            </w:pPr>
            <w:r>
              <w:rPr>
                <w:color w:val="auto"/>
                <w:sz w:val="30"/>
                <w:highlight w:val="none"/>
              </w:rPr>
              <w:t>冠牛、润成创展、豪威尔</w:t>
            </w:r>
            <w:r>
              <w:rPr>
                <w:rFonts w:hint="eastAsia"/>
                <w:color w:val="auto"/>
                <w:highlight w:val="none"/>
              </w:rPr>
              <w:t>、</w:t>
            </w:r>
            <w:r>
              <w:rPr>
                <w:color w:val="auto"/>
                <w:sz w:val="30"/>
                <w:highlight w:val="none"/>
              </w:rPr>
              <w:t>华衍</w:t>
            </w:r>
            <w:r>
              <w:rPr>
                <w:rFonts w:hint="eastAsia"/>
                <w:color w:val="auto"/>
                <w:sz w:val="30"/>
                <w:highlight w:val="none"/>
              </w:rPr>
              <w:t>、广东航盾</w:t>
            </w:r>
            <w:r>
              <w:rPr>
                <w:rFonts w:hint="eastAsia"/>
                <w:color w:val="auto"/>
                <w:sz w:val="30"/>
                <w:highlight w:val="none"/>
                <w:lang w:eastAsia="zh-CN"/>
              </w:rPr>
              <w:t>、</w:t>
            </w:r>
            <w:r>
              <w:rPr>
                <w:rFonts w:hint="eastAsia"/>
                <w:color w:val="auto"/>
                <w:sz w:val="30"/>
                <w:highlight w:val="none"/>
                <w:lang w:val="en-US" w:eastAsia="zh-CN"/>
              </w:rPr>
              <w:t>TaTa、泰森日盛、美心、盼盼、大自然、江山欧派、千山木门、春天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208</w:t>
            </w:r>
          </w:p>
        </w:tc>
        <w:tc>
          <w:tcPr>
            <w:tcW w:w="2865" w:type="dxa"/>
            <w:vAlign w:val="center"/>
          </w:tcPr>
          <w:p>
            <w:pPr>
              <w:jc w:val="center"/>
              <w:rPr>
                <w:rFonts w:hint="default"/>
                <w:color w:val="auto"/>
                <w:sz w:val="30"/>
                <w:szCs w:val="30"/>
                <w:highlight w:val="none"/>
                <w:lang w:val="en-US" w:eastAsia="zh-CN"/>
              </w:rPr>
            </w:pPr>
            <w:r>
              <w:rPr>
                <w:rFonts w:hint="default"/>
                <w:color w:val="auto"/>
                <w:sz w:val="30"/>
                <w:szCs w:val="30"/>
                <w:highlight w:val="none"/>
                <w:lang w:val="en-US" w:eastAsia="zh-CN"/>
              </w:rPr>
              <w:t>防火门</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leftChars="0" w:right="0"/>
              <w:jc w:val="left"/>
              <w:rPr>
                <w:color w:val="auto"/>
                <w:sz w:val="30"/>
                <w:highlight w:val="none"/>
              </w:rPr>
            </w:pPr>
            <w:r>
              <w:rPr>
                <w:rFonts w:hint="eastAsia"/>
                <w:color w:val="auto"/>
                <w:sz w:val="30"/>
                <w:highlight w:val="none"/>
                <w:lang w:val="en-US" w:eastAsia="zh-CN"/>
              </w:rPr>
              <w:t>霍曼、</w:t>
            </w:r>
            <w:r>
              <w:rPr>
                <w:color w:val="auto"/>
                <w:sz w:val="30"/>
                <w:highlight w:val="none"/>
              </w:rPr>
              <w:t>江山赛银</w:t>
            </w:r>
            <w:r>
              <w:rPr>
                <w:rFonts w:hint="eastAsia"/>
                <w:color w:val="auto"/>
                <w:sz w:val="30"/>
                <w:highlight w:val="none"/>
              </w:rPr>
              <w:t>、</w:t>
            </w:r>
            <w:r>
              <w:rPr>
                <w:color w:val="auto"/>
                <w:sz w:val="30"/>
                <w:highlight w:val="none"/>
              </w:rPr>
              <w:t>恒昌达、东莞华棱、曼特、惠州轩源、广东航盾消防、广东家吉消防、东莞市中盾、广州市白云南粤、深圳市龙辉三和、深圳市宝盾、深圳市艾斯沃、</w:t>
            </w:r>
            <w:r>
              <w:rPr>
                <w:rFonts w:hint="eastAsia"/>
                <w:color w:val="auto"/>
                <w:sz w:val="30"/>
                <w:highlight w:val="none"/>
              </w:rPr>
              <w:t>芳大、</w:t>
            </w:r>
            <w:r>
              <w:rPr>
                <w:color w:val="auto"/>
                <w:sz w:val="30"/>
                <w:highlight w:val="none"/>
              </w:rPr>
              <w:t>广东联塑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0" w:hRule="atLeast"/>
        </w:trPr>
        <w:tc>
          <w:tcPr>
            <w:tcW w:w="1616" w:type="dxa"/>
            <w:vMerge w:val="restart"/>
            <w:vAlign w:val="center"/>
          </w:tcPr>
          <w:p>
            <w:pPr>
              <w:jc w:val="center"/>
              <w:rPr>
                <w:rFonts w:hint="eastAsia"/>
                <w:color w:val="auto"/>
                <w:sz w:val="30"/>
                <w:szCs w:val="30"/>
                <w:highlight w:val="none"/>
                <w:lang w:val="en-US" w:eastAsia="zh-CN"/>
              </w:rPr>
            </w:pPr>
            <w:r>
              <w:rPr>
                <w:color w:val="auto"/>
                <w:sz w:val="30"/>
                <w:szCs w:val="30"/>
                <w:highlight w:val="none"/>
              </w:rPr>
              <w:t>20</w:t>
            </w:r>
            <w:r>
              <w:rPr>
                <w:rFonts w:hint="eastAsia"/>
                <w:color w:val="auto"/>
                <w:sz w:val="30"/>
                <w:szCs w:val="30"/>
                <w:highlight w:val="none"/>
                <w:lang w:val="en-US" w:eastAsia="zh-CN"/>
              </w:rPr>
              <w:t>9</w:t>
            </w:r>
          </w:p>
        </w:tc>
        <w:tc>
          <w:tcPr>
            <w:tcW w:w="2865" w:type="dxa"/>
            <w:vMerge w:val="restart"/>
            <w:vAlign w:val="center"/>
          </w:tcPr>
          <w:p>
            <w:pPr>
              <w:jc w:val="center"/>
              <w:rPr>
                <w:color w:val="auto"/>
                <w:sz w:val="30"/>
                <w:szCs w:val="30"/>
                <w:highlight w:val="none"/>
              </w:rPr>
            </w:pPr>
            <w:r>
              <w:rPr>
                <w:color w:val="auto"/>
                <w:sz w:val="30"/>
                <w:szCs w:val="30"/>
                <w:highlight w:val="none"/>
              </w:rPr>
              <w:t>幕墙开启扇、门窗五金</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color w:val="auto"/>
                <w:sz w:val="30"/>
                <w:highlight w:val="none"/>
              </w:rPr>
            </w:pPr>
            <w:r>
              <w:rPr>
                <w:color w:val="auto"/>
                <w:sz w:val="30"/>
                <w:highlight w:val="none"/>
                <w:shd w:val="clear" w:fill="FFFFFF" w:themeFill="background1"/>
              </w:rPr>
              <w:t>坚朗、合</w:t>
            </w:r>
            <w:r>
              <w:rPr>
                <w:color w:val="auto"/>
                <w:sz w:val="30"/>
                <w:highlight w:val="none"/>
              </w:rPr>
              <w:t>和、立兴杨氏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210</w:t>
            </w:r>
          </w:p>
        </w:tc>
        <w:tc>
          <w:tcPr>
            <w:tcW w:w="2865" w:type="dxa"/>
            <w:vAlign w:val="center"/>
          </w:tcPr>
          <w:p>
            <w:pPr>
              <w:jc w:val="center"/>
              <w:rPr>
                <w:color w:val="auto"/>
                <w:sz w:val="30"/>
                <w:szCs w:val="30"/>
                <w:highlight w:val="none"/>
                <w:lang w:val="en-US"/>
              </w:rPr>
            </w:pPr>
            <w:r>
              <w:rPr>
                <w:color w:val="auto"/>
                <w:sz w:val="30"/>
                <w:szCs w:val="30"/>
                <w:highlight w:val="none"/>
              </w:rPr>
              <w:t>固定家私小五金(合页、</w:t>
            </w:r>
            <w:r>
              <w:rPr>
                <w:rFonts w:hint="default"/>
                <w:color w:val="auto"/>
                <w:sz w:val="30"/>
                <w:szCs w:val="30"/>
                <w:highlight w:val="none"/>
                <w:lang w:val="en-US" w:eastAsia="zh-CN"/>
              </w:rPr>
              <w:t>铰链</w:t>
            </w:r>
            <w:r>
              <w:rPr>
                <w:color w:val="auto"/>
                <w:sz w:val="30"/>
                <w:szCs w:val="30"/>
                <w:highlight w:val="none"/>
              </w:rPr>
              <w:t>、滑轨等)</w:t>
            </w:r>
          </w:p>
        </w:tc>
        <w:tc>
          <w:tcPr>
            <w:tcW w:w="8040"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rFonts w:hint="default" w:eastAsia="仿宋"/>
                <w:color w:val="auto"/>
                <w:sz w:val="30"/>
                <w:highlight w:val="none"/>
                <w:lang w:val="en-US" w:eastAsia="zh-CN"/>
              </w:rPr>
            </w:pPr>
            <w:r>
              <w:rPr>
                <w:color w:val="auto"/>
                <w:sz w:val="30"/>
                <w:highlight w:val="none"/>
              </w:rPr>
              <w:t>海福乐</w:t>
            </w:r>
            <w:r>
              <w:rPr>
                <w:rFonts w:hint="eastAsia"/>
                <w:color w:val="auto"/>
                <w:sz w:val="30"/>
                <w:highlight w:val="none"/>
                <w:lang w:eastAsia="zh-CN"/>
              </w:rPr>
              <w:t>、</w:t>
            </w:r>
            <w:r>
              <w:rPr>
                <w:color w:val="auto"/>
                <w:sz w:val="30"/>
                <w:highlight w:val="none"/>
              </w:rPr>
              <w:t>百隆、</w:t>
            </w:r>
            <w:r>
              <w:rPr>
                <w:rFonts w:hint="eastAsia"/>
                <w:color w:val="auto"/>
                <w:sz w:val="30"/>
                <w:highlight w:val="none"/>
              </w:rPr>
              <w:t>海蒂诗</w:t>
            </w:r>
            <w:r>
              <w:rPr>
                <w:color w:val="auto"/>
                <w:sz w:val="30"/>
                <w:highlight w:val="none"/>
              </w:rPr>
              <w:t>、格拉斯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color w:val="auto"/>
                <w:sz w:val="30"/>
                <w:szCs w:val="30"/>
                <w:highlight w:val="none"/>
              </w:rPr>
              <w:t>2</w:t>
            </w:r>
            <w:r>
              <w:rPr>
                <w:rFonts w:hint="eastAsia"/>
                <w:color w:val="auto"/>
                <w:sz w:val="30"/>
                <w:szCs w:val="30"/>
                <w:highlight w:val="none"/>
                <w:lang w:val="en-US" w:eastAsia="zh-CN"/>
              </w:rPr>
              <w:t>11</w:t>
            </w:r>
          </w:p>
        </w:tc>
        <w:tc>
          <w:tcPr>
            <w:tcW w:w="2865" w:type="dxa"/>
            <w:vAlign w:val="center"/>
          </w:tcPr>
          <w:p>
            <w:pPr>
              <w:jc w:val="center"/>
              <w:rPr>
                <w:color w:val="auto"/>
                <w:sz w:val="30"/>
                <w:szCs w:val="30"/>
                <w:highlight w:val="none"/>
              </w:rPr>
            </w:pPr>
            <w:r>
              <w:rPr>
                <w:color w:val="auto"/>
                <w:sz w:val="30"/>
                <w:szCs w:val="30"/>
                <w:highlight w:val="none"/>
              </w:rPr>
              <w:t>电动窗开启器</w:t>
            </w:r>
          </w:p>
        </w:tc>
        <w:tc>
          <w:tcPr>
            <w:tcW w:w="8040"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rFonts w:hint="default" w:eastAsia="仿宋"/>
                <w:color w:val="auto"/>
                <w:sz w:val="30"/>
                <w:highlight w:val="none"/>
                <w:lang w:val="en-US" w:eastAsia="zh-CN"/>
              </w:rPr>
            </w:pPr>
            <w:r>
              <w:rPr>
                <w:rFonts w:hint="eastAsia"/>
                <w:color w:val="auto"/>
                <w:sz w:val="30"/>
                <w:highlight w:val="none"/>
                <w:lang w:val="en-US" w:eastAsia="zh-CN"/>
              </w:rPr>
              <w:t>杜亚DOOYA、盖泽、平安通、菲尔格、富尔达、</w:t>
            </w:r>
            <w:r>
              <w:rPr>
                <w:color w:val="auto"/>
                <w:sz w:val="30"/>
                <w:highlight w:val="none"/>
              </w:rPr>
              <w:t>坚朗秦泰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color w:val="auto"/>
                <w:sz w:val="30"/>
                <w:szCs w:val="30"/>
                <w:highlight w:val="none"/>
              </w:rPr>
              <w:t>2</w:t>
            </w:r>
            <w:r>
              <w:rPr>
                <w:rFonts w:hint="eastAsia"/>
                <w:color w:val="auto"/>
                <w:sz w:val="30"/>
                <w:szCs w:val="30"/>
                <w:highlight w:val="none"/>
                <w:lang w:val="en-US" w:eastAsia="zh-CN"/>
              </w:rPr>
              <w:t>12</w:t>
            </w:r>
          </w:p>
        </w:tc>
        <w:tc>
          <w:tcPr>
            <w:tcW w:w="2865" w:type="dxa"/>
            <w:vAlign w:val="center"/>
          </w:tcPr>
          <w:p>
            <w:pPr>
              <w:jc w:val="center"/>
              <w:rPr>
                <w:color w:val="auto"/>
                <w:sz w:val="30"/>
                <w:szCs w:val="30"/>
                <w:highlight w:val="none"/>
              </w:rPr>
            </w:pPr>
            <w:r>
              <w:rPr>
                <w:color w:val="auto"/>
                <w:sz w:val="30"/>
                <w:szCs w:val="30"/>
                <w:highlight w:val="none"/>
              </w:rPr>
              <w:t>窗帘电机</w:t>
            </w:r>
          </w:p>
        </w:tc>
        <w:tc>
          <w:tcPr>
            <w:tcW w:w="8040"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rFonts w:hint="default" w:eastAsia="仿宋"/>
                <w:color w:val="auto"/>
                <w:sz w:val="30"/>
                <w:highlight w:val="none"/>
                <w:lang w:val="en-US" w:eastAsia="zh-CN"/>
              </w:rPr>
            </w:pPr>
            <w:r>
              <w:rPr>
                <w:color w:val="auto"/>
                <w:sz w:val="30"/>
                <w:highlight w:val="none"/>
              </w:rPr>
              <w:t>杜亚DOOYA，</w:t>
            </w:r>
            <w:r>
              <w:rPr>
                <w:rFonts w:hint="eastAsia"/>
                <w:color w:val="auto"/>
                <w:sz w:val="30"/>
                <w:highlight w:val="none"/>
              </w:rPr>
              <w:t>Aqara、杭州威仕达、广东惠州奥科、小米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213</w:t>
            </w:r>
          </w:p>
        </w:tc>
        <w:tc>
          <w:tcPr>
            <w:tcW w:w="2865" w:type="dxa"/>
            <w:vAlign w:val="center"/>
          </w:tcPr>
          <w:p>
            <w:pPr>
              <w:jc w:val="center"/>
              <w:rPr>
                <w:color w:val="auto"/>
                <w:sz w:val="30"/>
                <w:szCs w:val="30"/>
                <w:highlight w:val="none"/>
                <w:lang w:val="en-US"/>
              </w:rPr>
            </w:pPr>
            <w:r>
              <w:rPr>
                <w:rFonts w:hint="eastAsia"/>
                <w:color w:val="auto"/>
                <w:sz w:val="30"/>
                <w:szCs w:val="30"/>
                <w:highlight w:val="none"/>
                <w:lang w:val="en-US"/>
              </w:rPr>
              <w:t>轻钢龙骨、吊杆</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color w:val="auto"/>
                <w:sz w:val="30"/>
                <w:highlight w:val="none"/>
                <w:lang w:val="en-US" w:bidi="ar"/>
              </w:rPr>
            </w:pPr>
            <w:r>
              <w:rPr>
                <w:rFonts w:hint="eastAsia"/>
                <w:color w:val="auto"/>
                <w:sz w:val="30"/>
                <w:highlight w:val="none"/>
                <w:lang w:val="en-US" w:bidi="ar"/>
              </w:rPr>
              <w:t>杰森、可耐福、顶诺、</w:t>
            </w:r>
            <w:r>
              <w:rPr>
                <w:rFonts w:hint="eastAsia"/>
                <w:color w:val="auto"/>
                <w:sz w:val="30"/>
                <w:highlight w:val="none"/>
                <w:shd w:val="clear" w:fill="FFFFFF" w:themeFill="background1"/>
                <w:lang w:val="en-US"/>
              </w:rPr>
              <w:t>圣戈班、龙牌、</w:t>
            </w:r>
            <w:r>
              <w:rPr>
                <w:rFonts w:hint="eastAsia"/>
                <w:color w:val="auto"/>
                <w:sz w:val="30"/>
                <w:highlight w:val="none"/>
                <w:lang w:val="en-US" w:bidi="ar"/>
              </w:rPr>
              <w:t>博罗拉法基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214</w:t>
            </w:r>
          </w:p>
        </w:tc>
        <w:tc>
          <w:tcPr>
            <w:tcW w:w="2865" w:type="dxa"/>
            <w:vAlign w:val="center"/>
          </w:tcPr>
          <w:p>
            <w:pPr>
              <w:jc w:val="center"/>
              <w:rPr>
                <w:color w:val="auto"/>
                <w:sz w:val="30"/>
                <w:szCs w:val="30"/>
                <w:highlight w:val="none"/>
              </w:rPr>
            </w:pPr>
            <w:r>
              <w:rPr>
                <w:color w:val="auto"/>
                <w:sz w:val="30"/>
                <w:szCs w:val="30"/>
                <w:highlight w:val="none"/>
              </w:rPr>
              <w:t>硅钙板天花</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rFonts w:hint="eastAsia" w:eastAsia="仿宋"/>
                <w:color w:val="auto"/>
                <w:sz w:val="30"/>
                <w:highlight w:val="none"/>
                <w:lang w:eastAsia="zh-CN"/>
              </w:rPr>
            </w:pPr>
            <w:r>
              <w:rPr>
                <w:color w:val="auto"/>
                <w:sz w:val="30"/>
                <w:highlight w:val="none"/>
              </w:rPr>
              <w:t>美穗、云中龙、绿意雅、格林森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215</w:t>
            </w:r>
          </w:p>
        </w:tc>
        <w:tc>
          <w:tcPr>
            <w:tcW w:w="2865" w:type="dxa"/>
            <w:vAlign w:val="center"/>
          </w:tcPr>
          <w:p>
            <w:pPr>
              <w:jc w:val="center"/>
              <w:rPr>
                <w:color w:val="auto"/>
                <w:sz w:val="30"/>
                <w:szCs w:val="30"/>
                <w:highlight w:val="none"/>
              </w:rPr>
            </w:pPr>
            <w:r>
              <w:rPr>
                <w:color w:val="auto"/>
                <w:sz w:val="30"/>
                <w:szCs w:val="30"/>
                <w:highlight w:val="none"/>
              </w:rPr>
              <w:t>石膏板</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color w:val="auto"/>
                <w:sz w:val="30"/>
                <w:highlight w:val="none"/>
              </w:rPr>
            </w:pPr>
            <w:r>
              <w:rPr>
                <w:color w:val="auto"/>
                <w:sz w:val="30"/>
                <w:highlight w:val="none"/>
              </w:rPr>
              <w:t>杰森、可耐福、北新龙牌、</w:t>
            </w:r>
            <w:r>
              <w:rPr>
                <w:color w:val="auto"/>
                <w:sz w:val="30"/>
                <w:highlight w:val="none"/>
                <w:lang w:val="en-US" w:bidi="ar"/>
              </w:rPr>
              <w:t>博罗拉法基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216</w:t>
            </w:r>
          </w:p>
        </w:tc>
        <w:tc>
          <w:tcPr>
            <w:tcW w:w="2865" w:type="dxa"/>
            <w:vAlign w:val="center"/>
          </w:tcPr>
          <w:p>
            <w:pPr>
              <w:jc w:val="center"/>
              <w:rPr>
                <w:color w:val="auto"/>
                <w:sz w:val="30"/>
                <w:szCs w:val="30"/>
                <w:highlight w:val="none"/>
              </w:rPr>
            </w:pPr>
            <w:r>
              <w:rPr>
                <w:rFonts w:hint="eastAsia"/>
                <w:color w:val="auto"/>
                <w:sz w:val="30"/>
                <w:szCs w:val="30"/>
                <w:highlight w:val="none"/>
                <w:lang w:val="en-US" w:eastAsia="zh-CN"/>
              </w:rPr>
              <w:t>板材、</w:t>
            </w:r>
            <w:r>
              <w:rPr>
                <w:color w:val="auto"/>
                <w:sz w:val="30"/>
                <w:szCs w:val="30"/>
                <w:highlight w:val="none"/>
              </w:rPr>
              <w:t>阻燃板</w:t>
            </w:r>
          </w:p>
        </w:tc>
        <w:tc>
          <w:tcPr>
            <w:tcW w:w="8040"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rFonts w:hint="default" w:eastAsia="仿宋"/>
                <w:color w:val="auto"/>
                <w:sz w:val="30"/>
                <w:highlight w:val="none"/>
                <w:lang w:val="en-US" w:eastAsia="zh-CN"/>
              </w:rPr>
            </w:pPr>
            <w:r>
              <w:rPr>
                <w:color w:val="auto"/>
                <w:sz w:val="30"/>
                <w:highlight w:val="none"/>
              </w:rPr>
              <w:t>千年舟、兔宝宝、伟业、丰林</w:t>
            </w:r>
            <w:r>
              <w:rPr>
                <w:rFonts w:hint="eastAsia"/>
                <w:color w:val="auto"/>
                <w:sz w:val="30"/>
                <w:highlight w:val="none"/>
                <w:lang w:eastAsia="zh-CN"/>
              </w:rPr>
              <w:t>、莫干山、益利安、鲁丽、福湘、福庆板材、大王椰、千山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217</w:t>
            </w:r>
          </w:p>
        </w:tc>
        <w:tc>
          <w:tcPr>
            <w:tcW w:w="2865" w:type="dxa"/>
            <w:vAlign w:val="center"/>
          </w:tcPr>
          <w:p>
            <w:pPr>
              <w:jc w:val="center"/>
              <w:rPr>
                <w:color w:val="auto"/>
                <w:sz w:val="30"/>
                <w:szCs w:val="30"/>
                <w:highlight w:val="none"/>
              </w:rPr>
            </w:pPr>
            <w:r>
              <w:rPr>
                <w:rFonts w:hint="eastAsia"/>
                <w:color w:val="auto"/>
                <w:sz w:val="30"/>
                <w:szCs w:val="30"/>
                <w:highlight w:val="none"/>
              </w:rPr>
              <w:t>硅钙板</w:t>
            </w:r>
          </w:p>
        </w:tc>
        <w:tc>
          <w:tcPr>
            <w:tcW w:w="8040"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color w:val="auto"/>
                <w:sz w:val="30"/>
                <w:highlight w:val="none"/>
              </w:rPr>
            </w:pPr>
            <w:r>
              <w:rPr>
                <w:color w:val="auto"/>
                <w:sz w:val="30"/>
                <w:highlight w:val="none"/>
              </w:rPr>
              <w:t>安雅达、美穗、绿意雅、云中龙、格林森、阿姆斯壮、黑白森林、埃特尼特、汉德邦、新元素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218</w:t>
            </w:r>
          </w:p>
        </w:tc>
        <w:tc>
          <w:tcPr>
            <w:tcW w:w="2865" w:type="dxa"/>
            <w:vAlign w:val="center"/>
          </w:tcPr>
          <w:p>
            <w:pPr>
              <w:jc w:val="center"/>
              <w:rPr>
                <w:color w:val="auto"/>
                <w:sz w:val="30"/>
                <w:szCs w:val="30"/>
                <w:highlight w:val="none"/>
              </w:rPr>
            </w:pPr>
          </w:p>
          <w:p>
            <w:pPr>
              <w:jc w:val="center"/>
              <w:rPr>
                <w:color w:val="auto"/>
                <w:sz w:val="30"/>
                <w:szCs w:val="30"/>
                <w:highlight w:val="none"/>
                <w:lang w:val="en-US"/>
              </w:rPr>
            </w:pPr>
            <w:r>
              <w:rPr>
                <w:color w:val="auto"/>
                <w:sz w:val="30"/>
                <w:szCs w:val="30"/>
                <w:highlight w:val="none"/>
              </w:rPr>
              <w:t>铝天花</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rFonts w:hint="eastAsia" w:eastAsia="仿宋"/>
                <w:color w:val="auto"/>
                <w:sz w:val="30"/>
                <w:highlight w:val="none"/>
                <w:lang w:eastAsia="zh-CN"/>
              </w:rPr>
            </w:pPr>
            <w:r>
              <w:rPr>
                <w:color w:val="auto"/>
                <w:sz w:val="30"/>
                <w:highlight w:val="none"/>
              </w:rPr>
              <w:t>乐思龙、至高、</w:t>
            </w:r>
            <w:r>
              <w:rPr>
                <w:rFonts w:hint="eastAsia"/>
                <w:color w:val="auto"/>
                <w:sz w:val="30"/>
                <w:highlight w:val="none"/>
              </w:rPr>
              <w:t>长虹、金霸（GKS)、迪高deko、樂思龍、托普泰德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219</w:t>
            </w:r>
          </w:p>
        </w:tc>
        <w:tc>
          <w:tcPr>
            <w:tcW w:w="2865" w:type="dxa"/>
            <w:vAlign w:val="center"/>
          </w:tcPr>
          <w:p>
            <w:pPr>
              <w:jc w:val="center"/>
              <w:rPr>
                <w:rFonts w:hint="eastAsia"/>
                <w:color w:val="auto"/>
                <w:sz w:val="30"/>
                <w:szCs w:val="30"/>
                <w:highlight w:val="none"/>
                <w:lang w:val="en-US" w:eastAsia="zh-CN"/>
              </w:rPr>
            </w:pPr>
            <w:r>
              <w:rPr>
                <w:rFonts w:hint="eastAsia"/>
                <w:color w:val="auto"/>
                <w:sz w:val="30"/>
                <w:szCs w:val="30"/>
                <w:highlight w:val="none"/>
                <w:lang w:val="en-US" w:eastAsia="zh-CN"/>
              </w:rPr>
              <w:t>铝板加工厂</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color w:val="auto"/>
                <w:sz w:val="30"/>
                <w:highlight w:val="none"/>
              </w:rPr>
            </w:pPr>
            <w:r>
              <w:rPr>
                <w:rFonts w:hint="eastAsia"/>
                <w:color w:val="auto"/>
                <w:sz w:val="30"/>
                <w:highlight w:val="none"/>
              </w:rPr>
              <w:t>方大、方中、雅丽泰、德宝龙、成功、招发CMD、坚鸿、泛铝、鑫盈、华途士、华轩、泛金、劲铝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616" w:type="dxa"/>
            <w:vAlign w:val="center"/>
          </w:tcPr>
          <w:p>
            <w:pPr>
              <w:jc w:val="center"/>
              <w:rPr>
                <w:rFonts w:hint="default"/>
                <w:color w:val="auto"/>
                <w:sz w:val="30"/>
                <w:szCs w:val="30"/>
                <w:highlight w:val="none"/>
                <w:lang w:val="en-US" w:eastAsia="zh-CN"/>
              </w:rPr>
            </w:pPr>
            <w:r>
              <w:rPr>
                <w:color w:val="auto"/>
                <w:sz w:val="30"/>
                <w:szCs w:val="30"/>
                <w:highlight w:val="none"/>
              </w:rPr>
              <w:t>2</w:t>
            </w:r>
            <w:r>
              <w:rPr>
                <w:rFonts w:hint="eastAsia"/>
                <w:color w:val="auto"/>
                <w:sz w:val="30"/>
                <w:szCs w:val="30"/>
                <w:highlight w:val="none"/>
                <w:lang w:val="en-US" w:eastAsia="zh-CN"/>
              </w:rPr>
              <w:t>20</w:t>
            </w:r>
          </w:p>
        </w:tc>
        <w:tc>
          <w:tcPr>
            <w:tcW w:w="2865" w:type="dxa"/>
            <w:vAlign w:val="center"/>
          </w:tcPr>
          <w:p>
            <w:pPr>
              <w:jc w:val="center"/>
              <w:rPr>
                <w:color w:val="auto"/>
                <w:sz w:val="30"/>
                <w:szCs w:val="30"/>
                <w:highlight w:val="none"/>
              </w:rPr>
            </w:pPr>
            <w:r>
              <w:rPr>
                <w:color w:val="auto"/>
                <w:sz w:val="30"/>
                <w:szCs w:val="30"/>
                <w:highlight w:val="none"/>
              </w:rPr>
              <w:t>建筑用铝单板</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rFonts w:hint="default" w:eastAsia="仿宋"/>
                <w:color w:val="auto"/>
                <w:sz w:val="30"/>
                <w:highlight w:val="none"/>
                <w:lang w:val="en-US" w:eastAsia="zh-CN"/>
              </w:rPr>
            </w:pPr>
            <w:r>
              <w:rPr>
                <w:color w:val="auto"/>
                <w:sz w:val="30"/>
                <w:highlight w:val="none"/>
              </w:rPr>
              <w:t>方大、金霸 GKS、乐思龙、美伦</w:t>
            </w:r>
            <w:r>
              <w:rPr>
                <w:rFonts w:hint="eastAsia"/>
                <w:color w:val="auto"/>
                <w:sz w:val="30"/>
                <w:highlight w:val="none"/>
                <w:lang w:eastAsia="zh-CN"/>
              </w:rPr>
              <w:t>、</w:t>
            </w:r>
            <w:r>
              <w:rPr>
                <w:rFonts w:hint="eastAsia"/>
                <w:color w:val="auto"/>
                <w:sz w:val="30"/>
                <w:highlight w:val="none"/>
                <w:lang w:val="en-US" w:eastAsia="zh-CN"/>
              </w:rPr>
              <w:t>海达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221</w:t>
            </w:r>
          </w:p>
        </w:tc>
        <w:tc>
          <w:tcPr>
            <w:tcW w:w="2865" w:type="dxa"/>
            <w:vAlign w:val="center"/>
          </w:tcPr>
          <w:p>
            <w:pPr>
              <w:jc w:val="center"/>
              <w:rPr>
                <w:color w:val="auto"/>
                <w:sz w:val="30"/>
                <w:szCs w:val="30"/>
                <w:highlight w:val="none"/>
              </w:rPr>
            </w:pPr>
            <w:r>
              <w:rPr>
                <w:color w:val="auto"/>
                <w:sz w:val="30"/>
                <w:szCs w:val="30"/>
                <w:highlight w:val="none"/>
                <w:lang w:val="en-US"/>
              </w:rPr>
              <w:t>铝扣板(集成吊顶)</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rFonts w:hint="default" w:eastAsia="仿宋"/>
                <w:color w:val="auto"/>
                <w:sz w:val="30"/>
                <w:highlight w:val="none"/>
                <w:lang w:val="en-US" w:eastAsia="zh-CN"/>
              </w:rPr>
            </w:pPr>
            <w:r>
              <w:rPr>
                <w:color w:val="auto"/>
                <w:sz w:val="30"/>
                <w:highlight w:val="none"/>
                <w:lang w:val="en-US" w:bidi="ar"/>
              </w:rPr>
              <w:t>龙胜、友邦、法狮龙</w:t>
            </w:r>
            <w:r>
              <w:rPr>
                <w:rFonts w:hint="eastAsia"/>
                <w:color w:val="auto"/>
                <w:sz w:val="30"/>
                <w:highlight w:val="none"/>
                <w:lang w:val="en-US" w:eastAsia="zh-CN" w:bidi="ar"/>
              </w:rPr>
              <w:t>、奥普、飞雕、巴迪斯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222</w:t>
            </w:r>
          </w:p>
        </w:tc>
        <w:tc>
          <w:tcPr>
            <w:tcW w:w="2865" w:type="dxa"/>
            <w:vAlign w:val="center"/>
          </w:tcPr>
          <w:p>
            <w:pPr>
              <w:jc w:val="center"/>
              <w:rPr>
                <w:color w:val="auto"/>
                <w:sz w:val="30"/>
                <w:szCs w:val="30"/>
                <w:highlight w:val="none"/>
              </w:rPr>
            </w:pPr>
            <w:r>
              <w:rPr>
                <w:color w:val="auto"/>
                <w:sz w:val="30"/>
                <w:szCs w:val="30"/>
                <w:highlight w:val="none"/>
              </w:rPr>
              <w:t>石材加工厂</w:t>
            </w:r>
          </w:p>
        </w:tc>
        <w:tc>
          <w:tcPr>
            <w:tcW w:w="8040"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rFonts w:ascii="仿宋" w:hAnsi="仿宋" w:eastAsia="仿宋" w:cs="仿宋"/>
                <w:color w:val="auto"/>
                <w:sz w:val="30"/>
                <w:szCs w:val="22"/>
                <w:highlight w:val="none"/>
                <w:shd w:val="clear" w:fill="FFFFFF" w:themeFill="background1"/>
                <w:lang w:val="en-US" w:eastAsia="zh-CN" w:bidi="zh-CN"/>
              </w:rPr>
            </w:pPr>
            <w:r>
              <w:rPr>
                <w:rFonts w:ascii="仿宋" w:hAnsi="仿宋" w:eastAsia="仿宋" w:cs="仿宋"/>
                <w:color w:val="auto"/>
                <w:sz w:val="30"/>
                <w:szCs w:val="22"/>
                <w:highlight w:val="none"/>
                <w:shd w:val="clear" w:fill="FFFFFF" w:themeFill="background1"/>
                <w:lang w:val="zh-CN" w:eastAsia="zh-CN" w:bidi="zh-CN"/>
              </w:rPr>
              <w:t>溪石（溪石三厂）、宗艺（南安工厂）、港龙（南安工厂）、佰石特（深圳工厂）、海丝（南安工厂）、万隆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223</w:t>
            </w:r>
          </w:p>
        </w:tc>
        <w:tc>
          <w:tcPr>
            <w:tcW w:w="2865" w:type="dxa"/>
            <w:vAlign w:val="center"/>
          </w:tcPr>
          <w:p>
            <w:pPr>
              <w:jc w:val="center"/>
              <w:rPr>
                <w:color w:val="auto"/>
                <w:sz w:val="30"/>
                <w:szCs w:val="30"/>
                <w:highlight w:val="none"/>
              </w:rPr>
            </w:pPr>
            <w:r>
              <w:rPr>
                <w:rFonts w:hint="eastAsia"/>
                <w:color w:val="auto"/>
                <w:sz w:val="30"/>
                <w:szCs w:val="30"/>
                <w:highlight w:val="none"/>
                <w:lang w:val="en-US" w:eastAsia="zh-CN"/>
              </w:rPr>
              <w:t>人造石</w:t>
            </w:r>
          </w:p>
        </w:tc>
        <w:tc>
          <w:tcPr>
            <w:tcW w:w="8040"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rFonts w:hint="eastAsia" w:eastAsia="仿宋"/>
                <w:color w:val="auto"/>
                <w:sz w:val="30"/>
                <w:highlight w:val="none"/>
                <w:lang w:eastAsia="zh-CN"/>
              </w:rPr>
            </w:pPr>
            <w:r>
              <w:rPr>
                <w:color w:val="auto"/>
                <w:sz w:val="30"/>
                <w:highlight w:val="none"/>
              </w:rPr>
              <w:t>杜邦、三星、LG</w:t>
            </w:r>
            <w:r>
              <w:rPr>
                <w:rFonts w:hint="eastAsia"/>
                <w:color w:val="auto"/>
                <w:sz w:val="30"/>
                <w:highlight w:val="none"/>
                <w:lang w:eastAsia="zh-CN"/>
              </w:rPr>
              <w:t>、欧铂利、蒙特利、热浪、利机石材、UNIPLUS环球人造石、一名微晶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224</w:t>
            </w:r>
          </w:p>
        </w:tc>
        <w:tc>
          <w:tcPr>
            <w:tcW w:w="2865" w:type="dxa"/>
            <w:vAlign w:val="center"/>
          </w:tcPr>
          <w:p>
            <w:pPr>
              <w:jc w:val="center"/>
              <w:rPr>
                <w:color w:val="auto"/>
                <w:sz w:val="30"/>
                <w:szCs w:val="30"/>
                <w:highlight w:val="none"/>
              </w:rPr>
            </w:pPr>
            <w:r>
              <w:rPr>
                <w:color w:val="auto"/>
                <w:sz w:val="30"/>
                <w:szCs w:val="30"/>
                <w:highlight w:val="none"/>
              </w:rPr>
              <w:t>石材粘结剂</w:t>
            </w:r>
          </w:p>
        </w:tc>
        <w:tc>
          <w:tcPr>
            <w:tcW w:w="8040"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rFonts w:hint="eastAsia" w:eastAsia="仿宋"/>
                <w:color w:val="auto"/>
                <w:sz w:val="30"/>
                <w:highlight w:val="none"/>
                <w:lang w:eastAsia="zh-CN"/>
              </w:rPr>
            </w:pPr>
            <w:r>
              <w:rPr>
                <w:color w:val="auto"/>
                <w:sz w:val="30"/>
                <w:highlight w:val="none"/>
              </w:rPr>
              <w:t>德高、马贝、亚地斯</w:t>
            </w:r>
            <w:r>
              <w:rPr>
                <w:strike w:val="0"/>
                <w:color w:val="auto"/>
                <w:sz w:val="30"/>
                <w:highlight w:val="none"/>
              </w:rPr>
              <w:t>、卓能</w:t>
            </w:r>
            <w:r>
              <w:rPr>
                <w:rFonts w:hint="eastAsia"/>
                <w:strike w:val="0"/>
                <w:color w:val="auto"/>
                <w:sz w:val="30"/>
                <w:highlight w:val="none"/>
                <w:lang w:eastAsia="zh-CN"/>
              </w:rPr>
              <w:t>、</w:t>
            </w:r>
            <w:r>
              <w:rPr>
                <w:strike w:val="0"/>
                <w:color w:val="auto"/>
                <w:sz w:val="30"/>
                <w:highlight w:val="none"/>
              </w:rPr>
              <w:t>汉高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225</w:t>
            </w:r>
          </w:p>
        </w:tc>
        <w:tc>
          <w:tcPr>
            <w:tcW w:w="2865" w:type="dxa"/>
            <w:vAlign w:val="center"/>
          </w:tcPr>
          <w:p>
            <w:pPr>
              <w:jc w:val="center"/>
              <w:rPr>
                <w:color w:val="auto"/>
                <w:sz w:val="30"/>
                <w:szCs w:val="30"/>
                <w:highlight w:val="none"/>
              </w:rPr>
            </w:pPr>
            <w:r>
              <w:rPr>
                <w:color w:val="auto"/>
                <w:sz w:val="30"/>
                <w:szCs w:val="30"/>
                <w:highlight w:val="none"/>
              </w:rPr>
              <w:t>石材嵌缝胶(耐候密封胶)</w:t>
            </w:r>
          </w:p>
        </w:tc>
        <w:tc>
          <w:tcPr>
            <w:tcW w:w="8040"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color w:val="auto"/>
                <w:sz w:val="30"/>
                <w:highlight w:val="none"/>
              </w:rPr>
            </w:pPr>
            <w:r>
              <w:rPr>
                <w:color w:val="auto"/>
                <w:sz w:val="30"/>
                <w:highlight w:val="none"/>
              </w:rPr>
              <w:t>之江</w:t>
            </w:r>
            <w:r>
              <w:rPr>
                <w:rFonts w:ascii="仿宋" w:hAnsi="仿宋" w:eastAsia="仿宋" w:cs="仿宋"/>
                <w:color w:val="auto"/>
                <w:sz w:val="30"/>
                <w:szCs w:val="22"/>
                <w:highlight w:val="none"/>
                <w:shd w:val="clear" w:fill="FFFFFF" w:themeFill="background1"/>
                <w:lang w:val="zh-CN" w:eastAsia="zh-CN" w:bidi="zh-CN"/>
              </w:rPr>
              <w:t>、白云</w:t>
            </w:r>
            <w:r>
              <w:rPr>
                <w:rFonts w:hint="eastAsia" w:ascii="仿宋" w:hAnsi="仿宋" w:eastAsia="仿宋" w:cs="仿宋"/>
                <w:color w:val="auto"/>
                <w:sz w:val="30"/>
                <w:szCs w:val="22"/>
                <w:highlight w:val="none"/>
                <w:shd w:val="clear" w:fill="FFFFFF" w:themeFill="background1"/>
                <w:lang w:val="zh-CN" w:eastAsia="zh-CN" w:bidi="zh-CN"/>
              </w:rPr>
              <w:t>、</w:t>
            </w:r>
            <w:r>
              <w:rPr>
                <w:rFonts w:ascii="仿宋" w:hAnsi="仿宋" w:eastAsia="仿宋" w:cs="仿宋"/>
                <w:color w:val="auto"/>
                <w:sz w:val="30"/>
                <w:szCs w:val="22"/>
                <w:highlight w:val="none"/>
                <w:shd w:val="clear" w:fill="FFFFFF" w:themeFill="background1"/>
                <w:lang w:val="zh-CN" w:eastAsia="zh-CN" w:bidi="zh-CN"/>
              </w:rPr>
              <w:t>硅宝</w:t>
            </w:r>
            <w:r>
              <w:rPr>
                <w:color w:val="auto"/>
                <w:sz w:val="30"/>
                <w:highlight w:val="none"/>
              </w:rPr>
              <w:t>、中原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226</w:t>
            </w:r>
          </w:p>
        </w:tc>
        <w:tc>
          <w:tcPr>
            <w:tcW w:w="2865" w:type="dxa"/>
            <w:vAlign w:val="center"/>
          </w:tcPr>
          <w:p>
            <w:pPr>
              <w:jc w:val="center"/>
              <w:rPr>
                <w:color w:val="auto"/>
                <w:sz w:val="30"/>
                <w:szCs w:val="30"/>
                <w:highlight w:val="none"/>
              </w:rPr>
            </w:pPr>
            <w:r>
              <w:rPr>
                <w:color w:val="auto"/>
                <w:sz w:val="30"/>
                <w:szCs w:val="30"/>
                <w:highlight w:val="none"/>
              </w:rPr>
              <w:t>结构胶</w:t>
            </w:r>
          </w:p>
        </w:tc>
        <w:tc>
          <w:tcPr>
            <w:tcW w:w="8040"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color w:val="auto"/>
                <w:sz w:val="30"/>
                <w:highlight w:val="none"/>
              </w:rPr>
            </w:pPr>
            <w:r>
              <w:rPr>
                <w:color w:val="auto"/>
                <w:sz w:val="30"/>
                <w:highlight w:val="none"/>
              </w:rPr>
              <w:t>道康宁、GE、西卡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227</w:t>
            </w:r>
          </w:p>
        </w:tc>
        <w:tc>
          <w:tcPr>
            <w:tcW w:w="2865" w:type="dxa"/>
            <w:vAlign w:val="center"/>
          </w:tcPr>
          <w:p>
            <w:pPr>
              <w:jc w:val="center"/>
              <w:rPr>
                <w:color w:val="auto"/>
                <w:sz w:val="30"/>
                <w:szCs w:val="30"/>
                <w:highlight w:val="none"/>
                <w:lang w:val="en-US"/>
              </w:rPr>
            </w:pPr>
            <w:r>
              <w:rPr>
                <w:color w:val="auto"/>
                <w:sz w:val="30"/>
                <w:szCs w:val="30"/>
                <w:highlight w:val="none"/>
              </w:rPr>
              <w:t>石材防碱保护剂</w:t>
            </w:r>
          </w:p>
        </w:tc>
        <w:tc>
          <w:tcPr>
            <w:tcW w:w="8040"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rFonts w:hint="default" w:eastAsia="仿宋"/>
                <w:color w:val="auto"/>
                <w:sz w:val="30"/>
                <w:highlight w:val="none"/>
                <w:lang w:val="en-US" w:eastAsia="zh-CN"/>
              </w:rPr>
            </w:pPr>
            <w:r>
              <w:rPr>
                <w:color w:val="auto"/>
                <w:sz w:val="30"/>
                <w:highlight w:val="none"/>
              </w:rPr>
              <w:t>思康、思诺、JSC</w:t>
            </w:r>
            <w:r>
              <w:rPr>
                <w:rFonts w:hint="eastAsia"/>
                <w:color w:val="auto"/>
                <w:sz w:val="30"/>
                <w:highlight w:val="none"/>
                <w:lang w:eastAsia="zh-CN"/>
              </w:rPr>
              <w:t>、</w:t>
            </w:r>
            <w:r>
              <w:rPr>
                <w:rFonts w:hint="eastAsia"/>
                <w:color w:val="auto"/>
                <w:sz w:val="30"/>
                <w:highlight w:val="none"/>
                <w:lang w:val="en-US" w:eastAsia="zh-CN"/>
              </w:rPr>
              <w:t>好优、达邦、聚合隆、威廉、柯威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228</w:t>
            </w:r>
          </w:p>
        </w:tc>
        <w:tc>
          <w:tcPr>
            <w:tcW w:w="2865" w:type="dxa"/>
            <w:vAlign w:val="center"/>
          </w:tcPr>
          <w:p>
            <w:pPr>
              <w:jc w:val="center"/>
              <w:rPr>
                <w:color w:val="auto"/>
                <w:sz w:val="30"/>
                <w:szCs w:val="30"/>
                <w:highlight w:val="none"/>
              </w:rPr>
            </w:pPr>
            <w:r>
              <w:rPr>
                <w:color w:val="auto"/>
                <w:sz w:val="30"/>
                <w:szCs w:val="30"/>
                <w:highlight w:val="none"/>
              </w:rPr>
              <w:t>Low-E 玻璃</w:t>
            </w:r>
          </w:p>
          <w:p>
            <w:pPr>
              <w:jc w:val="center"/>
              <w:rPr>
                <w:color w:val="auto"/>
                <w:sz w:val="30"/>
                <w:szCs w:val="30"/>
                <w:highlight w:val="none"/>
              </w:rPr>
            </w:pPr>
            <w:r>
              <w:rPr>
                <w:color w:val="auto"/>
                <w:sz w:val="30"/>
                <w:szCs w:val="30"/>
                <w:highlight w:val="none"/>
              </w:rPr>
              <w:t>（必须原厂成品玻璃）</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rFonts w:hint="eastAsia" w:eastAsia="仿宋"/>
                <w:color w:val="auto"/>
                <w:sz w:val="30"/>
                <w:highlight w:val="none"/>
                <w:lang w:eastAsia="zh-CN"/>
              </w:rPr>
            </w:pPr>
            <w:r>
              <w:rPr>
                <w:color w:val="auto"/>
                <w:sz w:val="30"/>
                <w:highlight w:val="none"/>
              </w:rPr>
              <w:t>信义、耀皮玻璃、格兰特、海航特玻</w:t>
            </w:r>
            <w:r>
              <w:rPr>
                <w:rFonts w:hint="eastAsia"/>
                <w:color w:val="auto"/>
                <w:sz w:val="30"/>
                <w:highlight w:val="none"/>
                <w:lang w:eastAsia="zh-CN"/>
              </w:rPr>
              <w:t>、南玻、中玻、中航特玻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229</w:t>
            </w:r>
          </w:p>
        </w:tc>
        <w:tc>
          <w:tcPr>
            <w:tcW w:w="2865" w:type="dxa"/>
            <w:vAlign w:val="center"/>
          </w:tcPr>
          <w:p>
            <w:pPr>
              <w:jc w:val="center"/>
              <w:rPr>
                <w:color w:val="auto"/>
                <w:sz w:val="30"/>
                <w:szCs w:val="30"/>
                <w:highlight w:val="none"/>
              </w:rPr>
            </w:pPr>
            <w:r>
              <w:rPr>
                <w:color w:val="auto"/>
                <w:sz w:val="30"/>
                <w:szCs w:val="30"/>
                <w:highlight w:val="none"/>
              </w:rPr>
              <w:t>硅酮密封胶</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rFonts w:hint="eastAsia" w:eastAsia="仿宋"/>
                <w:color w:val="auto"/>
                <w:sz w:val="30"/>
                <w:highlight w:val="none"/>
                <w:lang w:eastAsia="zh-CN"/>
              </w:rPr>
            </w:pPr>
            <w:r>
              <w:rPr>
                <w:color w:val="auto"/>
                <w:sz w:val="30"/>
                <w:highlight w:val="none"/>
              </w:rPr>
              <w:t>郑州中原、成都</w:t>
            </w:r>
            <w:r>
              <w:rPr>
                <w:color w:val="auto"/>
                <w:sz w:val="30"/>
                <w:highlight w:val="none"/>
                <w:shd w:val="clear" w:fill="FFFFFF" w:themeFill="background1"/>
              </w:rPr>
              <w:t>硅宝、白云、金</w:t>
            </w:r>
            <w:r>
              <w:rPr>
                <w:color w:val="auto"/>
                <w:sz w:val="30"/>
                <w:highlight w:val="none"/>
              </w:rPr>
              <w:t>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230</w:t>
            </w:r>
          </w:p>
        </w:tc>
        <w:tc>
          <w:tcPr>
            <w:tcW w:w="2865" w:type="dxa"/>
            <w:vAlign w:val="center"/>
          </w:tcPr>
          <w:p>
            <w:pPr>
              <w:jc w:val="center"/>
              <w:rPr>
                <w:color w:val="auto"/>
                <w:sz w:val="30"/>
                <w:szCs w:val="30"/>
                <w:highlight w:val="none"/>
              </w:rPr>
            </w:pPr>
            <w:r>
              <w:rPr>
                <w:color w:val="auto"/>
                <w:sz w:val="30"/>
                <w:szCs w:val="30"/>
                <w:highlight w:val="none"/>
              </w:rPr>
              <w:t>铝合金型材</w:t>
            </w:r>
          </w:p>
        </w:tc>
        <w:tc>
          <w:tcPr>
            <w:tcW w:w="8040"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color w:val="auto"/>
                <w:sz w:val="30"/>
                <w:highlight w:val="none"/>
              </w:rPr>
            </w:pPr>
            <w:r>
              <w:rPr>
                <w:color w:val="auto"/>
                <w:sz w:val="30"/>
                <w:highlight w:val="none"/>
              </w:rPr>
              <w:t>广银亚铝、广亚铝业、兴发铝业、广东中亚、豪美铝业、坚美型材、华加日西林、凤铝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231</w:t>
            </w:r>
          </w:p>
        </w:tc>
        <w:tc>
          <w:tcPr>
            <w:tcW w:w="2865" w:type="dxa"/>
            <w:vAlign w:val="center"/>
          </w:tcPr>
          <w:p>
            <w:pPr>
              <w:jc w:val="center"/>
              <w:rPr>
                <w:color w:val="auto"/>
                <w:sz w:val="30"/>
                <w:szCs w:val="30"/>
                <w:highlight w:val="none"/>
              </w:rPr>
            </w:pPr>
            <w:r>
              <w:rPr>
                <w:color w:val="auto"/>
                <w:sz w:val="30"/>
                <w:szCs w:val="30"/>
                <w:highlight w:val="none"/>
              </w:rPr>
              <w:t>胶条</w:t>
            </w:r>
          </w:p>
          <w:p>
            <w:pPr>
              <w:jc w:val="center"/>
              <w:rPr>
                <w:color w:val="auto"/>
                <w:sz w:val="30"/>
                <w:szCs w:val="30"/>
                <w:highlight w:val="none"/>
              </w:rPr>
            </w:pPr>
            <w:r>
              <w:rPr>
                <w:color w:val="auto"/>
                <w:sz w:val="30"/>
                <w:szCs w:val="30"/>
                <w:highlight w:val="none"/>
              </w:rPr>
              <w:t>（含三元乙丙胶条）</w:t>
            </w:r>
          </w:p>
        </w:tc>
        <w:tc>
          <w:tcPr>
            <w:tcW w:w="8040"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color w:val="auto"/>
                <w:sz w:val="30"/>
                <w:highlight w:val="none"/>
              </w:rPr>
            </w:pPr>
            <w:r>
              <w:rPr>
                <w:rFonts w:hint="eastAsia"/>
                <w:color w:val="auto"/>
                <w:sz w:val="30"/>
                <w:highlight w:val="none"/>
                <w:lang w:val="en-US" w:eastAsia="zh-CN"/>
              </w:rPr>
              <w:t>道康宁、GE、瓦克、罗纳星</w:t>
            </w:r>
            <w:r>
              <w:rPr>
                <w:color w:val="auto"/>
                <w:sz w:val="30"/>
                <w:highlight w:val="none"/>
              </w:rPr>
              <w:t>江阴海达、</w:t>
            </w:r>
            <w:r>
              <w:rPr>
                <w:strike w:val="0"/>
                <w:color w:val="auto"/>
                <w:sz w:val="30"/>
                <w:highlight w:val="none"/>
              </w:rPr>
              <w:t>联合强、</w:t>
            </w:r>
            <w:r>
              <w:rPr>
                <w:color w:val="auto"/>
                <w:sz w:val="30"/>
                <w:highlight w:val="none"/>
              </w:rPr>
              <w:t>荣基、新安东、海达、联和强、澳顺橡塑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616" w:type="dxa"/>
            <w:vMerge w:val="restart"/>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rPr>
              <w:t>2</w:t>
            </w:r>
            <w:r>
              <w:rPr>
                <w:rFonts w:hint="eastAsia"/>
                <w:color w:val="auto"/>
                <w:sz w:val="30"/>
                <w:szCs w:val="30"/>
                <w:highlight w:val="none"/>
                <w:lang w:val="en-US" w:eastAsia="zh-CN"/>
              </w:rPr>
              <w:t>32</w:t>
            </w:r>
          </w:p>
        </w:tc>
        <w:tc>
          <w:tcPr>
            <w:tcW w:w="2865" w:type="dxa"/>
            <w:vMerge w:val="restart"/>
            <w:vAlign w:val="center"/>
          </w:tcPr>
          <w:p>
            <w:pPr>
              <w:jc w:val="center"/>
              <w:rPr>
                <w:color w:val="auto"/>
                <w:sz w:val="30"/>
                <w:szCs w:val="30"/>
                <w:highlight w:val="none"/>
                <w:lang w:val="en-US"/>
              </w:rPr>
            </w:pPr>
            <w:r>
              <w:rPr>
                <w:color w:val="auto"/>
                <w:sz w:val="30"/>
                <w:szCs w:val="30"/>
                <w:highlight w:val="none"/>
              </w:rPr>
              <w:t>瓷砖</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color w:val="auto"/>
                <w:sz w:val="30"/>
                <w:highlight w:val="none"/>
                <w:lang w:val="en-US"/>
              </w:rPr>
            </w:pPr>
            <w:r>
              <w:rPr>
                <w:rFonts w:hint="eastAsia"/>
                <w:color w:val="auto"/>
                <w:sz w:val="30"/>
                <w:highlight w:val="none"/>
                <w:lang w:val="en-US"/>
              </w:rPr>
              <w:t>简一、蒙娜丽莎、冠珠、欧神诺、诺贝尔、马可波罗、</w:t>
            </w:r>
            <w:r>
              <w:rPr>
                <w:rFonts w:hint="eastAsia"/>
                <w:color w:val="auto"/>
                <w:sz w:val="30"/>
                <w:highlight w:val="none"/>
                <w:shd w:val="clear" w:fill="FFFFFF" w:themeFill="background1"/>
                <w:lang w:val="en-US"/>
              </w:rPr>
              <w:t>亚细亚、新</w:t>
            </w:r>
            <w:r>
              <w:rPr>
                <w:rFonts w:hint="eastAsia"/>
                <w:color w:val="auto"/>
                <w:sz w:val="30"/>
                <w:highlight w:val="none"/>
                <w:lang w:val="en-US"/>
              </w:rPr>
              <w:t>中源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233</w:t>
            </w:r>
          </w:p>
        </w:tc>
        <w:tc>
          <w:tcPr>
            <w:tcW w:w="2865" w:type="dxa"/>
            <w:vAlign w:val="center"/>
          </w:tcPr>
          <w:p>
            <w:pPr>
              <w:jc w:val="center"/>
              <w:rPr>
                <w:color w:val="auto"/>
                <w:sz w:val="30"/>
                <w:szCs w:val="30"/>
                <w:highlight w:val="none"/>
              </w:rPr>
            </w:pPr>
            <w:r>
              <w:rPr>
                <w:rFonts w:hint="eastAsia"/>
                <w:color w:val="auto"/>
                <w:sz w:val="30"/>
                <w:szCs w:val="30"/>
                <w:highlight w:val="none"/>
                <w:lang w:val="en-US" w:eastAsia="zh-CN"/>
              </w:rPr>
              <w:t>岩板</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color w:val="auto"/>
                <w:sz w:val="30"/>
                <w:szCs w:val="30"/>
                <w:highlight w:val="none"/>
              </w:rPr>
            </w:pPr>
            <w:r>
              <w:rPr>
                <w:rFonts w:hint="eastAsia"/>
                <w:color w:val="auto"/>
                <w:sz w:val="30"/>
                <w:szCs w:val="30"/>
                <w:highlight w:val="none"/>
                <w:lang w:val="en-US" w:eastAsia="zh-CN"/>
              </w:rPr>
              <w:t>蒙娜丽莎、诺贝尔、德利丰、大元帅、新明珠、顺辉天成、金牌亚洲、新中源、雪狼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234</w:t>
            </w:r>
          </w:p>
        </w:tc>
        <w:tc>
          <w:tcPr>
            <w:tcW w:w="2865" w:type="dxa"/>
            <w:vAlign w:val="center"/>
          </w:tcPr>
          <w:p>
            <w:pPr>
              <w:jc w:val="center"/>
              <w:rPr>
                <w:color w:val="auto"/>
                <w:sz w:val="30"/>
                <w:szCs w:val="30"/>
                <w:highlight w:val="none"/>
              </w:rPr>
            </w:pPr>
            <w:r>
              <w:rPr>
                <w:color w:val="auto"/>
                <w:sz w:val="30"/>
                <w:szCs w:val="30"/>
                <w:highlight w:val="none"/>
              </w:rPr>
              <w:t>腻子</w:t>
            </w:r>
          </w:p>
        </w:tc>
        <w:tc>
          <w:tcPr>
            <w:tcW w:w="8040"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rFonts w:hint="default" w:eastAsia="仿宋"/>
                <w:strike w:val="0"/>
                <w:color w:val="auto"/>
                <w:sz w:val="30"/>
                <w:highlight w:val="none"/>
                <w:lang w:val="en-US" w:eastAsia="zh-CN"/>
              </w:rPr>
            </w:pPr>
            <w:r>
              <w:rPr>
                <w:strike w:val="0"/>
                <w:color w:val="auto"/>
                <w:sz w:val="30"/>
                <w:highlight w:val="none"/>
              </w:rPr>
              <w:t>美巢、</w:t>
            </w:r>
            <w:r>
              <w:rPr>
                <w:rFonts w:hint="eastAsia"/>
                <w:strike w:val="0"/>
                <w:color w:val="auto"/>
                <w:sz w:val="30"/>
                <w:highlight w:val="none"/>
                <w:lang w:val="en-US"/>
              </w:rPr>
              <w:t>卓宝、</w:t>
            </w:r>
            <w:r>
              <w:rPr>
                <w:rFonts w:hint="eastAsia" w:ascii="仿宋" w:hAnsi="仿宋" w:eastAsia="仿宋" w:cs="仿宋"/>
                <w:color w:val="auto"/>
                <w:sz w:val="30"/>
                <w:szCs w:val="22"/>
                <w:highlight w:val="none"/>
                <w:shd w:val="clear" w:fill="FFFFFF" w:themeFill="background1"/>
                <w:lang w:val="en-US" w:eastAsia="zh-CN" w:bidi="zh-CN"/>
              </w:rPr>
              <w:t>百利士、立邦、三</w:t>
            </w:r>
            <w:r>
              <w:rPr>
                <w:rFonts w:hint="eastAsia"/>
                <w:strike w:val="0"/>
                <w:color w:val="auto"/>
                <w:sz w:val="30"/>
                <w:highlight w:val="none"/>
                <w:lang w:val="en-US" w:eastAsia="zh-CN"/>
              </w:rPr>
              <w:t>棵树、多乐士、亚士、</w:t>
            </w:r>
            <w:r>
              <w:rPr>
                <w:rFonts w:hint="eastAsia" w:ascii="仿宋" w:hAnsi="仿宋" w:eastAsia="仿宋" w:cs="仿宋"/>
                <w:color w:val="auto"/>
                <w:sz w:val="30"/>
                <w:szCs w:val="22"/>
                <w:highlight w:val="none"/>
                <w:lang w:val="en-US" w:eastAsia="zh-CN" w:bidi="zh-CN"/>
              </w:rPr>
              <w:t>百得、伟伯、莱恩斯、马贝、金隅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235</w:t>
            </w:r>
          </w:p>
        </w:tc>
        <w:tc>
          <w:tcPr>
            <w:tcW w:w="2865" w:type="dxa"/>
            <w:vAlign w:val="center"/>
          </w:tcPr>
          <w:p>
            <w:pPr>
              <w:jc w:val="center"/>
              <w:rPr>
                <w:color w:val="auto"/>
                <w:sz w:val="30"/>
                <w:szCs w:val="30"/>
                <w:highlight w:val="none"/>
              </w:rPr>
            </w:pPr>
            <w:r>
              <w:rPr>
                <w:color w:val="auto"/>
                <w:sz w:val="30"/>
                <w:szCs w:val="30"/>
                <w:highlight w:val="none"/>
              </w:rPr>
              <w:t>瓷砖胶、大理石胶、石材干挂胶</w:t>
            </w:r>
          </w:p>
        </w:tc>
        <w:tc>
          <w:tcPr>
            <w:tcW w:w="8040"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rFonts w:hint="default" w:eastAsia="仿宋"/>
                <w:color w:val="auto"/>
                <w:sz w:val="30"/>
                <w:highlight w:val="none"/>
                <w:lang w:val="en-US" w:eastAsia="zh-CN"/>
              </w:rPr>
            </w:pPr>
            <w:r>
              <w:rPr>
                <w:rFonts w:hint="eastAsia"/>
                <w:color w:val="auto"/>
                <w:sz w:val="30"/>
                <w:highlight w:val="none"/>
                <w:lang w:val="en-US" w:eastAsia="zh-CN"/>
              </w:rPr>
              <w:t>德高、雷帝、立邦、东方雨虹、</w:t>
            </w:r>
            <w:r>
              <w:rPr>
                <w:color w:val="auto"/>
                <w:sz w:val="30"/>
                <w:highlight w:val="none"/>
              </w:rPr>
              <w:t>亚士、</w:t>
            </w:r>
            <w:r>
              <w:rPr>
                <w:rFonts w:hint="eastAsia"/>
                <w:color w:val="auto"/>
                <w:sz w:val="30"/>
                <w:highlight w:val="none"/>
                <w:lang w:val="en-US"/>
              </w:rPr>
              <w:t>卓宝、百利士</w:t>
            </w:r>
            <w:r>
              <w:rPr>
                <w:rFonts w:hint="eastAsia"/>
                <w:color w:val="auto"/>
                <w:sz w:val="30"/>
                <w:highlight w:val="none"/>
                <w:lang w:val="en-US" w:eastAsia="zh-CN"/>
              </w:rPr>
              <w:t>、石神</w:t>
            </w:r>
            <w:r>
              <w:rPr>
                <w:rFonts w:hint="eastAsia" w:ascii="仿宋" w:hAnsi="仿宋" w:eastAsia="仿宋" w:cs="仿宋"/>
                <w:color w:val="auto"/>
                <w:sz w:val="30"/>
                <w:szCs w:val="22"/>
                <w:highlight w:val="none"/>
                <w:shd w:val="clear" w:fill="FFFFFF" w:themeFill="background1"/>
                <w:lang w:val="en-US" w:eastAsia="zh-CN" w:bidi="zh-CN"/>
              </w:rPr>
              <w:t>、硅宝、白云、之江</w:t>
            </w:r>
            <w:r>
              <w:rPr>
                <w:rFonts w:hint="eastAsia"/>
                <w:color w:val="auto"/>
                <w:sz w:val="30"/>
                <w:highlight w:val="none"/>
                <w:lang w:val="en-US" w:eastAsia="zh-CN"/>
              </w:rPr>
              <w:t>、中原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236</w:t>
            </w:r>
          </w:p>
        </w:tc>
        <w:tc>
          <w:tcPr>
            <w:tcW w:w="2865" w:type="dxa"/>
            <w:vAlign w:val="center"/>
          </w:tcPr>
          <w:p>
            <w:pPr>
              <w:jc w:val="center"/>
              <w:rPr>
                <w:color w:val="auto"/>
                <w:sz w:val="30"/>
                <w:szCs w:val="30"/>
                <w:highlight w:val="none"/>
              </w:rPr>
            </w:pPr>
            <w:r>
              <w:rPr>
                <w:rFonts w:hint="eastAsia"/>
                <w:color w:val="auto"/>
                <w:sz w:val="30"/>
                <w:szCs w:val="30"/>
                <w:highlight w:val="none"/>
                <w:lang w:val="en-US" w:eastAsia="zh-CN"/>
              </w:rPr>
              <w:t>美</w:t>
            </w:r>
            <w:r>
              <w:rPr>
                <w:color w:val="auto"/>
                <w:sz w:val="30"/>
                <w:szCs w:val="30"/>
                <w:highlight w:val="none"/>
              </w:rPr>
              <w:t>缝剂</w:t>
            </w:r>
          </w:p>
        </w:tc>
        <w:tc>
          <w:tcPr>
            <w:tcW w:w="8040"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rFonts w:hint="default" w:eastAsia="仿宋"/>
                <w:color w:val="auto"/>
                <w:sz w:val="30"/>
                <w:highlight w:val="none"/>
                <w:lang w:val="en-US" w:eastAsia="zh-CN"/>
              </w:rPr>
            </w:pPr>
            <w:r>
              <w:rPr>
                <w:color w:val="auto"/>
                <w:sz w:val="30"/>
                <w:highlight w:val="none"/>
              </w:rPr>
              <w:t>德高、汉高、亚地斯</w:t>
            </w:r>
            <w:r>
              <w:rPr>
                <w:rFonts w:hint="eastAsia"/>
                <w:color w:val="auto"/>
                <w:sz w:val="30"/>
                <w:highlight w:val="none"/>
                <w:lang w:eastAsia="zh-CN"/>
              </w:rPr>
              <w:t>、</w:t>
            </w:r>
            <w:r>
              <w:rPr>
                <w:rFonts w:hint="eastAsia"/>
                <w:color w:val="auto"/>
                <w:sz w:val="30"/>
                <w:highlight w:val="none"/>
                <w:lang w:val="en-US" w:eastAsia="zh-CN"/>
              </w:rPr>
              <w:t>立邦、东方雨虹、</w:t>
            </w:r>
            <w:r>
              <w:rPr>
                <w:rFonts w:hint="eastAsia"/>
                <w:strike w:val="0"/>
                <w:color w:val="auto"/>
                <w:sz w:val="30"/>
                <w:highlight w:val="none"/>
                <w:lang w:val="en-US"/>
              </w:rPr>
              <w:t>卓宝、百利士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237</w:t>
            </w:r>
          </w:p>
        </w:tc>
        <w:tc>
          <w:tcPr>
            <w:tcW w:w="2865" w:type="dxa"/>
            <w:vAlign w:val="center"/>
          </w:tcPr>
          <w:p>
            <w:pPr>
              <w:jc w:val="center"/>
              <w:rPr>
                <w:color w:val="auto"/>
                <w:sz w:val="30"/>
                <w:szCs w:val="30"/>
                <w:highlight w:val="none"/>
              </w:rPr>
            </w:pPr>
            <w:r>
              <w:rPr>
                <w:rFonts w:hint="eastAsia"/>
                <w:color w:val="auto"/>
                <w:sz w:val="30"/>
                <w:szCs w:val="30"/>
                <w:highlight w:val="none"/>
                <w:lang w:val="en-US"/>
              </w:rPr>
              <w:t>轻质</w:t>
            </w:r>
            <w:r>
              <w:rPr>
                <w:color w:val="auto"/>
                <w:sz w:val="30"/>
                <w:szCs w:val="30"/>
                <w:highlight w:val="none"/>
              </w:rPr>
              <w:t>抹灰石膏</w:t>
            </w:r>
          </w:p>
        </w:tc>
        <w:tc>
          <w:tcPr>
            <w:tcW w:w="8040"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color w:val="auto"/>
                <w:sz w:val="30"/>
                <w:highlight w:val="none"/>
              </w:rPr>
            </w:pPr>
            <w:r>
              <w:rPr>
                <w:rFonts w:hint="eastAsia"/>
                <w:color w:val="auto"/>
                <w:sz w:val="30"/>
                <w:highlight w:val="none"/>
                <w:lang w:val="en-US"/>
              </w:rPr>
              <w:t>肯德高、</w:t>
            </w:r>
            <w:r>
              <w:rPr>
                <w:color w:val="auto"/>
                <w:sz w:val="30"/>
                <w:highlight w:val="none"/>
              </w:rPr>
              <w:t>可耐福、</w:t>
            </w:r>
            <w:r>
              <w:rPr>
                <w:rFonts w:hint="eastAsia"/>
                <w:color w:val="auto"/>
                <w:sz w:val="30"/>
                <w:highlight w:val="none"/>
                <w:lang w:val="en-US"/>
              </w:rPr>
              <w:t>壁安</w:t>
            </w:r>
            <w:r>
              <w:rPr>
                <w:rFonts w:hint="eastAsia"/>
                <w:color w:val="auto"/>
                <w:sz w:val="30"/>
                <w:highlight w:val="none"/>
              </w:rPr>
              <w:t>（</w:t>
            </w:r>
            <w:r>
              <w:rPr>
                <w:rFonts w:hint="eastAsia"/>
                <w:color w:val="auto"/>
                <w:sz w:val="30"/>
                <w:highlight w:val="none"/>
                <w:lang w:val="en-US"/>
              </w:rPr>
              <w:t>东方雨虹）</w:t>
            </w:r>
            <w:r>
              <w:rPr>
                <w:color w:val="auto"/>
                <w:sz w:val="30"/>
                <w:highlight w:val="none"/>
              </w:rPr>
              <w:t>、圣戈班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238</w:t>
            </w:r>
          </w:p>
        </w:tc>
        <w:tc>
          <w:tcPr>
            <w:tcW w:w="2865" w:type="dxa"/>
            <w:vAlign w:val="center"/>
          </w:tcPr>
          <w:p>
            <w:pPr>
              <w:jc w:val="center"/>
              <w:rPr>
                <w:color w:val="auto"/>
                <w:sz w:val="30"/>
                <w:szCs w:val="30"/>
                <w:highlight w:val="none"/>
              </w:rPr>
            </w:pPr>
            <w:r>
              <w:rPr>
                <w:color w:val="auto"/>
                <w:sz w:val="30"/>
                <w:szCs w:val="30"/>
                <w:highlight w:val="none"/>
              </w:rPr>
              <w:t>PVC卷材地板</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color w:val="auto"/>
                <w:spacing w:val="6"/>
                <w:sz w:val="30"/>
                <w:highlight w:val="none"/>
              </w:rPr>
            </w:pPr>
            <w:r>
              <w:rPr>
                <w:color w:val="auto"/>
                <w:spacing w:val="6"/>
                <w:sz w:val="30"/>
                <w:highlight w:val="none"/>
              </w:rPr>
              <w:t>得嘉</w:t>
            </w:r>
            <w:r>
              <w:rPr>
                <w:rFonts w:hint="eastAsia"/>
                <w:color w:val="auto"/>
                <w:spacing w:val="6"/>
                <w:sz w:val="30"/>
                <w:highlight w:val="none"/>
              </w:rPr>
              <w:t>、</w:t>
            </w:r>
            <w:r>
              <w:rPr>
                <w:color w:val="auto"/>
                <w:spacing w:val="6"/>
                <w:sz w:val="30"/>
                <w:highlight w:val="none"/>
              </w:rPr>
              <w:t>洁福</w:t>
            </w:r>
            <w:r>
              <w:rPr>
                <w:rFonts w:hint="eastAsia"/>
                <w:color w:val="auto"/>
                <w:spacing w:val="6"/>
                <w:sz w:val="30"/>
                <w:highlight w:val="none"/>
              </w:rPr>
              <w:t>、</w:t>
            </w:r>
            <w:r>
              <w:rPr>
                <w:color w:val="auto"/>
                <w:spacing w:val="6"/>
                <w:sz w:val="30"/>
                <w:highlight w:val="none"/>
              </w:rPr>
              <w:t>阿姆斯壮</w:t>
            </w:r>
            <w:r>
              <w:rPr>
                <w:rFonts w:hint="eastAsia"/>
                <w:color w:val="auto"/>
                <w:spacing w:val="6"/>
                <w:sz w:val="30"/>
                <w:highlight w:val="none"/>
                <w:lang w:eastAsia="zh-CN"/>
              </w:rPr>
              <w:t>、</w:t>
            </w:r>
            <w:r>
              <w:rPr>
                <w:rFonts w:hint="eastAsia"/>
                <w:color w:val="auto"/>
                <w:spacing w:val="6"/>
                <w:sz w:val="30"/>
                <w:highlight w:val="none"/>
                <w:lang w:val="en-US" w:eastAsia="zh-CN"/>
              </w:rPr>
              <w:t>博尔福、福仕嘉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616" w:type="dxa"/>
            <w:vMerge w:val="restart"/>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239</w:t>
            </w:r>
          </w:p>
        </w:tc>
        <w:tc>
          <w:tcPr>
            <w:tcW w:w="2865" w:type="dxa"/>
            <w:vMerge w:val="restart"/>
            <w:vAlign w:val="center"/>
          </w:tcPr>
          <w:p>
            <w:pPr>
              <w:jc w:val="center"/>
              <w:rPr>
                <w:color w:val="auto"/>
                <w:sz w:val="30"/>
                <w:szCs w:val="30"/>
                <w:highlight w:val="none"/>
              </w:rPr>
            </w:pPr>
            <w:r>
              <w:rPr>
                <w:rFonts w:hint="eastAsia"/>
                <w:color w:val="auto"/>
                <w:sz w:val="30"/>
                <w:szCs w:val="30"/>
                <w:highlight w:val="none"/>
              </w:rPr>
              <w:t>橡胶地板（均质卷材）</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rFonts w:hint="eastAsia" w:eastAsia="仿宋"/>
                <w:color w:val="auto"/>
                <w:spacing w:val="6"/>
                <w:sz w:val="30"/>
                <w:highlight w:val="none"/>
                <w:lang w:eastAsia="zh-CN"/>
              </w:rPr>
            </w:pPr>
            <w:r>
              <w:rPr>
                <w:rFonts w:hint="eastAsia"/>
                <w:color w:val="auto"/>
                <w:spacing w:val="6"/>
                <w:sz w:val="30"/>
                <w:highlight w:val="none"/>
                <w:lang w:eastAsia="zh-CN"/>
              </w:rPr>
              <w:t>得嘉、洁福、阿姆斯壮、博尔福、福仕嘉、欧迈宝、劲踏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240</w:t>
            </w:r>
          </w:p>
        </w:tc>
        <w:tc>
          <w:tcPr>
            <w:tcW w:w="2865" w:type="dxa"/>
            <w:vAlign w:val="center"/>
          </w:tcPr>
          <w:p>
            <w:pPr>
              <w:jc w:val="center"/>
              <w:rPr>
                <w:color w:val="auto"/>
                <w:sz w:val="30"/>
                <w:szCs w:val="30"/>
                <w:highlight w:val="none"/>
              </w:rPr>
            </w:pPr>
            <w:r>
              <w:rPr>
                <w:color w:val="auto"/>
                <w:sz w:val="30"/>
                <w:szCs w:val="30"/>
                <w:highlight w:val="none"/>
              </w:rPr>
              <w:t>内墙涂料</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rFonts w:hint="default" w:ascii="仿宋" w:hAnsi="仿宋" w:eastAsia="仿宋" w:cs="仿宋"/>
                <w:color w:val="auto"/>
                <w:sz w:val="30"/>
                <w:szCs w:val="22"/>
                <w:highlight w:val="none"/>
                <w:shd w:val="clear" w:fill="FFFFFF" w:themeFill="background1"/>
                <w:lang w:val="en-US" w:eastAsia="zh-CN" w:bidi="zh-CN"/>
              </w:rPr>
            </w:pPr>
            <w:r>
              <w:rPr>
                <w:rFonts w:ascii="仿宋" w:hAnsi="仿宋" w:eastAsia="仿宋" w:cs="仿宋"/>
                <w:color w:val="auto"/>
                <w:sz w:val="30"/>
                <w:szCs w:val="22"/>
                <w:highlight w:val="none"/>
                <w:shd w:val="clear" w:fill="FFFFFF" w:themeFill="background1"/>
                <w:lang w:val="zh-CN" w:eastAsia="zh-CN" w:bidi="zh-CN"/>
              </w:rPr>
              <w:t>立邦</w:t>
            </w:r>
            <w:r>
              <w:rPr>
                <w:rFonts w:hint="eastAsia" w:ascii="仿宋" w:hAnsi="仿宋" w:eastAsia="仿宋" w:cs="仿宋"/>
                <w:color w:val="auto"/>
                <w:sz w:val="30"/>
                <w:szCs w:val="22"/>
                <w:highlight w:val="none"/>
                <w:shd w:val="clear" w:fill="FFFFFF" w:themeFill="background1"/>
                <w:lang w:val="zh-CN" w:eastAsia="zh-CN" w:bidi="zh-CN"/>
              </w:rPr>
              <w:t>、</w:t>
            </w:r>
            <w:r>
              <w:rPr>
                <w:rFonts w:hint="eastAsia" w:ascii="仿宋" w:hAnsi="仿宋" w:eastAsia="仿宋" w:cs="仿宋"/>
                <w:color w:val="auto"/>
                <w:sz w:val="30"/>
                <w:szCs w:val="22"/>
                <w:highlight w:val="none"/>
                <w:shd w:val="clear" w:fill="FFFFFF" w:themeFill="background1"/>
                <w:lang w:val="en-US" w:eastAsia="zh-CN" w:bidi="zh-CN"/>
              </w:rPr>
              <w:t>西卡凡士能、多乐士、三棵树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241</w:t>
            </w:r>
          </w:p>
        </w:tc>
        <w:tc>
          <w:tcPr>
            <w:tcW w:w="2865" w:type="dxa"/>
            <w:vAlign w:val="center"/>
          </w:tcPr>
          <w:p>
            <w:pPr>
              <w:jc w:val="center"/>
              <w:rPr>
                <w:rFonts w:hint="eastAsia"/>
                <w:color w:val="auto"/>
                <w:sz w:val="30"/>
                <w:szCs w:val="30"/>
                <w:highlight w:val="none"/>
                <w:lang w:val="en-US" w:eastAsia="zh-CN"/>
              </w:rPr>
            </w:pPr>
            <w:r>
              <w:rPr>
                <w:rFonts w:hint="eastAsia"/>
                <w:color w:val="auto"/>
                <w:sz w:val="30"/>
                <w:szCs w:val="30"/>
                <w:highlight w:val="none"/>
                <w:lang w:val="en-US" w:eastAsia="zh-CN"/>
              </w:rPr>
              <w:t>外墙涂料</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rFonts w:ascii="仿宋" w:hAnsi="仿宋" w:eastAsia="仿宋" w:cs="仿宋"/>
                <w:color w:val="auto"/>
                <w:sz w:val="30"/>
                <w:szCs w:val="22"/>
                <w:highlight w:val="none"/>
                <w:shd w:val="clear" w:fill="FFFFFF" w:themeFill="background1"/>
                <w:lang w:val="zh-CN" w:eastAsia="zh-CN" w:bidi="zh-CN"/>
              </w:rPr>
            </w:pPr>
            <w:r>
              <w:rPr>
                <w:rFonts w:hint="eastAsia" w:ascii="仿宋" w:hAnsi="仿宋" w:eastAsia="仿宋" w:cs="仿宋"/>
                <w:color w:val="auto"/>
                <w:sz w:val="30"/>
                <w:szCs w:val="22"/>
                <w:highlight w:val="none"/>
                <w:shd w:val="clear" w:fill="FFFFFF" w:themeFill="background1"/>
                <w:lang w:val="zh-CN" w:eastAsia="zh-CN" w:bidi="zh-CN"/>
              </w:rPr>
              <w:t>立邦、SKK、嘉宝莉、三棵树、德爱威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242</w:t>
            </w:r>
          </w:p>
        </w:tc>
        <w:tc>
          <w:tcPr>
            <w:tcW w:w="2865" w:type="dxa"/>
            <w:vAlign w:val="center"/>
          </w:tcPr>
          <w:p>
            <w:pPr>
              <w:jc w:val="center"/>
              <w:rPr>
                <w:rFonts w:hint="eastAsia"/>
                <w:color w:val="auto"/>
                <w:sz w:val="30"/>
                <w:szCs w:val="30"/>
                <w:highlight w:val="none"/>
                <w:lang w:val="en-US" w:eastAsia="zh-CN"/>
              </w:rPr>
            </w:pPr>
            <w:r>
              <w:rPr>
                <w:color w:val="auto"/>
                <w:sz w:val="30"/>
                <w:szCs w:val="30"/>
                <w:highlight w:val="none"/>
              </w:rPr>
              <w:t>防水</w:t>
            </w:r>
            <w:r>
              <w:rPr>
                <w:rFonts w:hint="eastAsia"/>
                <w:color w:val="auto"/>
                <w:sz w:val="30"/>
                <w:szCs w:val="30"/>
                <w:highlight w:val="none"/>
                <w:lang w:val="en-US" w:eastAsia="zh-CN"/>
              </w:rPr>
              <w:t>材料</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rFonts w:hint="default" w:eastAsia="仿宋"/>
                <w:color w:val="auto"/>
                <w:sz w:val="30"/>
                <w:highlight w:val="none"/>
                <w:lang w:val="en-US" w:eastAsia="zh-CN"/>
              </w:rPr>
            </w:pPr>
            <w:r>
              <w:rPr>
                <w:color w:val="auto"/>
                <w:sz w:val="30"/>
                <w:highlight w:val="none"/>
              </w:rPr>
              <w:t>宏源</w:t>
            </w:r>
            <w:r>
              <w:rPr>
                <w:rFonts w:hint="eastAsia"/>
                <w:color w:val="auto"/>
                <w:sz w:val="30"/>
                <w:highlight w:val="none"/>
              </w:rPr>
              <w:t>、</w:t>
            </w:r>
            <w:r>
              <w:rPr>
                <w:color w:val="auto"/>
                <w:sz w:val="30"/>
                <w:highlight w:val="none"/>
              </w:rPr>
              <w:t>凯伦</w:t>
            </w:r>
            <w:r>
              <w:rPr>
                <w:rFonts w:hint="eastAsia"/>
                <w:color w:val="auto"/>
                <w:sz w:val="30"/>
                <w:highlight w:val="none"/>
              </w:rPr>
              <w:t>、</w:t>
            </w:r>
            <w:r>
              <w:rPr>
                <w:color w:val="auto"/>
                <w:sz w:val="30"/>
                <w:highlight w:val="none"/>
              </w:rPr>
              <w:t>卓</w:t>
            </w:r>
            <w:r>
              <w:rPr>
                <w:color w:val="auto"/>
                <w:sz w:val="30"/>
                <w:highlight w:val="none"/>
                <w:shd w:val="clear" w:fill="FFFFFF" w:themeFill="background1"/>
              </w:rPr>
              <w:t>宝、</w:t>
            </w:r>
            <w:r>
              <w:rPr>
                <w:rFonts w:hint="eastAsia"/>
                <w:color w:val="auto"/>
                <w:sz w:val="30"/>
                <w:highlight w:val="none"/>
                <w:shd w:val="clear" w:fill="FFFFFF" w:themeFill="background1"/>
                <w:lang w:val="en-US" w:eastAsia="zh-CN"/>
              </w:rPr>
              <w:t>东方雨虹、北</w:t>
            </w:r>
            <w:r>
              <w:rPr>
                <w:rFonts w:hint="eastAsia"/>
                <w:color w:val="auto"/>
                <w:sz w:val="30"/>
                <w:highlight w:val="none"/>
                <w:lang w:val="en-US" w:eastAsia="zh-CN"/>
              </w:rPr>
              <w:t>新、科顺、蜀羊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243</w:t>
            </w:r>
          </w:p>
        </w:tc>
        <w:tc>
          <w:tcPr>
            <w:tcW w:w="2865" w:type="dxa"/>
            <w:vAlign w:val="center"/>
          </w:tcPr>
          <w:p>
            <w:pPr>
              <w:jc w:val="center"/>
              <w:rPr>
                <w:color w:val="auto"/>
                <w:sz w:val="30"/>
                <w:szCs w:val="30"/>
                <w:highlight w:val="none"/>
              </w:rPr>
            </w:pPr>
            <w:r>
              <w:rPr>
                <w:color w:val="auto"/>
                <w:sz w:val="30"/>
                <w:szCs w:val="30"/>
                <w:highlight w:val="none"/>
              </w:rPr>
              <w:t>塑胶地面</w:t>
            </w:r>
          </w:p>
        </w:tc>
        <w:tc>
          <w:tcPr>
            <w:tcW w:w="8040"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rFonts w:hint="default" w:eastAsia="仿宋"/>
                <w:color w:val="auto"/>
                <w:sz w:val="30"/>
                <w:highlight w:val="none"/>
                <w:lang w:val="en-US" w:eastAsia="zh-CN"/>
              </w:rPr>
            </w:pPr>
            <w:r>
              <w:rPr>
                <w:color w:val="auto"/>
                <w:sz w:val="30"/>
                <w:highlight w:val="none"/>
              </w:rPr>
              <w:t>深圳奥顺达、广东柏胜、广东超冠、广州煊辉、帝森、一诺威</w:t>
            </w:r>
            <w:r>
              <w:rPr>
                <w:rFonts w:hint="eastAsia"/>
                <w:color w:val="auto"/>
                <w:sz w:val="30"/>
                <w:highlight w:val="none"/>
                <w:lang w:eastAsia="zh-CN"/>
              </w:rPr>
              <w:t>、</w:t>
            </w:r>
            <w:r>
              <w:rPr>
                <w:rFonts w:hint="eastAsia"/>
                <w:color w:val="auto"/>
                <w:sz w:val="30"/>
                <w:highlight w:val="none"/>
                <w:lang w:val="en-US" w:eastAsia="zh-CN"/>
              </w:rPr>
              <w:t>阿姆斯壮、洁福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244</w:t>
            </w:r>
          </w:p>
        </w:tc>
        <w:tc>
          <w:tcPr>
            <w:tcW w:w="2865" w:type="dxa"/>
            <w:vAlign w:val="center"/>
          </w:tcPr>
          <w:p>
            <w:pPr>
              <w:jc w:val="center"/>
              <w:rPr>
                <w:color w:val="auto"/>
                <w:sz w:val="30"/>
                <w:szCs w:val="30"/>
                <w:highlight w:val="none"/>
              </w:rPr>
            </w:pPr>
            <w:r>
              <w:rPr>
                <w:color w:val="auto"/>
                <w:sz w:val="30"/>
                <w:szCs w:val="30"/>
                <w:highlight w:val="none"/>
              </w:rPr>
              <w:t>木饰面</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rFonts w:hint="default" w:eastAsia="仿宋"/>
                <w:color w:val="auto"/>
                <w:sz w:val="30"/>
                <w:highlight w:val="none"/>
                <w:lang w:val="en-US" w:eastAsia="zh-CN"/>
              </w:rPr>
            </w:pPr>
            <w:r>
              <w:rPr>
                <w:color w:val="auto"/>
                <w:sz w:val="30"/>
                <w:highlight w:val="none"/>
              </w:rPr>
              <w:t>科定、</w:t>
            </w:r>
            <w:r>
              <w:rPr>
                <w:rFonts w:hint="eastAsia"/>
                <w:color w:val="auto"/>
                <w:sz w:val="30"/>
                <w:highlight w:val="none"/>
                <w:lang w:val="en-US" w:eastAsia="zh-CN"/>
              </w:rPr>
              <w:t>科信、</w:t>
            </w:r>
            <w:r>
              <w:rPr>
                <w:color w:val="auto"/>
                <w:sz w:val="30"/>
                <w:highlight w:val="none"/>
              </w:rPr>
              <w:t>兔宝宝、莫干山、</w:t>
            </w:r>
            <w:r>
              <w:rPr>
                <w:rFonts w:hint="eastAsia"/>
                <w:color w:val="auto"/>
                <w:sz w:val="30"/>
                <w:highlight w:val="none"/>
                <w:lang w:val="en-US" w:eastAsia="zh-CN"/>
              </w:rPr>
              <w:t>森漫莱、梵品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616" w:type="dxa"/>
            <w:vMerge w:val="restart"/>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245</w:t>
            </w:r>
          </w:p>
        </w:tc>
        <w:tc>
          <w:tcPr>
            <w:tcW w:w="2865" w:type="dxa"/>
            <w:vMerge w:val="restart"/>
            <w:vAlign w:val="center"/>
          </w:tcPr>
          <w:p>
            <w:pPr>
              <w:jc w:val="center"/>
              <w:rPr>
                <w:color w:val="auto"/>
                <w:sz w:val="30"/>
                <w:szCs w:val="30"/>
                <w:highlight w:val="none"/>
              </w:rPr>
            </w:pPr>
            <w:r>
              <w:rPr>
                <w:color w:val="auto"/>
                <w:sz w:val="30"/>
                <w:szCs w:val="30"/>
                <w:highlight w:val="none"/>
              </w:rPr>
              <w:t>木地板</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rFonts w:hint="default" w:eastAsia="仿宋"/>
                <w:color w:val="auto"/>
                <w:sz w:val="30"/>
                <w:highlight w:val="none"/>
                <w:lang w:val="en-US" w:eastAsia="zh-CN"/>
              </w:rPr>
            </w:pPr>
            <w:r>
              <w:rPr>
                <w:rFonts w:hint="eastAsia"/>
                <w:color w:val="auto"/>
                <w:sz w:val="30"/>
                <w:highlight w:val="none"/>
                <w:lang w:val="en-US" w:eastAsia="zh-CN"/>
              </w:rPr>
              <w:t>世友、书香门第、肯帝亚、德尔、久盛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246</w:t>
            </w:r>
          </w:p>
        </w:tc>
        <w:tc>
          <w:tcPr>
            <w:tcW w:w="2865" w:type="dxa"/>
            <w:vAlign w:val="center"/>
          </w:tcPr>
          <w:p>
            <w:pPr>
              <w:jc w:val="center"/>
              <w:rPr>
                <w:color w:val="auto"/>
                <w:sz w:val="30"/>
                <w:szCs w:val="30"/>
                <w:highlight w:val="none"/>
              </w:rPr>
            </w:pPr>
            <w:r>
              <w:rPr>
                <w:color w:val="auto"/>
                <w:sz w:val="30"/>
                <w:szCs w:val="30"/>
                <w:highlight w:val="none"/>
              </w:rPr>
              <w:t>柜类（橱柜、浴柜</w:t>
            </w:r>
            <w:r>
              <w:rPr>
                <w:rFonts w:hint="eastAsia"/>
                <w:color w:val="auto"/>
                <w:sz w:val="30"/>
                <w:szCs w:val="30"/>
                <w:highlight w:val="none"/>
                <w:lang w:eastAsia="zh-CN"/>
              </w:rPr>
              <w:t>、</w:t>
            </w:r>
            <w:r>
              <w:rPr>
                <w:color w:val="auto"/>
                <w:sz w:val="30"/>
                <w:szCs w:val="30"/>
                <w:highlight w:val="none"/>
              </w:rPr>
              <w:t>衣柜、玄关柜）</w:t>
            </w:r>
          </w:p>
        </w:tc>
        <w:tc>
          <w:tcPr>
            <w:tcW w:w="8040"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color w:val="auto"/>
                <w:sz w:val="30"/>
                <w:highlight w:val="none"/>
                <w:lang w:val="en-US"/>
              </w:rPr>
            </w:pPr>
            <w:r>
              <w:rPr>
                <w:color w:val="auto"/>
                <w:sz w:val="30"/>
                <w:highlight w:val="none"/>
              </w:rPr>
              <w:t>海尔、华帝、我乐、艾力威尔、志邦、华威、优菲、厨博士、泰森日盛、赫斯帝、优舍、中意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247</w:t>
            </w:r>
          </w:p>
        </w:tc>
        <w:tc>
          <w:tcPr>
            <w:tcW w:w="2865" w:type="dxa"/>
            <w:vAlign w:val="center"/>
          </w:tcPr>
          <w:p>
            <w:pPr>
              <w:jc w:val="center"/>
              <w:rPr>
                <w:color w:val="auto"/>
                <w:sz w:val="30"/>
                <w:szCs w:val="30"/>
                <w:highlight w:val="none"/>
              </w:rPr>
            </w:pPr>
            <w:r>
              <w:rPr>
                <w:color w:val="auto"/>
                <w:sz w:val="30"/>
                <w:szCs w:val="30"/>
                <w:highlight w:val="none"/>
              </w:rPr>
              <w:t>卫生间隔断板</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rFonts w:hint="default" w:eastAsia="仿宋"/>
                <w:color w:val="auto"/>
                <w:sz w:val="30"/>
                <w:highlight w:val="none"/>
                <w:lang w:val="en-US" w:eastAsia="zh-CN"/>
              </w:rPr>
            </w:pPr>
            <w:r>
              <w:rPr>
                <w:color w:val="auto"/>
                <w:sz w:val="30"/>
                <w:highlight w:val="none"/>
              </w:rPr>
              <w:t>富美家、千思、威盛亚</w:t>
            </w:r>
            <w:r>
              <w:rPr>
                <w:rFonts w:hint="eastAsia"/>
                <w:color w:val="auto"/>
                <w:sz w:val="30"/>
                <w:highlight w:val="none"/>
                <w:lang w:eastAsia="zh-CN"/>
              </w:rPr>
              <w:t>、</w:t>
            </w:r>
            <w:r>
              <w:rPr>
                <w:rFonts w:hint="eastAsia"/>
                <w:color w:val="auto"/>
                <w:sz w:val="30"/>
                <w:highlight w:val="none"/>
                <w:lang w:val="en-US" w:eastAsia="zh-CN"/>
              </w:rPr>
              <w:t>康诺、汉尔姆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248</w:t>
            </w:r>
          </w:p>
        </w:tc>
        <w:tc>
          <w:tcPr>
            <w:tcW w:w="2865" w:type="dxa"/>
            <w:vAlign w:val="center"/>
          </w:tcPr>
          <w:p>
            <w:pPr>
              <w:jc w:val="center"/>
              <w:rPr>
                <w:rFonts w:hint="eastAsia"/>
                <w:color w:val="auto"/>
                <w:sz w:val="30"/>
                <w:szCs w:val="30"/>
                <w:highlight w:val="none"/>
                <w:lang w:eastAsia="zh-CN"/>
              </w:rPr>
            </w:pPr>
            <w:r>
              <w:rPr>
                <w:color w:val="auto"/>
                <w:sz w:val="30"/>
                <w:szCs w:val="30"/>
                <w:highlight w:val="none"/>
              </w:rPr>
              <w:t>淋浴屏</w:t>
            </w:r>
          </w:p>
        </w:tc>
        <w:tc>
          <w:tcPr>
            <w:tcW w:w="8040"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color w:val="auto"/>
                <w:sz w:val="30"/>
                <w:highlight w:val="none"/>
              </w:rPr>
            </w:pPr>
            <w:r>
              <w:rPr>
                <w:color w:val="auto"/>
                <w:sz w:val="30"/>
                <w:highlight w:val="none"/>
              </w:rPr>
              <w:t>优普、康健卫浴、九牧、莎丽（金莎丽）、朗斯、玫瑰岛、</w:t>
            </w:r>
            <w:r>
              <w:rPr>
                <w:rFonts w:hint="eastAsia"/>
                <w:color w:val="auto"/>
                <w:sz w:val="30"/>
                <w:highlight w:val="none"/>
                <w:lang w:val="en-US"/>
              </w:rPr>
              <w:t>沐思卫浴、</w:t>
            </w:r>
            <w:r>
              <w:rPr>
                <w:color w:val="auto"/>
                <w:sz w:val="30"/>
                <w:highlight w:val="none"/>
              </w:rPr>
              <w:t>莱博顿、箭牌、科勒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249</w:t>
            </w:r>
          </w:p>
        </w:tc>
        <w:tc>
          <w:tcPr>
            <w:tcW w:w="2865" w:type="dxa"/>
            <w:vAlign w:val="center"/>
          </w:tcPr>
          <w:p>
            <w:pPr>
              <w:jc w:val="center"/>
              <w:rPr>
                <w:rFonts w:hint="eastAsia"/>
                <w:color w:val="auto"/>
                <w:sz w:val="30"/>
                <w:szCs w:val="30"/>
                <w:highlight w:val="none"/>
                <w:lang w:val="en-US" w:eastAsia="zh-CN"/>
              </w:rPr>
            </w:pPr>
            <w:r>
              <w:rPr>
                <w:rFonts w:hint="eastAsia"/>
                <w:color w:val="auto"/>
                <w:sz w:val="30"/>
                <w:szCs w:val="30"/>
                <w:highlight w:val="none"/>
                <w:lang w:val="en-US" w:eastAsia="zh-CN"/>
              </w:rPr>
              <w:t>推拉隔断</w:t>
            </w:r>
          </w:p>
        </w:tc>
        <w:tc>
          <w:tcPr>
            <w:tcW w:w="8040"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rFonts w:hint="default" w:eastAsia="仿宋"/>
                <w:color w:val="auto"/>
                <w:sz w:val="30"/>
                <w:highlight w:val="none"/>
                <w:lang w:val="en-US" w:eastAsia="zh-CN"/>
              </w:rPr>
            </w:pPr>
            <w:r>
              <w:rPr>
                <w:color w:val="auto"/>
                <w:sz w:val="30"/>
                <w:highlight w:val="none"/>
              </w:rPr>
              <w:t>优普、康健卫浴、九牧、莎丽（金莎丽）、朗斯、玫瑰岛、</w:t>
            </w:r>
            <w:r>
              <w:rPr>
                <w:rFonts w:hint="eastAsia"/>
                <w:color w:val="auto"/>
                <w:sz w:val="30"/>
                <w:highlight w:val="none"/>
                <w:lang w:val="en-US"/>
              </w:rPr>
              <w:t>沐思卫浴、</w:t>
            </w:r>
            <w:r>
              <w:rPr>
                <w:color w:val="auto"/>
                <w:sz w:val="30"/>
                <w:highlight w:val="none"/>
              </w:rPr>
              <w:t>莱博顿、箭牌、科勒</w:t>
            </w:r>
            <w:r>
              <w:rPr>
                <w:rFonts w:hint="eastAsia"/>
                <w:color w:val="auto"/>
                <w:sz w:val="30"/>
                <w:highlight w:val="none"/>
                <w:lang w:eastAsia="zh-CN"/>
              </w:rPr>
              <w:t>、</w:t>
            </w:r>
            <w:r>
              <w:rPr>
                <w:rFonts w:hint="eastAsia"/>
                <w:color w:val="auto"/>
                <w:sz w:val="30"/>
                <w:highlight w:val="none"/>
                <w:lang w:val="en-US" w:eastAsia="zh-CN"/>
              </w:rPr>
              <w:t>恒洁、德立、菲派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250</w:t>
            </w:r>
          </w:p>
        </w:tc>
        <w:tc>
          <w:tcPr>
            <w:tcW w:w="2865" w:type="dxa"/>
            <w:vAlign w:val="center"/>
          </w:tcPr>
          <w:p>
            <w:pPr>
              <w:jc w:val="center"/>
              <w:rPr>
                <w:color w:val="auto"/>
                <w:sz w:val="30"/>
                <w:szCs w:val="30"/>
                <w:highlight w:val="none"/>
              </w:rPr>
            </w:pPr>
            <w:r>
              <w:rPr>
                <w:color w:val="auto"/>
                <w:sz w:val="30"/>
                <w:szCs w:val="30"/>
                <w:highlight w:val="none"/>
              </w:rPr>
              <w:t>地毯</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rFonts w:hint="default" w:eastAsia="仿宋"/>
                <w:color w:val="auto"/>
                <w:sz w:val="30"/>
                <w:highlight w:val="none"/>
                <w:lang w:val="en-US" w:eastAsia="zh-CN"/>
              </w:rPr>
            </w:pPr>
            <w:r>
              <w:rPr>
                <w:color w:val="auto"/>
                <w:sz w:val="30"/>
                <w:highlight w:val="none"/>
              </w:rPr>
              <w:t>东帝士、英特飞、萧氏</w:t>
            </w:r>
            <w:r>
              <w:rPr>
                <w:rFonts w:hint="eastAsia"/>
                <w:color w:val="auto"/>
                <w:sz w:val="30"/>
                <w:highlight w:val="none"/>
                <w:lang w:eastAsia="zh-CN"/>
              </w:rPr>
              <w:t>、</w:t>
            </w:r>
            <w:r>
              <w:rPr>
                <w:rFonts w:hint="eastAsia"/>
                <w:color w:val="auto"/>
                <w:sz w:val="30"/>
                <w:highlight w:val="none"/>
                <w:lang w:val="en-US" w:eastAsia="zh-CN"/>
              </w:rPr>
              <w:t>阿姆斯壮、华腾、海马、华德、东方地毯、山花地毯、东升地毯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251</w:t>
            </w:r>
          </w:p>
        </w:tc>
        <w:tc>
          <w:tcPr>
            <w:tcW w:w="2865" w:type="dxa"/>
            <w:vAlign w:val="center"/>
          </w:tcPr>
          <w:p>
            <w:pPr>
              <w:jc w:val="center"/>
              <w:rPr>
                <w:color w:val="auto"/>
                <w:sz w:val="30"/>
                <w:szCs w:val="30"/>
                <w:highlight w:val="none"/>
                <w:lang w:val="en-US"/>
              </w:rPr>
            </w:pPr>
            <w:r>
              <w:rPr>
                <w:rFonts w:hint="eastAsia"/>
                <w:color w:val="auto"/>
                <w:sz w:val="30"/>
                <w:szCs w:val="30"/>
                <w:highlight w:val="none"/>
                <w:lang w:val="en-US"/>
              </w:rPr>
              <w:t>地坪漆</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rFonts w:hint="default" w:eastAsia="仿宋"/>
                <w:color w:val="auto"/>
                <w:sz w:val="30"/>
                <w:highlight w:val="none"/>
                <w:lang w:val="en-US" w:eastAsia="zh-CN"/>
              </w:rPr>
            </w:pPr>
            <w:r>
              <w:rPr>
                <w:rFonts w:hint="eastAsia"/>
                <w:color w:val="auto"/>
                <w:sz w:val="30"/>
                <w:highlight w:val="none"/>
                <w:lang w:val="en-US" w:bidi="ar"/>
              </w:rPr>
              <w:t>秀珀、上海正欧、东升</w:t>
            </w:r>
            <w:r>
              <w:rPr>
                <w:rFonts w:hint="eastAsia"/>
                <w:color w:val="auto"/>
                <w:sz w:val="30"/>
                <w:highlight w:val="none"/>
                <w:lang w:val="en-US" w:eastAsia="zh-CN" w:bidi="ar"/>
              </w:rPr>
              <w:t>、三</w:t>
            </w:r>
            <w:r>
              <w:rPr>
                <w:rFonts w:hint="eastAsia"/>
                <w:color w:val="auto"/>
                <w:sz w:val="30"/>
                <w:highlight w:val="none"/>
                <w:shd w:val="clear" w:fill="FFFFFF" w:themeFill="background1"/>
                <w:lang w:val="en-US" w:eastAsia="zh-CN"/>
              </w:rPr>
              <w:t>棵树、立邦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616" w:type="dxa"/>
            <w:vMerge w:val="restart"/>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252</w:t>
            </w:r>
          </w:p>
        </w:tc>
        <w:tc>
          <w:tcPr>
            <w:tcW w:w="2865" w:type="dxa"/>
            <w:vMerge w:val="restart"/>
            <w:vAlign w:val="center"/>
          </w:tcPr>
          <w:p>
            <w:pPr>
              <w:jc w:val="center"/>
              <w:rPr>
                <w:color w:val="auto"/>
                <w:sz w:val="30"/>
                <w:szCs w:val="30"/>
                <w:highlight w:val="none"/>
              </w:rPr>
            </w:pPr>
            <w:r>
              <w:rPr>
                <w:rFonts w:hint="eastAsia"/>
                <w:color w:val="auto"/>
                <w:sz w:val="30"/>
                <w:szCs w:val="30"/>
                <w:highlight w:val="none"/>
                <w:lang w:val="en-US"/>
              </w:rPr>
              <w:t>防火棉、保温棉</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color w:val="auto"/>
                <w:sz w:val="30"/>
                <w:highlight w:val="none"/>
                <w:lang w:val="en-US"/>
              </w:rPr>
            </w:pPr>
            <w:r>
              <w:rPr>
                <w:rFonts w:hint="eastAsia"/>
                <w:color w:val="auto"/>
                <w:sz w:val="30"/>
                <w:highlight w:val="none"/>
                <w:lang w:val="en-US"/>
              </w:rPr>
              <w:t>金邦、卓宝、尤特森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253</w:t>
            </w:r>
          </w:p>
        </w:tc>
        <w:tc>
          <w:tcPr>
            <w:tcW w:w="2865" w:type="dxa"/>
            <w:vAlign w:val="center"/>
          </w:tcPr>
          <w:p>
            <w:pPr>
              <w:jc w:val="center"/>
              <w:rPr>
                <w:color w:val="auto"/>
                <w:sz w:val="30"/>
                <w:szCs w:val="30"/>
                <w:highlight w:val="none"/>
                <w:lang w:val="en-US"/>
              </w:rPr>
            </w:pPr>
            <w:r>
              <w:rPr>
                <w:rFonts w:hint="eastAsia"/>
                <w:color w:val="auto"/>
                <w:sz w:val="30"/>
                <w:szCs w:val="30"/>
                <w:highlight w:val="none"/>
                <w:lang w:val="en-US"/>
              </w:rPr>
              <w:t>防火涂料</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color w:val="auto"/>
                <w:sz w:val="30"/>
                <w:highlight w:val="none"/>
                <w:lang w:val="en-US"/>
              </w:rPr>
            </w:pPr>
            <w:r>
              <w:rPr>
                <w:rFonts w:hint="eastAsia"/>
                <w:color w:val="auto"/>
                <w:sz w:val="30"/>
                <w:highlight w:val="none"/>
                <w:lang w:val="en-US"/>
              </w:rPr>
              <w:t>深圳天宁、上海易川、四川天府、广州市泰堡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254</w:t>
            </w:r>
          </w:p>
        </w:tc>
        <w:tc>
          <w:tcPr>
            <w:tcW w:w="2865" w:type="dxa"/>
            <w:vAlign w:val="center"/>
          </w:tcPr>
          <w:p>
            <w:pPr>
              <w:jc w:val="center"/>
              <w:rPr>
                <w:color w:val="auto"/>
                <w:sz w:val="30"/>
                <w:szCs w:val="30"/>
                <w:highlight w:val="none"/>
                <w:lang w:val="en-US"/>
              </w:rPr>
            </w:pPr>
            <w:r>
              <w:rPr>
                <w:rFonts w:hint="eastAsia"/>
                <w:color w:val="auto"/>
                <w:sz w:val="30"/>
                <w:szCs w:val="30"/>
                <w:highlight w:val="none"/>
                <w:lang w:val="en-US"/>
              </w:rPr>
              <w:t>防火胶</w:t>
            </w:r>
          </w:p>
        </w:tc>
        <w:tc>
          <w:tcPr>
            <w:tcW w:w="8040"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color w:val="auto"/>
                <w:sz w:val="30"/>
                <w:highlight w:val="none"/>
                <w:lang w:val="en-US"/>
              </w:rPr>
            </w:pPr>
            <w:r>
              <w:rPr>
                <w:rFonts w:hint="eastAsia"/>
                <w:color w:val="auto"/>
                <w:sz w:val="30"/>
                <w:highlight w:val="none"/>
                <w:lang w:val="en-US"/>
              </w:rPr>
              <w:t>3M、STI、喜利得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255</w:t>
            </w:r>
          </w:p>
        </w:tc>
        <w:tc>
          <w:tcPr>
            <w:tcW w:w="2865" w:type="dxa"/>
            <w:vAlign w:val="center"/>
          </w:tcPr>
          <w:p>
            <w:pPr>
              <w:jc w:val="center"/>
              <w:rPr>
                <w:color w:val="auto"/>
                <w:sz w:val="30"/>
                <w:szCs w:val="30"/>
                <w:highlight w:val="none"/>
                <w:lang w:val="en-US"/>
              </w:rPr>
            </w:pPr>
            <w:r>
              <w:rPr>
                <w:rFonts w:hint="eastAsia"/>
                <w:color w:val="auto"/>
                <w:sz w:val="30"/>
                <w:szCs w:val="30"/>
                <w:highlight w:val="none"/>
                <w:lang w:val="en-US" w:eastAsia="zh-CN"/>
              </w:rPr>
              <w:t>加气</w:t>
            </w:r>
            <w:r>
              <w:rPr>
                <w:color w:val="auto"/>
                <w:sz w:val="30"/>
                <w:szCs w:val="30"/>
                <w:highlight w:val="none"/>
              </w:rPr>
              <w:t>砌块</w:t>
            </w:r>
          </w:p>
        </w:tc>
        <w:tc>
          <w:tcPr>
            <w:tcW w:w="8040"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rFonts w:hint="default" w:eastAsia="仿宋"/>
                <w:color w:val="auto"/>
                <w:sz w:val="30"/>
                <w:highlight w:val="none"/>
                <w:lang w:val="en-US" w:eastAsia="zh-CN"/>
              </w:rPr>
            </w:pPr>
            <w:r>
              <w:rPr>
                <w:color w:val="auto"/>
                <w:sz w:val="30"/>
                <w:highlight w:val="none"/>
              </w:rPr>
              <w:t>鑫业、劲牛、宏开、广发</w:t>
            </w:r>
            <w:r>
              <w:rPr>
                <w:rFonts w:hint="eastAsia"/>
                <w:color w:val="auto"/>
                <w:sz w:val="30"/>
                <w:highlight w:val="none"/>
                <w:lang w:eastAsia="zh-CN"/>
              </w:rPr>
              <w:t>、</w:t>
            </w:r>
            <w:r>
              <w:rPr>
                <w:rFonts w:hint="eastAsia"/>
                <w:color w:val="auto"/>
                <w:sz w:val="30"/>
                <w:highlight w:val="none"/>
                <w:lang w:val="en-US" w:eastAsia="zh-CN"/>
              </w:rPr>
              <w:t>优博络客、建达、垒达、东莞欧亚、宏达、华得宝、登峰、鼎立、宏宝隆、瞻记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616" w:type="dxa"/>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256</w:t>
            </w:r>
          </w:p>
        </w:tc>
        <w:tc>
          <w:tcPr>
            <w:tcW w:w="2865" w:type="dxa"/>
            <w:vAlign w:val="center"/>
          </w:tcPr>
          <w:p>
            <w:pPr>
              <w:jc w:val="center"/>
              <w:rPr>
                <w:color w:val="auto"/>
                <w:sz w:val="30"/>
                <w:szCs w:val="30"/>
                <w:highlight w:val="none"/>
                <w:lang w:val="en-US"/>
              </w:rPr>
            </w:pPr>
            <w:r>
              <w:rPr>
                <w:color w:val="auto"/>
                <w:sz w:val="30"/>
                <w:szCs w:val="30"/>
                <w:highlight w:val="none"/>
              </w:rPr>
              <w:t>防腐涂料(富锌底漆环氧云铁中间漆、环氧聚硅氧烷面漆)</w:t>
            </w:r>
          </w:p>
        </w:tc>
        <w:tc>
          <w:tcPr>
            <w:tcW w:w="8040"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color w:val="auto"/>
                <w:sz w:val="30"/>
                <w:highlight w:val="none"/>
                <w:lang w:val="en-US"/>
              </w:rPr>
            </w:pPr>
            <w:r>
              <w:rPr>
                <w:rFonts w:hint="eastAsia"/>
                <w:color w:val="auto"/>
                <w:sz w:val="30"/>
                <w:highlight w:val="none"/>
                <w:lang w:val="en-US" w:eastAsia="zh-CN"/>
              </w:rPr>
              <w:t>PPG、</w:t>
            </w:r>
            <w:r>
              <w:rPr>
                <w:color w:val="auto"/>
                <w:sz w:val="30"/>
                <w:highlight w:val="none"/>
              </w:rPr>
              <w:t>中涂化工、阿克苏.诺贝尔、佐敦涂料</w:t>
            </w:r>
          </w:p>
        </w:tc>
      </w:tr>
    </w:tbl>
    <w:p>
      <w:pPr>
        <w:rPr>
          <w:rFonts w:ascii="Times New Roman"/>
          <w:sz w:val="28"/>
        </w:rPr>
      </w:pPr>
    </w:p>
    <w:p/>
    <w:p>
      <w:r>
        <w:br w:type="page"/>
      </w:r>
    </w:p>
    <w:p>
      <w:pPr>
        <w:pStyle w:val="5"/>
        <w:rPr>
          <w:rFonts w:ascii="Times New Roman"/>
          <w:sz w:val="20"/>
        </w:rPr>
      </w:pPr>
    </w:p>
    <w:p>
      <w:pPr>
        <w:widowControl/>
        <w:numPr>
          <w:ilvl w:val="-1"/>
          <w:numId w:val="0"/>
        </w:numPr>
        <w:ind w:left="0" w:leftChars="0" w:firstLine="0" w:firstLineChars="0"/>
        <w:jc w:val="both"/>
        <w:rPr>
          <w:b/>
          <w:bCs/>
          <w:color w:val="000000"/>
          <w:sz w:val="31"/>
          <w:szCs w:val="31"/>
          <w:lang w:val="en-US" w:bidi="ar"/>
        </w:rPr>
      </w:pPr>
      <w:r>
        <w:rPr>
          <w:b/>
          <w:bCs/>
          <w:color w:val="000000"/>
          <w:sz w:val="31"/>
          <w:szCs w:val="31"/>
          <w:lang w:val="en-US" w:bidi="ar"/>
        </w:rPr>
        <w:t>强电类材料设备参考品牌</w:t>
      </w:r>
    </w:p>
    <w:p>
      <w:pPr>
        <w:widowControl/>
        <w:numPr>
          <w:ilvl w:val="0"/>
          <w:numId w:val="0"/>
        </w:numPr>
        <w:ind w:leftChars="0"/>
        <w:jc w:val="both"/>
        <w:rPr>
          <w:b/>
          <w:bCs/>
          <w:color w:val="000000"/>
          <w:sz w:val="31"/>
          <w:szCs w:val="31"/>
          <w:lang w:val="en-US" w:bidi="ar"/>
        </w:rPr>
      </w:pPr>
    </w:p>
    <w:tbl>
      <w:tblPr>
        <w:tblStyle w:val="10"/>
        <w:tblW w:w="0" w:type="auto"/>
        <w:tblInd w:w="27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0" w:type="dxa"/>
          <w:bottom w:w="0" w:type="dxa"/>
          <w:right w:w="0" w:type="dxa"/>
        </w:tblCellMar>
      </w:tblPr>
      <w:tblGrid>
        <w:gridCol w:w="826"/>
        <w:gridCol w:w="2233"/>
        <w:gridCol w:w="1588"/>
        <w:gridCol w:w="764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850" w:hRule="atLeast"/>
        </w:trPr>
        <w:tc>
          <w:tcPr>
            <w:tcW w:w="826" w:type="dxa"/>
            <w:shd w:val="clear" w:color="auto" w:fill="auto"/>
            <w:vAlign w:val="center"/>
          </w:tcPr>
          <w:p>
            <w:pPr>
              <w:jc w:val="center"/>
              <w:rPr>
                <w:b/>
                <w:bCs/>
                <w:color w:val="auto"/>
                <w:sz w:val="30"/>
                <w:szCs w:val="30"/>
                <w:highlight w:val="none"/>
              </w:rPr>
            </w:pPr>
            <w:r>
              <w:rPr>
                <w:b/>
                <w:bCs/>
                <w:color w:val="auto"/>
                <w:sz w:val="30"/>
                <w:szCs w:val="30"/>
                <w:highlight w:val="none"/>
              </w:rPr>
              <w:t>编号</w:t>
            </w:r>
          </w:p>
        </w:tc>
        <w:tc>
          <w:tcPr>
            <w:tcW w:w="2233" w:type="dxa"/>
            <w:shd w:val="clear" w:color="auto" w:fill="auto"/>
            <w:vAlign w:val="center"/>
          </w:tcPr>
          <w:p>
            <w:pPr>
              <w:jc w:val="center"/>
              <w:rPr>
                <w:b/>
                <w:bCs/>
                <w:color w:val="auto"/>
                <w:sz w:val="30"/>
                <w:szCs w:val="30"/>
                <w:highlight w:val="none"/>
              </w:rPr>
            </w:pPr>
            <w:r>
              <w:rPr>
                <w:b/>
                <w:bCs/>
                <w:color w:val="auto"/>
                <w:sz w:val="30"/>
                <w:szCs w:val="30"/>
                <w:highlight w:val="none"/>
              </w:rPr>
              <w:t>材料设备品种</w:t>
            </w:r>
          </w:p>
        </w:tc>
        <w:tc>
          <w:tcPr>
            <w:tcW w:w="9237" w:type="dxa"/>
            <w:gridSpan w:val="2"/>
            <w:shd w:val="clear" w:color="auto" w:fill="auto"/>
            <w:vAlign w:val="center"/>
          </w:tcPr>
          <w:p>
            <w:pPr>
              <w:jc w:val="center"/>
              <w:rPr>
                <w:b/>
                <w:bCs/>
                <w:color w:val="auto"/>
                <w:sz w:val="30"/>
                <w:szCs w:val="30"/>
                <w:highlight w:val="none"/>
              </w:rPr>
            </w:pPr>
            <w:r>
              <w:rPr>
                <w:b/>
                <w:bCs/>
                <w:color w:val="auto"/>
                <w:sz w:val="30"/>
                <w:szCs w:val="30"/>
                <w:highlight w:val="none"/>
              </w:rPr>
              <w:t>正常使用参考品牌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1690" w:hRule="atLeast"/>
        </w:trPr>
        <w:tc>
          <w:tcPr>
            <w:tcW w:w="826" w:type="dxa"/>
            <w:shd w:val="clear" w:color="auto" w:fill="auto"/>
            <w:vAlign w:val="center"/>
          </w:tcPr>
          <w:p>
            <w:pPr>
              <w:jc w:val="center"/>
              <w:rPr>
                <w:color w:val="auto"/>
                <w:sz w:val="30"/>
                <w:szCs w:val="30"/>
                <w:highlight w:val="none"/>
                <w:lang w:val="en-US"/>
              </w:rPr>
            </w:pPr>
            <w:r>
              <w:rPr>
                <w:rFonts w:hint="eastAsia"/>
                <w:color w:val="auto"/>
                <w:sz w:val="30"/>
                <w:szCs w:val="30"/>
                <w:highlight w:val="none"/>
                <w:lang w:val="en-US"/>
              </w:rPr>
              <w:t>301</w:t>
            </w:r>
          </w:p>
        </w:tc>
        <w:tc>
          <w:tcPr>
            <w:tcW w:w="2233" w:type="dxa"/>
            <w:shd w:val="clear" w:color="auto" w:fill="FFFFFF" w:themeFill="background1"/>
            <w:vAlign w:val="center"/>
          </w:tcPr>
          <w:p>
            <w:pPr>
              <w:jc w:val="center"/>
              <w:rPr>
                <w:color w:val="auto"/>
                <w:sz w:val="30"/>
                <w:szCs w:val="30"/>
                <w:highlight w:val="none"/>
              </w:rPr>
            </w:pPr>
            <w:r>
              <w:rPr>
                <w:rFonts w:hint="eastAsia"/>
                <w:color w:val="auto"/>
                <w:sz w:val="30"/>
                <w:szCs w:val="30"/>
                <w:highlight w:val="none"/>
                <w:lang w:val="en-US" w:eastAsia="zh-CN"/>
              </w:rPr>
              <w:t>电线、</w:t>
            </w:r>
            <w:r>
              <w:rPr>
                <w:color w:val="auto"/>
                <w:sz w:val="30"/>
                <w:szCs w:val="30"/>
                <w:highlight w:val="none"/>
              </w:rPr>
              <w:t>电缆</w:t>
            </w:r>
          </w:p>
        </w:tc>
        <w:tc>
          <w:tcPr>
            <w:tcW w:w="9237" w:type="dxa"/>
            <w:gridSpan w:val="2"/>
            <w:shd w:val="clear" w:color="auto" w:fill="FFFFFF" w:themeFill="background1"/>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rFonts w:hint="default" w:eastAsia="仿宋"/>
                <w:color w:val="auto"/>
                <w:sz w:val="30"/>
                <w:highlight w:val="none"/>
                <w:lang w:val="en-US" w:eastAsia="zh-CN"/>
              </w:rPr>
            </w:pPr>
            <w:r>
              <w:rPr>
                <w:color w:val="auto"/>
                <w:sz w:val="30"/>
                <w:highlight w:val="none"/>
              </w:rPr>
              <w:t>永盛、深缆、鸿兴雁、</w:t>
            </w:r>
            <w:r>
              <w:rPr>
                <w:rFonts w:hint="eastAsia"/>
                <w:color w:val="auto"/>
                <w:sz w:val="30"/>
                <w:highlight w:val="none"/>
                <w:lang w:val="en-US" w:eastAsia="zh-CN"/>
              </w:rPr>
              <w:t>特变电工、万马电缆、</w:t>
            </w:r>
            <w:r>
              <w:rPr>
                <w:color w:val="auto"/>
                <w:sz w:val="30"/>
                <w:highlight w:val="none"/>
              </w:rPr>
              <w:t>广东长江（南光牌）、东佳信</w:t>
            </w:r>
            <w:r>
              <w:rPr>
                <w:rFonts w:hint="eastAsia"/>
                <w:color w:val="auto"/>
                <w:sz w:val="30"/>
                <w:highlight w:val="none"/>
              </w:rPr>
              <w:t>、</w:t>
            </w:r>
            <w:r>
              <w:rPr>
                <w:color w:val="auto"/>
                <w:sz w:val="30"/>
                <w:highlight w:val="none"/>
              </w:rPr>
              <w:t>环市</w:t>
            </w:r>
            <w:r>
              <w:rPr>
                <w:rFonts w:hint="eastAsia"/>
                <w:color w:val="auto"/>
                <w:sz w:val="30"/>
                <w:highlight w:val="none"/>
              </w:rPr>
              <w:t>、</w:t>
            </w:r>
            <w:r>
              <w:rPr>
                <w:color w:val="auto"/>
                <w:sz w:val="30"/>
                <w:highlight w:val="none"/>
              </w:rPr>
              <w:t>双菱</w:t>
            </w:r>
            <w:r>
              <w:rPr>
                <w:rFonts w:hint="eastAsia"/>
                <w:color w:val="auto"/>
                <w:sz w:val="30"/>
                <w:highlight w:val="none"/>
                <w:lang w:eastAsia="zh-CN"/>
              </w:rPr>
              <w:t>、</w:t>
            </w:r>
            <w:r>
              <w:rPr>
                <w:rFonts w:hint="eastAsia"/>
                <w:color w:val="auto"/>
                <w:sz w:val="30"/>
                <w:highlight w:val="none"/>
                <w:lang w:val="en-US" w:eastAsia="zh-CN"/>
              </w:rPr>
              <w:t>远东、宝胜、中天科技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850" w:hRule="atLeast"/>
        </w:trPr>
        <w:tc>
          <w:tcPr>
            <w:tcW w:w="826" w:type="dxa"/>
            <w:shd w:val="clear" w:color="auto" w:fill="auto"/>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302</w:t>
            </w:r>
          </w:p>
        </w:tc>
        <w:tc>
          <w:tcPr>
            <w:tcW w:w="2233" w:type="dxa"/>
            <w:shd w:val="clear" w:color="auto" w:fill="FFFFFF" w:themeFill="background1"/>
            <w:vAlign w:val="center"/>
          </w:tcPr>
          <w:p>
            <w:pPr>
              <w:jc w:val="center"/>
              <w:rPr>
                <w:color w:val="auto"/>
                <w:sz w:val="30"/>
                <w:szCs w:val="30"/>
                <w:highlight w:val="none"/>
              </w:rPr>
            </w:pPr>
            <w:r>
              <w:rPr>
                <w:color w:val="auto"/>
                <w:sz w:val="30"/>
                <w:szCs w:val="30"/>
                <w:highlight w:val="none"/>
              </w:rPr>
              <w:t>矿物绝缘电缆</w:t>
            </w:r>
          </w:p>
        </w:tc>
        <w:tc>
          <w:tcPr>
            <w:tcW w:w="9237" w:type="dxa"/>
            <w:gridSpan w:val="2"/>
            <w:shd w:val="clear" w:color="auto" w:fill="FFFFFF" w:themeFill="background1"/>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color w:val="auto"/>
                <w:sz w:val="30"/>
                <w:highlight w:val="none"/>
              </w:rPr>
            </w:pPr>
            <w:r>
              <w:rPr>
                <w:color w:val="auto"/>
                <w:sz w:val="30"/>
                <w:highlight w:val="none"/>
              </w:rPr>
              <w:t>久盛电缆、宝胜胜武、华鹏电缆、上海胜华、浙江华晨电缆、武汉瑞奇、上海高桥、民兴电缆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50" w:hRule="atLeast"/>
        </w:trPr>
        <w:tc>
          <w:tcPr>
            <w:tcW w:w="826" w:type="dxa"/>
            <w:vMerge w:val="restart"/>
            <w:shd w:val="clear" w:color="auto" w:fill="auto"/>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307</w:t>
            </w:r>
          </w:p>
        </w:tc>
        <w:tc>
          <w:tcPr>
            <w:tcW w:w="2233" w:type="dxa"/>
            <w:vMerge w:val="restart"/>
            <w:shd w:val="clear" w:color="auto" w:fill="auto"/>
            <w:vAlign w:val="center"/>
          </w:tcPr>
          <w:p>
            <w:pPr>
              <w:jc w:val="center"/>
              <w:rPr>
                <w:color w:val="auto"/>
                <w:sz w:val="30"/>
                <w:szCs w:val="30"/>
                <w:highlight w:val="none"/>
              </w:rPr>
            </w:pPr>
            <w:r>
              <w:rPr>
                <w:color w:val="auto"/>
                <w:sz w:val="30"/>
                <w:szCs w:val="30"/>
                <w:highlight w:val="none"/>
                <w:lang w:val="zh-CN" w:eastAsia="zh-CN"/>
              </w:rPr>
              <w:t>三箱</w:t>
            </w:r>
          </w:p>
        </w:tc>
        <w:tc>
          <w:tcPr>
            <w:tcW w:w="9237" w:type="dxa"/>
            <w:gridSpan w:val="2"/>
            <w:vMerge w:val="restart"/>
            <w:shd w:val="clear" w:color="auto" w:fill="auto"/>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color w:val="auto"/>
                <w:sz w:val="30"/>
                <w:highlight w:val="none"/>
              </w:rPr>
            </w:pPr>
            <w:r>
              <w:rPr>
                <w:color w:val="auto"/>
                <w:spacing w:val="-31"/>
                <w:sz w:val="30"/>
                <w:highlight w:val="none"/>
              </w:rPr>
              <w:t>南华西、深圳三江、光辉电器、</w:t>
            </w:r>
            <w:r>
              <w:rPr>
                <w:color w:val="auto"/>
                <w:sz w:val="30"/>
                <w:highlight w:val="none"/>
              </w:rPr>
              <w:t>ASTAR</w:t>
            </w:r>
            <w:r>
              <w:rPr>
                <w:color w:val="auto"/>
                <w:spacing w:val="-28"/>
                <w:sz w:val="30"/>
                <w:highlight w:val="none"/>
              </w:rPr>
              <w:t xml:space="preserve"> 奥斯特、</w:t>
            </w:r>
            <w:r>
              <w:rPr>
                <w:color w:val="auto"/>
                <w:sz w:val="30"/>
                <w:highlight w:val="none"/>
              </w:rPr>
              <w:t>QIHUI</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850" w:hRule="atLeast"/>
        </w:trPr>
        <w:tc>
          <w:tcPr>
            <w:tcW w:w="826" w:type="dxa"/>
            <w:vMerge w:val="continue"/>
            <w:shd w:val="clear" w:color="auto" w:fill="auto"/>
            <w:vAlign w:val="center"/>
          </w:tcPr>
          <w:p>
            <w:pPr>
              <w:jc w:val="center"/>
              <w:rPr>
                <w:color w:val="auto"/>
                <w:sz w:val="30"/>
                <w:szCs w:val="30"/>
                <w:highlight w:val="none"/>
              </w:rPr>
            </w:pPr>
          </w:p>
        </w:tc>
        <w:tc>
          <w:tcPr>
            <w:tcW w:w="2233" w:type="dxa"/>
            <w:vMerge w:val="continue"/>
            <w:shd w:val="clear" w:color="auto" w:fill="auto"/>
            <w:vAlign w:val="center"/>
          </w:tcPr>
          <w:p>
            <w:pPr>
              <w:jc w:val="center"/>
              <w:rPr>
                <w:color w:val="auto"/>
                <w:sz w:val="30"/>
                <w:szCs w:val="30"/>
                <w:highlight w:val="none"/>
              </w:rPr>
            </w:pPr>
          </w:p>
        </w:tc>
        <w:tc>
          <w:tcPr>
            <w:tcW w:w="9237" w:type="dxa"/>
            <w:gridSpan w:val="2"/>
            <w:vMerge w:val="continue"/>
            <w:shd w:val="clear" w:color="auto" w:fill="auto"/>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color w:val="auto"/>
                <w:sz w:val="30"/>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850" w:hRule="atLeast"/>
        </w:trPr>
        <w:tc>
          <w:tcPr>
            <w:tcW w:w="826" w:type="dxa"/>
            <w:vMerge w:val="restart"/>
            <w:shd w:val="clear" w:color="auto" w:fill="auto"/>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308</w:t>
            </w:r>
          </w:p>
        </w:tc>
        <w:tc>
          <w:tcPr>
            <w:tcW w:w="2233" w:type="dxa"/>
            <w:vMerge w:val="restart"/>
            <w:shd w:val="clear" w:color="auto" w:fill="auto"/>
            <w:vAlign w:val="center"/>
          </w:tcPr>
          <w:p>
            <w:pPr>
              <w:jc w:val="center"/>
              <w:rPr>
                <w:color w:val="auto"/>
                <w:sz w:val="30"/>
                <w:szCs w:val="30"/>
                <w:highlight w:val="none"/>
              </w:rPr>
            </w:pPr>
            <w:r>
              <w:rPr>
                <w:color w:val="auto"/>
                <w:sz w:val="30"/>
                <w:szCs w:val="30"/>
                <w:highlight w:val="none"/>
              </w:rPr>
              <w:t>断路器</w:t>
            </w:r>
          </w:p>
        </w:tc>
        <w:tc>
          <w:tcPr>
            <w:tcW w:w="1588" w:type="dxa"/>
            <w:shd w:val="clear" w:color="auto" w:fill="auto"/>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color w:val="auto"/>
                <w:sz w:val="30"/>
                <w:highlight w:val="none"/>
                <w:lang w:val="en-US"/>
              </w:rPr>
            </w:pPr>
            <w:r>
              <w:rPr>
                <w:color w:val="auto"/>
                <w:sz w:val="30"/>
                <w:highlight w:val="none"/>
              </w:rPr>
              <w:t>品牌</w:t>
            </w:r>
          </w:p>
        </w:tc>
        <w:tc>
          <w:tcPr>
            <w:tcW w:w="7649" w:type="dxa"/>
            <w:shd w:val="clear" w:color="auto" w:fill="auto"/>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color w:val="auto"/>
                <w:sz w:val="30"/>
                <w:highlight w:val="none"/>
              </w:rPr>
            </w:pPr>
            <w:r>
              <w:rPr>
                <w:color w:val="auto"/>
                <w:sz w:val="30"/>
                <w:highlight w:val="none"/>
              </w:rPr>
              <w:t>品牌（系列）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50" w:hRule="atLeast"/>
        </w:trPr>
        <w:tc>
          <w:tcPr>
            <w:tcW w:w="826" w:type="dxa"/>
            <w:vMerge w:val="continue"/>
            <w:shd w:val="clear" w:color="auto" w:fill="auto"/>
            <w:vAlign w:val="center"/>
          </w:tcPr>
          <w:p>
            <w:pPr>
              <w:jc w:val="center"/>
              <w:rPr>
                <w:color w:val="auto"/>
                <w:sz w:val="30"/>
                <w:szCs w:val="30"/>
                <w:highlight w:val="none"/>
              </w:rPr>
            </w:pPr>
          </w:p>
        </w:tc>
        <w:tc>
          <w:tcPr>
            <w:tcW w:w="2233" w:type="dxa"/>
            <w:vMerge w:val="continue"/>
            <w:shd w:val="clear" w:color="auto" w:fill="auto"/>
            <w:vAlign w:val="center"/>
          </w:tcPr>
          <w:p>
            <w:pPr>
              <w:jc w:val="center"/>
              <w:rPr>
                <w:color w:val="auto"/>
                <w:sz w:val="30"/>
                <w:szCs w:val="30"/>
                <w:highlight w:val="none"/>
              </w:rPr>
            </w:pPr>
          </w:p>
        </w:tc>
        <w:tc>
          <w:tcPr>
            <w:tcW w:w="1588" w:type="dxa"/>
            <w:vMerge w:val="restart"/>
            <w:shd w:val="clear" w:color="auto" w:fill="auto"/>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color w:val="auto"/>
                <w:sz w:val="30"/>
                <w:highlight w:val="none"/>
                <w:lang w:val="en-US"/>
              </w:rPr>
            </w:pPr>
            <w:r>
              <w:rPr>
                <w:color w:val="auto"/>
                <w:sz w:val="30"/>
                <w:highlight w:val="none"/>
              </w:rPr>
              <w:t>西门子</w:t>
            </w:r>
            <w:r>
              <w:rPr>
                <w:rFonts w:hint="eastAsia"/>
                <w:color w:val="auto"/>
                <w:sz w:val="30"/>
                <w:highlight w:val="none"/>
              </w:rPr>
              <w:t>、</w:t>
            </w:r>
            <w:r>
              <w:rPr>
                <w:color w:val="auto"/>
                <w:sz w:val="30"/>
                <w:highlight w:val="none"/>
              </w:rPr>
              <w:t>ABB、施耐德</w:t>
            </w:r>
            <w:r>
              <w:rPr>
                <w:rFonts w:hint="eastAsia"/>
                <w:color w:val="auto"/>
                <w:sz w:val="30"/>
                <w:highlight w:val="none"/>
                <w:lang w:eastAsia="zh-CN"/>
              </w:rPr>
              <w:t>、</w:t>
            </w:r>
            <w:r>
              <w:rPr>
                <w:color w:val="auto"/>
                <w:sz w:val="30"/>
                <w:highlight w:val="none"/>
              </w:rPr>
              <w:t>海格</w:t>
            </w:r>
          </w:p>
        </w:tc>
        <w:tc>
          <w:tcPr>
            <w:tcW w:w="7649" w:type="dxa"/>
            <w:vMerge w:val="restart"/>
            <w:shd w:val="clear" w:color="auto" w:fill="auto"/>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color w:val="auto"/>
                <w:sz w:val="30"/>
                <w:highlight w:val="none"/>
              </w:rPr>
            </w:pPr>
            <w:r>
              <w:rPr>
                <w:color w:val="auto"/>
                <w:sz w:val="30"/>
                <w:highlight w:val="none"/>
              </w:rPr>
              <w:t>高压断路器：西</w:t>
            </w:r>
            <w:r>
              <w:rPr>
                <w:rFonts w:ascii="仿宋" w:hAnsi="仿宋" w:eastAsia="仿宋" w:cs="仿宋"/>
                <w:color w:val="auto"/>
                <w:sz w:val="30"/>
                <w:szCs w:val="22"/>
                <w:highlight w:val="none"/>
                <w:lang w:val="zh-CN" w:eastAsia="zh-CN" w:bidi="zh-CN"/>
              </w:rPr>
              <w:t>门子、ABB、施耐德、</w:t>
            </w:r>
          </w:p>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color w:val="auto"/>
                <w:sz w:val="30"/>
                <w:highlight w:val="none"/>
              </w:rPr>
            </w:pPr>
            <w:r>
              <w:rPr>
                <w:color w:val="auto"/>
                <w:sz w:val="30"/>
                <w:highlight w:val="none"/>
              </w:rPr>
              <w:t>框架断路器：ABB(Emax2)、施耐德（MT、MTZ）、西门子（3WL）、海格（HW）</w:t>
            </w:r>
          </w:p>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color w:val="auto"/>
                <w:sz w:val="30"/>
                <w:highlight w:val="none"/>
              </w:rPr>
            </w:pPr>
            <w:r>
              <w:rPr>
                <w:color w:val="auto"/>
                <w:sz w:val="30"/>
                <w:highlight w:val="none"/>
              </w:rPr>
              <w:t>塑壳断路器：ABB(Tmax、TmaxXT)、施耐德（NSX）、西门子（3VA）、海格（HN）</w:t>
            </w:r>
          </w:p>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color w:val="auto"/>
                <w:sz w:val="30"/>
                <w:highlight w:val="none"/>
              </w:rPr>
            </w:pPr>
            <w:r>
              <w:rPr>
                <w:color w:val="auto"/>
                <w:sz w:val="30"/>
                <w:highlight w:val="none"/>
              </w:rPr>
              <w:t>微型断路器：ABB(S200)、施耐德（iC65）、西门子（5SY）、海格（MC+）</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850" w:hRule="atLeast"/>
        </w:trPr>
        <w:tc>
          <w:tcPr>
            <w:tcW w:w="826" w:type="dxa"/>
            <w:vMerge w:val="continue"/>
            <w:shd w:val="clear" w:color="auto" w:fill="auto"/>
            <w:vAlign w:val="center"/>
          </w:tcPr>
          <w:p>
            <w:pPr>
              <w:jc w:val="center"/>
              <w:rPr>
                <w:color w:val="auto"/>
                <w:sz w:val="30"/>
                <w:szCs w:val="30"/>
                <w:highlight w:val="none"/>
              </w:rPr>
            </w:pPr>
          </w:p>
        </w:tc>
        <w:tc>
          <w:tcPr>
            <w:tcW w:w="2233" w:type="dxa"/>
            <w:vMerge w:val="continue"/>
            <w:shd w:val="clear" w:color="auto" w:fill="auto"/>
            <w:vAlign w:val="center"/>
          </w:tcPr>
          <w:p>
            <w:pPr>
              <w:jc w:val="center"/>
              <w:rPr>
                <w:color w:val="auto"/>
                <w:sz w:val="30"/>
                <w:szCs w:val="30"/>
                <w:highlight w:val="none"/>
              </w:rPr>
            </w:pPr>
          </w:p>
        </w:tc>
        <w:tc>
          <w:tcPr>
            <w:tcW w:w="1588" w:type="dxa"/>
            <w:vMerge w:val="continue"/>
            <w:shd w:val="clear" w:color="auto" w:fill="auto"/>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color w:val="auto"/>
                <w:sz w:val="30"/>
                <w:highlight w:val="none"/>
              </w:rPr>
            </w:pPr>
          </w:p>
        </w:tc>
        <w:tc>
          <w:tcPr>
            <w:tcW w:w="7649" w:type="dxa"/>
            <w:vMerge w:val="continue"/>
            <w:shd w:val="clear" w:color="auto" w:fill="auto"/>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color w:val="auto"/>
                <w:sz w:val="30"/>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850" w:hRule="atLeast"/>
        </w:trPr>
        <w:tc>
          <w:tcPr>
            <w:tcW w:w="826" w:type="dxa"/>
            <w:shd w:val="clear" w:color="auto" w:fill="auto"/>
            <w:vAlign w:val="center"/>
          </w:tcPr>
          <w:p>
            <w:pPr>
              <w:jc w:val="center"/>
              <w:rPr>
                <w:rFonts w:hint="default"/>
                <w:color w:val="auto"/>
                <w:sz w:val="30"/>
                <w:szCs w:val="30"/>
                <w:highlight w:val="none"/>
                <w:shd w:val="clear" w:color="auto" w:fill="auto"/>
                <w:lang w:val="en-US" w:eastAsia="zh-CN"/>
              </w:rPr>
            </w:pPr>
            <w:r>
              <w:rPr>
                <w:color w:val="auto"/>
                <w:sz w:val="30"/>
                <w:szCs w:val="30"/>
                <w:highlight w:val="none"/>
                <w:shd w:val="clear" w:color="auto" w:fill="auto"/>
              </w:rPr>
              <w:t>30</w:t>
            </w:r>
            <w:r>
              <w:rPr>
                <w:rFonts w:hint="eastAsia"/>
                <w:color w:val="auto"/>
                <w:sz w:val="30"/>
                <w:szCs w:val="30"/>
                <w:highlight w:val="none"/>
                <w:shd w:val="clear" w:color="auto" w:fill="auto"/>
                <w:lang w:val="en-US" w:eastAsia="zh-CN"/>
              </w:rPr>
              <w:t>9</w:t>
            </w:r>
          </w:p>
        </w:tc>
        <w:tc>
          <w:tcPr>
            <w:tcW w:w="2233" w:type="dxa"/>
            <w:shd w:val="clear" w:color="auto" w:fill="auto"/>
            <w:vAlign w:val="center"/>
          </w:tcPr>
          <w:p>
            <w:pPr>
              <w:jc w:val="center"/>
              <w:rPr>
                <w:color w:val="auto"/>
                <w:sz w:val="30"/>
                <w:szCs w:val="30"/>
                <w:highlight w:val="none"/>
                <w:shd w:val="clear" w:color="auto" w:fill="auto"/>
              </w:rPr>
            </w:pPr>
            <w:r>
              <w:rPr>
                <w:color w:val="auto"/>
                <w:sz w:val="30"/>
                <w:szCs w:val="30"/>
                <w:highlight w:val="none"/>
                <w:shd w:val="clear" w:color="auto" w:fill="auto"/>
              </w:rPr>
              <w:t>接触器、浪涌保护、继电器</w:t>
            </w:r>
          </w:p>
        </w:tc>
        <w:tc>
          <w:tcPr>
            <w:tcW w:w="9237" w:type="dxa"/>
            <w:gridSpan w:val="2"/>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color w:val="auto"/>
                <w:sz w:val="30"/>
                <w:highlight w:val="none"/>
                <w:shd w:val="clear" w:color="auto" w:fill="auto"/>
              </w:rPr>
            </w:pPr>
            <w:r>
              <w:rPr>
                <w:color w:val="auto"/>
                <w:sz w:val="30"/>
                <w:highlight w:val="none"/>
                <w:shd w:val="clear" w:color="auto" w:fill="auto"/>
              </w:rPr>
              <w:t>高压断路器：西门子（3AE）、ABB（VD4）、施耐德（HVX）；</w:t>
            </w:r>
            <w:r>
              <w:rPr>
                <w:color w:val="auto"/>
                <w:sz w:val="30"/>
                <w:highlight w:val="none"/>
                <w:shd w:val="clear" w:color="auto" w:fill="auto"/>
              </w:rPr>
              <w:br w:type="textWrapping"/>
            </w:r>
            <w:r>
              <w:rPr>
                <w:color w:val="auto"/>
                <w:sz w:val="30"/>
                <w:highlight w:val="none"/>
                <w:shd w:val="clear" w:color="auto" w:fill="auto"/>
              </w:rPr>
              <w:t>框架断路器：ABB(Emax2)、施耐德（MT、MTZ）、西门子（3WL）、海格（HW）；</w:t>
            </w:r>
            <w:r>
              <w:rPr>
                <w:color w:val="auto"/>
                <w:sz w:val="30"/>
                <w:highlight w:val="none"/>
                <w:shd w:val="clear" w:color="auto" w:fill="auto"/>
              </w:rPr>
              <w:br w:type="textWrapping"/>
            </w:r>
            <w:r>
              <w:rPr>
                <w:color w:val="auto"/>
                <w:sz w:val="30"/>
                <w:highlight w:val="none"/>
                <w:shd w:val="clear" w:color="auto" w:fill="auto"/>
              </w:rPr>
              <w:t>塑壳断路器：ABB(Tmax、 TmaxXT)、施耐德（NSX）、西门子（3VA）、海格（HN）；</w:t>
            </w:r>
            <w:r>
              <w:rPr>
                <w:color w:val="auto"/>
                <w:sz w:val="30"/>
                <w:highlight w:val="none"/>
                <w:shd w:val="clear" w:color="auto" w:fill="auto"/>
              </w:rPr>
              <w:br w:type="textWrapping"/>
            </w:r>
            <w:r>
              <w:rPr>
                <w:color w:val="auto"/>
                <w:sz w:val="30"/>
                <w:highlight w:val="none"/>
                <w:shd w:val="clear" w:color="auto" w:fill="auto"/>
              </w:rPr>
              <w:t>接触器、热继电器：ABB、施耐德、西门子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50" w:hRule="atLeast"/>
        </w:trPr>
        <w:tc>
          <w:tcPr>
            <w:tcW w:w="826" w:type="dxa"/>
            <w:vMerge w:val="restart"/>
            <w:shd w:val="clear" w:color="auto" w:fill="auto"/>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311</w:t>
            </w:r>
          </w:p>
        </w:tc>
        <w:tc>
          <w:tcPr>
            <w:tcW w:w="2233" w:type="dxa"/>
            <w:vMerge w:val="restart"/>
            <w:shd w:val="clear" w:color="auto" w:fill="auto"/>
            <w:vAlign w:val="center"/>
          </w:tcPr>
          <w:p>
            <w:pPr>
              <w:jc w:val="center"/>
              <w:rPr>
                <w:color w:val="auto"/>
                <w:sz w:val="30"/>
                <w:szCs w:val="30"/>
                <w:highlight w:val="none"/>
              </w:rPr>
            </w:pPr>
            <w:r>
              <w:rPr>
                <w:color w:val="auto"/>
                <w:sz w:val="30"/>
                <w:szCs w:val="30"/>
                <w:highlight w:val="none"/>
              </w:rPr>
              <w:t>常规灯具</w:t>
            </w:r>
          </w:p>
        </w:tc>
        <w:tc>
          <w:tcPr>
            <w:tcW w:w="9237" w:type="dxa"/>
            <w:gridSpan w:val="2"/>
            <w:vMerge w:val="restart"/>
            <w:shd w:val="clear" w:color="auto" w:fill="auto"/>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rFonts w:hint="eastAsia" w:eastAsia="仿宋"/>
                <w:color w:val="auto"/>
                <w:sz w:val="30"/>
                <w:highlight w:val="none"/>
                <w:lang w:val="en-US" w:eastAsia="zh-CN"/>
              </w:rPr>
            </w:pPr>
            <w:r>
              <w:rPr>
                <w:color w:val="auto"/>
                <w:sz w:val="30"/>
                <w:highlight w:val="none"/>
              </w:rPr>
              <w:t>欧普、</w:t>
            </w:r>
            <w:r>
              <w:rPr>
                <w:rFonts w:hint="eastAsia"/>
                <w:color w:val="auto"/>
                <w:sz w:val="30"/>
                <w:highlight w:val="none"/>
                <w:lang w:val="en-US"/>
              </w:rPr>
              <w:t>雷士、</w:t>
            </w:r>
            <w:r>
              <w:rPr>
                <w:color w:val="auto"/>
                <w:sz w:val="30"/>
                <w:highlight w:val="none"/>
              </w:rPr>
              <w:t>TCL、CDN西顿照明</w:t>
            </w:r>
            <w:r>
              <w:rPr>
                <w:rFonts w:hint="eastAsia"/>
                <w:color w:val="auto"/>
                <w:sz w:val="30"/>
                <w:highlight w:val="none"/>
                <w:lang w:eastAsia="zh-CN"/>
              </w:rPr>
              <w:t>、</w:t>
            </w:r>
            <w:r>
              <w:rPr>
                <w:rFonts w:hint="eastAsia"/>
                <w:color w:val="auto"/>
                <w:sz w:val="30"/>
                <w:highlight w:val="none"/>
                <w:lang w:val="en-US" w:eastAsia="zh-CN"/>
              </w:rPr>
              <w:t>三雄极光、奥普、佛山照明、</w:t>
            </w:r>
            <w:r>
              <w:rPr>
                <w:color w:val="auto"/>
                <w:sz w:val="30"/>
                <w:highlight w:val="none"/>
              </w:rPr>
              <w:t>松本</w:t>
            </w:r>
            <w:r>
              <w:rPr>
                <w:rFonts w:hint="eastAsia"/>
                <w:color w:val="auto"/>
                <w:sz w:val="30"/>
                <w:highlight w:val="none"/>
              </w:rPr>
              <w:t>（</w:t>
            </w:r>
            <w:r>
              <w:rPr>
                <w:rFonts w:hint="eastAsia"/>
                <w:color w:val="auto"/>
                <w:sz w:val="30"/>
                <w:highlight w:val="none"/>
                <w:lang w:val="en-US"/>
              </w:rPr>
              <w:t>MATSUMOTO</w:t>
            </w:r>
            <w:r>
              <w:rPr>
                <w:rFonts w:hint="eastAsia"/>
                <w:color w:val="auto"/>
                <w:sz w:val="30"/>
                <w:highlight w:val="none"/>
              </w:rPr>
              <w:t>）</w:t>
            </w:r>
            <w:r>
              <w:rPr>
                <w:rFonts w:hint="eastAsia"/>
                <w:color w:val="auto"/>
                <w:sz w:val="30"/>
                <w:highlight w:val="none"/>
                <w:lang w:eastAsia="zh-CN"/>
              </w:rPr>
              <w:t>、SEVA尚为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850" w:hRule="atLeast"/>
        </w:trPr>
        <w:tc>
          <w:tcPr>
            <w:tcW w:w="826" w:type="dxa"/>
            <w:vMerge w:val="continue"/>
            <w:shd w:val="clear" w:color="auto" w:fill="auto"/>
            <w:vAlign w:val="center"/>
          </w:tcPr>
          <w:p>
            <w:pPr>
              <w:jc w:val="center"/>
              <w:rPr>
                <w:color w:val="auto"/>
                <w:sz w:val="30"/>
                <w:szCs w:val="30"/>
                <w:highlight w:val="none"/>
              </w:rPr>
            </w:pPr>
          </w:p>
        </w:tc>
        <w:tc>
          <w:tcPr>
            <w:tcW w:w="2233" w:type="dxa"/>
            <w:vMerge w:val="continue"/>
            <w:shd w:val="clear" w:color="auto" w:fill="auto"/>
            <w:vAlign w:val="center"/>
          </w:tcPr>
          <w:p>
            <w:pPr>
              <w:jc w:val="center"/>
              <w:rPr>
                <w:color w:val="auto"/>
                <w:sz w:val="30"/>
                <w:szCs w:val="30"/>
                <w:highlight w:val="none"/>
              </w:rPr>
            </w:pPr>
          </w:p>
        </w:tc>
        <w:tc>
          <w:tcPr>
            <w:tcW w:w="9237" w:type="dxa"/>
            <w:gridSpan w:val="2"/>
            <w:vMerge w:val="continue"/>
            <w:shd w:val="clear" w:color="auto" w:fill="auto"/>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rFonts w:hint="eastAsia" w:eastAsia="仿宋"/>
                <w:color w:val="auto"/>
                <w:sz w:val="30"/>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850" w:hRule="atLeast"/>
        </w:trPr>
        <w:tc>
          <w:tcPr>
            <w:tcW w:w="826" w:type="dxa"/>
            <w:shd w:val="clear" w:color="auto" w:fill="auto"/>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312</w:t>
            </w:r>
          </w:p>
        </w:tc>
        <w:tc>
          <w:tcPr>
            <w:tcW w:w="2233" w:type="dxa"/>
            <w:shd w:val="clear" w:color="auto" w:fill="auto"/>
            <w:vAlign w:val="center"/>
          </w:tcPr>
          <w:p>
            <w:pPr>
              <w:jc w:val="center"/>
              <w:rPr>
                <w:color w:val="auto"/>
                <w:sz w:val="30"/>
                <w:szCs w:val="30"/>
                <w:highlight w:val="none"/>
              </w:rPr>
            </w:pPr>
            <w:r>
              <w:rPr>
                <w:color w:val="auto"/>
                <w:sz w:val="30"/>
                <w:szCs w:val="30"/>
                <w:highlight w:val="none"/>
              </w:rPr>
              <w:t>应急照明灯具、疏散指示系统</w:t>
            </w:r>
          </w:p>
        </w:tc>
        <w:tc>
          <w:tcPr>
            <w:tcW w:w="9237" w:type="dxa"/>
            <w:gridSpan w:val="2"/>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color w:val="auto"/>
                <w:sz w:val="30"/>
                <w:highlight w:val="none"/>
              </w:rPr>
            </w:pPr>
            <w:r>
              <w:rPr>
                <w:rFonts w:hint="eastAsia"/>
                <w:color w:val="auto"/>
                <w:sz w:val="30"/>
                <w:highlight w:val="none"/>
              </w:rPr>
              <w:t>上海宝星、恒生智能、沈阳宏宇，浙江台谊、深圳博朗耐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850" w:hRule="atLeast"/>
        </w:trPr>
        <w:tc>
          <w:tcPr>
            <w:tcW w:w="826" w:type="dxa"/>
            <w:shd w:val="clear" w:color="auto" w:fill="auto"/>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313</w:t>
            </w:r>
          </w:p>
        </w:tc>
        <w:tc>
          <w:tcPr>
            <w:tcW w:w="2233" w:type="dxa"/>
            <w:shd w:val="clear" w:color="auto" w:fill="auto"/>
            <w:vAlign w:val="center"/>
          </w:tcPr>
          <w:p>
            <w:pPr>
              <w:jc w:val="center"/>
              <w:rPr>
                <w:color w:val="auto"/>
                <w:sz w:val="30"/>
                <w:szCs w:val="30"/>
                <w:highlight w:val="none"/>
              </w:rPr>
            </w:pPr>
            <w:r>
              <w:rPr>
                <w:color w:val="auto"/>
                <w:sz w:val="30"/>
                <w:szCs w:val="30"/>
                <w:highlight w:val="none"/>
              </w:rPr>
              <w:t>充电桩</w:t>
            </w:r>
          </w:p>
        </w:tc>
        <w:tc>
          <w:tcPr>
            <w:tcW w:w="9237" w:type="dxa"/>
            <w:gridSpan w:val="2"/>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rFonts w:hint="default" w:eastAsia="仿宋"/>
                <w:color w:val="auto"/>
                <w:sz w:val="30"/>
                <w:highlight w:val="none"/>
                <w:lang w:val="en-US" w:eastAsia="zh-CN"/>
              </w:rPr>
            </w:pPr>
            <w:r>
              <w:rPr>
                <w:color w:val="auto"/>
                <w:sz w:val="30"/>
                <w:highlight w:val="none"/>
              </w:rPr>
              <w:t>星星充电、</w:t>
            </w:r>
            <w:r>
              <w:rPr>
                <w:rFonts w:hint="eastAsia"/>
                <w:color w:val="auto"/>
                <w:sz w:val="30"/>
                <w:highlight w:val="none"/>
                <w:lang w:val="en-US" w:eastAsia="zh-CN"/>
              </w:rPr>
              <w:t>特来电、</w:t>
            </w:r>
            <w:r>
              <w:rPr>
                <w:color w:val="auto"/>
                <w:sz w:val="30"/>
                <w:highlight w:val="none"/>
              </w:rPr>
              <w:t>车电网、</w:t>
            </w:r>
            <w:r>
              <w:rPr>
                <w:rFonts w:hint="eastAsia"/>
                <w:color w:val="auto"/>
                <w:sz w:val="30"/>
                <w:highlight w:val="none"/>
                <w:lang w:val="en-US" w:eastAsia="zh-CN"/>
              </w:rPr>
              <w:t>珠海派诺、因威能源</w:t>
            </w:r>
            <w:r>
              <w:rPr>
                <w:color w:val="auto"/>
                <w:sz w:val="30"/>
                <w:highlight w:val="none"/>
              </w:rPr>
              <w:t>、</w:t>
            </w:r>
            <w:r>
              <w:rPr>
                <w:rFonts w:hint="eastAsia"/>
                <w:color w:val="auto"/>
                <w:sz w:val="30"/>
                <w:highlight w:val="none"/>
                <w:lang w:val="en-US" w:eastAsia="zh-CN"/>
              </w:rPr>
              <w:t>普天新能源</w:t>
            </w:r>
            <w:r>
              <w:rPr>
                <w:color w:val="auto"/>
                <w:sz w:val="30"/>
                <w:highlight w:val="none"/>
              </w:rPr>
              <w:t>、比亚迪、许继</w:t>
            </w:r>
            <w:r>
              <w:rPr>
                <w:rFonts w:hint="eastAsia"/>
                <w:color w:val="auto"/>
                <w:sz w:val="30"/>
                <w:highlight w:val="none"/>
                <w:lang w:eastAsia="zh-CN"/>
              </w:rPr>
              <w:t>、</w:t>
            </w:r>
            <w:r>
              <w:rPr>
                <w:rFonts w:hint="eastAsia"/>
                <w:color w:val="auto"/>
                <w:sz w:val="30"/>
                <w:highlight w:val="none"/>
                <w:lang w:val="en-US" w:eastAsia="zh-CN"/>
              </w:rPr>
              <w:t>盛弘电气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90" w:hRule="atLeast"/>
        </w:trPr>
        <w:tc>
          <w:tcPr>
            <w:tcW w:w="826" w:type="dxa"/>
            <w:shd w:val="clear" w:color="auto" w:fill="auto"/>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314</w:t>
            </w:r>
          </w:p>
        </w:tc>
        <w:tc>
          <w:tcPr>
            <w:tcW w:w="2233" w:type="dxa"/>
            <w:shd w:val="clear" w:color="auto" w:fill="auto"/>
            <w:vAlign w:val="center"/>
          </w:tcPr>
          <w:p>
            <w:pPr>
              <w:jc w:val="center"/>
              <w:rPr>
                <w:color w:val="auto"/>
                <w:sz w:val="30"/>
                <w:szCs w:val="30"/>
                <w:highlight w:val="none"/>
              </w:rPr>
            </w:pPr>
            <w:r>
              <w:rPr>
                <w:color w:val="auto"/>
                <w:sz w:val="30"/>
                <w:szCs w:val="30"/>
                <w:highlight w:val="none"/>
              </w:rPr>
              <w:t>开关插座</w:t>
            </w:r>
          </w:p>
        </w:tc>
        <w:tc>
          <w:tcPr>
            <w:tcW w:w="9237" w:type="dxa"/>
            <w:gridSpan w:val="2"/>
            <w:shd w:val="clear" w:color="auto" w:fill="auto"/>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rFonts w:hint="default" w:eastAsia="仿宋"/>
                <w:color w:val="auto"/>
                <w:sz w:val="30"/>
                <w:highlight w:val="none"/>
                <w:lang w:val="en-US" w:eastAsia="zh-CN"/>
              </w:rPr>
            </w:pPr>
            <w:r>
              <w:rPr>
                <w:color w:val="auto"/>
                <w:sz w:val="30"/>
                <w:highlight w:val="none"/>
              </w:rPr>
              <w:t>施耐德、罗格朗、Simon西蒙</w:t>
            </w:r>
            <w:r>
              <w:rPr>
                <w:rFonts w:hint="eastAsia"/>
                <w:color w:val="auto"/>
                <w:sz w:val="30"/>
                <w:highlight w:val="none"/>
                <w:lang w:val="en-US" w:eastAsia="zh-CN"/>
              </w:rPr>
              <w:t>电气</w:t>
            </w:r>
            <w:r>
              <w:rPr>
                <w:rFonts w:hint="eastAsia"/>
                <w:color w:val="auto"/>
                <w:sz w:val="30"/>
                <w:highlight w:val="none"/>
                <w:lang w:eastAsia="zh-CN"/>
              </w:rPr>
              <w:t>、</w:t>
            </w:r>
            <w:r>
              <w:rPr>
                <w:rFonts w:hint="eastAsia"/>
                <w:color w:val="auto"/>
                <w:sz w:val="30"/>
                <w:highlight w:val="none"/>
                <w:lang w:val="en-US" w:eastAsia="zh-CN"/>
              </w:rPr>
              <w:t>西门子、ABB</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50" w:hRule="atLeast"/>
        </w:trPr>
        <w:tc>
          <w:tcPr>
            <w:tcW w:w="826" w:type="dxa"/>
            <w:vMerge w:val="restart"/>
            <w:shd w:val="clear" w:color="auto" w:fill="auto"/>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rPr>
              <w:t>31</w:t>
            </w:r>
            <w:r>
              <w:rPr>
                <w:rFonts w:hint="eastAsia"/>
                <w:color w:val="auto"/>
                <w:sz w:val="30"/>
                <w:szCs w:val="30"/>
                <w:highlight w:val="none"/>
                <w:lang w:val="en-US" w:eastAsia="zh-CN"/>
              </w:rPr>
              <w:t>6</w:t>
            </w:r>
          </w:p>
        </w:tc>
        <w:tc>
          <w:tcPr>
            <w:tcW w:w="2233" w:type="dxa"/>
            <w:vMerge w:val="restart"/>
            <w:shd w:val="clear" w:color="auto" w:fill="auto"/>
            <w:vAlign w:val="center"/>
          </w:tcPr>
          <w:p>
            <w:pPr>
              <w:jc w:val="center"/>
              <w:rPr>
                <w:color w:val="auto"/>
                <w:sz w:val="30"/>
                <w:szCs w:val="30"/>
                <w:highlight w:val="none"/>
              </w:rPr>
            </w:pPr>
            <w:r>
              <w:rPr>
                <w:color w:val="auto"/>
                <w:sz w:val="30"/>
                <w:szCs w:val="30"/>
                <w:highlight w:val="none"/>
              </w:rPr>
              <w:t>换气扇</w:t>
            </w:r>
          </w:p>
        </w:tc>
        <w:tc>
          <w:tcPr>
            <w:tcW w:w="9237" w:type="dxa"/>
            <w:gridSpan w:val="2"/>
            <w:vMerge w:val="restart"/>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rFonts w:hint="default" w:eastAsia="仿宋"/>
                <w:color w:val="auto"/>
                <w:sz w:val="30"/>
                <w:highlight w:val="none"/>
                <w:lang w:val="en-US" w:eastAsia="zh-CN"/>
              </w:rPr>
            </w:pPr>
            <w:r>
              <w:rPr>
                <w:rFonts w:hint="eastAsia"/>
                <w:color w:val="auto"/>
                <w:sz w:val="30"/>
                <w:highlight w:val="none"/>
                <w:lang w:val="en-US" w:eastAsia="zh-CN"/>
              </w:rPr>
              <w:t>奥普、松下、欧普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50" w:hRule="atLeast"/>
        </w:trPr>
        <w:tc>
          <w:tcPr>
            <w:tcW w:w="826" w:type="dxa"/>
            <w:vMerge w:val="continue"/>
            <w:shd w:val="clear" w:color="auto" w:fill="auto"/>
            <w:vAlign w:val="center"/>
          </w:tcPr>
          <w:p>
            <w:pPr>
              <w:jc w:val="center"/>
              <w:rPr>
                <w:rFonts w:hint="default"/>
                <w:color w:val="auto"/>
                <w:sz w:val="30"/>
                <w:szCs w:val="30"/>
                <w:highlight w:val="none"/>
                <w:lang w:val="en-US" w:eastAsia="zh-CN"/>
              </w:rPr>
            </w:pPr>
          </w:p>
        </w:tc>
        <w:tc>
          <w:tcPr>
            <w:tcW w:w="2233" w:type="dxa"/>
            <w:vMerge w:val="continue"/>
            <w:shd w:val="clear" w:color="auto" w:fill="auto"/>
            <w:vAlign w:val="center"/>
          </w:tcPr>
          <w:p>
            <w:pPr>
              <w:jc w:val="center"/>
              <w:rPr>
                <w:color w:val="auto"/>
                <w:sz w:val="30"/>
                <w:szCs w:val="30"/>
                <w:highlight w:val="none"/>
              </w:rPr>
            </w:pPr>
          </w:p>
        </w:tc>
        <w:tc>
          <w:tcPr>
            <w:tcW w:w="9237" w:type="dxa"/>
            <w:gridSpan w:val="2"/>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color w:val="auto"/>
                <w:sz w:val="30"/>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1690" w:hRule="atLeast"/>
        </w:trPr>
        <w:tc>
          <w:tcPr>
            <w:tcW w:w="826" w:type="dxa"/>
            <w:shd w:val="clear" w:color="auto" w:fill="auto"/>
            <w:vAlign w:val="center"/>
          </w:tcPr>
          <w:p>
            <w:pPr>
              <w:jc w:val="center"/>
              <w:rPr>
                <w:rFonts w:hint="eastAsia"/>
                <w:color w:val="auto"/>
                <w:sz w:val="30"/>
                <w:szCs w:val="30"/>
                <w:highlight w:val="none"/>
                <w:lang w:val="en-US" w:eastAsia="zh-CN"/>
              </w:rPr>
            </w:pPr>
            <w:r>
              <w:rPr>
                <w:rFonts w:hint="eastAsia"/>
                <w:color w:val="auto"/>
                <w:sz w:val="30"/>
                <w:szCs w:val="30"/>
                <w:highlight w:val="none"/>
                <w:lang w:val="en-US" w:eastAsia="zh-CN"/>
              </w:rPr>
              <w:t>317</w:t>
            </w:r>
          </w:p>
        </w:tc>
        <w:tc>
          <w:tcPr>
            <w:tcW w:w="2233" w:type="dxa"/>
            <w:shd w:val="clear" w:color="auto" w:fill="auto"/>
            <w:vAlign w:val="center"/>
          </w:tcPr>
          <w:p>
            <w:pPr>
              <w:jc w:val="center"/>
              <w:rPr>
                <w:rFonts w:hint="default"/>
                <w:color w:val="auto"/>
                <w:sz w:val="30"/>
                <w:szCs w:val="30"/>
                <w:highlight w:val="none"/>
                <w:lang w:val="en-US" w:eastAsia="zh-CN"/>
              </w:rPr>
            </w:pPr>
            <w:r>
              <w:rPr>
                <w:color w:val="auto"/>
                <w:sz w:val="30"/>
                <w:szCs w:val="30"/>
                <w:highlight w:val="none"/>
              </w:rPr>
              <w:t>母线</w:t>
            </w:r>
            <w:r>
              <w:rPr>
                <w:rFonts w:hint="eastAsia"/>
                <w:color w:val="auto"/>
                <w:sz w:val="30"/>
                <w:szCs w:val="30"/>
                <w:highlight w:val="none"/>
                <w:lang w:eastAsia="zh-CN"/>
              </w:rPr>
              <w:t>、</w:t>
            </w:r>
            <w:r>
              <w:rPr>
                <w:rFonts w:hint="eastAsia"/>
                <w:color w:val="auto"/>
                <w:sz w:val="30"/>
                <w:szCs w:val="30"/>
                <w:highlight w:val="none"/>
                <w:lang w:val="en-US" w:eastAsia="zh-CN"/>
              </w:rPr>
              <w:t>母线槽</w:t>
            </w:r>
          </w:p>
        </w:tc>
        <w:tc>
          <w:tcPr>
            <w:tcW w:w="9237" w:type="dxa"/>
            <w:gridSpan w:val="2"/>
            <w:shd w:val="clear" w:color="auto" w:fill="auto"/>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rFonts w:hint="eastAsia" w:eastAsia="仿宋"/>
                <w:color w:val="auto"/>
                <w:sz w:val="30"/>
                <w:highlight w:val="none"/>
                <w:lang w:val="en-US" w:eastAsia="zh-CN"/>
              </w:rPr>
            </w:pPr>
            <w:r>
              <w:rPr>
                <w:color w:val="auto"/>
                <w:sz w:val="30"/>
                <w:highlight w:val="none"/>
              </w:rPr>
              <w:t>西门子、施耐德、ABB、</w:t>
            </w:r>
            <w:r>
              <w:rPr>
                <w:rFonts w:hint="eastAsia"/>
                <w:color w:val="auto"/>
                <w:sz w:val="30"/>
                <w:highlight w:val="none"/>
                <w:lang w:val="en-US" w:eastAsia="zh-CN"/>
              </w:rPr>
              <w:t>GE、</w:t>
            </w:r>
            <w:r>
              <w:rPr>
                <w:color w:val="auto"/>
                <w:sz w:val="30"/>
                <w:highlight w:val="none"/>
              </w:rPr>
              <w:t>伊顿</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850" w:hRule="atLeast"/>
        </w:trPr>
        <w:tc>
          <w:tcPr>
            <w:tcW w:w="826" w:type="dxa"/>
            <w:shd w:val="clear" w:color="auto" w:fill="auto"/>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318</w:t>
            </w:r>
          </w:p>
        </w:tc>
        <w:tc>
          <w:tcPr>
            <w:tcW w:w="2233" w:type="dxa"/>
            <w:shd w:val="clear" w:color="auto" w:fill="auto"/>
            <w:vAlign w:val="center"/>
          </w:tcPr>
          <w:p>
            <w:pPr>
              <w:jc w:val="center"/>
              <w:rPr>
                <w:color w:val="auto"/>
                <w:sz w:val="30"/>
                <w:szCs w:val="30"/>
                <w:highlight w:val="none"/>
              </w:rPr>
            </w:pPr>
            <w:r>
              <w:rPr>
                <w:color w:val="auto"/>
                <w:sz w:val="30"/>
                <w:szCs w:val="30"/>
                <w:highlight w:val="none"/>
              </w:rPr>
              <w:t>桥架、线槽</w:t>
            </w:r>
          </w:p>
        </w:tc>
        <w:tc>
          <w:tcPr>
            <w:tcW w:w="9237" w:type="dxa"/>
            <w:gridSpan w:val="2"/>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rFonts w:hint="default" w:eastAsia="仿宋"/>
                <w:color w:val="auto"/>
                <w:sz w:val="30"/>
                <w:highlight w:val="none"/>
                <w:lang w:val="en-US" w:eastAsia="zh-CN"/>
              </w:rPr>
            </w:pPr>
            <w:r>
              <w:rPr>
                <w:color w:val="auto"/>
                <w:sz w:val="30"/>
                <w:highlight w:val="none"/>
              </w:rPr>
              <w:t>番禺桥架厂、深圳凌棋、深圳渝展、深圳百基、广东一通YEATOON、深圳飞霞、深圳法尔克Faerke、深圳深美路、深圳大新、广州天虹、广东宏际、深圳万安、</w:t>
            </w:r>
            <w:r>
              <w:rPr>
                <w:rFonts w:hint="eastAsia"/>
                <w:color w:val="auto"/>
                <w:sz w:val="30"/>
                <w:highlight w:val="none"/>
                <w:lang w:val="en-US" w:eastAsia="zh-CN"/>
              </w:rPr>
              <w:t>深圳宓力思创、江苏华彤、</w:t>
            </w:r>
            <w:r>
              <w:rPr>
                <w:color w:val="auto"/>
                <w:sz w:val="30"/>
                <w:highlight w:val="none"/>
              </w:rPr>
              <w:t>东莞辰风、深龙达、</w:t>
            </w:r>
            <w:r>
              <w:rPr>
                <w:rFonts w:hint="eastAsia"/>
                <w:color w:val="auto"/>
                <w:sz w:val="30"/>
                <w:highlight w:val="none"/>
              </w:rPr>
              <w:t>汇龙通</w:t>
            </w:r>
            <w:r>
              <w:rPr>
                <w:rFonts w:hint="eastAsia"/>
                <w:color w:val="auto"/>
                <w:sz w:val="30"/>
                <w:highlight w:val="none"/>
                <w:lang w:eastAsia="zh-CN"/>
              </w:rPr>
              <w:t>、</w:t>
            </w:r>
            <w:r>
              <w:rPr>
                <w:color w:val="auto"/>
                <w:sz w:val="30"/>
                <w:highlight w:val="none"/>
              </w:rPr>
              <w:t>深北电力</w:t>
            </w:r>
            <w:r>
              <w:rPr>
                <w:rFonts w:hint="eastAsia"/>
                <w:color w:val="auto"/>
                <w:sz w:val="30"/>
                <w:highlight w:val="none"/>
                <w:lang w:eastAsia="zh-CN"/>
              </w:rPr>
              <w:t>、</w:t>
            </w:r>
            <w:r>
              <w:rPr>
                <w:rFonts w:hint="eastAsia"/>
                <w:color w:val="auto"/>
                <w:sz w:val="30"/>
                <w:highlight w:val="none"/>
                <w:lang w:val="en-US" w:eastAsia="zh-CN"/>
              </w:rPr>
              <w:t>广羽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50" w:hRule="atLeast"/>
        </w:trPr>
        <w:tc>
          <w:tcPr>
            <w:tcW w:w="826" w:type="dxa"/>
            <w:shd w:val="clear" w:color="auto" w:fill="auto"/>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319</w:t>
            </w:r>
          </w:p>
        </w:tc>
        <w:tc>
          <w:tcPr>
            <w:tcW w:w="2233" w:type="dxa"/>
            <w:shd w:val="clear" w:color="auto" w:fill="auto"/>
            <w:vAlign w:val="center"/>
          </w:tcPr>
          <w:p>
            <w:pPr>
              <w:jc w:val="center"/>
              <w:rPr>
                <w:color w:val="auto"/>
                <w:sz w:val="30"/>
                <w:szCs w:val="30"/>
                <w:highlight w:val="none"/>
              </w:rPr>
            </w:pPr>
            <w:r>
              <w:rPr>
                <w:color w:val="auto"/>
                <w:sz w:val="30"/>
                <w:szCs w:val="30"/>
                <w:highlight w:val="none"/>
              </w:rPr>
              <w:t>JDG电线管</w:t>
            </w:r>
          </w:p>
        </w:tc>
        <w:tc>
          <w:tcPr>
            <w:tcW w:w="9237" w:type="dxa"/>
            <w:gridSpan w:val="2"/>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color w:val="auto"/>
                <w:sz w:val="30"/>
                <w:highlight w:val="none"/>
              </w:rPr>
            </w:pPr>
            <w:r>
              <w:rPr>
                <w:color w:val="auto"/>
                <w:sz w:val="30"/>
                <w:highlight w:val="none"/>
              </w:rPr>
              <w:t>广州万洲、深圳深美路、广东一通科技股份有限公司(一通牌)、广东宏际、</w:t>
            </w:r>
            <w:r>
              <w:rPr>
                <w:rFonts w:hint="eastAsia"/>
                <w:color w:val="auto"/>
                <w:sz w:val="30"/>
                <w:highlight w:val="none"/>
              </w:rPr>
              <w:t>汇龙通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50" w:hRule="atLeast"/>
        </w:trPr>
        <w:tc>
          <w:tcPr>
            <w:tcW w:w="826" w:type="dxa"/>
            <w:shd w:val="clear" w:color="auto" w:fill="auto"/>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320</w:t>
            </w:r>
          </w:p>
        </w:tc>
        <w:tc>
          <w:tcPr>
            <w:tcW w:w="2233" w:type="dxa"/>
            <w:shd w:val="clear" w:color="auto" w:fill="auto"/>
            <w:vAlign w:val="center"/>
          </w:tcPr>
          <w:p>
            <w:pPr>
              <w:jc w:val="center"/>
              <w:rPr>
                <w:color w:val="auto"/>
                <w:sz w:val="30"/>
                <w:szCs w:val="30"/>
                <w:highlight w:val="none"/>
              </w:rPr>
            </w:pPr>
            <w:r>
              <w:rPr>
                <w:color w:val="auto"/>
                <w:sz w:val="30"/>
                <w:szCs w:val="30"/>
                <w:highlight w:val="none"/>
              </w:rPr>
              <w:t>PVC电线管</w:t>
            </w:r>
          </w:p>
        </w:tc>
        <w:tc>
          <w:tcPr>
            <w:tcW w:w="9237" w:type="dxa"/>
            <w:gridSpan w:val="2"/>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rFonts w:ascii="仿宋" w:hAnsi="仿宋" w:eastAsia="仿宋" w:cs="仿宋"/>
                <w:color w:val="auto"/>
                <w:sz w:val="30"/>
                <w:szCs w:val="22"/>
                <w:highlight w:val="none"/>
                <w:lang w:val="zh-CN" w:eastAsia="zh-CN" w:bidi="zh-CN"/>
              </w:rPr>
            </w:pPr>
            <w:r>
              <w:rPr>
                <w:rFonts w:ascii="仿宋" w:hAnsi="仿宋" w:eastAsia="仿宋" w:cs="仿宋"/>
                <w:color w:val="auto"/>
                <w:sz w:val="30"/>
                <w:szCs w:val="22"/>
                <w:highlight w:val="none"/>
                <w:lang w:val="zh-CN" w:eastAsia="zh-CN" w:bidi="zh-CN"/>
              </w:rPr>
              <w:t>联塑、康泰、</w:t>
            </w:r>
            <w:r>
              <w:rPr>
                <w:rFonts w:hint="eastAsia" w:ascii="仿宋" w:hAnsi="仿宋" w:eastAsia="仿宋" w:cs="仿宋"/>
                <w:color w:val="auto"/>
                <w:sz w:val="30"/>
                <w:szCs w:val="22"/>
                <w:highlight w:val="none"/>
                <w:lang w:val="zh-CN" w:eastAsia="zh-CN" w:bidi="zh-CN"/>
              </w:rPr>
              <w:t>汇龙通、</w:t>
            </w:r>
            <w:r>
              <w:rPr>
                <w:rFonts w:ascii="仿宋" w:hAnsi="仿宋" w:eastAsia="仿宋" w:cs="仿宋"/>
                <w:color w:val="auto"/>
                <w:sz w:val="30"/>
                <w:szCs w:val="22"/>
                <w:highlight w:val="none"/>
                <w:lang w:val="zh-CN" w:eastAsia="zh-CN" w:bidi="zh-CN"/>
              </w:rPr>
              <w:t>雄塑、川路、南塑、中财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850" w:hRule="atLeast"/>
        </w:trPr>
        <w:tc>
          <w:tcPr>
            <w:tcW w:w="826" w:type="dxa"/>
            <w:shd w:val="clear" w:color="auto" w:fill="auto"/>
            <w:vAlign w:val="center"/>
          </w:tcPr>
          <w:p>
            <w:pPr>
              <w:jc w:val="center"/>
              <w:rPr>
                <w:rFonts w:hint="default"/>
                <w:color w:val="auto"/>
                <w:sz w:val="30"/>
                <w:szCs w:val="30"/>
                <w:highlight w:val="none"/>
                <w:lang w:val="en-US" w:eastAsia="zh-CN"/>
              </w:rPr>
            </w:pPr>
            <w:r>
              <w:rPr>
                <w:color w:val="auto"/>
                <w:sz w:val="30"/>
                <w:szCs w:val="30"/>
                <w:highlight w:val="none"/>
              </w:rPr>
              <w:t>3</w:t>
            </w:r>
            <w:r>
              <w:rPr>
                <w:rFonts w:hint="eastAsia"/>
                <w:color w:val="auto"/>
                <w:sz w:val="30"/>
                <w:szCs w:val="30"/>
                <w:highlight w:val="none"/>
                <w:lang w:val="en-US" w:eastAsia="zh-CN"/>
              </w:rPr>
              <w:t>21</w:t>
            </w:r>
          </w:p>
        </w:tc>
        <w:tc>
          <w:tcPr>
            <w:tcW w:w="2233" w:type="dxa"/>
            <w:shd w:val="clear" w:color="auto" w:fill="auto"/>
            <w:vAlign w:val="center"/>
          </w:tcPr>
          <w:p>
            <w:pPr>
              <w:jc w:val="center"/>
              <w:rPr>
                <w:color w:val="auto"/>
                <w:sz w:val="30"/>
                <w:szCs w:val="30"/>
                <w:highlight w:val="none"/>
              </w:rPr>
            </w:pPr>
            <w:r>
              <w:rPr>
                <w:color w:val="auto"/>
                <w:sz w:val="30"/>
                <w:szCs w:val="30"/>
                <w:highlight w:val="none"/>
              </w:rPr>
              <w:t>镀锌电线管</w:t>
            </w:r>
          </w:p>
        </w:tc>
        <w:tc>
          <w:tcPr>
            <w:tcW w:w="9237" w:type="dxa"/>
            <w:gridSpan w:val="2"/>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color w:val="auto"/>
                <w:sz w:val="30"/>
                <w:highlight w:val="none"/>
              </w:rPr>
            </w:pPr>
            <w:r>
              <w:rPr>
                <w:color w:val="auto"/>
                <w:sz w:val="30"/>
                <w:highlight w:val="none"/>
              </w:rPr>
              <w:t>广东华捷钢管、广州钢管厂有限公司、广东一通科技股份有限公司(一通牌)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850" w:hRule="atLeast"/>
        </w:trPr>
        <w:tc>
          <w:tcPr>
            <w:tcW w:w="826" w:type="dxa"/>
            <w:shd w:val="clear" w:color="auto" w:fill="auto"/>
            <w:vAlign w:val="center"/>
          </w:tcPr>
          <w:p>
            <w:pPr>
              <w:jc w:val="center"/>
              <w:rPr>
                <w:rFonts w:hint="default"/>
                <w:color w:val="auto"/>
                <w:sz w:val="30"/>
                <w:szCs w:val="30"/>
                <w:highlight w:val="none"/>
                <w:lang w:val="en-US" w:eastAsia="zh-CN"/>
              </w:rPr>
            </w:pPr>
            <w:r>
              <w:rPr>
                <w:color w:val="auto"/>
                <w:sz w:val="30"/>
                <w:szCs w:val="30"/>
                <w:highlight w:val="none"/>
              </w:rPr>
              <w:t>3</w:t>
            </w:r>
            <w:r>
              <w:rPr>
                <w:rFonts w:hint="eastAsia"/>
                <w:color w:val="auto"/>
                <w:sz w:val="30"/>
                <w:szCs w:val="30"/>
                <w:highlight w:val="none"/>
                <w:lang w:val="en-US" w:eastAsia="zh-CN"/>
              </w:rPr>
              <w:t>22</w:t>
            </w:r>
          </w:p>
        </w:tc>
        <w:tc>
          <w:tcPr>
            <w:tcW w:w="2233" w:type="dxa"/>
            <w:shd w:val="clear" w:color="auto" w:fill="auto"/>
            <w:vAlign w:val="center"/>
          </w:tcPr>
          <w:p>
            <w:pPr>
              <w:jc w:val="center"/>
              <w:rPr>
                <w:color w:val="auto"/>
                <w:sz w:val="30"/>
                <w:szCs w:val="30"/>
                <w:highlight w:val="none"/>
              </w:rPr>
            </w:pPr>
            <w:r>
              <w:rPr>
                <w:color w:val="auto"/>
                <w:sz w:val="30"/>
                <w:szCs w:val="30"/>
                <w:highlight w:val="none"/>
              </w:rPr>
              <w:t>EPS</w:t>
            </w:r>
          </w:p>
        </w:tc>
        <w:tc>
          <w:tcPr>
            <w:tcW w:w="9237" w:type="dxa"/>
            <w:gridSpan w:val="2"/>
            <w:shd w:val="clear" w:color="auto" w:fill="auto"/>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rFonts w:hint="eastAsia" w:eastAsia="仿宋"/>
                <w:color w:val="auto"/>
                <w:sz w:val="30"/>
                <w:highlight w:val="none"/>
                <w:lang w:eastAsia="zh-CN"/>
              </w:rPr>
            </w:pPr>
            <w:r>
              <w:rPr>
                <w:color w:val="auto"/>
                <w:sz w:val="30"/>
                <w:highlight w:val="none"/>
              </w:rPr>
              <w:t>动力源、志成冠军、易事特</w:t>
            </w:r>
            <w:r>
              <w:rPr>
                <w:rFonts w:hint="eastAsia"/>
                <w:color w:val="auto"/>
                <w:sz w:val="30"/>
                <w:highlight w:val="none"/>
                <w:lang w:eastAsia="zh-CN"/>
              </w:rPr>
              <w:t>、</w:t>
            </w:r>
            <w:r>
              <w:rPr>
                <w:rFonts w:hint="eastAsia"/>
                <w:color w:val="auto"/>
                <w:sz w:val="30"/>
                <w:highlight w:val="none"/>
                <w:lang w:val="en-US" w:eastAsia="zh-CN"/>
              </w:rPr>
              <w:t>江苏银佳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50" w:hRule="atLeast"/>
        </w:trPr>
        <w:tc>
          <w:tcPr>
            <w:tcW w:w="826" w:type="dxa"/>
            <w:vMerge w:val="restart"/>
            <w:shd w:val="clear" w:color="auto" w:fill="auto"/>
            <w:vAlign w:val="center"/>
          </w:tcPr>
          <w:p>
            <w:pPr>
              <w:jc w:val="center"/>
              <w:rPr>
                <w:rFonts w:hint="default"/>
                <w:color w:val="auto"/>
                <w:sz w:val="30"/>
                <w:szCs w:val="30"/>
                <w:highlight w:val="none"/>
                <w:lang w:val="en-US" w:eastAsia="zh-CN"/>
              </w:rPr>
            </w:pPr>
            <w:r>
              <w:rPr>
                <w:color w:val="auto"/>
                <w:sz w:val="30"/>
                <w:szCs w:val="30"/>
                <w:highlight w:val="none"/>
              </w:rPr>
              <w:t>3</w:t>
            </w:r>
            <w:r>
              <w:rPr>
                <w:rFonts w:hint="eastAsia"/>
                <w:color w:val="auto"/>
                <w:sz w:val="30"/>
                <w:szCs w:val="30"/>
                <w:highlight w:val="none"/>
                <w:lang w:val="en-US" w:eastAsia="zh-CN"/>
              </w:rPr>
              <w:t>23</w:t>
            </w:r>
          </w:p>
        </w:tc>
        <w:tc>
          <w:tcPr>
            <w:tcW w:w="2233" w:type="dxa"/>
            <w:vMerge w:val="restart"/>
            <w:shd w:val="clear" w:color="auto" w:fill="auto"/>
            <w:vAlign w:val="center"/>
          </w:tcPr>
          <w:p>
            <w:pPr>
              <w:jc w:val="center"/>
              <w:rPr>
                <w:color w:val="auto"/>
                <w:sz w:val="30"/>
                <w:szCs w:val="30"/>
                <w:highlight w:val="none"/>
              </w:rPr>
            </w:pPr>
            <w:r>
              <w:rPr>
                <w:color w:val="auto"/>
                <w:sz w:val="30"/>
                <w:szCs w:val="30"/>
                <w:highlight w:val="none"/>
              </w:rPr>
              <w:t>智能照明</w:t>
            </w:r>
          </w:p>
        </w:tc>
        <w:tc>
          <w:tcPr>
            <w:tcW w:w="9237" w:type="dxa"/>
            <w:gridSpan w:val="2"/>
            <w:vMerge w:val="restart"/>
            <w:shd w:val="clear" w:color="auto" w:fill="auto"/>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color w:val="auto"/>
                <w:sz w:val="30"/>
                <w:highlight w:val="none"/>
                <w:lang w:val="en-US"/>
              </w:rPr>
            </w:pPr>
            <w:r>
              <w:rPr>
                <w:color w:val="auto"/>
                <w:sz w:val="30"/>
                <w:highlight w:val="none"/>
              </w:rPr>
              <w:t>ABB、施耐德（莫顿）</w:t>
            </w:r>
            <w:r>
              <w:rPr>
                <w:rFonts w:hint="eastAsia"/>
                <w:color w:val="auto"/>
                <w:sz w:val="30"/>
                <w:highlight w:val="none"/>
                <w:lang w:val="en-US"/>
              </w:rPr>
              <w:t>、海格</w:t>
            </w:r>
            <w:r>
              <w:rPr>
                <w:color w:val="auto"/>
                <w:sz w:val="30"/>
                <w:highlight w:val="none"/>
              </w:rPr>
              <w:t>、立维腾、邦奇</w:t>
            </w:r>
            <w:r>
              <w:rPr>
                <w:rFonts w:hint="eastAsia"/>
                <w:color w:val="auto"/>
                <w:sz w:val="30"/>
                <w:highlight w:val="none"/>
              </w:rPr>
              <w:t>、路创、</w:t>
            </w:r>
            <w:r>
              <w:rPr>
                <w:rFonts w:hint="eastAsia"/>
                <w:color w:val="auto"/>
                <w:sz w:val="30"/>
                <w:highlight w:val="none"/>
                <w:lang w:val="en-US"/>
              </w:rPr>
              <w:t>西门子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50" w:hRule="atLeast"/>
        </w:trPr>
        <w:tc>
          <w:tcPr>
            <w:tcW w:w="826" w:type="dxa"/>
            <w:vMerge w:val="continue"/>
            <w:shd w:val="clear" w:color="auto" w:fill="auto"/>
            <w:vAlign w:val="center"/>
          </w:tcPr>
          <w:p>
            <w:pPr>
              <w:jc w:val="center"/>
              <w:rPr>
                <w:color w:val="auto"/>
                <w:sz w:val="30"/>
                <w:szCs w:val="30"/>
                <w:highlight w:val="none"/>
              </w:rPr>
            </w:pPr>
          </w:p>
        </w:tc>
        <w:tc>
          <w:tcPr>
            <w:tcW w:w="2233" w:type="dxa"/>
            <w:vMerge w:val="continue"/>
            <w:shd w:val="clear" w:color="auto" w:fill="auto"/>
            <w:vAlign w:val="center"/>
          </w:tcPr>
          <w:p>
            <w:pPr>
              <w:jc w:val="center"/>
              <w:rPr>
                <w:color w:val="auto"/>
                <w:sz w:val="30"/>
                <w:szCs w:val="30"/>
                <w:highlight w:val="none"/>
              </w:rPr>
            </w:pPr>
          </w:p>
        </w:tc>
        <w:tc>
          <w:tcPr>
            <w:tcW w:w="9237" w:type="dxa"/>
            <w:gridSpan w:val="2"/>
            <w:vMerge w:val="continue"/>
            <w:shd w:val="clear" w:color="auto" w:fill="auto"/>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rFonts w:hint="eastAsia" w:eastAsia="仿宋"/>
                <w:color w:val="auto"/>
                <w:sz w:val="30"/>
                <w:highlight w:val="none"/>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850" w:hRule="atLeast"/>
        </w:trPr>
        <w:tc>
          <w:tcPr>
            <w:tcW w:w="826" w:type="dxa"/>
            <w:shd w:val="clear" w:color="auto" w:fill="auto"/>
            <w:vAlign w:val="center"/>
          </w:tcPr>
          <w:p>
            <w:pPr>
              <w:jc w:val="center"/>
              <w:rPr>
                <w:rFonts w:hint="default" w:ascii="仿宋" w:hAnsi="仿宋" w:eastAsia="仿宋" w:cs="仿宋"/>
                <w:color w:val="auto"/>
                <w:sz w:val="30"/>
                <w:szCs w:val="22"/>
                <w:highlight w:val="none"/>
                <w:lang w:val="en-US" w:eastAsia="zh-CN" w:bidi="zh-CN"/>
              </w:rPr>
            </w:pPr>
            <w:r>
              <w:rPr>
                <w:rFonts w:hint="eastAsia" w:ascii="仿宋" w:hAnsi="仿宋" w:eastAsia="仿宋" w:cs="仿宋"/>
                <w:color w:val="auto"/>
                <w:sz w:val="30"/>
                <w:szCs w:val="22"/>
                <w:highlight w:val="none"/>
                <w:lang w:val="en-US" w:eastAsia="zh-CN" w:bidi="zh-CN"/>
              </w:rPr>
              <w:t>325</w:t>
            </w:r>
          </w:p>
        </w:tc>
        <w:tc>
          <w:tcPr>
            <w:tcW w:w="2233" w:type="dxa"/>
            <w:shd w:val="clear" w:color="auto" w:fill="auto"/>
            <w:vAlign w:val="center"/>
          </w:tcPr>
          <w:p>
            <w:pPr>
              <w:jc w:val="center"/>
              <w:rPr>
                <w:rFonts w:ascii="仿宋" w:hAnsi="仿宋" w:eastAsia="仿宋" w:cs="仿宋"/>
                <w:color w:val="auto"/>
                <w:sz w:val="30"/>
                <w:szCs w:val="22"/>
                <w:highlight w:val="none"/>
                <w:lang w:val="zh-CN" w:eastAsia="zh-CN" w:bidi="zh-CN"/>
              </w:rPr>
            </w:pPr>
            <w:r>
              <w:rPr>
                <w:rFonts w:ascii="仿宋" w:hAnsi="仿宋" w:eastAsia="仿宋" w:cs="仿宋"/>
                <w:color w:val="auto"/>
                <w:sz w:val="30"/>
                <w:szCs w:val="22"/>
                <w:highlight w:val="none"/>
                <w:lang w:val="zh-CN" w:eastAsia="zh-CN" w:bidi="zh-CN"/>
              </w:rPr>
              <w:t>防雷器</w:t>
            </w:r>
          </w:p>
        </w:tc>
        <w:tc>
          <w:tcPr>
            <w:tcW w:w="9237" w:type="dxa"/>
            <w:gridSpan w:val="2"/>
            <w:shd w:val="clear" w:color="auto" w:fill="auto"/>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rFonts w:ascii="仿宋" w:hAnsi="仿宋" w:eastAsia="仿宋" w:cs="仿宋"/>
                <w:color w:val="auto"/>
                <w:sz w:val="30"/>
                <w:szCs w:val="22"/>
                <w:highlight w:val="none"/>
                <w:lang w:val="zh-CN" w:eastAsia="zh-CN" w:bidi="zh-CN"/>
              </w:rPr>
            </w:pPr>
            <w:r>
              <w:rPr>
                <w:rFonts w:ascii="仿宋" w:hAnsi="仿宋" w:eastAsia="仿宋" w:cs="仿宋"/>
                <w:color w:val="auto"/>
                <w:sz w:val="30"/>
                <w:szCs w:val="22"/>
                <w:highlight w:val="none"/>
                <w:lang w:val="zh-CN" w:eastAsia="zh-CN" w:bidi="zh-CN"/>
              </w:rPr>
              <w:t>深圳市天盾雷电技术有限公司(天盾牌)、广东安迅防雷科技股份有限公司(安迅牌)、四川中光防雷科技股份有限公司(中光牌)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850" w:hRule="atLeast"/>
        </w:trPr>
        <w:tc>
          <w:tcPr>
            <w:tcW w:w="826" w:type="dxa"/>
            <w:shd w:val="clear" w:color="auto" w:fill="auto"/>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326</w:t>
            </w:r>
          </w:p>
        </w:tc>
        <w:tc>
          <w:tcPr>
            <w:tcW w:w="2233" w:type="dxa"/>
            <w:shd w:val="clear" w:color="auto" w:fill="auto"/>
            <w:vAlign w:val="center"/>
          </w:tcPr>
          <w:p>
            <w:pPr>
              <w:jc w:val="center"/>
              <w:rPr>
                <w:color w:val="auto"/>
                <w:sz w:val="30"/>
                <w:szCs w:val="30"/>
                <w:highlight w:val="none"/>
              </w:rPr>
            </w:pPr>
            <w:r>
              <w:rPr>
                <w:color w:val="auto"/>
                <w:sz w:val="30"/>
                <w:szCs w:val="30"/>
                <w:highlight w:val="none"/>
              </w:rPr>
              <w:t>体育照明</w:t>
            </w:r>
          </w:p>
        </w:tc>
        <w:tc>
          <w:tcPr>
            <w:tcW w:w="9237" w:type="dxa"/>
            <w:gridSpan w:val="2"/>
            <w:shd w:val="clear" w:color="auto" w:fill="auto"/>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color w:val="auto"/>
                <w:sz w:val="30"/>
                <w:highlight w:val="none"/>
              </w:rPr>
            </w:pPr>
            <w:r>
              <w:rPr>
                <w:color w:val="auto"/>
                <w:sz w:val="30"/>
                <w:highlight w:val="none"/>
              </w:rPr>
              <w:t>飞利浦、MASCO、索恩</w:t>
            </w:r>
            <w:r>
              <w:rPr>
                <w:rFonts w:hint="eastAsia"/>
                <w:color w:val="auto"/>
                <w:sz w:val="30"/>
                <w:highlight w:val="none"/>
              </w:rPr>
              <w:t>、</w:t>
            </w:r>
            <w:r>
              <w:rPr>
                <w:color w:val="auto"/>
                <w:sz w:val="30"/>
                <w:highlight w:val="none"/>
              </w:rPr>
              <w:t>松下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850" w:hRule="atLeast"/>
        </w:trPr>
        <w:tc>
          <w:tcPr>
            <w:tcW w:w="826" w:type="dxa"/>
            <w:shd w:val="clear" w:color="auto" w:fill="auto"/>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327</w:t>
            </w:r>
          </w:p>
        </w:tc>
        <w:tc>
          <w:tcPr>
            <w:tcW w:w="2233" w:type="dxa"/>
            <w:shd w:val="clear" w:color="auto" w:fill="auto"/>
            <w:vAlign w:val="center"/>
          </w:tcPr>
          <w:p>
            <w:pPr>
              <w:jc w:val="center"/>
              <w:rPr>
                <w:color w:val="auto"/>
                <w:sz w:val="30"/>
                <w:szCs w:val="30"/>
                <w:highlight w:val="none"/>
              </w:rPr>
            </w:pPr>
            <w:r>
              <w:rPr>
                <w:color w:val="auto"/>
                <w:sz w:val="30"/>
                <w:szCs w:val="30"/>
                <w:highlight w:val="none"/>
              </w:rPr>
              <w:t>普通路灯</w:t>
            </w:r>
          </w:p>
          <w:p>
            <w:pPr>
              <w:jc w:val="center"/>
              <w:rPr>
                <w:color w:val="auto"/>
                <w:sz w:val="30"/>
                <w:szCs w:val="30"/>
                <w:highlight w:val="none"/>
              </w:rPr>
            </w:pPr>
            <w:r>
              <w:rPr>
                <w:color w:val="auto"/>
                <w:sz w:val="30"/>
                <w:szCs w:val="30"/>
                <w:highlight w:val="none"/>
              </w:rPr>
              <w:t>灯具</w:t>
            </w:r>
          </w:p>
        </w:tc>
        <w:tc>
          <w:tcPr>
            <w:tcW w:w="9237" w:type="dxa"/>
            <w:gridSpan w:val="2"/>
            <w:shd w:val="clear" w:color="auto" w:fill="auto"/>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rFonts w:hint="eastAsia" w:eastAsia="仿宋"/>
                <w:color w:val="auto"/>
                <w:sz w:val="30"/>
                <w:highlight w:val="none"/>
                <w:lang w:eastAsia="zh-CN"/>
              </w:rPr>
            </w:pPr>
            <w:r>
              <w:rPr>
                <w:color w:val="auto"/>
                <w:sz w:val="30"/>
                <w:highlight w:val="none"/>
              </w:rPr>
              <w:t>燎原、三乐、华体、高力特</w:t>
            </w:r>
            <w:r>
              <w:rPr>
                <w:rFonts w:hint="eastAsia"/>
                <w:color w:val="auto"/>
                <w:sz w:val="30"/>
                <w:highlight w:val="none"/>
              </w:rPr>
              <w:t>、</w:t>
            </w:r>
            <w:r>
              <w:rPr>
                <w:color w:val="auto"/>
                <w:sz w:val="30"/>
                <w:highlight w:val="none"/>
              </w:rPr>
              <w:t>鹏万达</w:t>
            </w:r>
            <w:r>
              <w:rPr>
                <w:rFonts w:hint="eastAsia"/>
                <w:color w:val="auto"/>
                <w:sz w:val="30"/>
                <w:highlight w:val="none"/>
                <w:lang w:eastAsia="zh-CN"/>
              </w:rPr>
              <w:t>、SEVA尚为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1700" w:hRule="atLeast"/>
        </w:trPr>
        <w:tc>
          <w:tcPr>
            <w:tcW w:w="826" w:type="dxa"/>
            <w:shd w:val="clear" w:color="auto" w:fill="auto"/>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328</w:t>
            </w:r>
          </w:p>
        </w:tc>
        <w:tc>
          <w:tcPr>
            <w:tcW w:w="2233" w:type="dxa"/>
            <w:shd w:val="clear" w:color="auto" w:fill="auto"/>
            <w:vAlign w:val="center"/>
          </w:tcPr>
          <w:p>
            <w:pPr>
              <w:jc w:val="center"/>
              <w:rPr>
                <w:color w:val="auto"/>
                <w:sz w:val="30"/>
                <w:szCs w:val="30"/>
                <w:highlight w:val="none"/>
              </w:rPr>
            </w:pPr>
            <w:r>
              <w:rPr>
                <w:color w:val="auto"/>
                <w:sz w:val="30"/>
                <w:szCs w:val="30"/>
                <w:highlight w:val="none"/>
              </w:rPr>
              <w:t>室外照明灯具（含景观、泛光）</w:t>
            </w:r>
          </w:p>
        </w:tc>
        <w:tc>
          <w:tcPr>
            <w:tcW w:w="9237" w:type="dxa"/>
            <w:gridSpan w:val="2"/>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left"/>
              <w:textAlignment w:val="center"/>
              <w:rPr>
                <w:rFonts w:hint="eastAsia" w:eastAsia="仿宋"/>
                <w:color w:val="auto"/>
                <w:sz w:val="30"/>
                <w:highlight w:val="none"/>
                <w:lang w:val="en-US" w:eastAsia="zh-CN"/>
              </w:rPr>
            </w:pPr>
            <w:r>
              <w:rPr>
                <w:color w:val="auto"/>
                <w:sz w:val="30"/>
                <w:highlight w:val="none"/>
              </w:rPr>
              <w:t>罗莱迪思、华格、德科（DECO）、燎原、勤上、三乐、邦贝尔、九洲光电、斯派克、高力特、晶日、银河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1690" w:hRule="atLeast"/>
        </w:trPr>
        <w:tc>
          <w:tcPr>
            <w:tcW w:w="826" w:type="dxa"/>
            <w:shd w:val="clear" w:color="auto" w:fill="auto"/>
            <w:vAlign w:val="center"/>
          </w:tcPr>
          <w:p>
            <w:pPr>
              <w:jc w:val="center"/>
              <w:rPr>
                <w:rFonts w:hint="default"/>
                <w:color w:val="auto"/>
                <w:sz w:val="30"/>
                <w:szCs w:val="30"/>
                <w:highlight w:val="none"/>
                <w:lang w:val="en-US" w:eastAsia="zh-CN"/>
              </w:rPr>
            </w:pPr>
            <w:r>
              <w:rPr>
                <w:rFonts w:hint="eastAsia"/>
                <w:color w:val="auto"/>
                <w:sz w:val="30"/>
                <w:szCs w:val="30"/>
                <w:highlight w:val="none"/>
                <w:lang w:val="en-US" w:eastAsia="zh-CN"/>
              </w:rPr>
              <w:t>329</w:t>
            </w:r>
          </w:p>
        </w:tc>
        <w:tc>
          <w:tcPr>
            <w:tcW w:w="2233" w:type="dxa"/>
            <w:shd w:val="clear" w:color="auto" w:fill="auto"/>
            <w:vAlign w:val="center"/>
          </w:tcPr>
          <w:p>
            <w:pPr>
              <w:jc w:val="center"/>
              <w:rPr>
                <w:color w:val="auto"/>
                <w:sz w:val="30"/>
                <w:szCs w:val="30"/>
                <w:highlight w:val="none"/>
              </w:rPr>
            </w:pPr>
            <w:r>
              <w:rPr>
                <w:color w:val="auto"/>
                <w:sz w:val="30"/>
                <w:szCs w:val="30"/>
                <w:highlight w:val="none"/>
              </w:rPr>
              <w:t>变压器</w:t>
            </w:r>
          </w:p>
        </w:tc>
        <w:tc>
          <w:tcPr>
            <w:tcW w:w="9237" w:type="dxa"/>
            <w:gridSpan w:val="2"/>
            <w:shd w:val="clear" w:color="auto" w:fill="auto"/>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rFonts w:hint="default" w:eastAsia="仿宋"/>
                <w:color w:val="auto"/>
                <w:sz w:val="30"/>
                <w:highlight w:val="none"/>
                <w:lang w:val="en-US" w:eastAsia="zh-CN"/>
              </w:rPr>
            </w:pPr>
            <w:r>
              <w:rPr>
                <w:color w:val="auto"/>
                <w:sz w:val="30"/>
                <w:highlight w:val="none"/>
              </w:rPr>
              <w:t>ABB、</w:t>
            </w:r>
            <w:r>
              <w:rPr>
                <w:rFonts w:hint="eastAsia"/>
                <w:color w:val="auto"/>
                <w:sz w:val="30"/>
                <w:highlight w:val="none"/>
                <w:lang w:val="en-US" w:eastAsia="zh-CN"/>
              </w:rPr>
              <w:t>西门子</w:t>
            </w:r>
            <w:r>
              <w:rPr>
                <w:color w:val="auto"/>
                <w:sz w:val="30"/>
                <w:highlight w:val="none"/>
              </w:rPr>
              <w:t>、施耐德</w:t>
            </w:r>
            <w:r>
              <w:rPr>
                <w:rFonts w:hint="eastAsia"/>
                <w:color w:val="auto"/>
                <w:sz w:val="30"/>
                <w:highlight w:val="none"/>
                <w:lang w:eastAsia="zh-CN"/>
              </w:rPr>
              <w:t>、</w:t>
            </w:r>
            <w:r>
              <w:rPr>
                <w:rFonts w:hint="eastAsia"/>
                <w:color w:val="auto"/>
                <w:sz w:val="30"/>
                <w:highlight w:val="none"/>
                <w:lang w:val="en-US" w:eastAsia="zh-CN"/>
              </w:rPr>
              <w:t>GE</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850" w:hRule="atLeast"/>
        </w:trPr>
        <w:tc>
          <w:tcPr>
            <w:tcW w:w="826" w:type="dxa"/>
            <w:shd w:val="clear" w:color="auto" w:fill="auto"/>
            <w:vAlign w:val="center"/>
          </w:tcPr>
          <w:p>
            <w:pPr>
              <w:jc w:val="center"/>
              <w:rPr>
                <w:rFonts w:hint="default"/>
                <w:color w:val="auto"/>
                <w:sz w:val="30"/>
                <w:szCs w:val="30"/>
                <w:highlight w:val="none"/>
                <w:lang w:val="en-US" w:eastAsia="zh-CN"/>
              </w:rPr>
            </w:pPr>
          </w:p>
        </w:tc>
        <w:tc>
          <w:tcPr>
            <w:tcW w:w="2233" w:type="dxa"/>
            <w:shd w:val="clear" w:color="auto" w:fill="auto"/>
            <w:vAlign w:val="center"/>
          </w:tcPr>
          <w:p>
            <w:pPr>
              <w:jc w:val="center"/>
              <w:rPr>
                <w:rFonts w:hint="eastAsia" w:eastAsia="仿宋"/>
                <w:color w:val="auto"/>
                <w:sz w:val="30"/>
                <w:szCs w:val="30"/>
                <w:highlight w:val="none"/>
                <w:lang w:eastAsia="zh-CN"/>
              </w:rPr>
            </w:pPr>
            <w:r>
              <w:rPr>
                <w:rFonts w:hint="eastAsia"/>
                <w:color w:val="auto"/>
                <w:sz w:val="30"/>
                <w:szCs w:val="30"/>
                <w:highlight w:val="none"/>
              </w:rPr>
              <w:t>净水器</w:t>
            </w:r>
            <w:r>
              <w:rPr>
                <w:rFonts w:hint="eastAsia"/>
                <w:color w:val="auto"/>
                <w:sz w:val="30"/>
                <w:szCs w:val="30"/>
                <w:highlight w:val="none"/>
                <w:lang w:eastAsia="zh-CN"/>
              </w:rPr>
              <w:t>、软水器</w:t>
            </w:r>
          </w:p>
        </w:tc>
        <w:tc>
          <w:tcPr>
            <w:tcW w:w="9237" w:type="dxa"/>
            <w:gridSpan w:val="2"/>
            <w:shd w:val="clear" w:color="auto" w:fill="auto"/>
          </w:tcPr>
          <w:p>
            <w:pPr>
              <w:pStyle w:val="17"/>
              <w:keepNext w:val="0"/>
              <w:keepLines w:val="0"/>
              <w:pageBreakBefore w:val="0"/>
              <w:kinsoku/>
              <w:wordWrap/>
              <w:overflowPunct/>
              <w:topLinePunct w:val="0"/>
              <w:autoSpaceDE w:val="0"/>
              <w:autoSpaceDN w:val="0"/>
              <w:bidi w:val="0"/>
              <w:adjustRightInd/>
              <w:snapToGrid/>
              <w:spacing w:line="240" w:lineRule="auto"/>
              <w:ind w:left="0" w:right="0"/>
              <w:jc w:val="left"/>
              <w:rPr>
                <w:rFonts w:hint="eastAsia" w:eastAsia="仿宋"/>
                <w:color w:val="auto"/>
                <w:sz w:val="30"/>
                <w:highlight w:val="none"/>
                <w:lang w:val="en-US" w:eastAsia="zh-CN"/>
              </w:rPr>
            </w:pPr>
            <w:r>
              <w:rPr>
                <w:rFonts w:hint="eastAsia"/>
                <w:color w:val="auto"/>
                <w:sz w:val="30"/>
                <w:highlight w:val="none"/>
                <w:lang w:val="en-US"/>
              </w:rPr>
              <w:t>爱惠浦</w:t>
            </w:r>
            <w:r>
              <w:rPr>
                <w:rFonts w:hint="eastAsia"/>
                <w:color w:val="auto"/>
                <w:sz w:val="30"/>
                <w:highlight w:val="none"/>
                <w:lang w:val="en-US" w:eastAsia="zh-CN"/>
              </w:rPr>
              <w:t>、DVA</w:t>
            </w:r>
          </w:p>
        </w:tc>
      </w:tr>
    </w:tbl>
    <w:p>
      <w:pPr>
        <w:rPr>
          <w:b/>
          <w:bCs/>
          <w:color w:val="000000"/>
          <w:sz w:val="31"/>
          <w:szCs w:val="31"/>
          <w:lang w:val="en-US" w:bidi="ar"/>
        </w:rPr>
      </w:pPr>
      <w:r>
        <w:rPr>
          <w:b/>
          <w:bCs/>
          <w:color w:val="000000"/>
          <w:sz w:val="31"/>
          <w:szCs w:val="31"/>
          <w:lang w:val="en-US" w:bidi="ar"/>
        </w:rPr>
        <w:br w:type="page"/>
      </w:r>
    </w:p>
    <w:p>
      <w:pPr>
        <w:widowControl/>
        <w:numPr>
          <w:ilvl w:val="-1"/>
          <w:numId w:val="0"/>
        </w:numPr>
        <w:ind w:left="0" w:leftChars="0" w:firstLine="0" w:firstLineChars="0"/>
        <w:jc w:val="both"/>
        <w:rPr>
          <w:b/>
          <w:bCs/>
          <w:color w:val="000000"/>
          <w:sz w:val="31"/>
          <w:szCs w:val="31"/>
          <w:lang w:val="en-US" w:bidi="ar"/>
        </w:rPr>
      </w:pPr>
      <w:r>
        <w:rPr>
          <w:b/>
          <w:bCs/>
          <w:color w:val="000000"/>
          <w:sz w:val="31"/>
          <w:szCs w:val="31"/>
          <w:lang w:val="en-US" w:bidi="ar"/>
        </w:rPr>
        <w:t>弱电类材料设备参考品牌</w:t>
      </w:r>
    </w:p>
    <w:p>
      <w:pPr>
        <w:pStyle w:val="5"/>
        <w:spacing w:before="3"/>
        <w:rPr>
          <w:rFonts w:ascii="Times New Roman"/>
          <w:sz w:val="27"/>
        </w:rPr>
      </w:pPr>
    </w:p>
    <w:tbl>
      <w:tblPr>
        <w:tblStyle w:val="10"/>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3066"/>
        <w:gridCol w:w="8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984" w:type="dxa"/>
          </w:tcPr>
          <w:p>
            <w:pPr>
              <w:pStyle w:val="17"/>
              <w:spacing w:before="252"/>
              <w:ind w:left="168" w:right="163"/>
              <w:jc w:val="center"/>
              <w:rPr>
                <w:b/>
                <w:sz w:val="30"/>
              </w:rPr>
            </w:pPr>
            <w:r>
              <w:rPr>
                <w:b/>
                <w:sz w:val="30"/>
              </w:rPr>
              <w:t>编号</w:t>
            </w:r>
          </w:p>
        </w:tc>
        <w:tc>
          <w:tcPr>
            <w:tcW w:w="3066" w:type="dxa"/>
          </w:tcPr>
          <w:p>
            <w:pPr>
              <w:pStyle w:val="17"/>
              <w:spacing w:before="252"/>
              <w:ind w:left="459" w:right="452"/>
              <w:jc w:val="center"/>
              <w:rPr>
                <w:b/>
                <w:sz w:val="30"/>
              </w:rPr>
            </w:pPr>
            <w:r>
              <w:rPr>
                <w:b/>
                <w:sz w:val="30"/>
              </w:rPr>
              <w:t>设备材料品种</w:t>
            </w:r>
          </w:p>
        </w:tc>
        <w:tc>
          <w:tcPr>
            <w:tcW w:w="8351" w:type="dxa"/>
          </w:tcPr>
          <w:p>
            <w:pPr>
              <w:pStyle w:val="17"/>
              <w:spacing w:before="252"/>
              <w:ind w:left="2193" w:right="2186"/>
              <w:jc w:val="center"/>
              <w:rPr>
                <w:b/>
                <w:sz w:val="30"/>
              </w:rPr>
            </w:pPr>
            <w:r>
              <w:rPr>
                <w:b/>
                <w:sz w:val="30"/>
              </w:rPr>
              <w:t>正常使用参考品牌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Merge w:val="restart"/>
            <w:vAlign w:val="center"/>
          </w:tcPr>
          <w:p>
            <w:pPr>
              <w:jc w:val="center"/>
              <w:rPr>
                <w:sz w:val="30"/>
                <w:szCs w:val="30"/>
              </w:rPr>
            </w:pPr>
            <w:r>
              <w:rPr>
                <w:sz w:val="30"/>
                <w:szCs w:val="30"/>
              </w:rPr>
              <w:t>401</w:t>
            </w:r>
          </w:p>
        </w:tc>
        <w:tc>
          <w:tcPr>
            <w:tcW w:w="3066" w:type="dxa"/>
            <w:vMerge w:val="restart"/>
            <w:vAlign w:val="center"/>
          </w:tcPr>
          <w:p>
            <w:pPr>
              <w:jc w:val="center"/>
              <w:rPr>
                <w:sz w:val="30"/>
                <w:szCs w:val="30"/>
              </w:rPr>
            </w:pPr>
            <w:r>
              <w:rPr>
                <w:sz w:val="30"/>
                <w:szCs w:val="30"/>
              </w:rPr>
              <w:t>火灾报警</w:t>
            </w:r>
          </w:p>
        </w:tc>
        <w:tc>
          <w:tcPr>
            <w:tcW w:w="8351" w:type="dxa"/>
            <w:vMerge w:val="restart"/>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sz w:val="30"/>
              </w:rPr>
              <w:t>北大青鸟、海湾、泛海三江、泰和安科技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Merge w:val="continue"/>
            <w:tcBorders>
              <w:top w:val="nil"/>
            </w:tcBorders>
            <w:vAlign w:val="center"/>
          </w:tcPr>
          <w:p>
            <w:pPr>
              <w:jc w:val="center"/>
              <w:rPr>
                <w:sz w:val="30"/>
                <w:szCs w:val="30"/>
              </w:rPr>
            </w:pPr>
          </w:p>
        </w:tc>
        <w:tc>
          <w:tcPr>
            <w:tcW w:w="3066" w:type="dxa"/>
            <w:vMerge w:val="continue"/>
            <w:tcBorders>
              <w:top w:val="nil"/>
            </w:tcBorders>
            <w:vAlign w:val="center"/>
          </w:tcPr>
          <w:p>
            <w:pPr>
              <w:jc w:val="center"/>
              <w:rPr>
                <w:sz w:val="30"/>
                <w:szCs w:val="30"/>
              </w:rPr>
            </w:pPr>
          </w:p>
        </w:tc>
        <w:tc>
          <w:tcPr>
            <w:tcW w:w="8351" w:type="dxa"/>
            <w:vMerge w:val="continue"/>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Align w:val="center"/>
          </w:tcPr>
          <w:p>
            <w:pPr>
              <w:jc w:val="center"/>
              <w:rPr>
                <w:sz w:val="30"/>
                <w:szCs w:val="30"/>
              </w:rPr>
            </w:pPr>
            <w:r>
              <w:rPr>
                <w:sz w:val="30"/>
                <w:szCs w:val="30"/>
              </w:rPr>
              <w:t>402</w:t>
            </w:r>
          </w:p>
        </w:tc>
        <w:tc>
          <w:tcPr>
            <w:tcW w:w="3066" w:type="dxa"/>
            <w:vAlign w:val="center"/>
          </w:tcPr>
          <w:p>
            <w:pPr>
              <w:jc w:val="center"/>
              <w:rPr>
                <w:sz w:val="30"/>
                <w:szCs w:val="30"/>
              </w:rPr>
            </w:pPr>
            <w:r>
              <w:rPr>
                <w:sz w:val="30"/>
                <w:szCs w:val="30"/>
              </w:rPr>
              <w:t>联动控制柜</w:t>
            </w:r>
          </w:p>
        </w:tc>
        <w:tc>
          <w:tcPr>
            <w:tcW w:w="8351"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sz w:val="30"/>
              </w:rPr>
              <w:t>泛海三江、海湾、北大青鸟、泰和安科技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Align w:val="center"/>
          </w:tcPr>
          <w:p>
            <w:pPr>
              <w:jc w:val="center"/>
              <w:rPr>
                <w:sz w:val="30"/>
                <w:szCs w:val="30"/>
              </w:rPr>
            </w:pPr>
            <w:r>
              <w:rPr>
                <w:sz w:val="30"/>
                <w:szCs w:val="30"/>
              </w:rPr>
              <w:t>403</w:t>
            </w:r>
          </w:p>
        </w:tc>
        <w:tc>
          <w:tcPr>
            <w:tcW w:w="3066" w:type="dxa"/>
            <w:vAlign w:val="center"/>
          </w:tcPr>
          <w:p>
            <w:pPr>
              <w:jc w:val="center"/>
              <w:rPr>
                <w:sz w:val="30"/>
                <w:szCs w:val="30"/>
              </w:rPr>
            </w:pPr>
            <w:r>
              <w:rPr>
                <w:sz w:val="30"/>
                <w:szCs w:val="30"/>
              </w:rPr>
              <w:t>电气火灾监控</w:t>
            </w:r>
            <w:r>
              <w:rPr>
                <w:rFonts w:hint="eastAsia"/>
                <w:sz w:val="30"/>
                <w:szCs w:val="30"/>
                <w:lang w:eastAsia="zh-CN"/>
              </w:rPr>
              <w:t>、</w:t>
            </w:r>
            <w:r>
              <w:rPr>
                <w:rFonts w:hint="eastAsia"/>
                <w:sz w:val="30"/>
                <w:szCs w:val="30"/>
              </w:rPr>
              <w:t>余压监控</w:t>
            </w:r>
            <w:r>
              <w:rPr>
                <w:rFonts w:hint="eastAsia"/>
                <w:sz w:val="30"/>
                <w:szCs w:val="30"/>
                <w:lang w:eastAsia="zh-CN"/>
              </w:rPr>
              <w:t>、</w:t>
            </w:r>
            <w:r>
              <w:rPr>
                <w:rFonts w:hint="eastAsia"/>
                <w:sz w:val="30"/>
                <w:szCs w:val="30"/>
              </w:rPr>
              <w:t>防火门监控</w:t>
            </w:r>
            <w:r>
              <w:rPr>
                <w:rFonts w:hint="eastAsia"/>
                <w:sz w:val="30"/>
                <w:szCs w:val="30"/>
                <w:lang w:eastAsia="zh-CN"/>
              </w:rPr>
              <w:t>、</w:t>
            </w:r>
            <w:r>
              <w:rPr>
                <w:rFonts w:hint="eastAsia"/>
                <w:sz w:val="30"/>
                <w:szCs w:val="30"/>
              </w:rPr>
              <w:t>消防设备电源监控</w:t>
            </w:r>
          </w:p>
        </w:tc>
        <w:tc>
          <w:tcPr>
            <w:tcW w:w="8351"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rFonts w:hint="eastAsia" w:eastAsia="仿宋"/>
                <w:sz w:val="30"/>
                <w:lang w:eastAsia="zh-CN"/>
              </w:rPr>
            </w:pPr>
            <w:r>
              <w:rPr>
                <w:color w:val="000000" w:themeColor="text1"/>
                <w:sz w:val="30"/>
                <w14:textFill>
                  <w14:solidFill>
                    <w14:schemeClr w14:val="tx1"/>
                  </w14:solidFill>
                </w14:textFill>
              </w:rPr>
              <w:t>上海零线、施耐德、华力特</w:t>
            </w:r>
            <w:r>
              <w:rPr>
                <w:rFonts w:hint="eastAsia"/>
                <w:color w:val="000000" w:themeColor="text1"/>
                <w:sz w:val="30"/>
                <w:lang w:eastAsia="zh-CN"/>
                <w14:textFill>
                  <w14:solidFill>
                    <w14:schemeClr w14:val="tx1"/>
                  </w14:solidFill>
                </w14:textFill>
              </w:rPr>
              <w:t>、</w:t>
            </w:r>
            <w:r>
              <w:rPr>
                <w:rFonts w:hint="eastAsia"/>
                <w:color w:val="000000" w:themeColor="text1"/>
                <w:sz w:val="30"/>
                <w:lang w:val="en-US" w:eastAsia="zh-CN"/>
                <w14:textFill>
                  <w14:solidFill>
                    <w14:schemeClr w14:val="tx1"/>
                  </w14:solidFill>
                </w14:textFill>
              </w:rPr>
              <w:t>北京高森、广州柏安、</w:t>
            </w:r>
            <w:r>
              <w:rPr>
                <w:sz w:val="30"/>
              </w:rPr>
              <w:t>北大青鸟、泛海三江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Merge w:val="restart"/>
            <w:vAlign w:val="center"/>
          </w:tcPr>
          <w:p>
            <w:pPr>
              <w:jc w:val="center"/>
              <w:rPr>
                <w:sz w:val="30"/>
                <w:szCs w:val="30"/>
              </w:rPr>
            </w:pPr>
            <w:r>
              <w:rPr>
                <w:sz w:val="30"/>
                <w:szCs w:val="30"/>
              </w:rPr>
              <w:t>404</w:t>
            </w:r>
          </w:p>
        </w:tc>
        <w:tc>
          <w:tcPr>
            <w:tcW w:w="3066" w:type="dxa"/>
            <w:vMerge w:val="restart"/>
            <w:vAlign w:val="center"/>
          </w:tcPr>
          <w:p>
            <w:pPr>
              <w:jc w:val="center"/>
              <w:rPr>
                <w:rFonts w:hint="default"/>
                <w:sz w:val="30"/>
                <w:szCs w:val="30"/>
                <w:lang w:val="en-US" w:eastAsia="zh-CN"/>
              </w:rPr>
            </w:pPr>
            <w:r>
              <w:rPr>
                <w:sz w:val="30"/>
                <w:szCs w:val="30"/>
              </w:rPr>
              <w:t>UPS主机</w:t>
            </w:r>
          </w:p>
        </w:tc>
        <w:tc>
          <w:tcPr>
            <w:tcW w:w="8351" w:type="dxa"/>
            <w:vMerge w:val="restart"/>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sz w:val="30"/>
              </w:rPr>
              <w:t>索克曼、伊顿-山特、EAST/易事特、志成冠军、科士达、英威腾（INVT）、KELONG/科华技术、华为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Merge w:val="continue"/>
            <w:vAlign w:val="center"/>
          </w:tcPr>
          <w:p>
            <w:pPr>
              <w:jc w:val="center"/>
              <w:rPr>
                <w:sz w:val="30"/>
                <w:szCs w:val="30"/>
              </w:rPr>
            </w:pPr>
          </w:p>
        </w:tc>
        <w:tc>
          <w:tcPr>
            <w:tcW w:w="3066" w:type="dxa"/>
            <w:vMerge w:val="continue"/>
            <w:vAlign w:val="center"/>
          </w:tcPr>
          <w:p>
            <w:pPr>
              <w:jc w:val="center"/>
              <w:rPr>
                <w:sz w:val="30"/>
                <w:szCs w:val="30"/>
              </w:rPr>
            </w:pPr>
          </w:p>
        </w:tc>
        <w:tc>
          <w:tcPr>
            <w:tcW w:w="8351" w:type="dxa"/>
            <w:vMerge w:val="continue"/>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Merge w:val="restart"/>
            <w:vAlign w:val="center"/>
          </w:tcPr>
          <w:p>
            <w:pPr>
              <w:jc w:val="center"/>
              <w:rPr>
                <w:rFonts w:hint="default"/>
                <w:sz w:val="30"/>
                <w:szCs w:val="30"/>
                <w:lang w:val="en-US" w:eastAsia="zh-CN"/>
              </w:rPr>
            </w:pPr>
            <w:r>
              <w:rPr>
                <w:rFonts w:hint="eastAsia"/>
                <w:sz w:val="30"/>
                <w:szCs w:val="30"/>
                <w:lang w:val="en-US" w:eastAsia="zh-CN"/>
              </w:rPr>
              <w:t>405</w:t>
            </w:r>
          </w:p>
        </w:tc>
        <w:tc>
          <w:tcPr>
            <w:tcW w:w="3066" w:type="dxa"/>
            <w:vMerge w:val="restart"/>
            <w:vAlign w:val="center"/>
          </w:tcPr>
          <w:p>
            <w:pPr>
              <w:jc w:val="center"/>
              <w:rPr>
                <w:sz w:val="30"/>
                <w:szCs w:val="30"/>
              </w:rPr>
            </w:pPr>
            <w:r>
              <w:rPr>
                <w:rFonts w:hint="eastAsia"/>
                <w:sz w:val="30"/>
                <w:szCs w:val="30"/>
              </w:rPr>
              <w:t>UPS蓄电池</w:t>
            </w:r>
          </w:p>
        </w:tc>
        <w:tc>
          <w:tcPr>
            <w:tcW w:w="8351" w:type="dxa"/>
            <w:vMerge w:val="restart"/>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rFonts w:hint="default" w:eastAsia="仿宋"/>
                <w:sz w:val="30"/>
                <w:lang w:val="en-US" w:eastAsia="zh-CN"/>
              </w:rPr>
            </w:pPr>
            <w:r>
              <w:rPr>
                <w:rFonts w:hint="eastAsia"/>
                <w:sz w:val="30"/>
              </w:rPr>
              <w:t>理士、圣阳、南都、雄韬、瑞达</w:t>
            </w:r>
            <w:r>
              <w:rPr>
                <w:rFonts w:hint="eastAsia"/>
                <w:sz w:val="30"/>
                <w:lang w:eastAsia="zh-CN"/>
              </w:rPr>
              <w:t>、</w:t>
            </w:r>
            <w:r>
              <w:rPr>
                <w:rFonts w:hint="eastAsia"/>
                <w:sz w:val="30"/>
                <w:highlight w:val="none"/>
                <w:lang w:val="en-US" w:eastAsia="zh-CN"/>
              </w:rPr>
              <w:t>华为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Merge w:val="continue"/>
            <w:vAlign w:val="center"/>
          </w:tcPr>
          <w:p>
            <w:pPr>
              <w:jc w:val="center"/>
              <w:rPr>
                <w:sz w:val="30"/>
                <w:szCs w:val="30"/>
              </w:rPr>
            </w:pPr>
          </w:p>
        </w:tc>
        <w:tc>
          <w:tcPr>
            <w:tcW w:w="3066" w:type="dxa"/>
            <w:vMerge w:val="continue"/>
            <w:vAlign w:val="center"/>
          </w:tcPr>
          <w:p>
            <w:pPr>
              <w:jc w:val="center"/>
              <w:rPr>
                <w:sz w:val="30"/>
                <w:szCs w:val="30"/>
              </w:rPr>
            </w:pPr>
          </w:p>
        </w:tc>
        <w:tc>
          <w:tcPr>
            <w:tcW w:w="8351" w:type="dxa"/>
            <w:vMerge w:val="continue"/>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rFonts w:hint="default" w:eastAsia="仿宋"/>
                <w:sz w:val="3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Merge w:val="restart"/>
            <w:vAlign w:val="center"/>
          </w:tcPr>
          <w:p>
            <w:pPr>
              <w:jc w:val="center"/>
              <w:rPr>
                <w:sz w:val="30"/>
                <w:szCs w:val="30"/>
              </w:rPr>
            </w:pPr>
            <w:r>
              <w:rPr>
                <w:sz w:val="30"/>
                <w:szCs w:val="30"/>
              </w:rPr>
              <w:t>406</w:t>
            </w:r>
          </w:p>
        </w:tc>
        <w:tc>
          <w:tcPr>
            <w:tcW w:w="3066" w:type="dxa"/>
            <w:vMerge w:val="restart"/>
            <w:vAlign w:val="center"/>
          </w:tcPr>
          <w:p>
            <w:pPr>
              <w:jc w:val="center"/>
              <w:rPr>
                <w:sz w:val="30"/>
                <w:szCs w:val="30"/>
              </w:rPr>
            </w:pPr>
            <w:r>
              <w:rPr>
                <w:sz w:val="30"/>
                <w:szCs w:val="30"/>
              </w:rPr>
              <w:t>综合布线</w:t>
            </w:r>
          </w:p>
        </w:tc>
        <w:tc>
          <w:tcPr>
            <w:tcW w:w="8351" w:type="dxa"/>
            <w:vMerge w:val="restart"/>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both"/>
              <w:rPr>
                <w:rFonts w:hint="eastAsia" w:eastAsia="仿宋"/>
                <w:sz w:val="30"/>
                <w:lang w:eastAsia="zh-CN"/>
              </w:rPr>
            </w:pPr>
            <w:r>
              <w:rPr>
                <w:sz w:val="30"/>
              </w:rPr>
              <w:t>耐克森、EMC</w:t>
            </w:r>
            <w:r>
              <w:rPr>
                <w:rFonts w:hint="eastAsia"/>
                <w:sz w:val="30"/>
                <w:lang w:eastAsia="zh-CN"/>
              </w:rPr>
              <w:t>、</w:t>
            </w:r>
            <w:r>
              <w:rPr>
                <w:sz w:val="30"/>
              </w:rPr>
              <w:t>TCL-</w:t>
            </w:r>
            <w:r>
              <w:rPr>
                <w:spacing w:val="-7"/>
                <w:sz w:val="30"/>
              </w:rPr>
              <w:t>罗格朗、松普、普天汉飞、立维腾、</w:t>
            </w:r>
            <w:r>
              <w:rPr>
                <w:sz w:val="30"/>
              </w:rPr>
              <w:t>Telege</w:t>
            </w:r>
            <w:r>
              <w:rPr>
                <w:spacing w:val="-38"/>
                <w:sz w:val="30"/>
              </w:rPr>
              <w:t xml:space="preserve"> 天</w:t>
            </w:r>
            <w:r>
              <w:rPr>
                <w:sz w:val="30"/>
              </w:rPr>
              <w:t>纪、一舟</w:t>
            </w:r>
            <w:r>
              <w:rPr>
                <w:spacing w:val="-7"/>
                <w:sz w:val="30"/>
              </w:rPr>
              <w:t>、</w:t>
            </w:r>
            <w:r>
              <w:rPr>
                <w:color w:val="000000"/>
                <w:spacing w:val="-7"/>
                <w:sz w:val="30"/>
                <w:lang w:val="en-US" w:bidi="ar"/>
              </w:rPr>
              <w:t>睿迈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Merge w:val="continue"/>
            <w:tcBorders>
              <w:top w:val="nil"/>
            </w:tcBorders>
            <w:vAlign w:val="center"/>
          </w:tcPr>
          <w:p>
            <w:pPr>
              <w:jc w:val="center"/>
              <w:rPr>
                <w:sz w:val="30"/>
                <w:szCs w:val="30"/>
              </w:rPr>
            </w:pPr>
          </w:p>
        </w:tc>
        <w:tc>
          <w:tcPr>
            <w:tcW w:w="3066" w:type="dxa"/>
            <w:vMerge w:val="continue"/>
            <w:tcBorders>
              <w:top w:val="nil"/>
            </w:tcBorders>
            <w:vAlign w:val="center"/>
          </w:tcPr>
          <w:p>
            <w:pPr>
              <w:jc w:val="center"/>
              <w:rPr>
                <w:sz w:val="30"/>
                <w:szCs w:val="30"/>
              </w:rPr>
            </w:pPr>
          </w:p>
        </w:tc>
        <w:tc>
          <w:tcPr>
            <w:tcW w:w="8351" w:type="dxa"/>
            <w:vMerge w:val="continue"/>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both"/>
              <w:rPr>
                <w:rFonts w:hint="eastAsia" w:eastAsia="仿宋"/>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Align w:val="center"/>
          </w:tcPr>
          <w:p>
            <w:pPr>
              <w:jc w:val="center"/>
              <w:rPr>
                <w:sz w:val="30"/>
                <w:szCs w:val="30"/>
              </w:rPr>
            </w:pPr>
            <w:r>
              <w:rPr>
                <w:sz w:val="30"/>
                <w:szCs w:val="30"/>
              </w:rPr>
              <w:t>407</w:t>
            </w:r>
          </w:p>
        </w:tc>
        <w:tc>
          <w:tcPr>
            <w:tcW w:w="3066" w:type="dxa"/>
            <w:vAlign w:val="center"/>
          </w:tcPr>
          <w:p>
            <w:pPr>
              <w:jc w:val="center"/>
              <w:rPr>
                <w:sz w:val="30"/>
                <w:szCs w:val="30"/>
              </w:rPr>
            </w:pPr>
            <w:r>
              <w:rPr>
                <w:sz w:val="30"/>
                <w:szCs w:val="30"/>
              </w:rPr>
              <w:t>电力监控系统</w:t>
            </w:r>
            <w:r>
              <w:rPr>
                <w:sz w:val="30"/>
                <w:szCs w:val="30"/>
              </w:rPr>
              <w:br w:type="textWrapping"/>
            </w:r>
            <w:r>
              <w:rPr>
                <w:sz w:val="30"/>
                <w:szCs w:val="30"/>
              </w:rPr>
              <w:t>（含仪表及能耗监测等）</w:t>
            </w:r>
          </w:p>
        </w:tc>
        <w:tc>
          <w:tcPr>
            <w:tcW w:w="8351"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sz w:val="30"/>
              </w:rPr>
              <w:t>深圳中电、珠海派诺、南京天溯、海亿达、华力特、康必达、江苏斯菲尔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Align w:val="center"/>
          </w:tcPr>
          <w:p>
            <w:pPr>
              <w:jc w:val="center"/>
              <w:rPr>
                <w:sz w:val="30"/>
                <w:szCs w:val="30"/>
              </w:rPr>
            </w:pPr>
            <w:r>
              <w:rPr>
                <w:sz w:val="30"/>
                <w:szCs w:val="30"/>
              </w:rPr>
              <w:t>408</w:t>
            </w:r>
          </w:p>
        </w:tc>
        <w:tc>
          <w:tcPr>
            <w:tcW w:w="3066" w:type="dxa"/>
            <w:vAlign w:val="center"/>
          </w:tcPr>
          <w:p>
            <w:pPr>
              <w:jc w:val="center"/>
              <w:rPr>
                <w:sz w:val="30"/>
                <w:szCs w:val="30"/>
              </w:rPr>
            </w:pPr>
            <w:r>
              <w:rPr>
                <w:sz w:val="30"/>
                <w:szCs w:val="30"/>
              </w:rPr>
              <w:t>楼宇自控</w:t>
            </w:r>
          </w:p>
        </w:tc>
        <w:tc>
          <w:tcPr>
            <w:tcW w:w="8351"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sz w:val="30"/>
              </w:rPr>
              <w:t>西门子、施耐德、霍尼韦尔、杰夫瑞尔</w:t>
            </w:r>
            <w:r>
              <w:rPr>
                <w:rFonts w:hint="eastAsia"/>
                <w:sz w:val="30"/>
              </w:rPr>
              <w:t>、</w:t>
            </w:r>
            <w:r>
              <w:rPr>
                <w:sz w:val="30"/>
              </w:rPr>
              <w:t>江森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7" w:hRule="atLeast"/>
        </w:trPr>
        <w:tc>
          <w:tcPr>
            <w:tcW w:w="984" w:type="dxa"/>
            <w:vAlign w:val="center"/>
          </w:tcPr>
          <w:p>
            <w:pPr>
              <w:jc w:val="center"/>
              <w:rPr>
                <w:sz w:val="30"/>
                <w:szCs w:val="30"/>
              </w:rPr>
            </w:pPr>
            <w:r>
              <w:rPr>
                <w:sz w:val="30"/>
                <w:szCs w:val="30"/>
              </w:rPr>
              <w:t>409</w:t>
            </w:r>
          </w:p>
        </w:tc>
        <w:tc>
          <w:tcPr>
            <w:tcW w:w="3066" w:type="dxa"/>
            <w:vAlign w:val="center"/>
          </w:tcPr>
          <w:p>
            <w:pPr>
              <w:jc w:val="center"/>
              <w:rPr>
                <w:sz w:val="30"/>
                <w:szCs w:val="30"/>
              </w:rPr>
            </w:pPr>
            <w:r>
              <w:rPr>
                <w:sz w:val="30"/>
                <w:szCs w:val="30"/>
              </w:rPr>
              <w:t>门禁、人行通道闸及访客管理系统系统</w:t>
            </w:r>
          </w:p>
        </w:tc>
        <w:tc>
          <w:tcPr>
            <w:tcW w:w="8351"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sz w:val="30"/>
              </w:rPr>
              <w:t>达实、SAFTOP、科松、披克、光启、速力思、深圳捷顺、旺龙、富士、车安、深圳方大、门吉利、立方、上海汉军、厦门科拓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Align w:val="center"/>
          </w:tcPr>
          <w:p>
            <w:pPr>
              <w:jc w:val="center"/>
              <w:rPr>
                <w:rFonts w:hint="default"/>
                <w:sz w:val="30"/>
                <w:szCs w:val="30"/>
                <w:lang w:val="en-US" w:eastAsia="zh-CN"/>
              </w:rPr>
            </w:pPr>
            <w:r>
              <w:rPr>
                <w:rFonts w:hint="eastAsia"/>
                <w:sz w:val="30"/>
                <w:szCs w:val="30"/>
                <w:lang w:val="en-US" w:eastAsia="zh-CN"/>
              </w:rPr>
              <w:t>410</w:t>
            </w:r>
          </w:p>
        </w:tc>
        <w:tc>
          <w:tcPr>
            <w:tcW w:w="3066" w:type="dxa"/>
            <w:vAlign w:val="center"/>
          </w:tcPr>
          <w:p>
            <w:pPr>
              <w:jc w:val="center"/>
              <w:rPr>
                <w:sz w:val="30"/>
                <w:szCs w:val="30"/>
              </w:rPr>
            </w:pPr>
            <w:r>
              <w:rPr>
                <w:sz w:val="30"/>
                <w:szCs w:val="30"/>
              </w:rPr>
              <w:t>停车场管理系统（含出入口管理、中央收费、车位引导、反向寻车）</w:t>
            </w:r>
          </w:p>
        </w:tc>
        <w:tc>
          <w:tcPr>
            <w:tcW w:w="8351"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both"/>
              <w:rPr>
                <w:sz w:val="30"/>
                <w:lang w:val="en-US"/>
              </w:rPr>
            </w:pPr>
            <w:r>
              <w:rPr>
                <w:sz w:val="30"/>
              </w:rPr>
              <w:t>深圳捷顺、深圳博思高、深圳富士FUJICA、广东艾科AKE、日电（香港ACE日电自动系统）、车安、厦门科拓、立方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Merge w:val="restart"/>
            <w:vAlign w:val="center"/>
          </w:tcPr>
          <w:p>
            <w:pPr>
              <w:jc w:val="center"/>
              <w:rPr>
                <w:sz w:val="30"/>
                <w:szCs w:val="30"/>
              </w:rPr>
            </w:pPr>
            <w:r>
              <w:rPr>
                <w:rFonts w:hint="eastAsia"/>
                <w:sz w:val="30"/>
                <w:szCs w:val="30"/>
                <w:lang w:val="en-US" w:eastAsia="zh-CN"/>
              </w:rPr>
              <w:t>411</w:t>
            </w:r>
          </w:p>
        </w:tc>
        <w:tc>
          <w:tcPr>
            <w:tcW w:w="3066" w:type="dxa"/>
            <w:vMerge w:val="restart"/>
            <w:vAlign w:val="center"/>
          </w:tcPr>
          <w:p>
            <w:pPr>
              <w:jc w:val="center"/>
              <w:rPr>
                <w:sz w:val="30"/>
                <w:szCs w:val="30"/>
              </w:rPr>
            </w:pPr>
            <w:r>
              <w:rPr>
                <w:sz w:val="30"/>
                <w:szCs w:val="30"/>
              </w:rPr>
              <w:t>摄像机</w:t>
            </w:r>
          </w:p>
        </w:tc>
        <w:tc>
          <w:tcPr>
            <w:tcW w:w="8351" w:type="dxa"/>
            <w:vMerge w:val="restart"/>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sz w:val="30"/>
              </w:rPr>
              <w:t>华为、宇视、海康威视、大华、英飞拓、LG、科达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Merge w:val="continue"/>
            <w:tcBorders>
              <w:top w:val="nil"/>
              <w:bottom w:val="single" w:color="auto" w:sz="4" w:space="0"/>
            </w:tcBorders>
            <w:vAlign w:val="center"/>
          </w:tcPr>
          <w:p>
            <w:pPr>
              <w:jc w:val="center"/>
              <w:rPr>
                <w:sz w:val="30"/>
                <w:szCs w:val="30"/>
              </w:rPr>
            </w:pPr>
          </w:p>
        </w:tc>
        <w:tc>
          <w:tcPr>
            <w:tcW w:w="3066" w:type="dxa"/>
            <w:vMerge w:val="continue"/>
            <w:tcBorders>
              <w:top w:val="nil"/>
              <w:bottom w:val="single" w:color="auto" w:sz="4" w:space="0"/>
            </w:tcBorders>
            <w:vAlign w:val="center"/>
          </w:tcPr>
          <w:p>
            <w:pPr>
              <w:jc w:val="center"/>
              <w:rPr>
                <w:sz w:val="30"/>
                <w:szCs w:val="30"/>
              </w:rPr>
            </w:pPr>
          </w:p>
        </w:tc>
        <w:tc>
          <w:tcPr>
            <w:tcW w:w="8351" w:type="dxa"/>
            <w:vMerge w:val="continue"/>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default"/>
                <w:sz w:val="30"/>
                <w:szCs w:val="30"/>
                <w:lang w:val="en-US" w:eastAsia="zh-CN"/>
              </w:rPr>
            </w:pPr>
            <w:r>
              <w:rPr>
                <w:sz w:val="30"/>
                <w:szCs w:val="30"/>
              </w:rPr>
              <w:t>412</w:t>
            </w:r>
          </w:p>
        </w:tc>
        <w:tc>
          <w:tcPr>
            <w:tcW w:w="3066" w:type="dxa"/>
            <w:tcBorders>
              <w:top w:val="single" w:color="auto" w:sz="4" w:space="0"/>
              <w:left w:val="single" w:color="auto" w:sz="4" w:space="0"/>
              <w:bottom w:val="single" w:color="auto" w:sz="4" w:space="0"/>
              <w:right w:val="single" w:color="auto" w:sz="4" w:space="0"/>
            </w:tcBorders>
            <w:vAlign w:val="center"/>
          </w:tcPr>
          <w:p>
            <w:pPr>
              <w:jc w:val="center"/>
              <w:rPr>
                <w:sz w:val="30"/>
                <w:szCs w:val="30"/>
              </w:rPr>
            </w:pPr>
            <w:r>
              <w:rPr>
                <w:sz w:val="30"/>
                <w:szCs w:val="30"/>
              </w:rPr>
              <w:t>数字监控系统</w:t>
            </w:r>
            <w:r>
              <w:rPr>
                <w:sz w:val="30"/>
                <w:szCs w:val="30"/>
              </w:rPr>
              <w:br w:type="textWrapping"/>
            </w:r>
            <w:r>
              <w:rPr>
                <w:sz w:val="30"/>
                <w:szCs w:val="30"/>
              </w:rPr>
              <w:t>（含IP摄像机、磁盘阵列存储、管理主机等）</w:t>
            </w:r>
          </w:p>
        </w:tc>
        <w:tc>
          <w:tcPr>
            <w:tcW w:w="8351" w:type="dxa"/>
            <w:tcBorders>
              <w:lef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both"/>
              <w:textAlignment w:val="center"/>
              <w:rPr>
                <w:sz w:val="30"/>
              </w:rPr>
            </w:pPr>
            <w:r>
              <w:rPr>
                <w:sz w:val="30"/>
              </w:rPr>
              <w:t>华为、宇视、海康威视、大华、</w:t>
            </w:r>
            <w:r>
              <w:rPr>
                <w:rFonts w:hint="eastAsia"/>
                <w:sz w:val="30"/>
                <w:lang w:val="en-US" w:eastAsia="zh-CN"/>
              </w:rPr>
              <w:t>天地伟业、</w:t>
            </w:r>
            <w:r>
              <w:rPr>
                <w:sz w:val="30"/>
              </w:rPr>
              <w:t>英飞拓、科达、H3C新华三（原华三）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tcBorders>
              <w:top w:val="single" w:color="auto" w:sz="4" w:space="0"/>
              <w:left w:val="single" w:color="auto" w:sz="4" w:space="0"/>
              <w:bottom w:val="single" w:color="auto" w:sz="4" w:space="0"/>
              <w:right w:val="single" w:color="auto" w:sz="4" w:space="0"/>
            </w:tcBorders>
            <w:vAlign w:val="center"/>
          </w:tcPr>
          <w:p>
            <w:pPr>
              <w:jc w:val="center"/>
              <w:rPr>
                <w:sz w:val="30"/>
                <w:szCs w:val="30"/>
              </w:rPr>
            </w:pPr>
            <w:r>
              <w:rPr>
                <w:sz w:val="30"/>
                <w:szCs w:val="30"/>
              </w:rPr>
              <w:t>413</w:t>
            </w:r>
          </w:p>
        </w:tc>
        <w:tc>
          <w:tcPr>
            <w:tcW w:w="3066" w:type="dxa"/>
            <w:tcBorders>
              <w:top w:val="single" w:color="auto" w:sz="4" w:space="0"/>
              <w:left w:val="single" w:color="auto" w:sz="4" w:space="0"/>
              <w:bottom w:val="single" w:color="auto" w:sz="4" w:space="0"/>
              <w:right w:val="single" w:color="auto" w:sz="4" w:space="0"/>
            </w:tcBorders>
            <w:vAlign w:val="center"/>
          </w:tcPr>
          <w:p>
            <w:pPr>
              <w:jc w:val="center"/>
              <w:rPr>
                <w:sz w:val="30"/>
                <w:szCs w:val="30"/>
              </w:rPr>
            </w:pPr>
            <w:r>
              <w:rPr>
                <w:sz w:val="30"/>
                <w:szCs w:val="30"/>
              </w:rPr>
              <w:t>磁盘阵列存储</w:t>
            </w:r>
          </w:p>
        </w:tc>
        <w:tc>
          <w:tcPr>
            <w:tcW w:w="8351" w:type="dxa"/>
            <w:tcBorders>
              <w:left w:val="single" w:color="auto" w:sz="4" w:space="0"/>
            </w:tcBorders>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sz w:val="30"/>
              </w:rPr>
              <w:t>H3C(新华三)、博世、霍尼韦尔、大华、海康威视、华为、宇视、科达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tcBorders>
              <w:top w:val="single" w:color="auto" w:sz="4" w:space="0"/>
              <w:left w:val="single" w:color="auto" w:sz="4" w:space="0"/>
              <w:bottom w:val="single" w:color="auto" w:sz="4" w:space="0"/>
              <w:right w:val="single" w:color="auto" w:sz="4" w:space="0"/>
            </w:tcBorders>
            <w:vAlign w:val="center"/>
          </w:tcPr>
          <w:p>
            <w:pPr>
              <w:jc w:val="center"/>
              <w:rPr>
                <w:sz w:val="30"/>
                <w:szCs w:val="30"/>
              </w:rPr>
            </w:pPr>
            <w:r>
              <w:rPr>
                <w:sz w:val="30"/>
                <w:szCs w:val="30"/>
              </w:rPr>
              <w:t>414</w:t>
            </w:r>
          </w:p>
        </w:tc>
        <w:tc>
          <w:tcPr>
            <w:tcW w:w="3066" w:type="dxa"/>
            <w:tcBorders>
              <w:top w:val="single" w:color="auto" w:sz="4" w:space="0"/>
              <w:left w:val="single" w:color="auto" w:sz="4" w:space="0"/>
              <w:bottom w:val="single" w:color="auto" w:sz="4" w:space="0"/>
              <w:right w:val="single" w:color="auto" w:sz="4" w:space="0"/>
            </w:tcBorders>
            <w:vAlign w:val="center"/>
          </w:tcPr>
          <w:p>
            <w:pPr>
              <w:jc w:val="center"/>
              <w:rPr>
                <w:sz w:val="30"/>
                <w:szCs w:val="30"/>
              </w:rPr>
            </w:pPr>
            <w:r>
              <w:rPr>
                <w:sz w:val="30"/>
                <w:szCs w:val="30"/>
              </w:rPr>
              <w:t>硬盘录像机</w:t>
            </w:r>
          </w:p>
        </w:tc>
        <w:tc>
          <w:tcPr>
            <w:tcW w:w="8351" w:type="dxa"/>
            <w:tcBorders>
              <w:left w:val="single" w:color="auto" w:sz="4" w:space="0"/>
            </w:tcBorders>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sz w:val="30"/>
              </w:rPr>
              <w:t>海康威视、大华、英飞拓、霍尼韦尔、科达、金宏威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Align w:val="center"/>
          </w:tcPr>
          <w:p>
            <w:pPr>
              <w:jc w:val="center"/>
              <w:rPr>
                <w:sz w:val="30"/>
                <w:szCs w:val="30"/>
              </w:rPr>
            </w:pPr>
            <w:r>
              <w:rPr>
                <w:sz w:val="30"/>
                <w:szCs w:val="30"/>
              </w:rPr>
              <w:t>415</w:t>
            </w:r>
          </w:p>
        </w:tc>
        <w:tc>
          <w:tcPr>
            <w:tcW w:w="3066" w:type="dxa"/>
            <w:vAlign w:val="center"/>
          </w:tcPr>
          <w:p>
            <w:pPr>
              <w:jc w:val="center"/>
              <w:rPr>
                <w:sz w:val="30"/>
                <w:szCs w:val="30"/>
              </w:rPr>
            </w:pPr>
            <w:r>
              <w:rPr>
                <w:sz w:val="30"/>
                <w:szCs w:val="30"/>
              </w:rPr>
              <w:t>矩阵</w:t>
            </w:r>
          </w:p>
        </w:tc>
        <w:tc>
          <w:tcPr>
            <w:tcW w:w="8351"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sz w:val="30"/>
              </w:rPr>
              <w:t>博世、霍尼韦尔、英飞拓、大华、派尔高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Align w:val="center"/>
          </w:tcPr>
          <w:p>
            <w:pPr>
              <w:jc w:val="center"/>
              <w:rPr>
                <w:sz w:val="30"/>
                <w:szCs w:val="30"/>
              </w:rPr>
            </w:pPr>
            <w:r>
              <w:rPr>
                <w:sz w:val="30"/>
                <w:szCs w:val="30"/>
              </w:rPr>
              <w:t>416</w:t>
            </w:r>
          </w:p>
        </w:tc>
        <w:tc>
          <w:tcPr>
            <w:tcW w:w="3066" w:type="dxa"/>
            <w:vAlign w:val="center"/>
          </w:tcPr>
          <w:p>
            <w:pPr>
              <w:jc w:val="center"/>
              <w:rPr>
                <w:sz w:val="30"/>
                <w:szCs w:val="30"/>
              </w:rPr>
            </w:pPr>
            <w:r>
              <w:rPr>
                <w:sz w:val="30"/>
                <w:szCs w:val="30"/>
              </w:rPr>
              <w:t>光端机</w:t>
            </w:r>
          </w:p>
        </w:tc>
        <w:tc>
          <w:tcPr>
            <w:tcW w:w="8351"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sz w:val="30"/>
              </w:rPr>
              <w:t>派尔高、华为、中兴、英飞拓、洪迪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Align w:val="center"/>
          </w:tcPr>
          <w:p>
            <w:pPr>
              <w:jc w:val="center"/>
              <w:rPr>
                <w:sz w:val="30"/>
                <w:szCs w:val="30"/>
              </w:rPr>
            </w:pPr>
            <w:r>
              <w:rPr>
                <w:rFonts w:hint="eastAsia"/>
                <w:sz w:val="30"/>
                <w:szCs w:val="30"/>
                <w:lang w:val="en-US" w:eastAsia="zh-CN"/>
              </w:rPr>
              <w:t>417</w:t>
            </w:r>
          </w:p>
        </w:tc>
        <w:tc>
          <w:tcPr>
            <w:tcW w:w="3066" w:type="dxa"/>
            <w:vAlign w:val="center"/>
          </w:tcPr>
          <w:p>
            <w:pPr>
              <w:jc w:val="center"/>
              <w:rPr>
                <w:sz w:val="30"/>
                <w:szCs w:val="30"/>
              </w:rPr>
            </w:pPr>
            <w:r>
              <w:rPr>
                <w:sz w:val="30"/>
                <w:szCs w:val="30"/>
              </w:rPr>
              <w:t>网络交换机</w:t>
            </w:r>
          </w:p>
          <w:p>
            <w:pPr>
              <w:jc w:val="center"/>
              <w:rPr>
                <w:sz w:val="30"/>
                <w:szCs w:val="30"/>
              </w:rPr>
            </w:pPr>
            <w:r>
              <w:rPr>
                <w:rFonts w:hint="eastAsia"/>
                <w:sz w:val="30"/>
                <w:szCs w:val="30"/>
              </w:rPr>
              <w:t>（</w:t>
            </w:r>
            <w:r>
              <w:rPr>
                <w:rFonts w:hint="eastAsia"/>
                <w:sz w:val="30"/>
                <w:szCs w:val="30"/>
                <w:lang w:val="en-US"/>
              </w:rPr>
              <w:t>含路由器</w:t>
            </w:r>
            <w:r>
              <w:rPr>
                <w:rFonts w:hint="eastAsia"/>
                <w:sz w:val="30"/>
                <w:szCs w:val="30"/>
              </w:rPr>
              <w:t>）</w:t>
            </w:r>
          </w:p>
        </w:tc>
        <w:tc>
          <w:tcPr>
            <w:tcW w:w="8351"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sz w:val="30"/>
              </w:rPr>
              <w:t>华为、H3C新华三（原华三）、中兴、锐捷、深信服科技、海康威视、信锐技术、天融信、蓝盾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Align w:val="center"/>
          </w:tcPr>
          <w:p>
            <w:pPr>
              <w:jc w:val="center"/>
              <w:rPr>
                <w:rFonts w:hint="default"/>
                <w:sz w:val="30"/>
                <w:szCs w:val="30"/>
                <w:lang w:val="en-US" w:eastAsia="zh-CN"/>
              </w:rPr>
            </w:pPr>
            <w:r>
              <w:rPr>
                <w:rFonts w:hint="eastAsia"/>
                <w:sz w:val="30"/>
                <w:szCs w:val="30"/>
                <w:lang w:val="en-US" w:eastAsia="zh-CN"/>
              </w:rPr>
              <w:t>418</w:t>
            </w:r>
          </w:p>
        </w:tc>
        <w:tc>
          <w:tcPr>
            <w:tcW w:w="3066" w:type="dxa"/>
            <w:vAlign w:val="center"/>
          </w:tcPr>
          <w:p>
            <w:pPr>
              <w:jc w:val="center"/>
              <w:rPr>
                <w:sz w:val="30"/>
                <w:szCs w:val="30"/>
              </w:rPr>
            </w:pPr>
            <w:r>
              <w:rPr>
                <w:sz w:val="30"/>
                <w:szCs w:val="30"/>
              </w:rPr>
              <w:t>电话程控交换机</w:t>
            </w:r>
          </w:p>
        </w:tc>
        <w:tc>
          <w:tcPr>
            <w:tcW w:w="8351"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both"/>
              <w:textAlignment w:val="center"/>
              <w:rPr>
                <w:sz w:val="30"/>
              </w:rPr>
            </w:pPr>
            <w:r>
              <w:rPr>
                <w:sz w:val="30"/>
              </w:rPr>
              <w:t>TCL、中联、中兴、华为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Align w:val="center"/>
          </w:tcPr>
          <w:p>
            <w:pPr>
              <w:jc w:val="center"/>
              <w:rPr>
                <w:rFonts w:hint="default"/>
                <w:sz w:val="30"/>
                <w:szCs w:val="30"/>
                <w:lang w:val="en-US" w:eastAsia="zh-CN"/>
              </w:rPr>
            </w:pPr>
            <w:r>
              <w:rPr>
                <w:rFonts w:hint="eastAsia"/>
                <w:sz w:val="30"/>
                <w:szCs w:val="30"/>
                <w:lang w:val="en-US" w:eastAsia="zh-CN"/>
              </w:rPr>
              <w:t>419</w:t>
            </w:r>
          </w:p>
        </w:tc>
        <w:tc>
          <w:tcPr>
            <w:tcW w:w="3066" w:type="dxa"/>
            <w:vAlign w:val="center"/>
          </w:tcPr>
          <w:p>
            <w:pPr>
              <w:jc w:val="center"/>
              <w:rPr>
                <w:sz w:val="30"/>
                <w:szCs w:val="30"/>
              </w:rPr>
            </w:pPr>
            <w:r>
              <w:rPr>
                <w:sz w:val="30"/>
                <w:szCs w:val="30"/>
              </w:rPr>
              <w:t>全光网络设备</w:t>
            </w:r>
            <w:r>
              <w:rPr>
                <w:sz w:val="30"/>
                <w:szCs w:val="30"/>
              </w:rPr>
              <w:br w:type="textWrapping"/>
            </w:r>
            <w:r>
              <w:rPr>
                <w:sz w:val="30"/>
                <w:szCs w:val="30"/>
              </w:rPr>
              <w:t>（含OLT、ONU、分光器、光端机等）</w:t>
            </w:r>
          </w:p>
        </w:tc>
        <w:tc>
          <w:tcPr>
            <w:tcW w:w="8351"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both"/>
              <w:textAlignment w:val="center"/>
              <w:rPr>
                <w:sz w:val="30"/>
              </w:rPr>
            </w:pPr>
            <w:r>
              <w:rPr>
                <w:sz w:val="30"/>
              </w:rPr>
              <w:t>派尔高、华为、中兴通讯、英飞拓、洪迪、烽火通信、日海、普天天纪、同方、天诚、松普、特发信息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Align w:val="center"/>
          </w:tcPr>
          <w:p>
            <w:pPr>
              <w:jc w:val="center"/>
              <w:rPr>
                <w:rFonts w:hint="default"/>
                <w:sz w:val="30"/>
                <w:szCs w:val="30"/>
                <w:lang w:val="en-US" w:eastAsia="zh-CN"/>
              </w:rPr>
            </w:pPr>
            <w:r>
              <w:rPr>
                <w:sz w:val="30"/>
                <w:szCs w:val="30"/>
              </w:rPr>
              <w:t>4</w:t>
            </w:r>
            <w:r>
              <w:rPr>
                <w:rFonts w:hint="eastAsia"/>
                <w:sz w:val="30"/>
                <w:szCs w:val="30"/>
                <w:lang w:val="en-US" w:eastAsia="zh-CN"/>
              </w:rPr>
              <w:t>20</w:t>
            </w:r>
          </w:p>
        </w:tc>
        <w:tc>
          <w:tcPr>
            <w:tcW w:w="3066" w:type="dxa"/>
            <w:vAlign w:val="center"/>
          </w:tcPr>
          <w:p>
            <w:pPr>
              <w:jc w:val="center"/>
              <w:rPr>
                <w:sz w:val="30"/>
                <w:szCs w:val="30"/>
              </w:rPr>
            </w:pPr>
            <w:r>
              <w:rPr>
                <w:sz w:val="30"/>
                <w:szCs w:val="30"/>
              </w:rPr>
              <w:t>信息发布屏/拼接屏</w:t>
            </w:r>
          </w:p>
        </w:tc>
        <w:tc>
          <w:tcPr>
            <w:tcW w:w="8351"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both"/>
              <w:textAlignment w:val="center"/>
              <w:rPr>
                <w:sz w:val="30"/>
              </w:rPr>
            </w:pPr>
            <w:r>
              <w:rPr>
                <w:sz w:val="30"/>
              </w:rPr>
              <w:t>TCL、创维、响石、飞利浦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Align w:val="center"/>
          </w:tcPr>
          <w:p>
            <w:pPr>
              <w:jc w:val="center"/>
              <w:rPr>
                <w:rFonts w:hint="default"/>
                <w:sz w:val="30"/>
                <w:szCs w:val="30"/>
                <w:lang w:val="en-US" w:eastAsia="zh-CN"/>
              </w:rPr>
            </w:pPr>
            <w:r>
              <w:rPr>
                <w:sz w:val="30"/>
                <w:szCs w:val="30"/>
              </w:rPr>
              <w:t>421</w:t>
            </w:r>
          </w:p>
        </w:tc>
        <w:tc>
          <w:tcPr>
            <w:tcW w:w="3066" w:type="dxa"/>
            <w:vAlign w:val="center"/>
          </w:tcPr>
          <w:p>
            <w:pPr>
              <w:jc w:val="center"/>
              <w:rPr>
                <w:sz w:val="30"/>
                <w:szCs w:val="30"/>
              </w:rPr>
            </w:pPr>
            <w:r>
              <w:rPr>
                <w:sz w:val="30"/>
                <w:szCs w:val="30"/>
              </w:rPr>
              <w:t>监视器</w:t>
            </w:r>
          </w:p>
        </w:tc>
        <w:tc>
          <w:tcPr>
            <w:tcW w:w="8351"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sz w:val="30"/>
              </w:rPr>
              <w:t>创维、响石、大华、TCL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Align w:val="center"/>
          </w:tcPr>
          <w:p>
            <w:pPr>
              <w:jc w:val="center"/>
              <w:rPr>
                <w:rFonts w:hint="eastAsia"/>
                <w:sz w:val="30"/>
                <w:szCs w:val="30"/>
                <w:lang w:val="en-US" w:eastAsia="zh-CN"/>
              </w:rPr>
            </w:pPr>
            <w:r>
              <w:rPr>
                <w:rFonts w:hint="eastAsia"/>
                <w:sz w:val="30"/>
                <w:szCs w:val="30"/>
                <w:lang w:val="en-US" w:eastAsia="zh-CN"/>
              </w:rPr>
              <w:t>423</w:t>
            </w:r>
          </w:p>
        </w:tc>
        <w:tc>
          <w:tcPr>
            <w:tcW w:w="3066" w:type="dxa"/>
            <w:vAlign w:val="center"/>
          </w:tcPr>
          <w:p>
            <w:pPr>
              <w:jc w:val="center"/>
              <w:rPr>
                <w:rFonts w:hint="eastAsia"/>
                <w:sz w:val="30"/>
                <w:szCs w:val="30"/>
                <w:lang w:val="en-US" w:eastAsia="zh-CN"/>
              </w:rPr>
            </w:pPr>
            <w:r>
              <w:rPr>
                <w:rFonts w:hint="eastAsia"/>
                <w:sz w:val="30"/>
                <w:szCs w:val="30"/>
                <w:lang w:val="en-US" w:eastAsia="zh-CN"/>
              </w:rPr>
              <w:t>防盗报警</w:t>
            </w:r>
          </w:p>
        </w:tc>
        <w:tc>
          <w:tcPr>
            <w:tcW w:w="8351"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sz w:val="30"/>
              </w:rPr>
              <w:t>霍尼韦尔、博世、艾礼富、PARADOX</w:t>
            </w:r>
            <w:r>
              <w:rPr>
                <w:rFonts w:hint="eastAsia"/>
                <w:sz w:val="30"/>
              </w:rPr>
              <w:t>、泰科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Align w:val="center"/>
          </w:tcPr>
          <w:p>
            <w:pPr>
              <w:jc w:val="center"/>
              <w:rPr>
                <w:rFonts w:hint="default"/>
                <w:sz w:val="30"/>
                <w:szCs w:val="30"/>
                <w:lang w:val="en-US" w:eastAsia="zh-CN"/>
              </w:rPr>
            </w:pPr>
            <w:r>
              <w:rPr>
                <w:rFonts w:hint="eastAsia"/>
                <w:sz w:val="30"/>
                <w:szCs w:val="30"/>
                <w:lang w:val="en-US" w:eastAsia="zh-CN"/>
              </w:rPr>
              <w:t>424</w:t>
            </w:r>
          </w:p>
        </w:tc>
        <w:tc>
          <w:tcPr>
            <w:tcW w:w="3066" w:type="dxa"/>
            <w:vAlign w:val="center"/>
          </w:tcPr>
          <w:p>
            <w:pPr>
              <w:jc w:val="center"/>
              <w:rPr>
                <w:sz w:val="30"/>
                <w:szCs w:val="30"/>
              </w:rPr>
            </w:pPr>
            <w:r>
              <w:rPr>
                <w:sz w:val="30"/>
                <w:szCs w:val="30"/>
              </w:rPr>
              <w:t>电子巡更系统</w:t>
            </w:r>
          </w:p>
        </w:tc>
        <w:tc>
          <w:tcPr>
            <w:tcW w:w="8351"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both"/>
              <w:rPr>
                <w:sz w:val="30"/>
              </w:rPr>
            </w:pPr>
            <w:r>
              <w:rPr>
                <w:color w:val="000000"/>
                <w:sz w:val="30"/>
              </w:rPr>
              <w:t>威泰</w:t>
            </w:r>
            <w:r>
              <w:rPr>
                <w:sz w:val="30"/>
              </w:rPr>
              <w:t>、</w:t>
            </w:r>
            <w:r>
              <w:rPr>
                <w:color w:val="000000"/>
                <w:sz w:val="30"/>
              </w:rPr>
              <w:t>兰德华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Align w:val="center"/>
          </w:tcPr>
          <w:p>
            <w:pPr>
              <w:jc w:val="center"/>
              <w:rPr>
                <w:rFonts w:hint="eastAsia"/>
                <w:sz w:val="30"/>
                <w:szCs w:val="30"/>
                <w:lang w:val="en-US" w:eastAsia="zh-CN"/>
              </w:rPr>
            </w:pPr>
            <w:r>
              <w:rPr>
                <w:rFonts w:hint="eastAsia"/>
                <w:sz w:val="30"/>
                <w:szCs w:val="30"/>
                <w:lang w:val="en-US" w:eastAsia="zh-CN"/>
              </w:rPr>
              <w:t>427</w:t>
            </w:r>
          </w:p>
        </w:tc>
        <w:tc>
          <w:tcPr>
            <w:tcW w:w="3066" w:type="dxa"/>
            <w:vAlign w:val="center"/>
          </w:tcPr>
          <w:p>
            <w:pPr>
              <w:jc w:val="center"/>
              <w:rPr>
                <w:sz w:val="30"/>
                <w:szCs w:val="30"/>
              </w:rPr>
            </w:pPr>
            <w:r>
              <w:rPr>
                <w:sz w:val="30"/>
                <w:szCs w:val="30"/>
              </w:rPr>
              <w:t>电线（弱电）</w:t>
            </w:r>
          </w:p>
        </w:tc>
        <w:tc>
          <w:tcPr>
            <w:tcW w:w="8351"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spacing w:val="-13"/>
                <w:sz w:val="30"/>
              </w:rPr>
              <w:t>广东长江、</w:t>
            </w:r>
            <w:r>
              <w:rPr>
                <w:sz w:val="30"/>
              </w:rPr>
              <w:t>亨通光电、联嘉</w:t>
            </w:r>
            <w:r>
              <w:rPr>
                <w:spacing w:val="-13"/>
                <w:sz w:val="30"/>
              </w:rPr>
              <w:t>祥、佳信、华亿、帝一</w:t>
            </w:r>
            <w:r>
              <w:rPr>
                <w:sz w:val="30"/>
              </w:rPr>
              <w:t>讯道、标顶、金环宇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Align w:val="center"/>
          </w:tcPr>
          <w:p>
            <w:pPr>
              <w:jc w:val="center"/>
              <w:rPr>
                <w:rFonts w:hint="default"/>
                <w:sz w:val="30"/>
                <w:szCs w:val="30"/>
                <w:lang w:val="en-US" w:eastAsia="zh-CN"/>
              </w:rPr>
            </w:pPr>
            <w:r>
              <w:rPr>
                <w:rFonts w:hint="eastAsia"/>
                <w:sz w:val="30"/>
                <w:szCs w:val="30"/>
                <w:lang w:val="en-US" w:eastAsia="zh-CN"/>
              </w:rPr>
              <w:t>428</w:t>
            </w:r>
          </w:p>
        </w:tc>
        <w:tc>
          <w:tcPr>
            <w:tcW w:w="3066" w:type="dxa"/>
            <w:vAlign w:val="center"/>
          </w:tcPr>
          <w:p>
            <w:pPr>
              <w:jc w:val="center"/>
              <w:rPr>
                <w:sz w:val="30"/>
                <w:szCs w:val="30"/>
              </w:rPr>
            </w:pPr>
            <w:r>
              <w:rPr>
                <w:sz w:val="30"/>
                <w:szCs w:val="30"/>
              </w:rPr>
              <w:t>编解码器及软件</w:t>
            </w:r>
          </w:p>
        </w:tc>
        <w:tc>
          <w:tcPr>
            <w:tcW w:w="8351"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sz w:val="30"/>
              </w:rPr>
              <w:t>英迪高、博世、宇视、华为、霍尼韦尔、科达、海康威视、大华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Align w:val="center"/>
          </w:tcPr>
          <w:p>
            <w:pPr>
              <w:jc w:val="center"/>
              <w:rPr>
                <w:rFonts w:hint="default"/>
                <w:sz w:val="30"/>
                <w:szCs w:val="30"/>
                <w:lang w:val="en-US" w:eastAsia="zh-CN"/>
              </w:rPr>
            </w:pPr>
            <w:r>
              <w:rPr>
                <w:rFonts w:hint="eastAsia"/>
                <w:sz w:val="30"/>
                <w:szCs w:val="30"/>
                <w:lang w:val="en-US" w:eastAsia="zh-CN"/>
              </w:rPr>
              <w:t>431</w:t>
            </w:r>
          </w:p>
        </w:tc>
        <w:tc>
          <w:tcPr>
            <w:tcW w:w="3066" w:type="dxa"/>
            <w:vAlign w:val="center"/>
          </w:tcPr>
          <w:p>
            <w:pPr>
              <w:jc w:val="center"/>
              <w:rPr>
                <w:sz w:val="30"/>
                <w:szCs w:val="30"/>
              </w:rPr>
            </w:pPr>
            <w:r>
              <w:rPr>
                <w:sz w:val="30"/>
                <w:szCs w:val="30"/>
              </w:rPr>
              <w:t>防火墙</w:t>
            </w:r>
          </w:p>
        </w:tc>
        <w:tc>
          <w:tcPr>
            <w:tcW w:w="8351"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spacing w:val="-9"/>
                <w:sz w:val="30"/>
              </w:rPr>
              <w:t>天融信、锐捷、蓝盾、华为、</w:t>
            </w:r>
            <w:r>
              <w:rPr>
                <w:spacing w:val="-5"/>
                <w:sz w:val="30"/>
              </w:rPr>
              <w:t>H3C（</w:t>
            </w:r>
            <w:r>
              <w:rPr>
                <w:sz w:val="30"/>
              </w:rPr>
              <w:t>新华三</w:t>
            </w:r>
            <w:r>
              <w:rPr>
                <w:spacing w:val="-20"/>
                <w:sz w:val="30"/>
              </w:rPr>
              <w:t>）</w:t>
            </w:r>
            <w:r>
              <w:rPr>
                <w:spacing w:val="-6"/>
                <w:sz w:val="30"/>
              </w:rPr>
              <w:t>、深信</w:t>
            </w:r>
          </w:p>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sz w:val="30"/>
              </w:rPr>
              <w:t>服科技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Align w:val="center"/>
          </w:tcPr>
          <w:p>
            <w:pPr>
              <w:jc w:val="center"/>
              <w:rPr>
                <w:rFonts w:hint="eastAsia" w:eastAsia="仿宋"/>
                <w:sz w:val="30"/>
                <w:szCs w:val="30"/>
                <w:lang w:val="en-US" w:eastAsia="zh-CN"/>
              </w:rPr>
            </w:pPr>
            <w:r>
              <w:rPr>
                <w:sz w:val="30"/>
                <w:szCs w:val="30"/>
              </w:rPr>
              <w:t>43</w:t>
            </w:r>
            <w:r>
              <w:rPr>
                <w:rFonts w:hint="eastAsia"/>
                <w:sz w:val="30"/>
                <w:szCs w:val="30"/>
                <w:lang w:val="en-US" w:eastAsia="zh-CN"/>
              </w:rPr>
              <w:t>2</w:t>
            </w:r>
          </w:p>
        </w:tc>
        <w:tc>
          <w:tcPr>
            <w:tcW w:w="3066" w:type="dxa"/>
            <w:vAlign w:val="center"/>
          </w:tcPr>
          <w:p>
            <w:pPr>
              <w:jc w:val="center"/>
              <w:rPr>
                <w:sz w:val="30"/>
                <w:szCs w:val="30"/>
              </w:rPr>
            </w:pPr>
            <w:r>
              <w:rPr>
                <w:sz w:val="30"/>
                <w:szCs w:val="30"/>
              </w:rPr>
              <w:t>服务器</w:t>
            </w:r>
          </w:p>
        </w:tc>
        <w:tc>
          <w:tcPr>
            <w:tcW w:w="8351"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rFonts w:hint="default" w:eastAsia="仿宋"/>
                <w:sz w:val="30"/>
                <w:lang w:val="en-US" w:eastAsia="zh-CN"/>
              </w:rPr>
            </w:pPr>
            <w:r>
              <w:rPr>
                <w:sz w:val="30"/>
              </w:rPr>
              <w:t>HPE（慧与）、华为</w:t>
            </w:r>
            <w:r>
              <w:rPr>
                <w:rFonts w:hint="eastAsia"/>
                <w:sz w:val="30"/>
                <w:lang w:eastAsia="zh-CN"/>
              </w:rPr>
              <w:t>、</w:t>
            </w:r>
            <w:r>
              <w:rPr>
                <w:rFonts w:hint="eastAsia"/>
                <w:sz w:val="30"/>
                <w:lang w:val="en-US" w:eastAsia="zh-CN"/>
              </w:rPr>
              <w:t>IBM、</w:t>
            </w:r>
            <w:r>
              <w:rPr>
                <w:sz w:val="30"/>
              </w:rPr>
              <w:t>戴尔、联想</w:t>
            </w:r>
            <w:r>
              <w:rPr>
                <w:rFonts w:hint="eastAsia"/>
                <w:sz w:val="30"/>
                <w:lang w:eastAsia="zh-CN"/>
              </w:rPr>
              <w:t>、</w:t>
            </w:r>
            <w:r>
              <w:rPr>
                <w:rFonts w:hint="eastAsia"/>
                <w:sz w:val="30"/>
                <w:lang w:val="en-US" w:eastAsia="zh-CN"/>
              </w:rPr>
              <w:t>浪潮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Merge w:val="restart"/>
            <w:vAlign w:val="center"/>
          </w:tcPr>
          <w:p>
            <w:pPr>
              <w:jc w:val="center"/>
              <w:rPr>
                <w:rFonts w:hint="eastAsia"/>
                <w:sz w:val="30"/>
                <w:szCs w:val="30"/>
                <w:lang w:val="en-US" w:eastAsia="zh-CN"/>
              </w:rPr>
            </w:pPr>
            <w:r>
              <w:rPr>
                <w:sz w:val="30"/>
                <w:szCs w:val="30"/>
              </w:rPr>
              <w:t>43</w:t>
            </w:r>
            <w:r>
              <w:rPr>
                <w:rFonts w:hint="eastAsia"/>
                <w:sz w:val="30"/>
                <w:szCs w:val="30"/>
                <w:lang w:val="en-US" w:eastAsia="zh-CN"/>
              </w:rPr>
              <w:t>8</w:t>
            </w:r>
          </w:p>
        </w:tc>
        <w:tc>
          <w:tcPr>
            <w:tcW w:w="3066" w:type="dxa"/>
            <w:vMerge w:val="restart"/>
            <w:vAlign w:val="center"/>
          </w:tcPr>
          <w:p>
            <w:pPr>
              <w:jc w:val="center"/>
              <w:rPr>
                <w:sz w:val="30"/>
                <w:szCs w:val="30"/>
              </w:rPr>
            </w:pPr>
          </w:p>
          <w:p>
            <w:pPr>
              <w:jc w:val="center"/>
              <w:rPr>
                <w:sz w:val="30"/>
                <w:szCs w:val="30"/>
              </w:rPr>
            </w:pPr>
            <w:r>
              <w:rPr>
                <w:sz w:val="30"/>
                <w:szCs w:val="30"/>
              </w:rPr>
              <w:t>浪涌保护器</w:t>
            </w:r>
          </w:p>
        </w:tc>
        <w:tc>
          <w:tcPr>
            <w:tcW w:w="8351"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sz w:val="30"/>
              </w:rPr>
              <w:t>OBO、DEHN、菲尼克斯</w:t>
            </w:r>
            <w:r>
              <w:rPr>
                <w:rFonts w:hint="eastAsia"/>
                <w:sz w:val="30"/>
              </w:rPr>
              <w:t>、G</w:t>
            </w:r>
            <w:r>
              <w:rPr>
                <w:sz w:val="30"/>
              </w:rPr>
              <w:t>OOCIN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Merge w:val="continue"/>
            <w:tcBorders>
              <w:top w:val="nil"/>
            </w:tcBorders>
            <w:vAlign w:val="center"/>
          </w:tcPr>
          <w:p>
            <w:pPr>
              <w:jc w:val="center"/>
              <w:rPr>
                <w:sz w:val="30"/>
                <w:szCs w:val="30"/>
              </w:rPr>
            </w:pPr>
          </w:p>
        </w:tc>
        <w:tc>
          <w:tcPr>
            <w:tcW w:w="3066" w:type="dxa"/>
            <w:vMerge w:val="continue"/>
            <w:tcBorders>
              <w:top w:val="nil"/>
            </w:tcBorders>
            <w:vAlign w:val="center"/>
          </w:tcPr>
          <w:p>
            <w:pPr>
              <w:jc w:val="center"/>
              <w:rPr>
                <w:sz w:val="30"/>
                <w:szCs w:val="30"/>
              </w:rPr>
            </w:pPr>
          </w:p>
        </w:tc>
        <w:tc>
          <w:tcPr>
            <w:tcW w:w="8351"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Align w:val="center"/>
          </w:tcPr>
          <w:p>
            <w:pPr>
              <w:jc w:val="center"/>
              <w:rPr>
                <w:rFonts w:hint="default"/>
                <w:sz w:val="30"/>
                <w:szCs w:val="30"/>
                <w:lang w:val="en-US" w:eastAsia="zh-CN"/>
              </w:rPr>
            </w:pPr>
            <w:r>
              <w:rPr>
                <w:rFonts w:hint="eastAsia"/>
                <w:sz w:val="30"/>
                <w:szCs w:val="30"/>
                <w:lang w:val="en-US" w:eastAsia="zh-CN"/>
              </w:rPr>
              <w:t>439</w:t>
            </w:r>
          </w:p>
        </w:tc>
        <w:tc>
          <w:tcPr>
            <w:tcW w:w="3066" w:type="dxa"/>
            <w:vAlign w:val="center"/>
          </w:tcPr>
          <w:p>
            <w:pPr>
              <w:jc w:val="center"/>
              <w:rPr>
                <w:sz w:val="30"/>
                <w:szCs w:val="30"/>
              </w:rPr>
            </w:pPr>
            <w:r>
              <w:rPr>
                <w:sz w:val="30"/>
                <w:szCs w:val="30"/>
              </w:rPr>
              <w:t>变频器</w:t>
            </w:r>
          </w:p>
        </w:tc>
        <w:tc>
          <w:tcPr>
            <w:tcW w:w="8351"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both"/>
              <w:textAlignment w:val="center"/>
              <w:rPr>
                <w:sz w:val="30"/>
              </w:rPr>
            </w:pPr>
            <w:r>
              <w:rPr>
                <w:rFonts w:ascii="仿宋" w:hAnsi="仿宋" w:eastAsia="仿宋" w:cs="仿宋"/>
                <w:sz w:val="30"/>
                <w:szCs w:val="22"/>
                <w:lang w:val="zh-CN" w:eastAsia="zh-CN" w:bidi="zh-CN"/>
              </w:rPr>
              <w:t>ABB、施耐德、西</w:t>
            </w:r>
            <w:r>
              <w:rPr>
                <w:sz w:val="30"/>
              </w:rPr>
              <w:t>门子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Align w:val="center"/>
          </w:tcPr>
          <w:p>
            <w:pPr>
              <w:jc w:val="center"/>
              <w:rPr>
                <w:rFonts w:hint="default"/>
                <w:sz w:val="30"/>
                <w:szCs w:val="30"/>
                <w:lang w:val="en-US" w:eastAsia="zh-CN"/>
              </w:rPr>
            </w:pPr>
            <w:r>
              <w:rPr>
                <w:rFonts w:hint="eastAsia"/>
                <w:sz w:val="30"/>
                <w:szCs w:val="30"/>
                <w:lang w:val="en-US" w:eastAsia="zh-CN"/>
              </w:rPr>
              <w:t>440</w:t>
            </w:r>
          </w:p>
        </w:tc>
        <w:tc>
          <w:tcPr>
            <w:tcW w:w="3066" w:type="dxa"/>
            <w:vAlign w:val="center"/>
          </w:tcPr>
          <w:p>
            <w:pPr>
              <w:jc w:val="center"/>
              <w:rPr>
                <w:sz w:val="30"/>
                <w:szCs w:val="30"/>
              </w:rPr>
            </w:pPr>
            <w:r>
              <w:rPr>
                <w:sz w:val="30"/>
                <w:szCs w:val="30"/>
              </w:rPr>
              <w:t>智能化集成系统（IIS）</w:t>
            </w:r>
          </w:p>
        </w:tc>
        <w:tc>
          <w:tcPr>
            <w:tcW w:w="8351"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both"/>
              <w:textAlignment w:val="center"/>
              <w:rPr>
                <w:sz w:val="30"/>
              </w:rPr>
            </w:pPr>
            <w:r>
              <w:rPr>
                <w:sz w:val="30"/>
              </w:rPr>
              <w:t>霍尼韦尔、</w:t>
            </w:r>
            <w:r>
              <w:rPr>
                <w:rFonts w:ascii="仿宋" w:hAnsi="仿宋" w:eastAsia="仿宋" w:cs="仿宋"/>
                <w:sz w:val="30"/>
                <w:szCs w:val="22"/>
                <w:lang w:val="zh-CN" w:eastAsia="zh-CN" w:bidi="zh-CN"/>
              </w:rPr>
              <w:t>江森、施耐德、西门子</w:t>
            </w:r>
            <w:r>
              <w:rPr>
                <w:sz w:val="30"/>
              </w:rPr>
              <w:t>、DELTA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Align w:val="center"/>
          </w:tcPr>
          <w:p>
            <w:pPr>
              <w:jc w:val="center"/>
              <w:rPr>
                <w:rFonts w:hint="default"/>
                <w:sz w:val="30"/>
                <w:szCs w:val="30"/>
                <w:lang w:val="en-US" w:eastAsia="zh-CN"/>
              </w:rPr>
            </w:pPr>
            <w:r>
              <w:rPr>
                <w:rFonts w:hint="eastAsia"/>
                <w:sz w:val="30"/>
                <w:szCs w:val="30"/>
                <w:lang w:val="en-US" w:eastAsia="zh-CN"/>
              </w:rPr>
              <w:t>441</w:t>
            </w:r>
          </w:p>
        </w:tc>
        <w:tc>
          <w:tcPr>
            <w:tcW w:w="3066" w:type="dxa"/>
            <w:vAlign w:val="center"/>
          </w:tcPr>
          <w:p>
            <w:pPr>
              <w:jc w:val="center"/>
              <w:rPr>
                <w:sz w:val="30"/>
                <w:szCs w:val="30"/>
              </w:rPr>
            </w:pPr>
            <w:r>
              <w:rPr>
                <w:sz w:val="30"/>
                <w:szCs w:val="30"/>
              </w:rPr>
              <w:t>防静电地板</w:t>
            </w:r>
          </w:p>
        </w:tc>
        <w:tc>
          <w:tcPr>
            <w:tcW w:w="8351"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sz w:val="30"/>
              </w:rPr>
              <w:t>沈飞、美露、华集、林德、银泰克、倍思得、科华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Align w:val="center"/>
          </w:tcPr>
          <w:p>
            <w:pPr>
              <w:jc w:val="center"/>
              <w:rPr>
                <w:rFonts w:hint="default"/>
                <w:sz w:val="30"/>
                <w:szCs w:val="30"/>
                <w:lang w:val="en-US" w:eastAsia="zh-CN"/>
              </w:rPr>
            </w:pPr>
            <w:r>
              <w:rPr>
                <w:rFonts w:hint="eastAsia"/>
                <w:sz w:val="30"/>
                <w:szCs w:val="30"/>
                <w:lang w:val="en-US" w:eastAsia="zh-CN"/>
              </w:rPr>
              <w:t>444</w:t>
            </w:r>
          </w:p>
        </w:tc>
        <w:tc>
          <w:tcPr>
            <w:tcW w:w="3066" w:type="dxa"/>
            <w:vAlign w:val="center"/>
          </w:tcPr>
          <w:p>
            <w:pPr>
              <w:jc w:val="center"/>
              <w:rPr>
                <w:sz w:val="30"/>
                <w:szCs w:val="30"/>
              </w:rPr>
            </w:pPr>
            <w:r>
              <w:rPr>
                <w:sz w:val="30"/>
                <w:szCs w:val="30"/>
              </w:rPr>
              <w:t>机柜</w:t>
            </w:r>
          </w:p>
        </w:tc>
        <w:tc>
          <w:tcPr>
            <w:tcW w:w="8351"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both"/>
              <w:textAlignment w:val="center"/>
              <w:rPr>
                <w:sz w:val="30"/>
              </w:rPr>
            </w:pPr>
            <w:r>
              <w:rPr>
                <w:sz w:val="30"/>
              </w:rPr>
              <w:t>精致、金盾、图腾、安保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Align w:val="center"/>
          </w:tcPr>
          <w:p>
            <w:pPr>
              <w:jc w:val="center"/>
              <w:rPr>
                <w:rFonts w:hint="default"/>
                <w:sz w:val="30"/>
                <w:szCs w:val="30"/>
                <w:lang w:val="en-US" w:eastAsia="zh-CN"/>
              </w:rPr>
            </w:pPr>
            <w:r>
              <w:rPr>
                <w:rFonts w:hint="eastAsia"/>
                <w:sz w:val="30"/>
                <w:szCs w:val="30"/>
                <w:lang w:val="en-US" w:eastAsia="zh-CN"/>
              </w:rPr>
              <w:t>445</w:t>
            </w:r>
          </w:p>
        </w:tc>
        <w:tc>
          <w:tcPr>
            <w:tcW w:w="3066" w:type="dxa"/>
            <w:vAlign w:val="center"/>
          </w:tcPr>
          <w:p>
            <w:pPr>
              <w:jc w:val="center"/>
              <w:rPr>
                <w:sz w:val="30"/>
                <w:szCs w:val="30"/>
              </w:rPr>
            </w:pPr>
            <w:r>
              <w:rPr>
                <w:sz w:val="30"/>
                <w:szCs w:val="30"/>
              </w:rPr>
              <w:t>多媒体信息箱（弱电箱）</w:t>
            </w:r>
          </w:p>
        </w:tc>
        <w:tc>
          <w:tcPr>
            <w:tcW w:w="8351"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both"/>
              <w:textAlignment w:val="center"/>
              <w:rPr>
                <w:rFonts w:hint="eastAsia" w:eastAsia="仿宋"/>
                <w:sz w:val="30"/>
                <w:lang w:eastAsia="zh-CN"/>
              </w:rPr>
            </w:pPr>
            <w:r>
              <w:rPr>
                <w:sz w:val="30"/>
              </w:rPr>
              <w:t>浙江光大、上海良信、惠州雷士</w:t>
            </w:r>
            <w:r>
              <w:rPr>
                <w:rFonts w:hint="eastAsia"/>
                <w:sz w:val="30"/>
                <w:lang w:eastAsia="zh-CN"/>
              </w:rPr>
              <w:t>、尤立科、凯特力、鸿雁、俊朗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84" w:type="dxa"/>
            <w:vAlign w:val="center"/>
          </w:tcPr>
          <w:p>
            <w:pPr>
              <w:jc w:val="center"/>
              <w:rPr>
                <w:rFonts w:hint="default"/>
                <w:sz w:val="30"/>
                <w:szCs w:val="30"/>
                <w:lang w:val="en-US" w:eastAsia="zh-CN"/>
              </w:rPr>
            </w:pPr>
            <w:r>
              <w:rPr>
                <w:rFonts w:hint="eastAsia"/>
                <w:sz w:val="30"/>
                <w:szCs w:val="30"/>
                <w:lang w:val="en-US" w:eastAsia="zh-CN"/>
              </w:rPr>
              <w:t>446</w:t>
            </w:r>
          </w:p>
        </w:tc>
        <w:tc>
          <w:tcPr>
            <w:tcW w:w="3066" w:type="dxa"/>
            <w:vAlign w:val="center"/>
          </w:tcPr>
          <w:p>
            <w:pPr>
              <w:jc w:val="center"/>
              <w:rPr>
                <w:sz w:val="30"/>
                <w:szCs w:val="30"/>
              </w:rPr>
            </w:pPr>
            <w:r>
              <w:rPr>
                <w:sz w:val="30"/>
                <w:szCs w:val="30"/>
              </w:rPr>
              <w:t>光纤配线架、理线器、模块、跳线、弱电插座</w:t>
            </w:r>
          </w:p>
        </w:tc>
        <w:tc>
          <w:tcPr>
            <w:tcW w:w="8351"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both"/>
              <w:textAlignment w:val="center"/>
              <w:rPr>
                <w:sz w:val="30"/>
              </w:rPr>
            </w:pPr>
            <w:r>
              <w:rPr>
                <w:sz w:val="30"/>
              </w:rPr>
              <w:t>日海、普天天纪、同方、天诚</w:t>
            </w:r>
          </w:p>
        </w:tc>
      </w:tr>
    </w:tbl>
    <w:p>
      <w:pPr>
        <w:rPr>
          <w:b/>
          <w:bCs/>
          <w:color w:val="000000"/>
          <w:sz w:val="31"/>
          <w:szCs w:val="31"/>
          <w:lang w:val="en-US" w:bidi="ar"/>
        </w:rPr>
      </w:pPr>
      <w:r>
        <w:rPr>
          <w:b/>
          <w:bCs/>
          <w:color w:val="000000"/>
          <w:sz w:val="31"/>
          <w:szCs w:val="31"/>
          <w:lang w:val="en-US" w:bidi="ar"/>
        </w:rPr>
        <w:br w:type="page"/>
      </w:r>
    </w:p>
    <w:p>
      <w:pPr>
        <w:widowControl/>
        <w:numPr>
          <w:ilvl w:val="0"/>
          <w:numId w:val="0"/>
        </w:numPr>
        <w:jc w:val="both"/>
        <w:rPr>
          <w:b/>
          <w:bCs/>
          <w:color w:val="000000"/>
          <w:sz w:val="31"/>
          <w:szCs w:val="31"/>
          <w:lang w:val="en-US" w:bidi="ar"/>
        </w:rPr>
      </w:pPr>
    </w:p>
    <w:p>
      <w:pPr>
        <w:widowControl/>
        <w:numPr>
          <w:ilvl w:val="-1"/>
          <w:numId w:val="0"/>
        </w:numPr>
        <w:jc w:val="both"/>
        <w:rPr>
          <w:b/>
          <w:bCs/>
          <w:color w:val="000000"/>
          <w:sz w:val="31"/>
          <w:szCs w:val="31"/>
          <w:lang w:val="en-US" w:bidi="ar"/>
        </w:rPr>
      </w:pPr>
      <w:r>
        <w:rPr>
          <w:b/>
          <w:bCs/>
          <w:color w:val="000000"/>
          <w:sz w:val="31"/>
          <w:szCs w:val="31"/>
          <w:lang w:val="en-US" w:bidi="ar"/>
        </w:rPr>
        <w:t>给排水类材料设备参考品牌</w:t>
      </w:r>
    </w:p>
    <w:p>
      <w:pPr>
        <w:pStyle w:val="5"/>
        <w:rPr>
          <w:rFonts w:ascii="Times New Roman"/>
          <w:sz w:val="20"/>
        </w:rPr>
      </w:pPr>
    </w:p>
    <w:tbl>
      <w:tblPr>
        <w:tblStyle w:val="10"/>
        <w:tblW w:w="11966" w:type="dxa"/>
        <w:tblInd w:w="3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20"/>
        <w:gridCol w:w="3678"/>
        <w:gridCol w:w="73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920" w:type="dxa"/>
            <w:vAlign w:val="center"/>
          </w:tcPr>
          <w:p>
            <w:pPr>
              <w:jc w:val="center"/>
              <w:rPr>
                <w:b/>
                <w:bCs/>
                <w:sz w:val="30"/>
                <w:szCs w:val="30"/>
              </w:rPr>
            </w:pPr>
            <w:r>
              <w:rPr>
                <w:b/>
                <w:bCs/>
                <w:sz w:val="30"/>
                <w:szCs w:val="30"/>
              </w:rPr>
              <w:t>编号</w:t>
            </w:r>
          </w:p>
        </w:tc>
        <w:tc>
          <w:tcPr>
            <w:tcW w:w="3678" w:type="dxa"/>
            <w:vAlign w:val="center"/>
          </w:tcPr>
          <w:p>
            <w:pPr>
              <w:jc w:val="center"/>
              <w:rPr>
                <w:b/>
                <w:bCs/>
                <w:sz w:val="30"/>
                <w:szCs w:val="30"/>
              </w:rPr>
            </w:pPr>
            <w:r>
              <w:rPr>
                <w:b/>
                <w:bCs/>
                <w:sz w:val="30"/>
                <w:szCs w:val="30"/>
              </w:rPr>
              <w:t>设备材料品种</w:t>
            </w:r>
          </w:p>
        </w:tc>
        <w:tc>
          <w:tcPr>
            <w:tcW w:w="7368" w:type="dxa"/>
            <w:vAlign w:val="center"/>
          </w:tcPr>
          <w:p>
            <w:pPr>
              <w:jc w:val="center"/>
              <w:rPr>
                <w:b/>
                <w:bCs/>
                <w:sz w:val="30"/>
                <w:szCs w:val="30"/>
              </w:rPr>
            </w:pPr>
            <w:r>
              <w:rPr>
                <w:b/>
                <w:bCs/>
                <w:sz w:val="30"/>
                <w:szCs w:val="30"/>
              </w:rPr>
              <w:t>正常使用参考品牌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920" w:type="dxa"/>
            <w:vAlign w:val="center"/>
          </w:tcPr>
          <w:p>
            <w:pPr>
              <w:jc w:val="center"/>
              <w:rPr>
                <w:sz w:val="30"/>
                <w:szCs w:val="30"/>
              </w:rPr>
            </w:pPr>
          </w:p>
          <w:p>
            <w:pPr>
              <w:jc w:val="center"/>
              <w:rPr>
                <w:sz w:val="30"/>
                <w:szCs w:val="30"/>
              </w:rPr>
            </w:pPr>
            <w:r>
              <w:rPr>
                <w:sz w:val="30"/>
                <w:szCs w:val="30"/>
              </w:rPr>
              <w:t>503</w:t>
            </w:r>
          </w:p>
        </w:tc>
        <w:tc>
          <w:tcPr>
            <w:tcW w:w="3678" w:type="dxa"/>
            <w:vAlign w:val="center"/>
          </w:tcPr>
          <w:p>
            <w:pPr>
              <w:jc w:val="center"/>
              <w:rPr>
                <w:sz w:val="30"/>
                <w:szCs w:val="30"/>
              </w:rPr>
            </w:pPr>
            <w:r>
              <w:rPr>
                <w:sz w:val="30"/>
                <w:szCs w:val="30"/>
              </w:rPr>
              <w:t>薄壁不锈钢管</w:t>
            </w:r>
          </w:p>
        </w:tc>
        <w:tc>
          <w:tcPr>
            <w:tcW w:w="7368"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sz w:val="30"/>
              </w:rPr>
              <w:t>深圳雅昌、</w:t>
            </w:r>
            <w:r>
              <w:rPr>
                <w:rFonts w:hint="eastAsia"/>
                <w:sz w:val="30"/>
              </w:rPr>
              <w:t>联塑、</w:t>
            </w:r>
            <w:r>
              <w:rPr>
                <w:sz w:val="30"/>
              </w:rPr>
              <w:t>无锡金羊、四川民生、宁波福兰特</w:t>
            </w:r>
            <w:r>
              <w:rPr>
                <w:rFonts w:hint="eastAsia"/>
                <w:sz w:val="30"/>
                <w:lang w:eastAsia="zh-CN"/>
              </w:rPr>
              <w:t>、</w:t>
            </w:r>
            <w:r>
              <w:rPr>
                <w:rFonts w:hint="eastAsia"/>
                <w:sz w:val="30"/>
                <w:lang w:val="en-US" w:eastAsia="zh-CN"/>
              </w:rPr>
              <w:t>深圳</w:t>
            </w:r>
            <w:r>
              <w:rPr>
                <w:sz w:val="30"/>
              </w:rPr>
              <w:t>民乐、宁波永享、共同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920" w:type="dxa"/>
            <w:vMerge w:val="restart"/>
            <w:vAlign w:val="center"/>
          </w:tcPr>
          <w:p>
            <w:pPr>
              <w:jc w:val="center"/>
              <w:rPr>
                <w:sz w:val="30"/>
                <w:szCs w:val="30"/>
              </w:rPr>
            </w:pPr>
            <w:r>
              <w:rPr>
                <w:sz w:val="30"/>
                <w:szCs w:val="30"/>
              </w:rPr>
              <w:t>504</w:t>
            </w:r>
          </w:p>
        </w:tc>
        <w:tc>
          <w:tcPr>
            <w:tcW w:w="3678" w:type="dxa"/>
            <w:vMerge w:val="restart"/>
            <w:vAlign w:val="center"/>
          </w:tcPr>
          <w:p>
            <w:pPr>
              <w:jc w:val="center"/>
              <w:rPr>
                <w:sz w:val="30"/>
                <w:szCs w:val="30"/>
              </w:rPr>
            </w:pPr>
            <w:r>
              <w:rPr>
                <w:sz w:val="30"/>
                <w:szCs w:val="30"/>
              </w:rPr>
              <w:t>热镀锌钢管/热镀锌加厚钢管/衬塑钢管</w:t>
            </w:r>
          </w:p>
        </w:tc>
        <w:tc>
          <w:tcPr>
            <w:tcW w:w="7368" w:type="dxa"/>
            <w:vMerge w:val="restart"/>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sz w:val="30"/>
              </w:rPr>
              <w:t>上海劳钢银河、中山联塑华通、广东穗生、浙江金洲、天津利达、天津君诚</w:t>
            </w:r>
            <w:r>
              <w:rPr>
                <w:rFonts w:hint="eastAsia"/>
                <w:sz w:val="30"/>
                <w:lang w:eastAsia="zh-CN"/>
              </w:rPr>
              <w:t>、友发、华岐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920" w:type="dxa"/>
            <w:vMerge w:val="continue"/>
            <w:vAlign w:val="center"/>
          </w:tcPr>
          <w:p>
            <w:pPr>
              <w:jc w:val="center"/>
              <w:rPr>
                <w:sz w:val="30"/>
                <w:szCs w:val="30"/>
              </w:rPr>
            </w:pPr>
          </w:p>
        </w:tc>
        <w:tc>
          <w:tcPr>
            <w:tcW w:w="3678" w:type="dxa"/>
            <w:vMerge w:val="continue"/>
            <w:vAlign w:val="center"/>
          </w:tcPr>
          <w:p>
            <w:pPr>
              <w:jc w:val="center"/>
              <w:rPr>
                <w:sz w:val="30"/>
                <w:szCs w:val="30"/>
              </w:rPr>
            </w:pPr>
          </w:p>
        </w:tc>
        <w:tc>
          <w:tcPr>
            <w:tcW w:w="7368" w:type="dxa"/>
            <w:vMerge w:val="continue"/>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920" w:type="dxa"/>
            <w:vAlign w:val="center"/>
          </w:tcPr>
          <w:p>
            <w:pPr>
              <w:jc w:val="center"/>
              <w:rPr>
                <w:sz w:val="30"/>
                <w:szCs w:val="30"/>
              </w:rPr>
            </w:pPr>
            <w:r>
              <w:rPr>
                <w:sz w:val="30"/>
                <w:szCs w:val="30"/>
              </w:rPr>
              <w:t>506</w:t>
            </w:r>
          </w:p>
        </w:tc>
        <w:tc>
          <w:tcPr>
            <w:tcW w:w="3678" w:type="dxa"/>
            <w:vAlign w:val="center"/>
          </w:tcPr>
          <w:p>
            <w:pPr>
              <w:jc w:val="center"/>
              <w:rPr>
                <w:sz w:val="30"/>
                <w:szCs w:val="30"/>
              </w:rPr>
            </w:pPr>
            <w:r>
              <w:rPr>
                <w:sz w:val="30"/>
                <w:szCs w:val="30"/>
              </w:rPr>
              <w:t>沟槽式连接件</w:t>
            </w:r>
          </w:p>
          <w:p>
            <w:pPr>
              <w:jc w:val="center"/>
              <w:rPr>
                <w:sz w:val="30"/>
                <w:szCs w:val="30"/>
              </w:rPr>
            </w:pPr>
            <w:r>
              <w:rPr>
                <w:sz w:val="30"/>
                <w:szCs w:val="30"/>
              </w:rPr>
              <w:t>（卡箍）</w:t>
            </w:r>
          </w:p>
        </w:tc>
        <w:tc>
          <w:tcPr>
            <w:tcW w:w="7368"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rFonts w:hint="eastAsia" w:eastAsia="仿宋"/>
                <w:sz w:val="30"/>
                <w:lang w:eastAsia="zh-CN"/>
              </w:rPr>
            </w:pPr>
            <w:r>
              <w:rPr>
                <w:sz w:val="30"/>
              </w:rPr>
              <w:t>唯特利、迈克、亿百通、上海瑞孚</w:t>
            </w:r>
            <w:r>
              <w:rPr>
                <w:rFonts w:hint="eastAsia"/>
                <w:sz w:val="30"/>
                <w:lang w:eastAsia="zh-CN"/>
              </w:rPr>
              <w:t>、</w:t>
            </w:r>
            <w:r>
              <w:rPr>
                <w:sz w:val="30"/>
              </w:rPr>
              <w:t>上海威逊、山东莱德、江西赣玛、山西卡耐夫、山东泊客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920" w:type="dxa"/>
            <w:vAlign w:val="center"/>
          </w:tcPr>
          <w:p>
            <w:pPr>
              <w:jc w:val="center"/>
              <w:rPr>
                <w:sz w:val="30"/>
                <w:szCs w:val="30"/>
              </w:rPr>
            </w:pPr>
            <w:r>
              <w:rPr>
                <w:sz w:val="30"/>
                <w:szCs w:val="30"/>
              </w:rPr>
              <w:t>507</w:t>
            </w:r>
          </w:p>
        </w:tc>
        <w:tc>
          <w:tcPr>
            <w:tcW w:w="3678" w:type="dxa"/>
            <w:vAlign w:val="center"/>
          </w:tcPr>
          <w:p>
            <w:pPr>
              <w:jc w:val="center"/>
              <w:rPr>
                <w:sz w:val="30"/>
                <w:szCs w:val="30"/>
              </w:rPr>
            </w:pPr>
            <w:r>
              <w:rPr>
                <w:sz w:val="30"/>
                <w:szCs w:val="30"/>
              </w:rPr>
              <w:t>PVC-U 给、排水管</w:t>
            </w:r>
          </w:p>
        </w:tc>
        <w:tc>
          <w:tcPr>
            <w:tcW w:w="7368"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rFonts w:hint="default" w:eastAsia="仿宋"/>
                <w:sz w:val="30"/>
                <w:lang w:val="en-US" w:eastAsia="zh-CN"/>
              </w:rPr>
            </w:pPr>
            <w:r>
              <w:rPr>
                <w:sz w:val="30"/>
              </w:rPr>
              <w:t>日丰、伟星、永高、</w:t>
            </w:r>
            <w:r>
              <w:rPr>
                <w:rFonts w:hint="eastAsia"/>
                <w:sz w:val="30"/>
              </w:rPr>
              <w:t>联塑、</w:t>
            </w:r>
            <w:r>
              <w:rPr>
                <w:sz w:val="30"/>
              </w:rPr>
              <w:t>皇冠</w:t>
            </w:r>
            <w:r>
              <w:rPr>
                <w:rFonts w:hint="eastAsia"/>
                <w:sz w:val="30"/>
                <w:lang w:eastAsia="zh-CN"/>
              </w:rPr>
              <w:t>、</w:t>
            </w:r>
            <w:r>
              <w:rPr>
                <w:rFonts w:hint="eastAsia"/>
                <w:sz w:val="30"/>
                <w:lang w:val="en-US" w:eastAsia="zh-CN"/>
              </w:rPr>
              <w:t>深塑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920" w:type="dxa"/>
            <w:vAlign w:val="center"/>
          </w:tcPr>
          <w:p>
            <w:pPr>
              <w:jc w:val="center"/>
              <w:rPr>
                <w:sz w:val="30"/>
                <w:szCs w:val="30"/>
              </w:rPr>
            </w:pPr>
            <w:r>
              <w:rPr>
                <w:sz w:val="30"/>
                <w:szCs w:val="30"/>
              </w:rPr>
              <w:t>508</w:t>
            </w:r>
          </w:p>
        </w:tc>
        <w:tc>
          <w:tcPr>
            <w:tcW w:w="3678" w:type="dxa"/>
            <w:vAlign w:val="center"/>
          </w:tcPr>
          <w:p>
            <w:pPr>
              <w:jc w:val="center"/>
              <w:rPr>
                <w:sz w:val="30"/>
                <w:szCs w:val="30"/>
              </w:rPr>
            </w:pPr>
            <w:r>
              <w:rPr>
                <w:sz w:val="30"/>
                <w:szCs w:val="30"/>
              </w:rPr>
              <w:t>PP-R 给水管</w:t>
            </w:r>
          </w:p>
        </w:tc>
        <w:tc>
          <w:tcPr>
            <w:tcW w:w="7368"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sz w:val="30"/>
              </w:rPr>
              <w:t>日丰、伟星、永高、</w:t>
            </w:r>
            <w:r>
              <w:rPr>
                <w:rFonts w:hint="eastAsia"/>
                <w:sz w:val="30"/>
              </w:rPr>
              <w:t>联塑、</w:t>
            </w:r>
            <w:r>
              <w:rPr>
                <w:sz w:val="30"/>
              </w:rPr>
              <w:t>皇冠</w:t>
            </w:r>
            <w:r>
              <w:rPr>
                <w:rFonts w:hint="eastAsia"/>
                <w:sz w:val="30"/>
                <w:lang w:eastAsia="zh-CN"/>
              </w:rPr>
              <w:t>、</w:t>
            </w:r>
            <w:r>
              <w:rPr>
                <w:rFonts w:hint="eastAsia"/>
                <w:sz w:val="30"/>
                <w:lang w:val="en-US" w:eastAsia="zh-CN"/>
              </w:rPr>
              <w:t>深塑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920" w:type="dxa"/>
            <w:vAlign w:val="center"/>
          </w:tcPr>
          <w:p>
            <w:pPr>
              <w:jc w:val="center"/>
              <w:rPr>
                <w:sz w:val="30"/>
                <w:szCs w:val="30"/>
              </w:rPr>
            </w:pPr>
            <w:r>
              <w:rPr>
                <w:sz w:val="30"/>
                <w:szCs w:val="30"/>
              </w:rPr>
              <w:t>509</w:t>
            </w:r>
          </w:p>
        </w:tc>
        <w:tc>
          <w:tcPr>
            <w:tcW w:w="3678" w:type="dxa"/>
            <w:vAlign w:val="center"/>
          </w:tcPr>
          <w:p>
            <w:pPr>
              <w:jc w:val="center"/>
              <w:rPr>
                <w:sz w:val="30"/>
                <w:szCs w:val="30"/>
              </w:rPr>
            </w:pPr>
            <w:r>
              <w:rPr>
                <w:sz w:val="30"/>
                <w:szCs w:val="30"/>
              </w:rPr>
              <w:t>PE 给水管</w:t>
            </w:r>
          </w:p>
        </w:tc>
        <w:tc>
          <w:tcPr>
            <w:tcW w:w="7368"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sz w:val="30"/>
              </w:rPr>
              <w:t>恒杰、伟星、皇冠、</w:t>
            </w:r>
            <w:r>
              <w:rPr>
                <w:rFonts w:hint="eastAsia"/>
                <w:sz w:val="30"/>
              </w:rPr>
              <w:t>联塑、</w:t>
            </w:r>
            <w:r>
              <w:rPr>
                <w:sz w:val="30"/>
              </w:rPr>
              <w:t>永高、泉恩</w:t>
            </w:r>
            <w:r>
              <w:rPr>
                <w:rFonts w:hint="eastAsia"/>
                <w:sz w:val="30"/>
                <w:lang w:eastAsia="zh-CN"/>
              </w:rPr>
              <w:t>、</w:t>
            </w:r>
            <w:r>
              <w:rPr>
                <w:rFonts w:hint="eastAsia"/>
                <w:sz w:val="30"/>
                <w:lang w:val="en-US" w:eastAsia="zh-CN"/>
              </w:rPr>
              <w:t>深塑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920" w:type="dxa"/>
            <w:vAlign w:val="center"/>
          </w:tcPr>
          <w:p>
            <w:pPr>
              <w:jc w:val="center"/>
              <w:rPr>
                <w:rFonts w:hint="eastAsia"/>
                <w:sz w:val="30"/>
                <w:szCs w:val="30"/>
                <w:lang w:eastAsia="zh-CN"/>
              </w:rPr>
            </w:pPr>
            <w:r>
              <w:rPr>
                <w:sz w:val="30"/>
                <w:szCs w:val="30"/>
              </w:rPr>
              <w:t>51</w:t>
            </w:r>
            <w:r>
              <w:rPr>
                <w:rFonts w:hint="eastAsia"/>
                <w:sz w:val="30"/>
                <w:szCs w:val="30"/>
                <w:lang w:val="en-US" w:eastAsia="zh-CN"/>
              </w:rPr>
              <w:t>1</w:t>
            </w:r>
          </w:p>
        </w:tc>
        <w:tc>
          <w:tcPr>
            <w:tcW w:w="3678" w:type="dxa"/>
            <w:vAlign w:val="center"/>
          </w:tcPr>
          <w:p>
            <w:pPr>
              <w:jc w:val="center"/>
              <w:rPr>
                <w:sz w:val="30"/>
                <w:szCs w:val="30"/>
              </w:rPr>
            </w:pPr>
            <w:r>
              <w:rPr>
                <w:sz w:val="30"/>
                <w:szCs w:val="30"/>
              </w:rPr>
              <w:t>双壁波纹管</w:t>
            </w:r>
          </w:p>
        </w:tc>
        <w:tc>
          <w:tcPr>
            <w:tcW w:w="7368"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sz w:val="30"/>
              </w:rPr>
              <w:t>伟星、永高、雄塑、联塑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920" w:type="dxa"/>
            <w:vAlign w:val="center"/>
          </w:tcPr>
          <w:p>
            <w:pPr>
              <w:jc w:val="center"/>
              <w:rPr>
                <w:rFonts w:hint="eastAsia"/>
                <w:sz w:val="30"/>
                <w:szCs w:val="30"/>
                <w:lang w:eastAsia="zh-CN"/>
              </w:rPr>
            </w:pPr>
            <w:r>
              <w:rPr>
                <w:sz w:val="30"/>
                <w:szCs w:val="30"/>
              </w:rPr>
              <w:t>51</w:t>
            </w:r>
            <w:r>
              <w:rPr>
                <w:rFonts w:hint="eastAsia"/>
                <w:sz w:val="30"/>
                <w:szCs w:val="30"/>
                <w:lang w:val="en-US" w:eastAsia="zh-CN"/>
              </w:rPr>
              <w:t>2</w:t>
            </w:r>
          </w:p>
        </w:tc>
        <w:tc>
          <w:tcPr>
            <w:tcW w:w="3678" w:type="dxa"/>
            <w:vAlign w:val="center"/>
          </w:tcPr>
          <w:p>
            <w:pPr>
              <w:jc w:val="center"/>
              <w:rPr>
                <w:sz w:val="30"/>
                <w:szCs w:val="30"/>
              </w:rPr>
            </w:pPr>
            <w:r>
              <w:rPr>
                <w:sz w:val="30"/>
                <w:szCs w:val="30"/>
              </w:rPr>
              <w:t>缠绕波纹管</w:t>
            </w:r>
          </w:p>
        </w:tc>
        <w:tc>
          <w:tcPr>
            <w:tcW w:w="7368"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sz w:val="30"/>
              </w:rPr>
              <w:t>华瀚、枫叶、永高、纳川</w:t>
            </w:r>
            <w:r>
              <w:rPr>
                <w:rFonts w:hint="eastAsia"/>
                <w:sz w:val="30"/>
              </w:rPr>
              <w:t>、</w:t>
            </w:r>
            <w:r>
              <w:rPr>
                <w:sz w:val="30"/>
              </w:rPr>
              <w:t>联塑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920" w:type="dxa"/>
            <w:vMerge w:val="restart"/>
            <w:vAlign w:val="center"/>
          </w:tcPr>
          <w:p>
            <w:pPr>
              <w:jc w:val="center"/>
              <w:rPr>
                <w:rFonts w:hint="eastAsia"/>
                <w:sz w:val="30"/>
                <w:szCs w:val="30"/>
                <w:lang w:eastAsia="zh-CN"/>
              </w:rPr>
            </w:pPr>
            <w:r>
              <w:rPr>
                <w:sz w:val="30"/>
                <w:szCs w:val="30"/>
              </w:rPr>
              <w:t>51</w:t>
            </w:r>
            <w:r>
              <w:rPr>
                <w:rFonts w:hint="eastAsia"/>
                <w:sz w:val="30"/>
                <w:szCs w:val="30"/>
                <w:lang w:val="en-US" w:eastAsia="zh-CN"/>
              </w:rPr>
              <w:t>3</w:t>
            </w:r>
          </w:p>
        </w:tc>
        <w:tc>
          <w:tcPr>
            <w:tcW w:w="3678" w:type="dxa"/>
            <w:vMerge w:val="restart"/>
            <w:vAlign w:val="center"/>
          </w:tcPr>
          <w:p>
            <w:pPr>
              <w:jc w:val="center"/>
              <w:rPr>
                <w:sz w:val="30"/>
                <w:szCs w:val="30"/>
              </w:rPr>
            </w:pPr>
            <w:r>
              <w:rPr>
                <w:sz w:val="30"/>
                <w:szCs w:val="30"/>
              </w:rPr>
              <w:t>阀门（球墨铸铁/不锈钢）</w:t>
            </w:r>
          </w:p>
        </w:tc>
        <w:tc>
          <w:tcPr>
            <w:tcW w:w="7368" w:type="dxa"/>
            <w:vMerge w:val="restart"/>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rFonts w:hint="eastAsia"/>
                <w:sz w:val="30"/>
              </w:rPr>
              <w:t>广东永泉</w:t>
            </w:r>
            <w:r>
              <w:rPr>
                <w:rFonts w:hint="eastAsia"/>
                <w:sz w:val="30"/>
                <w:lang w:eastAsia="zh-CN"/>
              </w:rPr>
              <w:t>、</w:t>
            </w:r>
            <w:r>
              <w:rPr>
                <w:sz w:val="30"/>
              </w:rPr>
              <w:t>正丰、上海标一、</w:t>
            </w:r>
            <w:r>
              <w:rPr>
                <w:rFonts w:hint="eastAsia"/>
                <w:sz w:val="30"/>
              </w:rPr>
              <w:t>天津博雷斯</w:t>
            </w:r>
            <w:r>
              <w:rPr>
                <w:rFonts w:hint="eastAsia"/>
                <w:sz w:val="30"/>
                <w:lang w:eastAsia="zh-CN"/>
              </w:rPr>
              <w:t>、</w:t>
            </w:r>
            <w:r>
              <w:rPr>
                <w:sz w:val="30"/>
              </w:rPr>
              <w:t>精嘉、良精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920" w:type="dxa"/>
            <w:vMerge w:val="continue"/>
            <w:tcBorders>
              <w:top w:val="nil"/>
            </w:tcBorders>
            <w:vAlign w:val="center"/>
          </w:tcPr>
          <w:p>
            <w:pPr>
              <w:jc w:val="center"/>
              <w:rPr>
                <w:sz w:val="30"/>
                <w:szCs w:val="30"/>
              </w:rPr>
            </w:pPr>
          </w:p>
        </w:tc>
        <w:tc>
          <w:tcPr>
            <w:tcW w:w="3678" w:type="dxa"/>
            <w:vMerge w:val="continue"/>
            <w:tcBorders>
              <w:top w:val="nil"/>
            </w:tcBorders>
            <w:vAlign w:val="center"/>
          </w:tcPr>
          <w:p>
            <w:pPr>
              <w:jc w:val="center"/>
              <w:rPr>
                <w:sz w:val="30"/>
                <w:szCs w:val="30"/>
              </w:rPr>
            </w:pPr>
          </w:p>
        </w:tc>
        <w:tc>
          <w:tcPr>
            <w:tcW w:w="7368" w:type="dxa"/>
            <w:vMerge w:val="continue"/>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920" w:type="dxa"/>
            <w:vAlign w:val="center"/>
          </w:tcPr>
          <w:p>
            <w:pPr>
              <w:jc w:val="center"/>
              <w:rPr>
                <w:rFonts w:hint="default"/>
                <w:sz w:val="30"/>
                <w:szCs w:val="30"/>
                <w:lang w:val="en-US" w:eastAsia="zh-CN"/>
              </w:rPr>
            </w:pPr>
            <w:r>
              <w:rPr>
                <w:rFonts w:hint="eastAsia"/>
                <w:sz w:val="30"/>
                <w:szCs w:val="30"/>
                <w:lang w:val="en-US" w:eastAsia="zh-CN"/>
              </w:rPr>
              <w:t>522</w:t>
            </w:r>
          </w:p>
        </w:tc>
        <w:tc>
          <w:tcPr>
            <w:tcW w:w="3678" w:type="dxa"/>
            <w:vAlign w:val="center"/>
          </w:tcPr>
          <w:p>
            <w:pPr>
              <w:jc w:val="center"/>
              <w:rPr>
                <w:sz w:val="30"/>
                <w:szCs w:val="30"/>
              </w:rPr>
            </w:pPr>
            <w:r>
              <w:rPr>
                <w:sz w:val="30"/>
                <w:szCs w:val="30"/>
              </w:rPr>
              <w:t>干粉灭火系统(手提式)</w:t>
            </w:r>
          </w:p>
        </w:tc>
        <w:tc>
          <w:tcPr>
            <w:tcW w:w="7368"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both"/>
              <w:textAlignment w:val="center"/>
              <w:rPr>
                <w:sz w:val="30"/>
              </w:rPr>
            </w:pPr>
            <w:r>
              <w:rPr>
                <w:sz w:val="30"/>
              </w:rPr>
              <w:t>广东胜捷消防科技有限公司(广东胜捷牌)、福建天广、白沙消防设备有限公司白沙牌、上海金盾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920" w:type="dxa"/>
            <w:vAlign w:val="center"/>
          </w:tcPr>
          <w:p>
            <w:pPr>
              <w:jc w:val="center"/>
              <w:rPr>
                <w:rFonts w:hint="default"/>
                <w:sz w:val="30"/>
                <w:szCs w:val="30"/>
                <w:lang w:val="en-US" w:eastAsia="zh-CN"/>
              </w:rPr>
            </w:pPr>
            <w:r>
              <w:rPr>
                <w:rFonts w:hint="eastAsia"/>
                <w:sz w:val="30"/>
                <w:szCs w:val="30"/>
                <w:lang w:val="en-US" w:eastAsia="zh-CN"/>
              </w:rPr>
              <w:t>534</w:t>
            </w:r>
          </w:p>
        </w:tc>
        <w:tc>
          <w:tcPr>
            <w:tcW w:w="3678" w:type="dxa"/>
            <w:vAlign w:val="center"/>
          </w:tcPr>
          <w:p>
            <w:pPr>
              <w:jc w:val="center"/>
              <w:rPr>
                <w:sz w:val="30"/>
                <w:szCs w:val="30"/>
              </w:rPr>
            </w:pPr>
            <w:r>
              <w:rPr>
                <w:sz w:val="30"/>
                <w:szCs w:val="30"/>
              </w:rPr>
              <w:t>铜阀</w:t>
            </w:r>
          </w:p>
        </w:tc>
        <w:tc>
          <w:tcPr>
            <w:tcW w:w="7368"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sz w:val="30"/>
              </w:rPr>
            </w:pPr>
            <w:r>
              <w:rPr>
                <w:sz w:val="30"/>
              </w:rPr>
              <w:t>埃美柯、盾安、华龙巨水</w:t>
            </w:r>
            <w:r>
              <w:rPr>
                <w:rFonts w:hint="eastAsia"/>
                <w:sz w:val="30"/>
              </w:rPr>
              <w:t>、</w:t>
            </w:r>
            <w:r>
              <w:rPr>
                <w:sz w:val="30"/>
              </w:rPr>
              <w:t>宁波永亨、宁波杰克龙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920" w:type="dxa"/>
            <w:vAlign w:val="center"/>
          </w:tcPr>
          <w:p>
            <w:pPr>
              <w:jc w:val="center"/>
              <w:rPr>
                <w:rFonts w:hint="default"/>
                <w:sz w:val="30"/>
                <w:szCs w:val="30"/>
                <w:lang w:val="en-US" w:eastAsia="zh-CN"/>
              </w:rPr>
            </w:pPr>
            <w:r>
              <w:rPr>
                <w:rFonts w:hint="eastAsia"/>
                <w:sz w:val="30"/>
                <w:szCs w:val="30"/>
                <w:lang w:val="en-US" w:eastAsia="zh-CN"/>
              </w:rPr>
              <w:t>535</w:t>
            </w:r>
          </w:p>
        </w:tc>
        <w:tc>
          <w:tcPr>
            <w:tcW w:w="3678" w:type="dxa"/>
            <w:vAlign w:val="center"/>
          </w:tcPr>
          <w:p>
            <w:pPr>
              <w:jc w:val="center"/>
              <w:rPr>
                <w:sz w:val="30"/>
                <w:szCs w:val="30"/>
              </w:rPr>
            </w:pPr>
            <w:r>
              <w:rPr>
                <w:sz w:val="30"/>
                <w:szCs w:val="30"/>
              </w:rPr>
              <w:t>地漏</w:t>
            </w:r>
          </w:p>
        </w:tc>
        <w:tc>
          <w:tcPr>
            <w:tcW w:w="7368"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both"/>
              <w:textAlignment w:val="center"/>
              <w:rPr>
                <w:sz w:val="30"/>
              </w:rPr>
            </w:pPr>
            <w:r>
              <w:rPr>
                <w:sz w:val="30"/>
              </w:rPr>
              <w:t>恒洁、摩恩、HCG和成、优达、九牧</w:t>
            </w:r>
            <w:r>
              <w:rPr>
                <w:sz w:val="30"/>
              </w:rPr>
              <w:br w:type="textWrapping"/>
            </w:r>
            <w:r>
              <w:rPr>
                <w:sz w:val="30"/>
              </w:rPr>
              <w:t>不锈钢地漏：亚洲象、恒思汇、潜水艇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920" w:type="dxa"/>
            <w:vAlign w:val="center"/>
          </w:tcPr>
          <w:p>
            <w:pPr>
              <w:jc w:val="center"/>
              <w:rPr>
                <w:rFonts w:hint="default"/>
                <w:sz w:val="30"/>
                <w:szCs w:val="30"/>
                <w:lang w:val="en-US" w:eastAsia="zh-CN"/>
              </w:rPr>
            </w:pPr>
            <w:r>
              <w:rPr>
                <w:rFonts w:hint="eastAsia"/>
                <w:sz w:val="30"/>
                <w:szCs w:val="30"/>
                <w:lang w:val="en-US" w:eastAsia="zh-CN"/>
              </w:rPr>
              <w:t>536</w:t>
            </w:r>
          </w:p>
        </w:tc>
        <w:tc>
          <w:tcPr>
            <w:tcW w:w="3678" w:type="dxa"/>
            <w:vAlign w:val="center"/>
          </w:tcPr>
          <w:p>
            <w:pPr>
              <w:jc w:val="center"/>
              <w:rPr>
                <w:sz w:val="30"/>
                <w:szCs w:val="30"/>
              </w:rPr>
            </w:pPr>
            <w:r>
              <w:rPr>
                <w:sz w:val="30"/>
                <w:szCs w:val="30"/>
              </w:rPr>
              <w:t>水表</w:t>
            </w:r>
          </w:p>
        </w:tc>
        <w:tc>
          <w:tcPr>
            <w:tcW w:w="7368"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both"/>
              <w:textAlignment w:val="center"/>
              <w:rPr>
                <w:sz w:val="30"/>
              </w:rPr>
            </w:pPr>
            <w:r>
              <w:rPr>
                <w:sz w:val="30"/>
              </w:rPr>
              <w:t>龙华水司认可品牌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0" w:hRule="atLeast"/>
        </w:trPr>
        <w:tc>
          <w:tcPr>
            <w:tcW w:w="920" w:type="dxa"/>
            <w:vAlign w:val="center"/>
          </w:tcPr>
          <w:p>
            <w:pPr>
              <w:jc w:val="center"/>
              <w:rPr>
                <w:rFonts w:hint="default"/>
                <w:sz w:val="30"/>
                <w:szCs w:val="30"/>
                <w:lang w:val="en-US" w:eastAsia="zh-CN"/>
              </w:rPr>
            </w:pPr>
            <w:r>
              <w:rPr>
                <w:rFonts w:hint="eastAsia"/>
                <w:sz w:val="30"/>
                <w:szCs w:val="30"/>
                <w:lang w:val="en-US" w:eastAsia="zh-CN"/>
              </w:rPr>
              <w:t>537</w:t>
            </w:r>
          </w:p>
        </w:tc>
        <w:tc>
          <w:tcPr>
            <w:tcW w:w="3678" w:type="dxa"/>
            <w:vAlign w:val="center"/>
          </w:tcPr>
          <w:p>
            <w:pPr>
              <w:jc w:val="center"/>
              <w:rPr>
                <w:sz w:val="30"/>
                <w:szCs w:val="30"/>
              </w:rPr>
            </w:pPr>
            <w:r>
              <w:rPr>
                <w:sz w:val="30"/>
                <w:szCs w:val="30"/>
              </w:rPr>
              <w:t>热水器</w:t>
            </w:r>
          </w:p>
        </w:tc>
        <w:tc>
          <w:tcPr>
            <w:tcW w:w="7368"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both"/>
              <w:textAlignment w:val="center"/>
              <w:rPr>
                <w:sz w:val="30"/>
                <w:lang w:val="en-US"/>
              </w:rPr>
            </w:pPr>
            <w:r>
              <w:rPr>
                <w:sz w:val="30"/>
              </w:rPr>
              <w:t>美的、港华紫荆、万家乐、华帝、万和、</w:t>
            </w:r>
            <w:r>
              <w:rPr>
                <w:rFonts w:ascii="仿宋" w:hAnsi="仿宋" w:eastAsia="仿宋" w:cs="仿宋"/>
                <w:sz w:val="30"/>
                <w:szCs w:val="22"/>
                <w:lang w:val="zh-CN" w:eastAsia="zh-CN" w:bidi="zh-CN"/>
              </w:rPr>
              <w:t>海尔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0" w:hRule="atLeast"/>
        </w:trPr>
        <w:tc>
          <w:tcPr>
            <w:tcW w:w="920" w:type="dxa"/>
            <w:vAlign w:val="center"/>
          </w:tcPr>
          <w:p>
            <w:pPr>
              <w:jc w:val="center"/>
              <w:rPr>
                <w:rFonts w:hint="default"/>
                <w:sz w:val="30"/>
                <w:szCs w:val="30"/>
                <w:lang w:val="en-US" w:eastAsia="zh-CN"/>
              </w:rPr>
            </w:pPr>
            <w:r>
              <w:rPr>
                <w:rFonts w:hint="eastAsia"/>
                <w:sz w:val="30"/>
                <w:szCs w:val="30"/>
                <w:lang w:val="en-US" w:eastAsia="zh-CN"/>
              </w:rPr>
              <w:t>538</w:t>
            </w:r>
          </w:p>
        </w:tc>
        <w:tc>
          <w:tcPr>
            <w:tcW w:w="3678" w:type="dxa"/>
            <w:vAlign w:val="center"/>
          </w:tcPr>
          <w:p>
            <w:pPr>
              <w:jc w:val="center"/>
              <w:rPr>
                <w:sz w:val="30"/>
                <w:szCs w:val="30"/>
              </w:rPr>
            </w:pPr>
            <w:r>
              <w:rPr>
                <w:sz w:val="30"/>
                <w:szCs w:val="30"/>
              </w:rPr>
              <w:t>卫浴</w:t>
            </w:r>
            <w:r>
              <w:rPr>
                <w:rFonts w:hint="eastAsia"/>
                <w:sz w:val="30"/>
                <w:szCs w:val="30"/>
              </w:rPr>
              <w:t>、</w:t>
            </w:r>
            <w:r>
              <w:rPr>
                <w:rFonts w:hint="eastAsia"/>
                <w:sz w:val="30"/>
                <w:szCs w:val="30"/>
                <w:lang w:val="en-US"/>
              </w:rPr>
              <w:t>洁具及五金、厨房五金</w:t>
            </w:r>
          </w:p>
        </w:tc>
        <w:tc>
          <w:tcPr>
            <w:tcW w:w="7368"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rFonts w:hint="eastAsia" w:eastAsia="仿宋"/>
                <w:sz w:val="30"/>
                <w:lang w:eastAsia="zh-CN"/>
              </w:rPr>
            </w:pPr>
            <w:r>
              <w:rPr>
                <w:sz w:val="30"/>
              </w:rPr>
              <w:t>美标</w:t>
            </w:r>
            <w:r>
              <w:rPr>
                <w:rFonts w:hint="eastAsia"/>
                <w:sz w:val="30"/>
                <w:lang w:eastAsia="zh-CN"/>
              </w:rPr>
              <w:t>、</w:t>
            </w:r>
            <w:r>
              <w:rPr>
                <w:sz w:val="30"/>
              </w:rPr>
              <w:t>和成、乐家</w:t>
            </w:r>
            <w:r>
              <w:rPr>
                <w:rFonts w:hint="eastAsia"/>
                <w:sz w:val="30"/>
                <w:lang w:eastAsia="zh-CN"/>
              </w:rPr>
              <w:t>、</w:t>
            </w:r>
            <w:r>
              <w:rPr>
                <w:sz w:val="30"/>
              </w:rPr>
              <w:t>恒洁</w:t>
            </w:r>
            <w:r>
              <w:rPr>
                <w:rFonts w:hint="eastAsia"/>
                <w:sz w:val="30"/>
                <w:lang w:eastAsia="zh-CN"/>
              </w:rPr>
              <w:t>、</w:t>
            </w:r>
            <w:r>
              <w:rPr>
                <w:spacing w:val="6"/>
                <w:sz w:val="30"/>
              </w:rPr>
              <w:t>箭牌、</w:t>
            </w:r>
            <w:r>
              <w:rPr>
                <w:sz w:val="30"/>
              </w:rPr>
              <w:t>惠达、</w:t>
            </w:r>
            <w:r>
              <w:rPr>
                <w:spacing w:val="6"/>
                <w:sz w:val="30"/>
              </w:rPr>
              <w:t>鹰卫浴、</w:t>
            </w:r>
            <w:r>
              <w:rPr>
                <w:sz w:val="30"/>
              </w:rPr>
              <w:t>东鹏、</w:t>
            </w:r>
            <w:r>
              <w:rPr>
                <w:spacing w:val="6"/>
                <w:sz w:val="30"/>
              </w:rPr>
              <w:t>九</w:t>
            </w:r>
            <w:r>
              <w:rPr>
                <w:sz w:val="30"/>
              </w:rPr>
              <w:t>牧、</w:t>
            </w:r>
            <w:r>
              <w:rPr>
                <w:rFonts w:hint="eastAsia"/>
                <w:sz w:val="30"/>
                <w:lang w:val="en-US"/>
              </w:rPr>
              <w:t>摩恩、浪鲸、潜水艇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920" w:type="dxa"/>
            <w:vAlign w:val="center"/>
          </w:tcPr>
          <w:p>
            <w:pPr>
              <w:jc w:val="center"/>
              <w:rPr>
                <w:rFonts w:hint="default"/>
                <w:sz w:val="30"/>
                <w:szCs w:val="30"/>
                <w:lang w:val="en-US" w:eastAsia="zh-CN"/>
              </w:rPr>
            </w:pPr>
            <w:r>
              <w:rPr>
                <w:rFonts w:hint="eastAsia"/>
                <w:sz w:val="30"/>
                <w:szCs w:val="30"/>
                <w:lang w:val="en-US" w:eastAsia="zh-CN"/>
              </w:rPr>
              <w:t>539</w:t>
            </w:r>
          </w:p>
        </w:tc>
        <w:tc>
          <w:tcPr>
            <w:tcW w:w="3678" w:type="dxa"/>
            <w:vAlign w:val="center"/>
          </w:tcPr>
          <w:p>
            <w:pPr>
              <w:jc w:val="center"/>
              <w:rPr>
                <w:sz w:val="30"/>
                <w:szCs w:val="30"/>
              </w:rPr>
            </w:pPr>
            <w:r>
              <w:rPr>
                <w:sz w:val="30"/>
                <w:szCs w:val="30"/>
              </w:rPr>
              <w:t>垃圾房除臭系统</w:t>
            </w:r>
          </w:p>
        </w:tc>
        <w:tc>
          <w:tcPr>
            <w:tcW w:w="7368"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both"/>
              <w:textAlignment w:val="center"/>
              <w:rPr>
                <w:sz w:val="30"/>
              </w:rPr>
            </w:pPr>
            <w:r>
              <w:rPr>
                <w:sz w:val="30"/>
              </w:rPr>
              <w:t>天海青、富灵环保、深水海纳</w:t>
            </w:r>
          </w:p>
        </w:tc>
      </w:tr>
    </w:tbl>
    <w:p>
      <w:pPr>
        <w:pStyle w:val="5"/>
        <w:rPr>
          <w:rFonts w:ascii="Times New Roman"/>
          <w:sz w:val="20"/>
        </w:rPr>
      </w:pPr>
    </w:p>
    <w:p>
      <w:pPr>
        <w:rPr>
          <w:b/>
          <w:bCs/>
          <w:color w:val="000000"/>
          <w:sz w:val="31"/>
          <w:szCs w:val="31"/>
          <w:lang w:val="en-US" w:bidi="ar"/>
        </w:rPr>
      </w:pPr>
      <w:r>
        <w:rPr>
          <w:b/>
          <w:bCs/>
          <w:color w:val="000000"/>
          <w:sz w:val="31"/>
          <w:szCs w:val="31"/>
          <w:lang w:val="en-US" w:bidi="ar"/>
        </w:rPr>
        <w:br w:type="page"/>
      </w:r>
    </w:p>
    <w:p>
      <w:pPr>
        <w:widowControl/>
        <w:numPr>
          <w:ilvl w:val="-1"/>
          <w:numId w:val="0"/>
        </w:numPr>
        <w:ind w:left="-147" w:leftChars="-70" w:firstLine="0" w:firstLineChars="0"/>
        <w:jc w:val="both"/>
        <w:rPr>
          <w:b/>
          <w:bCs/>
          <w:color w:val="000000"/>
          <w:sz w:val="31"/>
          <w:szCs w:val="31"/>
          <w:lang w:val="en-US" w:bidi="ar"/>
        </w:rPr>
      </w:pPr>
      <w:r>
        <w:rPr>
          <w:b/>
          <w:bCs/>
          <w:color w:val="000000"/>
          <w:sz w:val="31"/>
          <w:szCs w:val="31"/>
          <w:lang w:val="en-US" w:bidi="ar"/>
        </w:rPr>
        <w:t>暖通空调类材料设备参考品牌</w:t>
      </w:r>
    </w:p>
    <w:p>
      <w:pPr>
        <w:rPr>
          <w:lang w:val="en-US"/>
        </w:rPr>
      </w:pPr>
    </w:p>
    <w:p>
      <w:pPr>
        <w:pStyle w:val="5"/>
        <w:spacing w:before="1"/>
        <w:rPr>
          <w:rFonts w:ascii="Times New Roman"/>
          <w:sz w:val="11"/>
        </w:rPr>
      </w:pPr>
    </w:p>
    <w:tbl>
      <w:tblPr>
        <w:tblStyle w:val="10"/>
        <w:tblW w:w="12716" w:type="dxa"/>
        <w:tblInd w:w="3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7"/>
        <w:gridCol w:w="3111"/>
        <w:gridCol w:w="83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1287" w:type="dxa"/>
            <w:vAlign w:val="center"/>
          </w:tcPr>
          <w:p>
            <w:pPr>
              <w:jc w:val="center"/>
              <w:rPr>
                <w:b/>
                <w:bCs/>
                <w:sz w:val="30"/>
                <w:szCs w:val="30"/>
              </w:rPr>
            </w:pPr>
            <w:r>
              <w:rPr>
                <w:b/>
                <w:bCs/>
                <w:sz w:val="30"/>
                <w:szCs w:val="30"/>
              </w:rPr>
              <w:t>编号</w:t>
            </w:r>
          </w:p>
        </w:tc>
        <w:tc>
          <w:tcPr>
            <w:tcW w:w="3111" w:type="dxa"/>
            <w:vAlign w:val="center"/>
          </w:tcPr>
          <w:p>
            <w:pPr>
              <w:jc w:val="center"/>
              <w:rPr>
                <w:b/>
                <w:bCs/>
                <w:sz w:val="30"/>
                <w:szCs w:val="30"/>
              </w:rPr>
            </w:pPr>
            <w:r>
              <w:rPr>
                <w:b/>
                <w:bCs/>
                <w:sz w:val="30"/>
                <w:szCs w:val="30"/>
              </w:rPr>
              <w:t>材料设备品种</w:t>
            </w:r>
          </w:p>
        </w:tc>
        <w:tc>
          <w:tcPr>
            <w:tcW w:w="8318" w:type="dxa"/>
            <w:vAlign w:val="center"/>
          </w:tcPr>
          <w:p>
            <w:pPr>
              <w:jc w:val="center"/>
              <w:rPr>
                <w:b/>
                <w:bCs/>
                <w:sz w:val="30"/>
                <w:szCs w:val="30"/>
              </w:rPr>
            </w:pPr>
            <w:r>
              <w:rPr>
                <w:b/>
                <w:bCs/>
                <w:sz w:val="30"/>
                <w:szCs w:val="30"/>
              </w:rPr>
              <w:t>正常使用参考品牌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1287" w:type="dxa"/>
            <w:vAlign w:val="center"/>
          </w:tcPr>
          <w:p>
            <w:pPr>
              <w:jc w:val="center"/>
              <w:rPr>
                <w:rFonts w:hint="default"/>
                <w:sz w:val="30"/>
                <w:szCs w:val="30"/>
                <w:lang w:val="en-US" w:eastAsia="zh-CN"/>
              </w:rPr>
            </w:pPr>
            <w:r>
              <w:rPr>
                <w:rFonts w:hint="eastAsia"/>
                <w:sz w:val="30"/>
                <w:szCs w:val="30"/>
                <w:lang w:val="en-US" w:eastAsia="zh-CN"/>
              </w:rPr>
              <w:t>616</w:t>
            </w:r>
          </w:p>
        </w:tc>
        <w:tc>
          <w:tcPr>
            <w:tcW w:w="3111" w:type="dxa"/>
            <w:vAlign w:val="center"/>
          </w:tcPr>
          <w:p>
            <w:pPr>
              <w:jc w:val="center"/>
              <w:rPr>
                <w:sz w:val="30"/>
                <w:szCs w:val="30"/>
              </w:rPr>
            </w:pPr>
            <w:r>
              <w:rPr>
                <w:sz w:val="30"/>
                <w:szCs w:val="30"/>
              </w:rPr>
              <w:t>排气扇（金属带止回阀）</w:t>
            </w:r>
          </w:p>
        </w:tc>
        <w:tc>
          <w:tcPr>
            <w:tcW w:w="8318"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both"/>
              <w:textAlignment w:val="center"/>
              <w:rPr>
                <w:color w:val="000000" w:themeColor="text1"/>
                <w:sz w:val="30"/>
                <w14:textFill>
                  <w14:solidFill>
                    <w14:schemeClr w14:val="tx1"/>
                  </w14:solidFill>
                </w14:textFill>
              </w:rPr>
            </w:pPr>
            <w:r>
              <w:rPr>
                <w:color w:val="000000" w:themeColor="text1"/>
                <w:sz w:val="30"/>
                <w14:textFill>
                  <w14:solidFill>
                    <w14:schemeClr w14:val="tx1"/>
                  </w14:solidFill>
                </w14:textFill>
              </w:rPr>
              <w:t>松下、樱花、雷士、正野、艾美特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5" w:hRule="atLeast"/>
        </w:trPr>
        <w:tc>
          <w:tcPr>
            <w:tcW w:w="1287" w:type="dxa"/>
            <w:vAlign w:val="center"/>
          </w:tcPr>
          <w:p>
            <w:pPr>
              <w:jc w:val="center"/>
              <w:rPr>
                <w:rFonts w:hint="default"/>
                <w:sz w:val="30"/>
                <w:szCs w:val="30"/>
                <w:lang w:val="en-US" w:eastAsia="zh-CN"/>
              </w:rPr>
            </w:pPr>
            <w:r>
              <w:rPr>
                <w:rFonts w:hint="eastAsia"/>
                <w:sz w:val="30"/>
                <w:szCs w:val="30"/>
                <w:lang w:val="en-US" w:eastAsia="zh-CN"/>
              </w:rPr>
              <w:t>620</w:t>
            </w:r>
          </w:p>
        </w:tc>
        <w:tc>
          <w:tcPr>
            <w:tcW w:w="3111" w:type="dxa"/>
            <w:vAlign w:val="center"/>
          </w:tcPr>
          <w:p>
            <w:pPr>
              <w:jc w:val="center"/>
              <w:rPr>
                <w:sz w:val="30"/>
                <w:szCs w:val="30"/>
              </w:rPr>
            </w:pPr>
            <w:r>
              <w:rPr>
                <w:sz w:val="30"/>
                <w:szCs w:val="30"/>
              </w:rPr>
              <w:t>分体空调</w:t>
            </w:r>
          </w:p>
        </w:tc>
        <w:tc>
          <w:tcPr>
            <w:tcW w:w="8318"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rFonts w:hint="default" w:eastAsia="仿宋"/>
                <w:color w:val="000000" w:themeColor="text1"/>
                <w:sz w:val="30"/>
                <w:lang w:val="en-US" w:eastAsia="zh-CN"/>
                <w14:textFill>
                  <w14:solidFill>
                    <w14:schemeClr w14:val="tx1"/>
                  </w14:solidFill>
                </w14:textFill>
              </w:rPr>
            </w:pPr>
            <w:r>
              <w:rPr>
                <w:color w:val="000000" w:themeColor="text1"/>
                <w:sz w:val="30"/>
                <w14:textFill>
                  <w14:solidFill>
                    <w14:schemeClr w14:val="tx1"/>
                  </w14:solidFill>
                </w14:textFill>
              </w:rPr>
              <w:t>格力、美的</w:t>
            </w:r>
            <w:r>
              <w:rPr>
                <w:sz w:val="30"/>
              </w:rPr>
              <w:t>、海尔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1287" w:type="dxa"/>
            <w:vAlign w:val="center"/>
          </w:tcPr>
          <w:p>
            <w:pPr>
              <w:jc w:val="center"/>
              <w:rPr>
                <w:rFonts w:hint="default"/>
                <w:sz w:val="30"/>
                <w:szCs w:val="30"/>
                <w:lang w:val="en-US" w:eastAsia="zh-CN"/>
              </w:rPr>
            </w:pPr>
            <w:r>
              <w:rPr>
                <w:rFonts w:hint="eastAsia"/>
                <w:sz w:val="30"/>
                <w:szCs w:val="30"/>
                <w:lang w:val="en-US" w:eastAsia="zh-CN"/>
              </w:rPr>
              <w:t>622</w:t>
            </w:r>
          </w:p>
        </w:tc>
        <w:tc>
          <w:tcPr>
            <w:tcW w:w="3111" w:type="dxa"/>
            <w:vAlign w:val="center"/>
          </w:tcPr>
          <w:p>
            <w:pPr>
              <w:jc w:val="center"/>
              <w:rPr>
                <w:sz w:val="30"/>
                <w:szCs w:val="30"/>
              </w:rPr>
            </w:pPr>
            <w:r>
              <w:rPr>
                <w:sz w:val="30"/>
                <w:szCs w:val="30"/>
              </w:rPr>
              <w:t>铜管（空调用）</w:t>
            </w:r>
          </w:p>
        </w:tc>
        <w:tc>
          <w:tcPr>
            <w:tcW w:w="8318"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both"/>
              <w:textAlignment w:val="center"/>
              <w:rPr>
                <w:rFonts w:hint="eastAsia" w:eastAsia="仿宋"/>
                <w:color w:val="000000" w:themeColor="text1"/>
                <w:sz w:val="30"/>
                <w:lang w:eastAsia="zh-CN"/>
                <w14:textFill>
                  <w14:solidFill>
                    <w14:schemeClr w14:val="tx1"/>
                  </w14:solidFill>
                </w14:textFill>
              </w:rPr>
            </w:pPr>
            <w:r>
              <w:rPr>
                <w:color w:val="000000" w:themeColor="text1"/>
                <w:sz w:val="30"/>
                <w14:textFill>
                  <w14:solidFill>
                    <w14:schemeClr w14:val="tx1"/>
                  </w14:solidFill>
                </w14:textFill>
              </w:rPr>
              <w:t>上海飞轮、青岛宏泰</w:t>
            </w:r>
            <w:r>
              <w:rPr>
                <w:rFonts w:hint="eastAsia"/>
                <w:color w:val="000000" w:themeColor="text1"/>
                <w:sz w:val="30"/>
                <w:lang w:eastAsia="zh-CN"/>
                <w14:textFill>
                  <w14:solidFill>
                    <w14:schemeClr w14:val="tx1"/>
                  </w14:solidFill>
                </w14:textFill>
              </w:rPr>
              <w:t>、碧灵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5" w:hRule="atLeast"/>
        </w:trPr>
        <w:tc>
          <w:tcPr>
            <w:tcW w:w="1287" w:type="dxa"/>
            <w:vAlign w:val="center"/>
          </w:tcPr>
          <w:p>
            <w:pPr>
              <w:jc w:val="center"/>
              <w:rPr>
                <w:rFonts w:hint="default"/>
                <w:sz w:val="30"/>
                <w:szCs w:val="30"/>
                <w:lang w:val="en-US" w:eastAsia="zh-CN"/>
              </w:rPr>
            </w:pPr>
            <w:r>
              <w:rPr>
                <w:rFonts w:hint="eastAsia"/>
                <w:sz w:val="30"/>
                <w:szCs w:val="30"/>
                <w:lang w:val="en-US" w:eastAsia="zh-CN"/>
              </w:rPr>
              <w:t>628</w:t>
            </w:r>
          </w:p>
        </w:tc>
        <w:tc>
          <w:tcPr>
            <w:tcW w:w="3111" w:type="dxa"/>
            <w:vAlign w:val="center"/>
          </w:tcPr>
          <w:p>
            <w:pPr>
              <w:jc w:val="center"/>
              <w:rPr>
                <w:sz w:val="30"/>
                <w:szCs w:val="30"/>
              </w:rPr>
            </w:pPr>
          </w:p>
          <w:p>
            <w:pPr>
              <w:jc w:val="center"/>
              <w:rPr>
                <w:sz w:val="30"/>
                <w:szCs w:val="30"/>
              </w:rPr>
            </w:pPr>
            <w:r>
              <w:rPr>
                <w:sz w:val="30"/>
                <w:szCs w:val="30"/>
              </w:rPr>
              <w:t>橡塑保温材料</w:t>
            </w:r>
          </w:p>
        </w:tc>
        <w:tc>
          <w:tcPr>
            <w:tcW w:w="8318"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color w:val="000000" w:themeColor="text1"/>
                <w:sz w:val="30"/>
                <w14:textFill>
                  <w14:solidFill>
                    <w14:schemeClr w14:val="tx1"/>
                  </w14:solidFill>
                </w14:textFill>
              </w:rPr>
            </w:pPr>
            <w:r>
              <w:rPr>
                <w:rFonts w:hint="eastAsia"/>
                <w:color w:val="000000" w:themeColor="text1"/>
                <w:sz w:val="30"/>
                <w14:textFill>
                  <w14:solidFill>
                    <w14:schemeClr w14:val="tx1"/>
                  </w14:solidFill>
                </w14:textFill>
              </w:rPr>
              <w:t>金福莱斯、神州（绿都）、赢胜、广华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1287" w:type="dxa"/>
            <w:vAlign w:val="center"/>
          </w:tcPr>
          <w:p>
            <w:pPr>
              <w:jc w:val="center"/>
              <w:rPr>
                <w:rFonts w:hint="default"/>
                <w:sz w:val="30"/>
                <w:szCs w:val="30"/>
                <w:lang w:val="en-US" w:eastAsia="zh-CN"/>
              </w:rPr>
            </w:pPr>
            <w:r>
              <w:rPr>
                <w:rFonts w:hint="eastAsia"/>
                <w:sz w:val="30"/>
                <w:szCs w:val="30"/>
                <w:lang w:val="en-US" w:eastAsia="zh-CN"/>
              </w:rPr>
              <w:t>629</w:t>
            </w:r>
          </w:p>
        </w:tc>
        <w:tc>
          <w:tcPr>
            <w:tcW w:w="3111" w:type="dxa"/>
            <w:vAlign w:val="center"/>
          </w:tcPr>
          <w:p>
            <w:pPr>
              <w:jc w:val="center"/>
              <w:rPr>
                <w:sz w:val="30"/>
                <w:szCs w:val="30"/>
              </w:rPr>
            </w:pPr>
            <w:r>
              <w:rPr>
                <w:sz w:val="30"/>
                <w:szCs w:val="30"/>
              </w:rPr>
              <w:t>超细玻璃棉保温材料</w:t>
            </w:r>
          </w:p>
        </w:tc>
        <w:tc>
          <w:tcPr>
            <w:tcW w:w="8318"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both"/>
              <w:textAlignment w:val="center"/>
              <w:rPr>
                <w:color w:val="000000" w:themeColor="text1"/>
                <w:sz w:val="30"/>
                <w14:textFill>
                  <w14:solidFill>
                    <w14:schemeClr w14:val="tx1"/>
                  </w14:solidFill>
                </w14:textFill>
              </w:rPr>
            </w:pPr>
            <w:r>
              <w:rPr>
                <w:rFonts w:ascii="仿宋" w:hAnsi="仿宋" w:eastAsia="仿宋" w:cs="仿宋"/>
                <w:sz w:val="30"/>
                <w:szCs w:val="22"/>
                <w:lang w:val="zh-CN" w:eastAsia="zh-CN" w:bidi="zh-CN"/>
              </w:rPr>
              <w:t>欧文斯科宁、杰</w:t>
            </w:r>
            <w:r>
              <w:rPr>
                <w:color w:val="000000" w:themeColor="text1"/>
                <w:sz w:val="30"/>
                <w14:textFill>
                  <w14:solidFill>
                    <w14:schemeClr w14:val="tx1"/>
                  </w14:solidFill>
                </w14:textFill>
              </w:rPr>
              <w:t>孚、上海平板、依索维尔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1287" w:type="dxa"/>
            <w:vAlign w:val="center"/>
          </w:tcPr>
          <w:p>
            <w:pPr>
              <w:jc w:val="center"/>
              <w:rPr>
                <w:rFonts w:hint="default"/>
                <w:sz w:val="30"/>
                <w:szCs w:val="30"/>
                <w:lang w:val="en-US" w:eastAsia="zh-CN"/>
              </w:rPr>
            </w:pPr>
            <w:r>
              <w:rPr>
                <w:rFonts w:hint="eastAsia"/>
                <w:sz w:val="30"/>
                <w:szCs w:val="30"/>
                <w:lang w:val="en-US" w:eastAsia="zh-CN"/>
              </w:rPr>
              <w:t>630</w:t>
            </w:r>
          </w:p>
        </w:tc>
        <w:tc>
          <w:tcPr>
            <w:tcW w:w="3111" w:type="dxa"/>
            <w:vAlign w:val="center"/>
          </w:tcPr>
          <w:p>
            <w:pPr>
              <w:jc w:val="center"/>
              <w:rPr>
                <w:sz w:val="30"/>
                <w:szCs w:val="30"/>
              </w:rPr>
            </w:pPr>
            <w:r>
              <w:rPr>
                <w:sz w:val="30"/>
                <w:szCs w:val="30"/>
              </w:rPr>
              <w:t>蝶阀、闸阀、截止阀、球阀、止回阀、Y型过滤器、自动排气阀等非电动类阀</w:t>
            </w:r>
          </w:p>
        </w:tc>
        <w:tc>
          <w:tcPr>
            <w:tcW w:w="8318" w:type="dxa"/>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jc w:val="both"/>
              <w:textAlignment w:val="center"/>
              <w:rPr>
                <w:color w:val="000000" w:themeColor="text1"/>
                <w:sz w:val="30"/>
                <w14:textFill>
                  <w14:solidFill>
                    <w14:schemeClr w14:val="tx1"/>
                  </w14:solidFill>
                </w14:textFill>
              </w:rPr>
            </w:pPr>
            <w:r>
              <w:rPr>
                <w:color w:val="000000" w:themeColor="text1"/>
                <w:sz w:val="30"/>
                <w14:textFill>
                  <w14:solidFill>
                    <w14:schemeClr w14:val="tx1"/>
                  </w14:solidFill>
                </w14:textFill>
              </w:rPr>
              <w:t>小于DN50:艾美柯、安利达、永亨</w:t>
            </w:r>
            <w:r>
              <w:rPr>
                <w:color w:val="000000" w:themeColor="text1"/>
                <w:sz w:val="30"/>
                <w14:textFill>
                  <w14:solidFill>
                    <w14:schemeClr w14:val="tx1"/>
                  </w14:solidFill>
                </w14:textFill>
              </w:rPr>
              <w:br w:type="textWrapping"/>
            </w:r>
            <w:r>
              <w:rPr>
                <w:color w:val="000000" w:themeColor="text1"/>
                <w:sz w:val="30"/>
                <w14:textFill>
                  <w14:solidFill>
                    <w14:schemeClr w14:val="tx1"/>
                  </w14:solidFill>
                </w14:textFill>
              </w:rPr>
              <w:t>大于等于DN50：AVK</w:t>
            </w:r>
            <w:r>
              <w:rPr>
                <w:rFonts w:hint="eastAsia"/>
                <w:color w:val="000000" w:themeColor="text1"/>
                <w:sz w:val="30"/>
                <w14:textFill>
                  <w14:solidFill>
                    <w14:schemeClr w14:val="tx1"/>
                  </w14:solidFill>
                </w14:textFill>
              </w:rPr>
              <w:t>、</w:t>
            </w:r>
            <w:r>
              <w:rPr>
                <w:color w:val="000000" w:themeColor="text1"/>
                <w:sz w:val="30"/>
                <w14:textFill>
                  <w14:solidFill>
                    <w14:schemeClr w14:val="tx1"/>
                  </w14:solidFill>
                </w14:textFill>
              </w:rPr>
              <w:t>艾西</w:t>
            </w:r>
            <w:r>
              <w:rPr>
                <w:rFonts w:hint="eastAsia"/>
                <w:color w:val="000000" w:themeColor="text1"/>
                <w:sz w:val="30"/>
                <w14:textFill>
                  <w14:solidFill>
                    <w14:schemeClr w14:val="tx1"/>
                  </w14:solidFill>
                </w14:textFill>
              </w:rPr>
              <w:t>、伯尔梅特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1287" w:type="dxa"/>
            <w:vAlign w:val="center"/>
          </w:tcPr>
          <w:p>
            <w:pPr>
              <w:jc w:val="center"/>
              <w:rPr>
                <w:rFonts w:hint="default"/>
                <w:sz w:val="30"/>
                <w:szCs w:val="30"/>
                <w:lang w:val="en-US" w:eastAsia="zh-CN"/>
              </w:rPr>
            </w:pPr>
            <w:r>
              <w:rPr>
                <w:rFonts w:hint="eastAsia"/>
                <w:sz w:val="30"/>
                <w:szCs w:val="30"/>
                <w:lang w:val="en-US" w:eastAsia="zh-CN"/>
              </w:rPr>
              <w:t>631</w:t>
            </w:r>
          </w:p>
        </w:tc>
        <w:tc>
          <w:tcPr>
            <w:tcW w:w="3111" w:type="dxa"/>
            <w:vAlign w:val="center"/>
          </w:tcPr>
          <w:p>
            <w:pPr>
              <w:jc w:val="center"/>
              <w:rPr>
                <w:sz w:val="30"/>
                <w:szCs w:val="30"/>
              </w:rPr>
            </w:pPr>
            <w:r>
              <w:rPr>
                <w:sz w:val="30"/>
                <w:szCs w:val="30"/>
              </w:rPr>
              <w:t>电动蝶阀</w:t>
            </w:r>
          </w:p>
          <w:p>
            <w:pPr>
              <w:jc w:val="center"/>
              <w:rPr>
                <w:sz w:val="30"/>
                <w:szCs w:val="30"/>
              </w:rPr>
            </w:pPr>
            <w:r>
              <w:rPr>
                <w:sz w:val="30"/>
                <w:szCs w:val="30"/>
              </w:rPr>
              <w:t>压力平衡阀</w:t>
            </w:r>
          </w:p>
          <w:p>
            <w:pPr>
              <w:jc w:val="center"/>
              <w:rPr>
                <w:sz w:val="30"/>
                <w:szCs w:val="30"/>
              </w:rPr>
            </w:pPr>
            <w:r>
              <w:rPr>
                <w:sz w:val="30"/>
                <w:szCs w:val="30"/>
              </w:rPr>
              <w:t>电动比例积分阀，压差</w:t>
            </w:r>
          </w:p>
          <w:p>
            <w:pPr>
              <w:jc w:val="center"/>
              <w:rPr>
                <w:sz w:val="30"/>
                <w:szCs w:val="30"/>
              </w:rPr>
            </w:pPr>
            <w:r>
              <w:rPr>
                <w:sz w:val="30"/>
                <w:szCs w:val="30"/>
              </w:rPr>
              <w:t>旁通控制阀</w:t>
            </w:r>
          </w:p>
          <w:p>
            <w:pPr>
              <w:jc w:val="center"/>
              <w:rPr>
                <w:sz w:val="30"/>
                <w:szCs w:val="30"/>
              </w:rPr>
            </w:pPr>
            <w:r>
              <w:rPr>
                <w:sz w:val="30"/>
                <w:szCs w:val="30"/>
              </w:rPr>
              <w:t>静（动）态平衡阀、动态平衡电动调节（二通</w:t>
            </w:r>
          </w:p>
          <w:p>
            <w:pPr>
              <w:jc w:val="center"/>
              <w:rPr>
                <w:sz w:val="30"/>
                <w:szCs w:val="30"/>
              </w:rPr>
            </w:pPr>
            <w:r>
              <w:rPr>
                <w:sz w:val="30"/>
                <w:szCs w:val="30"/>
              </w:rPr>
              <w:t>阀</w:t>
            </w:r>
          </w:p>
        </w:tc>
        <w:tc>
          <w:tcPr>
            <w:tcW w:w="8318" w:type="dxa"/>
            <w:vAlign w:val="center"/>
          </w:tcPr>
          <w:p>
            <w:pPr>
              <w:pStyle w:val="17"/>
              <w:keepNext w:val="0"/>
              <w:keepLines w:val="0"/>
              <w:pageBreakBefore w:val="0"/>
              <w:kinsoku/>
              <w:wordWrap/>
              <w:overflowPunct/>
              <w:topLinePunct w:val="0"/>
              <w:autoSpaceDE w:val="0"/>
              <w:autoSpaceDN w:val="0"/>
              <w:bidi w:val="0"/>
              <w:adjustRightInd/>
              <w:snapToGrid/>
              <w:spacing w:line="240" w:lineRule="auto"/>
              <w:ind w:left="0" w:right="0"/>
              <w:jc w:val="both"/>
              <w:rPr>
                <w:rFonts w:hint="default" w:eastAsia="仿宋"/>
                <w:color w:val="000000" w:themeColor="text1"/>
                <w:sz w:val="30"/>
                <w:lang w:val="en-US" w:eastAsia="zh-CN"/>
                <w14:textFill>
                  <w14:solidFill>
                    <w14:schemeClr w14:val="tx1"/>
                  </w14:solidFill>
                </w14:textFill>
              </w:rPr>
            </w:pPr>
            <w:r>
              <w:rPr>
                <w:rFonts w:hint="eastAsia"/>
                <w:color w:val="000000" w:themeColor="text1"/>
                <w:sz w:val="30"/>
                <w14:textFill>
                  <w14:solidFill>
                    <w14:schemeClr w14:val="tx1"/>
                  </w14:solidFill>
                </w14:textFill>
              </w:rPr>
              <w:t>图尔.安德森（TA）、施耐德、西门子、凯士比</w:t>
            </w:r>
            <w:r>
              <w:rPr>
                <w:rFonts w:hint="eastAsia"/>
                <w:color w:val="000000" w:themeColor="text1"/>
                <w:sz w:val="30"/>
                <w:lang w:eastAsia="zh-CN"/>
                <w14:textFill>
                  <w14:solidFill>
                    <w14:schemeClr w14:val="tx1"/>
                  </w14:solidFill>
                </w14:textFill>
              </w:rPr>
              <w:t>、</w:t>
            </w:r>
            <w:r>
              <w:rPr>
                <w:rFonts w:hint="eastAsia"/>
                <w:color w:val="000000" w:themeColor="text1"/>
                <w:sz w:val="30"/>
                <w:lang w:val="en-US" w:eastAsia="zh-CN"/>
                <w14:textFill>
                  <w14:solidFill>
                    <w14:schemeClr w14:val="tx1"/>
                  </w14:solidFill>
                </w14:textFill>
              </w:rPr>
              <w:t>搏力谋</w:t>
            </w:r>
          </w:p>
        </w:tc>
      </w:tr>
    </w:tbl>
    <w:p>
      <w:pPr>
        <w:keepNext w:val="0"/>
        <w:keepLines w:val="0"/>
        <w:pageBreakBefore w:val="0"/>
        <w:wordWrap/>
        <w:overflowPunct/>
        <w:topLinePunct w:val="0"/>
        <w:bidi w:val="0"/>
        <w:adjustRightInd/>
        <w:snapToGrid/>
        <w:spacing w:line="240" w:lineRule="auto"/>
        <w:rPr>
          <w:rFonts w:hint="default" w:ascii="仿宋" w:hAnsi="仿宋" w:eastAsia="仿宋" w:cs="仿宋"/>
          <w:lang w:val="en-US" w:eastAsia="zh-CN"/>
        </w:rPr>
      </w:pPr>
      <w:bookmarkStart w:id="9" w:name="_TOC_250002"/>
      <w:bookmarkEnd w:id="9"/>
      <w:r>
        <w:rPr>
          <w:snapToGrid w:val="0"/>
          <w:szCs w:val="21"/>
        </w:rPr>
        <w:fldChar w:fldCharType="begin"/>
      </w:r>
      <w:r>
        <w:rPr>
          <w:snapToGrid w:val="0"/>
          <w:szCs w:val="21"/>
        </w:rPr>
        <w:instrText xml:space="preserve"> </w:instrText>
      </w:r>
      <w:r>
        <w:rPr>
          <w:rFonts w:hint="eastAsia"/>
          <w:snapToGrid w:val="0"/>
          <w:szCs w:val="21"/>
        </w:rPr>
        <w:instrText xml:space="preserve">AUTOTEXT  补充条款 \* MERGEFORMAT</w:instrText>
      </w:r>
      <w:r>
        <w:rPr>
          <w:snapToGrid w:val="0"/>
          <w:szCs w:val="21"/>
        </w:rPr>
        <w:instrText xml:space="preserve"> </w:instrText>
      </w:r>
      <w:r>
        <w:rPr>
          <w:snapToGrid w:val="0"/>
          <w:szCs w:val="21"/>
        </w:rPr>
        <w:fldChar w:fldCharType="separate"/>
      </w:r>
      <w:r>
        <w:rPr>
          <w:snapToGrid w:val="0"/>
          <w:szCs w:val="21"/>
        </w:rPr>
        <w:fldChar w:fldCharType="end"/>
      </w:r>
      <w:r>
        <w:rPr>
          <w:rFonts w:hint="eastAsia" w:ascii="仿宋" w:hAnsi="仿宋" w:eastAsia="仿宋" w:cs="仿宋"/>
          <w:snapToGrid w:val="0"/>
          <w:szCs w:val="21"/>
        </w:rPr>
        <w:fldChar w:fldCharType="begin"/>
      </w:r>
      <w:r>
        <w:rPr>
          <w:rFonts w:hint="eastAsia" w:ascii="仿宋" w:hAnsi="仿宋" w:eastAsia="仿宋" w:cs="仿宋"/>
          <w:snapToGrid w:val="0"/>
          <w:szCs w:val="21"/>
        </w:rPr>
        <w:instrText xml:space="preserve"> AUTOTEXT  补充条款 \* MERGEFORMAT </w:instrText>
      </w:r>
      <w:r>
        <w:rPr>
          <w:rFonts w:hint="eastAsia" w:ascii="仿宋" w:hAnsi="仿宋" w:eastAsia="仿宋" w:cs="仿宋"/>
          <w:snapToGrid w:val="0"/>
          <w:szCs w:val="21"/>
        </w:rPr>
        <w:fldChar w:fldCharType="separate"/>
      </w:r>
      <w:r>
        <w:rPr>
          <w:rFonts w:hint="eastAsia" w:ascii="仿宋" w:hAnsi="仿宋" w:eastAsia="仿宋" w:cs="仿宋"/>
          <w:snapToGrid w:val="0"/>
          <w:szCs w:val="21"/>
        </w:rPr>
        <w:fldChar w:fldCharType="end"/>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新宋体-18030">
    <w:altName w:val="微软雅黑"/>
    <w:panose1 w:val="00000000000000000000"/>
    <w:charset w:val="86"/>
    <w:family w:val="modern"/>
    <w:pitch w:val="default"/>
    <w:sig w:usb0="00000000" w:usb1="00000000" w:usb2="00000010" w:usb3="00000000" w:csb0="00040000" w:csb1="00000000"/>
  </w:font>
  <w:font w:name="???-18030">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line="14" w:lineRule="auto"/>
      <w:rPr>
        <w:sz w:val="20"/>
        <w:szCs w:val="21"/>
        <w:lang w:val="zh-CN" w:bidi="zh-CN"/>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line="14" w:lineRule="auto"/>
      <w:rPr>
        <w:sz w:val="20"/>
        <w:szCs w:val="21"/>
        <w:lang w:val="zh-CN" w:bidi="zh-CN"/>
      </w:rPr>
    </w:pPr>
    <w:r>
      <w:rPr>
        <w:sz w:val="21"/>
        <w:szCs w:val="21"/>
        <w:lang w:val="zh-CN" w:bidi="zh-CN"/>
      </w:rPr>
      <mc:AlternateContent>
        <mc:Choice Requires="wps">
          <w:drawing>
            <wp:anchor distT="0" distB="0" distL="114300" distR="114300" simplePos="0" relativeHeight="251659264" behindDoc="1" locked="0" layoutInCell="1" allowOverlap="1">
              <wp:simplePos x="0" y="0"/>
              <wp:positionH relativeFrom="page">
                <wp:posOffset>1158240</wp:posOffset>
              </wp:positionH>
              <wp:positionV relativeFrom="page">
                <wp:posOffset>509270</wp:posOffset>
              </wp:positionV>
              <wp:extent cx="5261610" cy="1689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261610" cy="168910"/>
                      </a:xfrm>
                      <a:prstGeom prst="rect">
                        <a:avLst/>
                      </a:prstGeom>
                      <a:noFill/>
                      <a:ln>
                        <a:noFill/>
                      </a:ln>
                    </wps:spPr>
                    <wps:txbx>
                      <w:txbxContent>
                        <w:p>
                          <w:pPr>
                            <w:widowControl w:val="0"/>
                            <w:tabs>
                              <w:tab w:val="left" w:pos="5827"/>
                              <w:tab w:val="left" w:pos="9765"/>
                            </w:tabs>
                            <w:autoSpaceDE w:val="0"/>
                            <w:autoSpaceDN w:val="0"/>
                            <w:rPr>
                              <w:sz w:val="18"/>
                              <w:szCs w:val="22"/>
                              <w:lang w:val="zh-CN" w:bidi="zh-CN"/>
                            </w:rPr>
                          </w:pPr>
                        </w:p>
                      </w:txbxContent>
                    </wps:txbx>
                    <wps:bodyPr lIns="0" tIns="0" rIns="0" bIns="0" upright="1"/>
                  </wps:wsp>
                </a:graphicData>
              </a:graphic>
            </wp:anchor>
          </w:drawing>
        </mc:Choice>
        <mc:Fallback>
          <w:pict>
            <v:shape id="_x0000_s1026" o:spid="_x0000_s1026" o:spt="202" type="#_x0000_t202" style="position:absolute;left:0pt;margin-left:91.2pt;margin-top:40.1pt;height:13.3pt;width:414.3pt;mso-position-horizontal-relative:page;mso-position-vertical-relative:page;z-index:-251657216;mso-width-relative:page;mso-height-relative:page;" filled="f" stroked="f" coordsize="21600,21600" o:gfxdata="UEsDBAoAAAAAAIdO4kAAAAAAAAAAAAAAAAAEAAAAZHJzL1BLAwQUAAAACACHTuJArkl49NYAAAAL&#10;AQAADwAAAGRycy9kb3ducmV2LnhtbE2PTU+EMBCG7yb+h2ZMvLktxBBEysYYPZkYWTx4LHQWyNIp&#10;0u6H/97hpLd5M0/ej3J7cZM44RJGTxqSjQKB1Hk7Uq/hs3m9y0GEaMiayRNq+MEA2+r6qjSF9Weq&#10;8bSLvWATCoXRMMQ4F1KGbkBnwsbPSPzb+8WZyHLppV3Mmc3dJFOlMunMSJwwmBmfB+wOu6PT8PRF&#10;9cv4/d5+1Pt6bJoHRW/ZQevbm0Q9goh4iX8wrPW5OlTcqfVHskFMrPP0nlENuUpBrIBKEl7XrleW&#10;g6xK+X9D9QtQSwMEFAAAAAgAh07iQOkXJoW5AQAAcgMAAA4AAABkcnMvZTJvRG9jLnhtbK1TwY7T&#10;MBC9I/EPlu/UTSSqJWq6EqoWISFAWvgA17EbS7bHst0m/QH4A05cuPNd/Q7GTtNdlsseuDgvM5M3&#10;894469vRGnKUIWpwLa0WS0qkE9Bpt2/p1y93r24oiYm7jhtwsqUnGent5uWL9eAbWUMPppOBIImL&#10;zeBb2qfkG8ai6KXlcQFeOkwqCJYnfA171gU+ILs1rF4uV2yA0PkAQsaI0e2UpBfG8BxCUEoLuQVx&#10;sNKliTVIwxNKir32kW7KtEpJkT4pFWUipqWoNJUTmyDe5ZNt1rzZB+57LS4j8OeM8EST5dph0yvV&#10;lidODkH/Q2W1CBBBpYUAyyYhxRFUUS2feHPfcy+LFrQ6+qvp8f/Rio/Hz4HorqU1JY5bXPj5x/fz&#10;z9/nX99Ine0ZfGyw6t5jXRrfwoiXZo5HDGbVowo2P1EPwTyae7qaK8dEBAZf16tqVWFKYK5a3bxB&#10;jPTs4WsfYnonwZIMWhpwecVTfvwQ01Q6l+RmDu60MWWBxv0VQM4cYXn0acSM0rgbL3p20J1Qjnnv&#10;0Mp8LWYQZrCbwcEHve9xnCK6UOIqytyXa5N3/fi9NH74VT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5JePTWAAAACwEAAA8AAAAAAAAAAQAgAAAAIgAAAGRycy9kb3ducmV2LnhtbFBLAQIUABQA&#10;AAAIAIdO4kDpFyaFuQEAAHIDAAAOAAAAAAAAAAEAIAAAACUBAABkcnMvZTJvRG9jLnhtbFBLBQYA&#10;AAAABgAGAFkBAABQBQAAAAA=&#10;">
              <v:fill on="f" focussize="0,0"/>
              <v:stroke on="f"/>
              <v:imagedata o:title=""/>
              <o:lock v:ext="edit" aspectratio="f"/>
              <v:textbox inset="0mm,0mm,0mm,0mm">
                <w:txbxContent>
                  <w:p>
                    <w:pPr>
                      <w:widowControl w:val="0"/>
                      <w:tabs>
                        <w:tab w:val="left" w:pos="5827"/>
                        <w:tab w:val="left" w:pos="9765"/>
                      </w:tabs>
                      <w:autoSpaceDE w:val="0"/>
                      <w:autoSpaceDN w:val="0"/>
                      <w:rPr>
                        <w:sz w:val="18"/>
                        <w:szCs w:val="22"/>
                        <w:lang w:val="zh-CN" w:bidi="zh-CN"/>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1FD9E"/>
    <w:multiLevelType w:val="singleLevel"/>
    <w:tmpl w:val="A341FD9E"/>
    <w:lvl w:ilvl="0" w:tentative="0">
      <w:start w:val="1"/>
      <w:numFmt w:val="chineseCounting"/>
      <w:suff w:val="nothing"/>
      <w:lvlText w:val="%1、"/>
      <w:lvlJc w:val="left"/>
      <w:rPr>
        <w:rFonts w:hint="eastAsia"/>
      </w:rPr>
    </w:lvl>
  </w:abstractNum>
  <w:abstractNum w:abstractNumId="1">
    <w:nsid w:val="BC189530"/>
    <w:multiLevelType w:val="singleLevel"/>
    <w:tmpl w:val="BC189530"/>
    <w:lvl w:ilvl="0" w:tentative="0">
      <w:start w:val="3"/>
      <w:numFmt w:val="chineseCounting"/>
      <w:suff w:val="nothing"/>
      <w:lvlText w:val="%1、"/>
      <w:lvlJc w:val="left"/>
      <w:rPr>
        <w:rFonts w:hint="eastAsia"/>
      </w:rPr>
    </w:lvl>
  </w:abstractNum>
  <w:abstractNum w:abstractNumId="2">
    <w:nsid w:val="3F7C3711"/>
    <w:multiLevelType w:val="multilevel"/>
    <w:tmpl w:val="3F7C3711"/>
    <w:lvl w:ilvl="0" w:tentative="0">
      <w:start w:val="1"/>
      <w:numFmt w:val="bullet"/>
      <w:lvlText w:val="-"/>
      <w:lvlJc w:val="left"/>
      <w:pPr>
        <w:ind w:left="1554" w:hanging="420"/>
      </w:pPr>
      <w:rPr>
        <w:rFonts w:hint="eastAsia" w:ascii="宋体" w:hAnsi="宋体" w:eastAsia="宋体"/>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3">
    <w:nsid w:val="60FF5118"/>
    <w:multiLevelType w:val="multilevel"/>
    <w:tmpl w:val="60FF5118"/>
    <w:lvl w:ilvl="0" w:tentative="0">
      <w:start w:val="1"/>
      <w:numFmt w:val="decimal"/>
      <w:lvlText w:val="（%1）"/>
      <w:lvlJc w:val="left"/>
      <w:pPr>
        <w:ind w:left="1320" w:hanging="420"/>
      </w:pPr>
      <w:rPr>
        <w:rFonts w:hint="default"/>
      </w:rPr>
    </w:lvl>
    <w:lvl w:ilvl="1" w:tentative="0">
      <w:start w:val="1"/>
      <w:numFmt w:val="bullet"/>
      <w:lvlText w:val=""/>
      <w:lvlJc w:val="left"/>
      <w:pPr>
        <w:ind w:left="1740" w:hanging="420"/>
      </w:pPr>
      <w:rPr>
        <w:rFonts w:hint="default" w:ascii="Wingdings" w:hAnsi="Wingdings"/>
      </w:rPr>
    </w:lvl>
    <w:lvl w:ilvl="2" w:tentative="0">
      <w:start w:val="1"/>
      <w:numFmt w:val="bullet"/>
      <w:lvlText w:val=""/>
      <w:lvlJc w:val="left"/>
      <w:pPr>
        <w:ind w:left="2160" w:hanging="420"/>
      </w:pPr>
      <w:rPr>
        <w:rFonts w:hint="default" w:ascii="Wingdings" w:hAnsi="Wingdings"/>
      </w:rPr>
    </w:lvl>
    <w:lvl w:ilvl="3" w:tentative="0">
      <w:start w:val="1"/>
      <w:numFmt w:val="bullet"/>
      <w:lvlText w:val=""/>
      <w:lvlJc w:val="left"/>
      <w:pPr>
        <w:ind w:left="2580" w:hanging="420"/>
      </w:pPr>
      <w:rPr>
        <w:rFonts w:hint="default" w:ascii="Wingdings" w:hAnsi="Wingdings"/>
      </w:rPr>
    </w:lvl>
    <w:lvl w:ilvl="4" w:tentative="0">
      <w:start w:val="1"/>
      <w:numFmt w:val="bullet"/>
      <w:lvlText w:val=""/>
      <w:lvlJc w:val="left"/>
      <w:pPr>
        <w:ind w:left="3000" w:hanging="420"/>
      </w:pPr>
      <w:rPr>
        <w:rFonts w:hint="default" w:ascii="Wingdings" w:hAnsi="Wingdings"/>
      </w:rPr>
    </w:lvl>
    <w:lvl w:ilvl="5" w:tentative="0">
      <w:start w:val="1"/>
      <w:numFmt w:val="bullet"/>
      <w:lvlText w:val=""/>
      <w:lvlJc w:val="left"/>
      <w:pPr>
        <w:ind w:left="3420" w:hanging="420"/>
      </w:pPr>
      <w:rPr>
        <w:rFonts w:hint="default" w:ascii="Wingdings" w:hAnsi="Wingdings"/>
      </w:rPr>
    </w:lvl>
    <w:lvl w:ilvl="6" w:tentative="0">
      <w:start w:val="1"/>
      <w:numFmt w:val="bullet"/>
      <w:lvlText w:val=""/>
      <w:lvlJc w:val="left"/>
      <w:pPr>
        <w:ind w:left="3840" w:hanging="420"/>
      </w:pPr>
      <w:rPr>
        <w:rFonts w:hint="default" w:ascii="Wingdings" w:hAnsi="Wingdings"/>
      </w:rPr>
    </w:lvl>
    <w:lvl w:ilvl="7" w:tentative="0">
      <w:start w:val="1"/>
      <w:numFmt w:val="bullet"/>
      <w:lvlText w:val=""/>
      <w:lvlJc w:val="left"/>
      <w:pPr>
        <w:ind w:left="4260" w:hanging="420"/>
      </w:pPr>
      <w:rPr>
        <w:rFonts w:hint="default" w:ascii="Wingdings" w:hAnsi="Wingdings"/>
      </w:rPr>
    </w:lvl>
    <w:lvl w:ilvl="8" w:tentative="0">
      <w:start w:val="1"/>
      <w:numFmt w:val="bullet"/>
      <w:lvlText w:val=""/>
      <w:lvlJc w:val="left"/>
      <w:pPr>
        <w:ind w:left="4680" w:hanging="420"/>
      </w:pPr>
      <w:rPr>
        <w:rFonts w:hint="default" w:ascii="Wingdings" w:hAnsi="Wingdings"/>
      </w:rPr>
    </w:lvl>
  </w:abstractNum>
  <w:abstractNum w:abstractNumId="4">
    <w:nsid w:val="79D94EB9"/>
    <w:multiLevelType w:val="multilevel"/>
    <w:tmpl w:val="79D94EB9"/>
    <w:lvl w:ilvl="0" w:tentative="0">
      <w:start w:val="1"/>
      <w:numFmt w:val="decimal"/>
      <w:lvlText w:val="%1"/>
      <w:lvlJc w:val="left"/>
      <w:pPr>
        <w:tabs>
          <w:tab w:val="left" w:pos="425"/>
        </w:tabs>
        <w:ind w:left="425" w:hanging="425"/>
      </w:pPr>
      <w:rPr>
        <w:rFonts w:hint="eastAsia" w:ascii="Times New Roman" w:hAnsi="Times New Roman" w:eastAsia="宋体" w:cs="Times New Roman"/>
        <w:b w:val="0"/>
        <w:color w:val="auto"/>
      </w:rPr>
    </w:lvl>
    <w:lvl w:ilvl="1" w:tentative="0">
      <w:start w:val="1"/>
      <w:numFmt w:val="decimal"/>
      <w:lvlText w:val="%1.%2"/>
      <w:lvlJc w:val="left"/>
      <w:pPr>
        <w:tabs>
          <w:tab w:val="left" w:pos="1512"/>
        </w:tabs>
        <w:ind w:left="1512" w:hanging="567"/>
      </w:pPr>
      <w:rPr>
        <w:rFonts w:hint="eastAsia" w:ascii="Times New Roman" w:hAnsi="Times New Roman" w:eastAsia="宋体" w:cs="Times New Roman"/>
        <w:b w:val="0"/>
        <w:color w:val="auto"/>
      </w:rPr>
    </w:lvl>
    <w:lvl w:ilvl="2" w:tentative="0">
      <w:start w:val="1"/>
      <w:numFmt w:val="decimal"/>
      <w:lvlText w:val="(%3)"/>
      <w:lvlJc w:val="left"/>
      <w:pPr>
        <w:tabs>
          <w:tab w:val="left" w:pos="1418"/>
        </w:tabs>
        <w:ind w:left="1418" w:hanging="567"/>
      </w:pPr>
      <w:rPr>
        <w:rFonts w:hint="default" w:cs="Times New Roman"/>
        <w:color w:val="auto"/>
      </w:rPr>
    </w:lvl>
    <w:lvl w:ilvl="3" w:tentative="0">
      <w:start w:val="1"/>
      <w:numFmt w:val="decimal"/>
      <w:lvlText w:val="9.1.%1.%2.%3.%4"/>
      <w:lvlJc w:val="left"/>
      <w:pPr>
        <w:tabs>
          <w:tab w:val="left" w:pos="2356"/>
        </w:tabs>
        <w:ind w:left="1984" w:hanging="708"/>
      </w:pPr>
      <w:rPr>
        <w:rFonts w:hint="eastAsia" w:cs="Times New Roman"/>
      </w:rPr>
    </w:lvl>
    <w:lvl w:ilvl="4" w:tentative="0">
      <w:start w:val="1"/>
      <w:numFmt w:val="decimal"/>
      <w:lvlText w:val="9.1.%1.%2.%3.%4.%5"/>
      <w:lvlJc w:val="left"/>
      <w:pPr>
        <w:tabs>
          <w:tab w:val="left" w:pos="2781"/>
        </w:tabs>
        <w:ind w:left="2551" w:hanging="850"/>
      </w:pPr>
      <w:rPr>
        <w:rFonts w:hint="eastAsia" w:cs="Times New Roman"/>
      </w:rPr>
    </w:lvl>
    <w:lvl w:ilvl="5" w:tentative="0">
      <w:start w:val="1"/>
      <w:numFmt w:val="none"/>
      <w:lvlText w:val=""/>
      <w:lvlJc w:val="left"/>
      <w:pPr>
        <w:tabs>
          <w:tab w:val="left" w:pos="3566"/>
        </w:tabs>
        <w:ind w:left="3260" w:hanging="1134"/>
      </w:pPr>
      <w:rPr>
        <w:rFonts w:hint="eastAsia" w:cs="Times New Roman"/>
      </w:rPr>
    </w:lvl>
    <w:lvl w:ilvl="6" w:tentative="0">
      <w:start w:val="1"/>
      <w:numFmt w:val="decimal"/>
      <w:lvlText w:val="%1.%2.%3.%4.%5.%6.%7"/>
      <w:lvlJc w:val="left"/>
      <w:pPr>
        <w:tabs>
          <w:tab w:val="left" w:pos="3991"/>
        </w:tabs>
        <w:ind w:left="3827" w:hanging="1276"/>
      </w:pPr>
      <w:rPr>
        <w:rFonts w:hint="eastAsia" w:cs="Times New Roman"/>
      </w:rPr>
    </w:lvl>
    <w:lvl w:ilvl="7" w:tentative="0">
      <w:start w:val="1"/>
      <w:numFmt w:val="decimal"/>
      <w:lvlText w:val="%1.%2.%3.%4.%5.%6.%7.%8"/>
      <w:lvlJc w:val="left"/>
      <w:pPr>
        <w:tabs>
          <w:tab w:val="left" w:pos="4776"/>
        </w:tabs>
        <w:ind w:left="4394" w:hanging="1418"/>
      </w:pPr>
      <w:rPr>
        <w:rFonts w:hint="eastAsia" w:cs="Times New Roman"/>
      </w:rPr>
    </w:lvl>
    <w:lvl w:ilvl="8" w:tentative="0">
      <w:start w:val="1"/>
      <w:numFmt w:val="decimal"/>
      <w:lvlText w:val="%1.%2.%3.%4.%5.%6.%7.%8.%9"/>
      <w:lvlJc w:val="left"/>
      <w:pPr>
        <w:tabs>
          <w:tab w:val="left" w:pos="5562"/>
        </w:tabs>
        <w:ind w:left="5102" w:hanging="1700"/>
      </w:pPr>
      <w:rPr>
        <w:rFonts w:hint="eastAsia" w:cs="Times New Roman"/>
      </w:rPr>
    </w:lvl>
  </w:abstractNum>
  <w:abstractNum w:abstractNumId="5">
    <w:nsid w:val="7F6D4BFC"/>
    <w:multiLevelType w:val="multilevel"/>
    <w:tmpl w:val="7F6D4BFC"/>
    <w:lvl w:ilvl="0" w:tentative="0">
      <w:start w:val="1"/>
      <w:numFmt w:val="decimal"/>
      <w:lvlText w:val="（%1）"/>
      <w:lvlJc w:val="left"/>
      <w:pPr>
        <w:ind w:left="1260" w:hanging="420"/>
      </w:pPr>
      <w:rPr>
        <w:rFonts w:hint="default"/>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mNlNjE2MmM1ODA5YTdhMzM0YWUwN2YwNTg1OTQifQ=="/>
  </w:docVars>
  <w:rsids>
    <w:rsidRoot w:val="064E7214"/>
    <w:rsid w:val="01790E0E"/>
    <w:rsid w:val="04CE04D2"/>
    <w:rsid w:val="064E7214"/>
    <w:rsid w:val="0D2C48B5"/>
    <w:rsid w:val="0D8A15E7"/>
    <w:rsid w:val="11B50707"/>
    <w:rsid w:val="13215B42"/>
    <w:rsid w:val="14CD3AA8"/>
    <w:rsid w:val="17492829"/>
    <w:rsid w:val="17D42FA4"/>
    <w:rsid w:val="244905A6"/>
    <w:rsid w:val="2CD81FD3"/>
    <w:rsid w:val="2D4B4C39"/>
    <w:rsid w:val="32C363F0"/>
    <w:rsid w:val="35EC2C9D"/>
    <w:rsid w:val="387A76B1"/>
    <w:rsid w:val="3C5B42C0"/>
    <w:rsid w:val="3D5D11C3"/>
    <w:rsid w:val="424C1853"/>
    <w:rsid w:val="42526B06"/>
    <w:rsid w:val="48CB7741"/>
    <w:rsid w:val="49461B0F"/>
    <w:rsid w:val="4B841514"/>
    <w:rsid w:val="51E66647"/>
    <w:rsid w:val="54606E7B"/>
    <w:rsid w:val="5ED60488"/>
    <w:rsid w:val="696864D7"/>
    <w:rsid w:val="6B047B99"/>
    <w:rsid w:val="6C3509AA"/>
    <w:rsid w:val="7A0A41AD"/>
    <w:rsid w:val="7C0248C3"/>
    <w:rsid w:val="7E9C1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outlineLvl w:val="0"/>
    </w:pPr>
    <w:rPr>
      <w:rFonts w:ascii="华文细黑"/>
      <w:b/>
      <w:bCs/>
      <w:snapToGrid w:val="0"/>
      <w:sz w:val="28"/>
      <w:szCs w:val="44"/>
      <w:lang w:val="zh-C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4">
    <w:name w:val="annotation text"/>
    <w:basedOn w:val="1"/>
    <w:qFormat/>
    <w:uiPriority w:val="0"/>
    <w:pPr>
      <w:jc w:val="left"/>
    </w:pPr>
  </w:style>
  <w:style w:type="paragraph" w:styleId="5">
    <w:name w:val="Body Text"/>
    <w:basedOn w:val="1"/>
    <w:qFormat/>
    <w:uiPriority w:val="1"/>
    <w:rPr>
      <w:sz w:val="32"/>
      <w:szCs w:val="32"/>
    </w:rPr>
  </w:style>
  <w:style w:type="paragraph" w:styleId="6">
    <w:name w:val="Body Text Indent"/>
    <w:basedOn w:val="1"/>
    <w:qFormat/>
    <w:uiPriority w:val="0"/>
    <w:pPr>
      <w:spacing w:line="360" w:lineRule="auto"/>
      <w:ind w:firstLine="630"/>
    </w:pPr>
    <w:rPr>
      <w:szCs w:val="20"/>
    </w:r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Body Text First Indent 2"/>
    <w:basedOn w:val="6"/>
    <w:next w:val="1"/>
    <w:qFormat/>
    <w:uiPriority w:val="99"/>
    <w:pPr>
      <w:ind w:firstLine="420"/>
    </w:pPr>
    <w:rPr>
      <w:szCs w:val="24"/>
    </w:rPr>
  </w:style>
  <w:style w:type="paragraph" w:customStyle="1" w:styleId="12">
    <w:name w:val="正文1"/>
    <w:basedOn w:val="7"/>
    <w:next w:val="13"/>
    <w:qFormat/>
    <w:uiPriority w:val="0"/>
    <w:rPr>
      <w:rFonts w:ascii="Calibri" w:hAnsi="Calibri"/>
      <w:szCs w:val="22"/>
    </w:rPr>
  </w:style>
  <w:style w:type="paragraph" w:customStyle="1" w:styleId="13">
    <w:name w:val="纯文本1"/>
    <w:basedOn w:val="1"/>
    <w:qFormat/>
    <w:uiPriority w:val="0"/>
    <w:rPr>
      <w:rFonts w:ascii="宋体" w:hAnsi="Courier New" w:cs="Courier New"/>
    </w:rPr>
  </w:style>
  <w:style w:type="paragraph" w:customStyle="1" w:styleId="14">
    <w:name w:val="Normal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6">
    <w:name w:val="Table Grid_11"/>
    <w:basedOn w:val="10"/>
    <w:qFormat/>
    <w:uiPriority w:val="0"/>
    <w:pPr>
      <w:widowControl w:val="0"/>
      <w:jc w:val="both"/>
    </w:pPr>
    <w:rPr>
      <w:rFonts w:ascii="Times New Roman" w:hAnsi="Times New Roman" w:eastAsia="宋体"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41265</Words>
  <Characters>42868</Characters>
  <Lines>0</Lines>
  <Paragraphs>0</Paragraphs>
  <TotalTime>4</TotalTime>
  <ScaleCrop>false</ScaleCrop>
  <LinksUpToDate>false</LinksUpToDate>
  <CharactersWithSpaces>43342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2024-04-15T01:11:00Z</dcterms:created>
  <dc:creator>WPS_1587631195</dc:creator>
  <cp:lastModifiedBy>YQY</cp:lastModifiedBy>
  <dcterms:modified xsi:type="dcterms:W3CDTF">2024-05-24T01:51:17Z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0754E215ABB740739324A87A36A5CBD2_13</vt:lpwstr>
  </property>
</Properties>
</file>