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eastAsia="zh-CN"/>
        </w:rPr>
        <w:t>投标</w:t>
      </w:r>
      <w:r>
        <w:rPr>
          <w:rFonts w:hint="eastAsia" w:ascii="黑体" w:hAnsi="黑体" w:eastAsia="黑体" w:cs="黑体"/>
          <w:b/>
          <w:bCs w:val="0"/>
          <w:color w:val="auto"/>
          <w:sz w:val="32"/>
          <w:szCs w:val="32"/>
          <w:highlight w:val="none"/>
        </w:rPr>
        <w:t>文件要求一览表</w:t>
      </w:r>
    </w:p>
    <w:tbl>
      <w:tblPr>
        <w:tblStyle w:val="13"/>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23"/>
        <w:gridCol w:w="2549"/>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672" w:type="dxa"/>
            <w:gridSpan w:val="2"/>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文件名称</w:t>
            </w:r>
          </w:p>
        </w:tc>
        <w:tc>
          <w:tcPr>
            <w:tcW w:w="5237"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672" w:type="dxa"/>
            <w:gridSpan w:val="2"/>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w:t>
            </w:r>
          </w:p>
        </w:tc>
        <w:tc>
          <w:tcPr>
            <w:tcW w:w="523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原件签字盖公章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123"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资审文件</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企业基本情况一览表</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企业营业执照</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企业资质证书</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项目负责人资质证书</w:t>
            </w:r>
          </w:p>
          <w:p>
            <w:pPr>
              <w:adjustRightInd w:val="0"/>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及社保证明</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①提供</w:t>
            </w:r>
            <w:r>
              <w:rPr>
                <w:rFonts w:hint="eastAsia" w:ascii="仿宋" w:hAnsi="仿宋" w:eastAsia="仿宋" w:cs="仿宋"/>
                <w:color w:val="auto"/>
                <w:sz w:val="24"/>
                <w:szCs w:val="24"/>
                <w:highlight w:val="none"/>
              </w:rPr>
              <w:t>建造师电子证书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所提供的电子证书应满足具体使用要求，包括但不限于以下要求：项目经理本人应确认该证书的使用时限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个人签名处手写本人签名。</w:t>
            </w:r>
          </w:p>
          <w:p>
            <w:pPr>
              <w:adjustRightInd w:val="0"/>
              <w:snapToGrid w:val="0"/>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②拟派项目负责人</w:t>
            </w:r>
            <w:r>
              <w:rPr>
                <w:rFonts w:hint="default" w:ascii="仿宋" w:hAnsi="仿宋" w:eastAsia="仿宋" w:cs="仿宋"/>
                <w:color w:val="auto"/>
                <w:sz w:val="24"/>
                <w:szCs w:val="24"/>
                <w:highlight w:val="none"/>
                <w:lang w:val="en-US" w:eastAsia="zh-CN"/>
              </w:rPr>
              <w:t>在本单位连续缴纳的投标截止日前3个月的社保证明文件</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w:t>
            </w:r>
          </w:p>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及法人身份证</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授权委托书及投标负责人身份证</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123"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投标报价书</w:t>
            </w:r>
          </w:p>
        </w:tc>
        <w:tc>
          <w:tcPr>
            <w:tcW w:w="523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1123"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资信标</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投标承诺函</w:t>
            </w:r>
          </w:p>
        </w:tc>
        <w:tc>
          <w:tcPr>
            <w:tcW w:w="523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企业同类工程业绩</w:t>
            </w:r>
          </w:p>
        </w:tc>
        <w:tc>
          <w:tcPr>
            <w:tcW w:w="5237"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提供近5年（从截标之日倒算，以合同签订时间为准）自认为最具代表性同类工程业绩（同类工程业绩指：房建类装修工程施工或景观改造工程施工业绩），且金额大于本项目招标控制价1/2为有效业绩；业绩不超过5项，超过5项只取列表前5项。格式详见“附件1.4”。</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lang w:val="en-US" w:eastAsia="zh-CN"/>
              </w:rPr>
              <w:t>（附表格后）</w:t>
            </w:r>
            <w:r>
              <w:rPr>
                <w:rFonts w:hint="default" w:ascii="仿宋" w:hAnsi="仿宋" w:eastAsia="仿宋" w:cs="仿宋"/>
                <w:color w:val="auto"/>
                <w:sz w:val="24"/>
                <w:szCs w:val="24"/>
                <w:highlight w:val="none"/>
                <w:lang w:val="en-US" w:eastAsia="zh-CN"/>
              </w:rPr>
              <w:t>：</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hint="default" w:ascii="仿宋" w:hAnsi="仿宋" w:eastAsia="仿宋" w:cs="仿宋"/>
                <w:color w:val="auto"/>
                <w:sz w:val="24"/>
                <w:szCs w:val="24"/>
                <w:highlight w:val="none"/>
                <w:lang w:val="en-US" w:eastAsia="zh-CN"/>
              </w:rPr>
              <w:t>合同关键页，需能体现项目名称、合同</w:t>
            </w:r>
            <w:r>
              <w:rPr>
                <w:rFonts w:hint="eastAsia" w:ascii="仿宋" w:hAnsi="仿宋" w:eastAsia="仿宋" w:cs="仿宋"/>
                <w:color w:val="auto"/>
                <w:sz w:val="24"/>
                <w:szCs w:val="24"/>
                <w:highlight w:val="none"/>
                <w:lang w:val="en-US" w:eastAsia="zh-CN"/>
              </w:rPr>
              <w:t>双方</w:t>
            </w:r>
            <w:r>
              <w:rPr>
                <w:rFonts w:hint="default"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lang w:val="en-US" w:eastAsia="zh-CN"/>
              </w:rPr>
              <w:t>及签章</w:t>
            </w:r>
            <w:r>
              <w:rPr>
                <w:rFonts w:hint="default"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lang w:val="en-US" w:eastAsia="zh-CN"/>
              </w:rPr>
              <w:t>项目</w:t>
            </w:r>
            <w:r>
              <w:rPr>
                <w:rFonts w:hint="default" w:ascii="仿宋" w:hAnsi="仿宋" w:eastAsia="仿宋" w:cs="仿宋"/>
                <w:color w:val="auto"/>
                <w:sz w:val="24"/>
                <w:szCs w:val="24"/>
                <w:highlight w:val="none"/>
                <w:lang w:val="en-US" w:eastAsia="zh-CN"/>
              </w:rPr>
              <w:t>内容、签订时间等主要信息</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default" w:ascii="仿宋" w:hAnsi="仿宋" w:eastAsia="仿宋" w:cs="仿宋"/>
                <w:color w:val="auto"/>
                <w:sz w:val="24"/>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sz w:val="24"/>
                <w:szCs w:val="24"/>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拟派项目负责人</w:t>
            </w:r>
          </w:p>
        </w:tc>
        <w:tc>
          <w:tcPr>
            <w:tcW w:w="523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任职资格</w:t>
            </w:r>
            <w:r>
              <w:rPr>
                <w:rFonts w:hint="default"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lang w:val="en-US" w:eastAsia="zh-CN"/>
              </w:rPr>
              <w:t>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提供近3年（从截标之日倒算，以合同签订时间为准）以项目负责人身份完成的自认为最具代表性的同类工程业绩（同类工程业绩指：房建类装修工程施工或景观改造工程施工业绩），业绩不超过2项，超过2项只取列表前2项。</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明材料：合同关键页，需能体现项目负责人、项目名称、合同双方单位名称及签章、合同金额、工程内容、签订时间等主要信息。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③拟派项目负责人不得兼任其他项目负责人。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拟派项目团队</w:t>
            </w:r>
          </w:p>
        </w:tc>
        <w:tc>
          <w:tcPr>
            <w:tcW w:w="523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除项目负责人外，至少需配置技术负责人、生产经理、商务负责人、安全负责人等技术人员，以上人员不得相互兼任。</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并附上述人员的以下资料：</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①任职资格材料（需提供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②所有项目团队人员在本单位缴纳的投标截止日期前3个月的社保证明文件。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123"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523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需含施工总体部署及现场管理机构；施工总进度计划及工期保证措施；施工管理重点、难点分析及应对措施；质量保证体系及控制要点；安全保证体系及安全文明施工措施要点；</w:t>
            </w:r>
            <w:r>
              <w:rPr>
                <w:rFonts w:hint="eastAsia" w:ascii="仿宋" w:hAnsi="仿宋" w:eastAsia="仿宋" w:cs="仿宋"/>
                <w:color w:val="auto"/>
                <w:sz w:val="24"/>
                <w:szCs w:val="24"/>
                <w:highlight w:val="none"/>
                <w:lang w:val="en-US" w:eastAsia="zh-CN"/>
              </w:rPr>
              <w:t>应急事件处理措施及程序；</w:t>
            </w:r>
            <w:r>
              <w:rPr>
                <w:rFonts w:hint="eastAsia" w:ascii="仿宋" w:hAnsi="仿宋" w:eastAsia="仿宋" w:cs="仿宋"/>
                <w:color w:val="auto"/>
                <w:sz w:val="24"/>
                <w:szCs w:val="24"/>
                <w:highlight w:val="none"/>
              </w:rPr>
              <w:t>合理化建议。</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原件扫描件盖公章，格式自拟。</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投标报价</w:t>
      </w:r>
      <w:r>
        <w:rPr>
          <w:rFonts w:hint="eastAsia" w:ascii="仿宋" w:hAnsi="仿宋" w:eastAsia="仿宋" w:cs="仿宋"/>
          <w:b/>
          <w:color w:val="auto"/>
          <w:sz w:val="28"/>
          <w:szCs w:val="28"/>
          <w:highlight w:val="none"/>
          <w:lang w:val="en-US" w:eastAsia="zh-CN"/>
        </w:rPr>
        <w:t>书</w:t>
      </w:r>
    </w:p>
    <w:p>
      <w:pPr>
        <w:pStyle w:val="9"/>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eastAsia="zh-CN"/>
        </w:rPr>
        <w:t>深圳市龙华高新技术产业园区开发投资有限公司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龙馨家园项目集中商业屋顶花园改造工程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4"/>
        <w:tblW w:w="93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2133"/>
        <w:gridCol w:w="1760"/>
        <w:gridCol w:w="1806"/>
        <w:gridCol w:w="1072"/>
        <w:gridCol w:w="18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工作内容</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招标控制价（元）</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投标上限价(净下浮率≥12%)（元）</w:t>
            </w:r>
          </w:p>
        </w:tc>
        <w:tc>
          <w:tcPr>
            <w:tcW w:w="107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投标下浮率（%）</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（不含不可竞费）</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1，063，297.00</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935,701.36</w:t>
            </w:r>
          </w:p>
        </w:tc>
        <w:tc>
          <w:tcPr>
            <w:tcW w:w="107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不可竞争费用合计（安全文明措施费、暂列金额）</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bCs w:val="0"/>
                <w:kern w:val="2"/>
                <w:sz w:val="24"/>
                <w:szCs w:val="24"/>
                <w:highlight w:val="none"/>
                <w:lang w:val="en-US" w:eastAsia="zh-CN"/>
              </w:rPr>
              <w:t>77</w:t>
            </w:r>
            <w:r>
              <w:rPr>
                <w:rFonts w:hint="eastAsia" w:ascii="仿宋" w:hAnsi="仿宋" w:eastAsia="仿宋" w:cs="仿宋"/>
                <w:bCs w:val="0"/>
                <w:kern w:val="2"/>
                <w:sz w:val="24"/>
                <w:szCs w:val="24"/>
                <w:highlight w:val="none"/>
                <w:lang w:val="en-US" w:eastAsia="zh-CN"/>
              </w:rPr>
              <w:t>,</w:t>
            </w:r>
            <w:r>
              <w:rPr>
                <w:rFonts w:hint="default" w:ascii="仿宋" w:hAnsi="仿宋" w:eastAsia="仿宋" w:cs="仿宋"/>
                <w:bCs w:val="0"/>
                <w:kern w:val="2"/>
                <w:sz w:val="24"/>
                <w:szCs w:val="24"/>
                <w:highlight w:val="none"/>
                <w:lang w:val="en-US" w:eastAsia="zh-CN"/>
              </w:rPr>
              <w:t>220.94</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w:t>
            </w:r>
          </w:p>
        </w:tc>
        <w:tc>
          <w:tcPr>
            <w:tcW w:w="107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default" w:ascii="仿宋" w:hAnsi="仿宋" w:eastAsia="仿宋" w:cs="仿宋"/>
                <w:bCs w:val="0"/>
                <w:kern w:val="2"/>
                <w:sz w:val="24"/>
                <w:szCs w:val="24"/>
                <w:highlight w:val="none"/>
                <w:lang w:val="en-US" w:eastAsia="zh-CN"/>
              </w:rPr>
              <w:t>77</w:t>
            </w:r>
            <w:r>
              <w:rPr>
                <w:rFonts w:hint="eastAsia" w:ascii="仿宋" w:hAnsi="仿宋" w:eastAsia="仿宋" w:cs="仿宋"/>
                <w:bCs w:val="0"/>
                <w:kern w:val="2"/>
                <w:sz w:val="24"/>
                <w:szCs w:val="24"/>
                <w:highlight w:val="none"/>
                <w:lang w:val="en-US" w:eastAsia="zh-CN"/>
              </w:rPr>
              <w:t>,</w:t>
            </w:r>
            <w:r>
              <w:rPr>
                <w:rFonts w:hint="default" w:ascii="仿宋" w:hAnsi="仿宋" w:eastAsia="仿宋" w:cs="仿宋"/>
                <w:bCs w:val="0"/>
                <w:kern w:val="2"/>
                <w:sz w:val="24"/>
                <w:szCs w:val="24"/>
                <w:highlight w:val="none"/>
                <w:lang w:val="en-US" w:eastAsia="zh-CN"/>
              </w:rPr>
              <w:t>220.94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合计</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1,140,517.94</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1,012,922.30</w:t>
            </w:r>
          </w:p>
        </w:tc>
        <w:tc>
          <w:tcPr>
            <w:tcW w:w="107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2913" w:type="dxa"/>
            <w:gridSpan w:val="2"/>
            <w:tcBorders>
              <w:tl2br w:val="nil"/>
              <w:tr2bl w:val="nil"/>
            </w:tcBorders>
            <w:vAlign w:val="center"/>
          </w:tcPr>
          <w:p>
            <w:pPr>
              <w:widowControl/>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总金额（大写）</w:t>
            </w:r>
          </w:p>
        </w:tc>
        <w:tc>
          <w:tcPr>
            <w:tcW w:w="6460" w:type="dxa"/>
            <w:gridSpan w:val="4"/>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bl>
    <w:p>
      <w:pPr>
        <w:pStyle w:val="11"/>
        <w:keepNext w:val="0"/>
        <w:keepLines w:val="0"/>
        <w:pageBreakBefore w:val="0"/>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2.以上所报价格为含税价。</w:t>
      </w:r>
      <w:r>
        <w:rPr>
          <w:rFonts w:hint="eastAsia" w:ascii="仿宋" w:hAnsi="仿宋" w:eastAsia="仿宋" w:cs="仿宋"/>
          <w:bCs/>
          <w:color w:val="auto"/>
          <w:sz w:val="24"/>
          <w:szCs w:val="24"/>
          <w:highlight w:val="none"/>
          <w:lang w:val="en-US" w:eastAsia="zh-CN"/>
        </w:rPr>
        <w:t>其中：</w:t>
      </w:r>
      <w:r>
        <w:rPr>
          <w:rFonts w:hint="eastAsia" w:ascii="仿宋" w:hAnsi="仿宋" w:eastAsia="仿宋" w:cs="仿宋"/>
          <w:bCs/>
          <w:color w:val="auto"/>
          <w:sz w:val="24"/>
          <w:szCs w:val="24"/>
          <w:highlight w:val="none"/>
        </w:rPr>
        <w:t>投标总价=</w:t>
      </w:r>
      <w:r>
        <w:rPr>
          <w:rFonts w:hint="eastAsia" w:ascii="仿宋" w:hAnsi="仿宋" w:eastAsia="仿宋" w:cs="仿宋"/>
          <w:bCs/>
          <w:color w:val="auto"/>
          <w:sz w:val="24"/>
          <w:szCs w:val="24"/>
          <w:highlight w:val="none"/>
          <w:lang w:val="en-US"/>
        </w:rPr>
        <w:t>[（招标控制价</w:t>
      </w:r>
      <w:r>
        <w:rPr>
          <w:rFonts w:hint="eastAsia" w:ascii="仿宋" w:hAnsi="仿宋" w:eastAsia="仿宋" w:cs="仿宋"/>
          <w:bCs/>
          <w:color w:val="auto"/>
          <w:sz w:val="24"/>
          <w:szCs w:val="24"/>
          <w:highlight w:val="none"/>
          <w:lang w:val="en-US" w:eastAsia="zh-CN"/>
        </w:rPr>
        <w:t>-不可竞争费</w:t>
      </w:r>
      <w:r>
        <w:rPr>
          <w:rFonts w:hint="eastAsia" w:ascii="仿宋" w:hAnsi="仿宋" w:eastAsia="仿宋" w:cs="仿宋"/>
          <w:bCs/>
          <w:color w:val="auto"/>
          <w:sz w:val="24"/>
          <w:szCs w:val="24"/>
          <w:highlight w:val="none"/>
          <w:lang w:val="en-US"/>
        </w:rPr>
        <w:t>）</w:t>
      </w:r>
      <w:r>
        <w:rPr>
          <w:rFonts w:hint="eastAsia" w:ascii="仿宋" w:hAnsi="仿宋" w:eastAsia="仿宋" w:cs="仿宋"/>
          <w:bCs/>
          <w:color w:val="auto"/>
          <w:sz w:val="24"/>
          <w:szCs w:val="24"/>
          <w:highlight w:val="none"/>
          <w:lang w:val="en-US" w:eastAsia="zh-CN"/>
        </w:rPr>
        <w:t>*（1-投标下浮率）+不可竞争费</w:t>
      </w:r>
      <w:r>
        <w:rPr>
          <w:rFonts w:hint="eastAsia" w:ascii="仿宋" w:hAnsi="仿宋" w:eastAsia="仿宋" w:cs="仿宋"/>
          <w:bCs/>
          <w:color w:val="auto"/>
          <w:sz w:val="24"/>
          <w:szCs w:val="24"/>
          <w:highlight w:val="none"/>
          <w:lang w:val="en-US"/>
        </w:rPr>
        <w:t>]</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计算结果保留两位小数</w:t>
      </w:r>
      <w:r>
        <w:rPr>
          <w:rFonts w:hint="eastAsia" w:ascii="仿宋" w:hAnsi="仿宋" w:eastAsia="仿宋" w:cs="仿宋"/>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3.本工程为固定综合单价合同。合同清单综合单价包含为完成工程量清单项目及施工图纸所对应的所有工序及内容。</w:t>
      </w:r>
      <w:r>
        <w:rPr>
          <w:rFonts w:hint="eastAsia" w:ascii="仿宋" w:hAnsi="仿宋" w:eastAsia="仿宋" w:cs="仿宋"/>
          <w:bCs/>
          <w:color w:val="auto"/>
          <w:sz w:val="24"/>
          <w:szCs w:val="24"/>
          <w:highlight w:val="none"/>
          <w:lang w:val="en-US" w:eastAsia="zh-CN"/>
        </w:rPr>
        <w:t>若本投标人中标，结算</w:t>
      </w:r>
      <w:r>
        <w:rPr>
          <w:rFonts w:hint="eastAsia" w:ascii="仿宋" w:hAnsi="仿宋" w:eastAsia="仿宋" w:cs="仿宋"/>
          <w:bCs/>
          <w:color w:val="auto"/>
          <w:sz w:val="24"/>
          <w:szCs w:val="24"/>
          <w:highlight w:val="none"/>
        </w:rPr>
        <w:t>按实际发生量计算，工程量依据承包范围内经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确认的施工图、图纸会审纪要、设计变更通知单、经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批准的现场签证单等计算工程量</w:t>
      </w:r>
      <w:r>
        <w:rPr>
          <w:rFonts w:hint="eastAsia" w:ascii="仿宋" w:hAnsi="仿宋" w:eastAsia="仿宋" w:cs="仿宋"/>
          <w:bCs/>
          <w:color w:val="auto"/>
          <w:sz w:val="24"/>
          <w:szCs w:val="24"/>
          <w:highlight w:val="none"/>
          <w:lang w:eastAsia="zh-CN"/>
        </w:rPr>
        <w:t>；</w:t>
      </w:r>
      <w:r>
        <w:rPr>
          <w:rFonts w:hint="eastAsia" w:ascii="仿宋" w:hAnsi="仿宋" w:eastAsia="仿宋" w:cs="仿宋"/>
          <w:b/>
          <w:bCs w:val="0"/>
          <w:color w:val="auto"/>
          <w:sz w:val="24"/>
          <w:szCs w:val="24"/>
          <w:highlight w:val="none"/>
        </w:rPr>
        <w:t>本项目结算金额不得超过</w:t>
      </w:r>
      <w:r>
        <w:rPr>
          <w:rFonts w:hint="eastAsia" w:ascii="仿宋" w:hAnsi="仿宋" w:eastAsia="仿宋" w:cs="仿宋"/>
          <w:b/>
          <w:bCs w:val="0"/>
          <w:color w:val="auto"/>
          <w:sz w:val="24"/>
          <w:szCs w:val="24"/>
          <w:highlight w:val="none"/>
          <w:lang w:val="en-US" w:eastAsia="zh-CN"/>
        </w:rPr>
        <w:t>投标上</w:t>
      </w:r>
      <w:r>
        <w:rPr>
          <w:rFonts w:hint="eastAsia" w:ascii="仿宋" w:hAnsi="仿宋" w:eastAsia="仿宋" w:cs="仿宋"/>
          <w:b/>
          <w:bCs w:val="0"/>
          <w:color w:val="auto"/>
          <w:sz w:val="24"/>
          <w:szCs w:val="24"/>
          <w:highlight w:val="none"/>
        </w:rPr>
        <w:t>限价总额。</w:t>
      </w:r>
      <w:r>
        <w:rPr>
          <w:rFonts w:hint="eastAsia" w:ascii="仿宋" w:hAnsi="仿宋" w:eastAsia="仿宋" w:cs="仿宋"/>
          <w:bCs/>
          <w:color w:val="auto"/>
          <w:sz w:val="24"/>
          <w:szCs w:val="24"/>
          <w:highlight w:val="none"/>
        </w:rPr>
        <w:t>若</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限价总额，则超出部分由</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限价总额进行结算，</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不得向</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寻求其他任何的补偿或赔偿。最终结算金额以经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委托的第三方造价咨询单位审定并经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确认的金额为准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若</w:t>
      </w:r>
      <w:r>
        <w:rPr>
          <w:rFonts w:hint="eastAsia" w:ascii="仿宋" w:hAnsi="仿宋" w:eastAsia="仿宋" w:cs="仿宋"/>
          <w:bCs/>
          <w:color w:val="auto"/>
          <w:sz w:val="24"/>
          <w:szCs w:val="24"/>
          <w:highlight w:val="none"/>
          <w:lang w:val="sq-AL"/>
        </w:rPr>
        <w:t>若项目按规定须提交政府审计部门审计的，则最终结算价以政府审计部门审计结果为准</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pPr>
      <w:r>
        <w:rPr>
          <w:rFonts w:hint="eastAsia" w:ascii="仿宋" w:hAnsi="仿宋" w:eastAsia="仿宋" w:cs="仿宋"/>
          <w:bCs/>
          <w:color w:val="auto"/>
          <w:sz w:val="24"/>
          <w:szCs w:val="24"/>
          <w:highlight w:val="none"/>
        </w:rPr>
        <w:t>日期：    年    月    日</w:t>
      </w: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9"/>
        <w:spacing w:line="5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lang w:eastAsia="zh-CN"/>
        </w:rPr>
        <w:t>深圳市龙华高新技术产业园区开发投资有限公司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sz w:val="24"/>
          <w:szCs w:val="24"/>
          <w:u w:val="single"/>
          <w:lang w:val="en-US" w:eastAsia="zh-CN"/>
        </w:rPr>
        <w:t>龙馨家园项目集中商业屋顶花园改造工程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如果违反本承诺书中任何条款，我方愿意接受：</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9"/>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4"/>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5.工程名称：</w:t>
            </w:r>
          </w:p>
          <w:p>
            <w:pPr>
              <w:adjustRightInd w:val="0"/>
              <w:snapToGrid/>
              <w:spacing w:before="157" w:beforeLines="50" w:after="0" w:line="240" w:lineRule="auto"/>
              <w:ind w:firstLine="0" w:firstLineChars="0"/>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bookmarkStart w:id="2" w:name="_GoBack" w:colFirst="1" w:colLast="3"/>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业绩经验</w:t>
            </w:r>
          </w:p>
        </w:tc>
        <w:tc>
          <w:tcPr>
            <w:tcW w:w="6612" w:type="dxa"/>
            <w:gridSpan w:val="3"/>
            <w:tcBorders>
              <w:tl2br w:val="nil"/>
              <w:tr2bl w:val="nil"/>
            </w:tcBorders>
            <w:vAlign w:val="center"/>
          </w:tcPr>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ind w:left="57" w:right="57" w:firstLine="57"/>
              <w:jc w:val="left"/>
              <w:rPr>
                <w:rFonts w:hint="eastAsia"/>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1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个月的社保证明文件。</w:t>
      </w:r>
    </w:p>
    <w:p>
      <w:pPr>
        <w:adjustRightInd/>
        <w:snapToGrid/>
        <w:spacing w:beforeLines="-2147483648" w:after="0" w:line="240" w:lineRule="auto"/>
        <w:ind w:firstLine="0" w:firstLineChars="0"/>
        <w:rPr>
          <w:rFonts w:hint="default"/>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39C2053"/>
    <w:rsid w:val="042D158D"/>
    <w:rsid w:val="047317EE"/>
    <w:rsid w:val="04E06965"/>
    <w:rsid w:val="051F7770"/>
    <w:rsid w:val="07441D5E"/>
    <w:rsid w:val="0B2B2741"/>
    <w:rsid w:val="120D798A"/>
    <w:rsid w:val="126210BF"/>
    <w:rsid w:val="135678EB"/>
    <w:rsid w:val="137E32EB"/>
    <w:rsid w:val="16B42882"/>
    <w:rsid w:val="179603D8"/>
    <w:rsid w:val="18893450"/>
    <w:rsid w:val="1B9E0A7D"/>
    <w:rsid w:val="1C6442A2"/>
    <w:rsid w:val="1F8E7E31"/>
    <w:rsid w:val="21F433CC"/>
    <w:rsid w:val="24B70CBB"/>
    <w:rsid w:val="2847702A"/>
    <w:rsid w:val="29304E64"/>
    <w:rsid w:val="294544BB"/>
    <w:rsid w:val="29726A0C"/>
    <w:rsid w:val="29EA7527"/>
    <w:rsid w:val="2F9C3726"/>
    <w:rsid w:val="306A4EEC"/>
    <w:rsid w:val="32B00E4D"/>
    <w:rsid w:val="32C133EC"/>
    <w:rsid w:val="33BF02E8"/>
    <w:rsid w:val="3444618C"/>
    <w:rsid w:val="3A3E4582"/>
    <w:rsid w:val="3A4F7256"/>
    <w:rsid w:val="3D3171E8"/>
    <w:rsid w:val="3D8B49A9"/>
    <w:rsid w:val="42E53259"/>
    <w:rsid w:val="42F0276C"/>
    <w:rsid w:val="498E7188"/>
    <w:rsid w:val="49AB55A6"/>
    <w:rsid w:val="4B646EED"/>
    <w:rsid w:val="4D8214A8"/>
    <w:rsid w:val="50317CDC"/>
    <w:rsid w:val="53061DFB"/>
    <w:rsid w:val="56CB2B66"/>
    <w:rsid w:val="5AF83711"/>
    <w:rsid w:val="5BBF0C66"/>
    <w:rsid w:val="5BF14D74"/>
    <w:rsid w:val="5CA7000F"/>
    <w:rsid w:val="5E5F3423"/>
    <w:rsid w:val="6140578B"/>
    <w:rsid w:val="62141106"/>
    <w:rsid w:val="684E0792"/>
    <w:rsid w:val="68610DE6"/>
    <w:rsid w:val="6B6F4633"/>
    <w:rsid w:val="6E2E2151"/>
    <w:rsid w:val="6F4D7631"/>
    <w:rsid w:val="71703B38"/>
    <w:rsid w:val="75D37152"/>
    <w:rsid w:val="777D7FD8"/>
    <w:rsid w:val="793014E0"/>
    <w:rsid w:val="7A0A79F9"/>
    <w:rsid w:val="7B746AC1"/>
    <w:rsid w:val="7C32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spacing w:before="340" w:after="330"/>
      <w:outlineLvl w:val="0"/>
    </w:pPr>
    <w:rPr>
      <w:rFonts w:ascii="华文细黑"/>
      <w:b/>
      <w:snapToGrid w:val="0"/>
      <w:sz w:val="28"/>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6" w:lineRule="auto"/>
      <w:outlineLvl w:val="2"/>
    </w:pPr>
    <w:rPr>
      <w:rFonts w:eastAsia="华文细黑"/>
      <w:bCs/>
      <w:sz w:val="36"/>
      <w:szCs w:val="32"/>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Body Text Indent"/>
    <w:basedOn w:val="1"/>
    <w:qFormat/>
    <w:uiPriority w:val="0"/>
    <w:pPr>
      <w:ind w:firstLine="600" w:firstLineChars="200"/>
    </w:pPr>
    <w:rPr>
      <w:sz w:val="30"/>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Body Text 2"/>
    <w:basedOn w:val="1"/>
    <w:qFormat/>
    <w:uiPriority w:val="0"/>
    <w:pPr>
      <w:ind w:firstLine="643"/>
      <w:jc w:val="center"/>
    </w:pPr>
    <w:rPr>
      <w:rFonts w:ascii="楷体_GB2312" w:hAnsi="宋体" w:eastAsia="楷体_GB2312"/>
      <w:color w:val="000000"/>
      <w:kern w:val="0"/>
      <w:szCs w:val="21"/>
    </w:rPr>
  </w:style>
  <w:style w:type="paragraph" w:styleId="12">
    <w:name w:val="Body Text First Indent 2"/>
    <w:basedOn w:val="8"/>
    <w:unhideWhenUsed/>
    <w:qFormat/>
    <w:uiPriority w:val="99"/>
    <w:pPr>
      <w:spacing w:after="120"/>
      <w:ind w:left="420" w:leftChars="20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2024-06-26T11:09:02Z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CBE6DDEB2DB34E528BEAC89447D6FBD1</vt:lpwstr>
  </property>
</Properties>
</file>