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C1ABB5">
      <w:pPr>
        <w:autoSpaceDE/>
        <w:autoSpaceDN/>
        <w:adjustRightInd/>
        <w:snapToGrid/>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w:t>
      </w:r>
      <w:r>
        <w:rPr>
          <w:rFonts w:hint="eastAsia" w:cs="仿宋"/>
          <w:b/>
          <w:bCs w:val="0"/>
          <w:color w:val="auto"/>
          <w:sz w:val="28"/>
          <w:szCs w:val="28"/>
          <w:highlight w:val="none"/>
          <w:lang w:val="en-US" w:eastAsia="zh-CN"/>
        </w:rPr>
        <w:t>2</w:t>
      </w:r>
    </w:p>
    <w:p w14:paraId="2DE53152">
      <w:pPr>
        <w:autoSpaceDE/>
        <w:autoSpaceDN/>
        <w:adjustRightInd w:val="0"/>
        <w:snapToGrid w:val="0"/>
        <w:spacing w:line="360" w:lineRule="auto"/>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投标报价一览表</w:t>
      </w:r>
      <w:bookmarkStart w:id="1" w:name="_GoBack"/>
      <w:bookmarkEnd w:id="1"/>
    </w:p>
    <w:p w14:paraId="4CA1E64A">
      <w:pPr>
        <w:pStyle w:val="9"/>
      </w:pPr>
      <w:r>
        <w:rPr>
          <w:rFonts w:hint="eastAsia"/>
        </w:rPr>
        <w:t>致招标人:</w:t>
      </w:r>
      <w:r>
        <w:rPr>
          <w:rFonts w:hint="eastAsia"/>
          <w:u w:val="single"/>
        </w:rPr>
        <w:t>深圳市龙华高新技术产业园区开发投资有限公司</w:t>
      </w:r>
    </w:p>
    <w:p w14:paraId="7A0C7401">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经分析研究招标人提供的本次公告内容，本投标人就</w:t>
      </w:r>
      <w:r>
        <w:rPr>
          <w:rFonts w:hint="eastAsia"/>
          <w:u w:val="single"/>
        </w:rPr>
        <w:t xml:space="preserve"> 华馨雅苑宿舍类用房（一单元）电器采购 </w:t>
      </w:r>
      <w:r>
        <w:rPr>
          <w:rFonts w:hint="eastAsia"/>
        </w:rPr>
        <w:t>的报价见下表所列：</w:t>
      </w:r>
    </w:p>
    <w:tbl>
      <w:tblPr>
        <w:tblStyle w:val="13"/>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400"/>
        <w:gridCol w:w="1724"/>
        <w:gridCol w:w="1696"/>
        <w:gridCol w:w="917"/>
        <w:gridCol w:w="2810"/>
      </w:tblGrid>
      <w:tr w14:paraId="6DBC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518" w:type="dxa"/>
            <w:shd w:val="clear" w:color="auto" w:fill="auto"/>
            <w:vAlign w:val="center"/>
          </w:tcPr>
          <w:p w14:paraId="4ACB435F">
            <w:pPr>
              <w:jc w:val="center"/>
              <w:rPr>
                <w:rFonts w:hint="eastAsia"/>
              </w:rPr>
            </w:pPr>
            <w:r>
              <w:rPr>
                <w:rFonts w:hint="eastAsia"/>
              </w:rPr>
              <w:t>序号</w:t>
            </w:r>
          </w:p>
        </w:tc>
        <w:tc>
          <w:tcPr>
            <w:tcW w:w="2400" w:type="dxa"/>
            <w:shd w:val="clear" w:color="auto" w:fill="auto"/>
            <w:vAlign w:val="center"/>
          </w:tcPr>
          <w:p w14:paraId="72E47AD6">
            <w:pPr>
              <w:jc w:val="center"/>
              <w:rPr>
                <w:rFonts w:hint="eastAsia"/>
              </w:rPr>
            </w:pPr>
            <w:r>
              <w:rPr>
                <w:rFonts w:hint="eastAsia"/>
              </w:rPr>
              <w:t>项目</w:t>
            </w:r>
          </w:p>
          <w:p w14:paraId="42495017">
            <w:pPr>
              <w:jc w:val="center"/>
              <w:rPr>
                <w:rFonts w:hint="eastAsia"/>
              </w:rPr>
            </w:pPr>
            <w:r>
              <w:rPr>
                <w:rFonts w:hint="eastAsia"/>
              </w:rPr>
              <w:t>名称</w:t>
            </w:r>
          </w:p>
        </w:tc>
        <w:tc>
          <w:tcPr>
            <w:tcW w:w="1724" w:type="dxa"/>
            <w:shd w:val="clear" w:color="auto" w:fill="auto"/>
            <w:vAlign w:val="center"/>
          </w:tcPr>
          <w:p w14:paraId="11924F03">
            <w:pPr>
              <w:jc w:val="center"/>
              <w:rPr>
                <w:rFonts w:hint="eastAsia"/>
              </w:rPr>
            </w:pPr>
            <w:r>
              <w:rPr>
                <w:rFonts w:hint="eastAsia"/>
              </w:rPr>
              <w:t>招标控制价</w:t>
            </w:r>
          </w:p>
          <w:p w14:paraId="34EDD299">
            <w:pPr>
              <w:jc w:val="center"/>
              <w:rPr>
                <w:rFonts w:hint="eastAsia"/>
              </w:rPr>
            </w:pPr>
            <w:r>
              <w:rPr>
                <w:rFonts w:hint="eastAsia"/>
              </w:rPr>
              <w:t>（人民币/元）</w:t>
            </w:r>
          </w:p>
        </w:tc>
        <w:tc>
          <w:tcPr>
            <w:tcW w:w="1696" w:type="dxa"/>
            <w:shd w:val="clear" w:color="auto" w:fill="auto"/>
            <w:vAlign w:val="center"/>
          </w:tcPr>
          <w:p w14:paraId="22B50D61">
            <w:pPr>
              <w:jc w:val="center"/>
              <w:rPr>
                <w:rFonts w:hint="eastAsia"/>
              </w:rPr>
            </w:pPr>
            <w:r>
              <w:rPr>
                <w:rFonts w:hint="eastAsia"/>
              </w:rPr>
              <w:t>投标报价</w:t>
            </w:r>
          </w:p>
          <w:p w14:paraId="16CEF4E5">
            <w:pPr>
              <w:jc w:val="center"/>
              <w:rPr>
                <w:rFonts w:hint="eastAsia"/>
              </w:rPr>
            </w:pPr>
            <w:r>
              <w:rPr>
                <w:rFonts w:hint="eastAsia"/>
              </w:rPr>
              <w:t>（人民币/元）</w:t>
            </w:r>
          </w:p>
        </w:tc>
        <w:tc>
          <w:tcPr>
            <w:tcW w:w="917" w:type="dxa"/>
            <w:shd w:val="clear" w:color="auto" w:fill="auto"/>
            <w:vAlign w:val="center"/>
          </w:tcPr>
          <w:p w14:paraId="1C95A094">
            <w:pPr>
              <w:jc w:val="center"/>
              <w:rPr>
                <w:rFonts w:hint="eastAsia"/>
              </w:rPr>
            </w:pPr>
            <w:r>
              <w:rPr>
                <w:rFonts w:hint="eastAsia"/>
              </w:rPr>
              <w:t>下浮率%</w:t>
            </w:r>
          </w:p>
        </w:tc>
        <w:tc>
          <w:tcPr>
            <w:tcW w:w="2810" w:type="dxa"/>
            <w:shd w:val="clear" w:color="auto" w:fill="auto"/>
            <w:vAlign w:val="center"/>
          </w:tcPr>
          <w:p w14:paraId="333E07C3">
            <w:pPr>
              <w:jc w:val="center"/>
              <w:rPr>
                <w:rFonts w:hint="eastAsia"/>
              </w:rPr>
            </w:pPr>
            <w:r>
              <w:rPr>
                <w:rFonts w:hint="eastAsia"/>
              </w:rPr>
              <w:t>备注</w:t>
            </w:r>
          </w:p>
        </w:tc>
      </w:tr>
      <w:tr w14:paraId="4664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518" w:type="dxa"/>
            <w:vAlign w:val="center"/>
          </w:tcPr>
          <w:p w14:paraId="759E490A">
            <w:pPr>
              <w:jc w:val="center"/>
              <w:rPr>
                <w:rFonts w:hint="eastAsia"/>
              </w:rPr>
            </w:pPr>
            <w:r>
              <w:rPr>
                <w:rFonts w:hint="eastAsia"/>
              </w:rPr>
              <w:t>1</w:t>
            </w:r>
          </w:p>
        </w:tc>
        <w:tc>
          <w:tcPr>
            <w:tcW w:w="2400" w:type="dxa"/>
            <w:vAlign w:val="center"/>
          </w:tcPr>
          <w:p w14:paraId="3FDC757E">
            <w:pPr>
              <w:jc w:val="center"/>
              <w:rPr>
                <w:rFonts w:hint="eastAsia"/>
                <w:kern w:val="0"/>
              </w:rPr>
            </w:pPr>
            <w:r>
              <w:rPr>
                <w:rFonts w:hint="eastAsia"/>
                <w:kern w:val="0"/>
              </w:rPr>
              <w:t>华馨雅苑宿舍类用房（一单元）电器采购</w:t>
            </w:r>
          </w:p>
        </w:tc>
        <w:tc>
          <w:tcPr>
            <w:tcW w:w="1724" w:type="dxa"/>
            <w:vAlign w:val="center"/>
          </w:tcPr>
          <w:p w14:paraId="07944023">
            <w:pPr>
              <w:jc w:val="center"/>
              <w:rPr>
                <w:rFonts w:hint="eastAsia"/>
              </w:rPr>
            </w:pPr>
          </w:p>
        </w:tc>
        <w:tc>
          <w:tcPr>
            <w:tcW w:w="1696" w:type="dxa"/>
            <w:vAlign w:val="center"/>
          </w:tcPr>
          <w:p w14:paraId="5D6D3EA1">
            <w:pPr>
              <w:jc w:val="center"/>
              <w:rPr>
                <w:rFonts w:hint="eastAsia"/>
              </w:rPr>
            </w:pPr>
          </w:p>
        </w:tc>
        <w:tc>
          <w:tcPr>
            <w:tcW w:w="917" w:type="dxa"/>
            <w:vMerge w:val="restart"/>
            <w:vAlign w:val="center"/>
          </w:tcPr>
          <w:p w14:paraId="43087E01">
            <w:pPr>
              <w:jc w:val="center"/>
              <w:rPr>
                <w:rFonts w:hint="eastAsia"/>
              </w:rPr>
            </w:pPr>
          </w:p>
        </w:tc>
        <w:tc>
          <w:tcPr>
            <w:tcW w:w="2810" w:type="dxa"/>
            <w:vMerge w:val="restart"/>
            <w:vAlign w:val="center"/>
          </w:tcPr>
          <w:p w14:paraId="37D6CC33">
            <w:pPr>
              <w:jc w:val="center"/>
              <w:rPr>
                <w:rFonts w:hint="eastAsia"/>
              </w:rPr>
            </w:pPr>
            <w:r>
              <w:rPr>
                <w:rFonts w:hint="eastAsia"/>
              </w:rPr>
              <w:t>投标报价总价=Σ各项清单工程量*对应清单投标单价。</w:t>
            </w:r>
          </w:p>
        </w:tc>
      </w:tr>
      <w:tr w14:paraId="0089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18" w:type="dxa"/>
            <w:vAlign w:val="center"/>
          </w:tcPr>
          <w:p w14:paraId="58F8B511">
            <w:pPr>
              <w:jc w:val="center"/>
              <w:rPr>
                <w:rFonts w:hint="default"/>
                <w:lang w:val="en-US" w:eastAsia="zh-CN"/>
              </w:rPr>
            </w:pPr>
            <w:r>
              <w:rPr>
                <w:rFonts w:hint="eastAsia"/>
                <w:lang w:val="en-US" w:eastAsia="zh-CN"/>
              </w:rPr>
              <w:t>2</w:t>
            </w:r>
          </w:p>
        </w:tc>
        <w:tc>
          <w:tcPr>
            <w:tcW w:w="2400" w:type="dxa"/>
            <w:vAlign w:val="center"/>
          </w:tcPr>
          <w:p w14:paraId="0B57DE8A">
            <w:pPr>
              <w:jc w:val="center"/>
              <w:rPr>
                <w:rFonts w:hint="eastAsia" w:ascii="仿宋" w:hAnsi="仿宋" w:eastAsia="仿宋" w:cs="仿宋"/>
                <w:bCs/>
                <w:kern w:val="2"/>
                <w:sz w:val="24"/>
                <w:szCs w:val="24"/>
                <w:lang w:val="en-US" w:eastAsia="zh-CN" w:bidi="ar-SA"/>
              </w:rPr>
            </w:pPr>
            <w:r>
              <w:rPr>
                <w:rFonts w:hint="eastAsia"/>
                <w:lang w:val="en-US" w:eastAsia="zh-CN"/>
              </w:rPr>
              <w:t>金额（大写）</w:t>
            </w:r>
          </w:p>
        </w:tc>
        <w:tc>
          <w:tcPr>
            <w:tcW w:w="1724" w:type="dxa"/>
            <w:vAlign w:val="center"/>
          </w:tcPr>
          <w:p w14:paraId="3105CF92">
            <w:pPr>
              <w:jc w:val="center"/>
              <w:rPr>
                <w:rFonts w:hint="eastAsia"/>
              </w:rPr>
            </w:pPr>
          </w:p>
        </w:tc>
        <w:tc>
          <w:tcPr>
            <w:tcW w:w="1696" w:type="dxa"/>
            <w:vAlign w:val="center"/>
          </w:tcPr>
          <w:p w14:paraId="37BB0106">
            <w:pPr>
              <w:rPr>
                <w:rFonts w:hint="eastAsia"/>
              </w:rPr>
            </w:pPr>
          </w:p>
        </w:tc>
        <w:tc>
          <w:tcPr>
            <w:tcW w:w="917" w:type="dxa"/>
            <w:vMerge w:val="continue"/>
            <w:vAlign w:val="center"/>
          </w:tcPr>
          <w:p w14:paraId="1318D868">
            <w:pPr>
              <w:jc w:val="center"/>
              <w:rPr>
                <w:rFonts w:hint="eastAsia"/>
              </w:rPr>
            </w:pPr>
          </w:p>
        </w:tc>
        <w:tc>
          <w:tcPr>
            <w:tcW w:w="2810" w:type="dxa"/>
            <w:vMerge w:val="continue"/>
            <w:vAlign w:val="center"/>
          </w:tcPr>
          <w:p w14:paraId="22A1B600">
            <w:pPr>
              <w:jc w:val="center"/>
              <w:rPr>
                <w:rFonts w:hint="eastAsia"/>
              </w:rPr>
            </w:pPr>
          </w:p>
        </w:tc>
      </w:tr>
    </w:tbl>
    <w:p w14:paraId="2F178314">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备注：</w:t>
      </w:r>
    </w:p>
    <w:p w14:paraId="75622522">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r>
        <w:rPr>
          <w:rFonts w:hint="eastAsia" w:cs="仿宋"/>
          <w:bCs/>
          <w:color w:val="auto"/>
          <w:sz w:val="24"/>
          <w:szCs w:val="24"/>
          <w:highlight w:val="none"/>
          <w:lang w:val="en-US" w:eastAsia="zh-CN"/>
        </w:rPr>
        <w:t>1</w:t>
      </w:r>
      <w:r>
        <w:rPr>
          <w:rFonts w:hint="eastAsia" w:ascii="仿宋" w:hAnsi="仿宋" w:eastAsia="仿宋" w:cs="仿宋"/>
          <w:bCs/>
          <w:color w:val="auto"/>
          <w:sz w:val="24"/>
          <w:szCs w:val="24"/>
          <w:highlight w:val="none"/>
          <w:lang w:val="en-US" w:eastAsia="zh-CN"/>
        </w:rPr>
        <w:t>）下浮率=1-投标总价/招标控制价</w:t>
      </w:r>
      <w:r>
        <w:rPr>
          <w:rFonts w:hint="eastAsia" w:cs="仿宋"/>
          <w:bCs/>
          <w:color w:val="auto"/>
          <w:sz w:val="24"/>
          <w:szCs w:val="24"/>
          <w:highlight w:val="none"/>
          <w:lang w:val="en-US" w:eastAsia="zh-CN"/>
        </w:rPr>
        <w:t>（下浮率百分比数值四舍五入保留两位小数）</w:t>
      </w:r>
      <w:r>
        <w:rPr>
          <w:rFonts w:hint="eastAsia" w:ascii="仿宋" w:hAnsi="仿宋" w:eastAsia="仿宋" w:cs="仿宋"/>
          <w:bCs/>
          <w:color w:val="auto"/>
          <w:sz w:val="24"/>
          <w:szCs w:val="24"/>
          <w:highlight w:val="none"/>
          <w:lang w:val="en-US" w:eastAsia="zh-CN"/>
        </w:rPr>
        <w:t>。</w:t>
      </w:r>
    </w:p>
    <w:p w14:paraId="5F7E02D4">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default" w:ascii="仿宋" w:hAnsi="仿宋" w:eastAsia="仿宋" w:cs="仿宋"/>
          <w:bCs/>
          <w:color w:val="auto"/>
          <w:sz w:val="24"/>
          <w:szCs w:val="24"/>
          <w:highlight w:val="none"/>
          <w:lang w:val="en-US" w:eastAsia="zh-CN"/>
        </w:rPr>
      </w:pPr>
      <w:r>
        <w:rPr>
          <w:rFonts w:hint="eastAsia" w:cs="仿宋"/>
          <w:bCs/>
          <w:color w:val="auto"/>
          <w:sz w:val="24"/>
          <w:szCs w:val="24"/>
          <w:highlight w:val="none"/>
          <w:lang w:val="en-US" w:eastAsia="zh-CN"/>
        </w:rPr>
        <w:t>（2）本项目按清单采购，采用固定全费用综合单价合同。遴选公告已提供不带价格的清单，投标人需逐一填报清单综合单价，且投标报价总价不得超过招标控制价上限。</w:t>
      </w:r>
    </w:p>
    <w:p w14:paraId="7A7DB4FC">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r>
        <w:rPr>
          <w:rFonts w:hint="eastAsia" w:cs="仿宋"/>
          <w:bCs/>
          <w:color w:val="auto"/>
          <w:sz w:val="24"/>
          <w:szCs w:val="24"/>
          <w:highlight w:val="none"/>
          <w:lang w:val="en-US" w:eastAsia="zh-CN"/>
        </w:rPr>
        <w:t>3</w:t>
      </w:r>
      <w:r>
        <w:rPr>
          <w:rFonts w:hint="eastAsia" w:ascii="仿宋" w:hAnsi="仿宋" w:eastAsia="仿宋" w:cs="仿宋"/>
          <w:bCs/>
          <w:color w:val="auto"/>
          <w:sz w:val="24"/>
          <w:szCs w:val="24"/>
          <w:highlight w:val="none"/>
          <w:lang w:val="en-US" w:eastAsia="zh-CN"/>
        </w:rPr>
        <w:t>）以上报价为本投标人在公告要求期限内完成约定的全部工作的总费用。</w:t>
      </w:r>
    </w:p>
    <w:p w14:paraId="6921BA48">
      <w:pPr>
        <w:widowControl/>
        <w:numPr>
          <w:ilvl w:val="0"/>
          <w:numId w:val="0"/>
        </w:numPr>
        <w:autoSpaceDE/>
        <w:autoSpaceDN/>
        <w:spacing w:line="400" w:lineRule="exact"/>
        <w:jc w:val="both"/>
        <w:rPr>
          <w:rFonts w:hint="eastAsia"/>
          <w:color w:val="auto"/>
          <w:highlight w:val="none"/>
        </w:rPr>
      </w:pPr>
      <w:r>
        <w:rPr>
          <w:rFonts w:hint="eastAsia" w:ascii="仿宋" w:hAnsi="仿宋" w:eastAsia="仿宋" w:cs="仿宋"/>
          <w:bCs/>
          <w:color w:val="auto"/>
          <w:sz w:val="24"/>
          <w:szCs w:val="24"/>
          <w:highlight w:val="none"/>
          <w:lang w:val="en-US" w:eastAsia="zh-CN"/>
        </w:rPr>
        <w:t>（</w:t>
      </w:r>
      <w:r>
        <w:rPr>
          <w:rFonts w:hint="eastAsia" w:cs="仿宋"/>
          <w:bCs/>
          <w:color w:val="auto"/>
          <w:sz w:val="24"/>
          <w:szCs w:val="24"/>
          <w:highlight w:val="none"/>
          <w:lang w:val="en-US" w:eastAsia="zh-CN"/>
        </w:rPr>
        <w:t>4</w:t>
      </w:r>
      <w:r>
        <w:rPr>
          <w:rFonts w:hint="eastAsia" w:ascii="仿宋" w:hAnsi="仿宋" w:eastAsia="仿宋" w:cs="仿宋"/>
          <w:bCs/>
          <w:color w:val="auto"/>
          <w:sz w:val="24"/>
          <w:szCs w:val="24"/>
          <w:highlight w:val="none"/>
          <w:lang w:val="en-US" w:eastAsia="zh-CN"/>
        </w:rPr>
        <w:t>）如招标人接受本投标人的投标，本投标人将保证遵循国家和省、市相关法律、法规的要求和公告要求完成相关工作。在正式的合同协议制定和签署前，本报价连同招标人的中标通知书应为约束贵司、我双方的合同文件。</w:t>
      </w:r>
    </w:p>
    <w:p w14:paraId="57F93E04">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cs="仿宋"/>
          <w:bCs/>
          <w:color w:val="auto"/>
          <w:sz w:val="24"/>
          <w:szCs w:val="24"/>
          <w:highlight w:val="none"/>
          <w:lang w:val="en-US" w:eastAsia="zh-CN"/>
        </w:rPr>
      </w:pPr>
    </w:p>
    <w:p w14:paraId="45CBD64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p>
    <w:p w14:paraId="2924FF0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投标人（公章）：</w:t>
      </w:r>
    </w:p>
    <w:p w14:paraId="0B58036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14:paraId="4A87AD8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p>
    <w:p w14:paraId="52183050">
      <w:pPr>
        <w:autoSpaceDE/>
        <w:autoSpaceDN/>
        <w:adjustRightInd/>
        <w:snapToGrid/>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投标分项报价表</w:t>
      </w:r>
    </w:p>
    <w:p w14:paraId="05024FF9">
      <w:pPr>
        <w:autoSpaceDE/>
        <w:autoSpaceDN/>
        <w:adjustRightInd/>
        <w:snapToGrid/>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投标人按招标文件附件《华馨雅苑宿舍类用房（一单元）电器采购招标清单》进行报价，并将报价清单粘贴在此处。</w:t>
      </w:r>
    </w:p>
    <w:bookmarkEnd w:id="0"/>
    <w:p w14:paraId="13B4BCF9">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trackRevisions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D4846"/>
    <w:rsid w:val="00130444"/>
    <w:rsid w:val="00137312"/>
    <w:rsid w:val="00150843"/>
    <w:rsid w:val="001B7687"/>
    <w:rsid w:val="001C25C4"/>
    <w:rsid w:val="00202BEE"/>
    <w:rsid w:val="00236E68"/>
    <w:rsid w:val="0030686F"/>
    <w:rsid w:val="003D10B5"/>
    <w:rsid w:val="00440A75"/>
    <w:rsid w:val="006C781C"/>
    <w:rsid w:val="00851FC6"/>
    <w:rsid w:val="00865E82"/>
    <w:rsid w:val="00870FF5"/>
    <w:rsid w:val="008B275F"/>
    <w:rsid w:val="008E0AE6"/>
    <w:rsid w:val="008E429A"/>
    <w:rsid w:val="009208F5"/>
    <w:rsid w:val="0096261F"/>
    <w:rsid w:val="00AB546A"/>
    <w:rsid w:val="00B336A4"/>
    <w:rsid w:val="00BF5D7B"/>
    <w:rsid w:val="00D21049"/>
    <w:rsid w:val="00D40904"/>
    <w:rsid w:val="00E606C7"/>
    <w:rsid w:val="00EE588A"/>
    <w:rsid w:val="00F01372"/>
    <w:rsid w:val="00F05CC2"/>
    <w:rsid w:val="00FA78B5"/>
    <w:rsid w:val="00FD0FF3"/>
    <w:rsid w:val="00FE2F56"/>
    <w:rsid w:val="01A41A98"/>
    <w:rsid w:val="02276CDB"/>
    <w:rsid w:val="039C2053"/>
    <w:rsid w:val="042D158D"/>
    <w:rsid w:val="04E06965"/>
    <w:rsid w:val="0B2B2741"/>
    <w:rsid w:val="0E894879"/>
    <w:rsid w:val="135678EB"/>
    <w:rsid w:val="137E32EB"/>
    <w:rsid w:val="143B4971"/>
    <w:rsid w:val="16B42882"/>
    <w:rsid w:val="171056A3"/>
    <w:rsid w:val="17F8222E"/>
    <w:rsid w:val="186A0703"/>
    <w:rsid w:val="18893450"/>
    <w:rsid w:val="1F8E7E31"/>
    <w:rsid w:val="21F433CC"/>
    <w:rsid w:val="24B70CBB"/>
    <w:rsid w:val="25CD7E3F"/>
    <w:rsid w:val="27BD652A"/>
    <w:rsid w:val="2847702A"/>
    <w:rsid w:val="29304E64"/>
    <w:rsid w:val="294544BB"/>
    <w:rsid w:val="2D7218AA"/>
    <w:rsid w:val="2F9C3726"/>
    <w:rsid w:val="306A4EEC"/>
    <w:rsid w:val="30B07F69"/>
    <w:rsid w:val="321049D0"/>
    <w:rsid w:val="32B00E4D"/>
    <w:rsid w:val="33BF02E8"/>
    <w:rsid w:val="3444618C"/>
    <w:rsid w:val="396C61CD"/>
    <w:rsid w:val="3A3E4582"/>
    <w:rsid w:val="3A4F7256"/>
    <w:rsid w:val="3C680E8A"/>
    <w:rsid w:val="3D3171E8"/>
    <w:rsid w:val="42E53259"/>
    <w:rsid w:val="43FB5E70"/>
    <w:rsid w:val="44955562"/>
    <w:rsid w:val="468F4DC7"/>
    <w:rsid w:val="498E7188"/>
    <w:rsid w:val="49AB55A6"/>
    <w:rsid w:val="4B646EED"/>
    <w:rsid w:val="50317CDC"/>
    <w:rsid w:val="544D0586"/>
    <w:rsid w:val="56CB2B66"/>
    <w:rsid w:val="574C712D"/>
    <w:rsid w:val="5AF83711"/>
    <w:rsid w:val="5BB04C2C"/>
    <w:rsid w:val="5BF14D74"/>
    <w:rsid w:val="5D1A4EE6"/>
    <w:rsid w:val="6140578B"/>
    <w:rsid w:val="62141106"/>
    <w:rsid w:val="684E0792"/>
    <w:rsid w:val="68610DE6"/>
    <w:rsid w:val="6A7177BA"/>
    <w:rsid w:val="6B5477F9"/>
    <w:rsid w:val="6B5A3B76"/>
    <w:rsid w:val="6E2E2151"/>
    <w:rsid w:val="71D573EA"/>
    <w:rsid w:val="75D37152"/>
    <w:rsid w:val="777D7FD8"/>
    <w:rsid w:val="7A0A79F9"/>
    <w:rsid w:val="7A6207C4"/>
    <w:rsid w:val="7B746AC1"/>
    <w:rsid w:val="7C372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2">
    <w:name w:val="heading 2"/>
    <w:basedOn w:val="1"/>
    <w:next w:val="1"/>
    <w:autoRedefine/>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annotation text"/>
    <w:basedOn w:val="1"/>
    <w:autoRedefine/>
    <w:qFormat/>
    <w:uiPriority w:val="0"/>
  </w:style>
  <w:style w:type="paragraph" w:styleId="5">
    <w:name w:val="Body Text"/>
    <w:basedOn w:val="1"/>
    <w:next w:val="6"/>
    <w:autoRedefine/>
    <w:qFormat/>
    <w:uiPriority w:val="1"/>
    <w:pPr>
      <w:ind w:left="779" w:firstLine="641"/>
    </w:pPr>
    <w:rPr>
      <w:rFonts w:ascii="宋体" w:hAnsi="宋体"/>
      <w:kern w:val="0"/>
      <w:sz w:val="32"/>
      <w:szCs w:val="32"/>
      <w:lang w:eastAsia="en-US"/>
    </w:rPr>
  </w:style>
  <w:style w:type="paragraph" w:styleId="6">
    <w:name w:val="Body Text 2"/>
    <w:basedOn w:val="1"/>
    <w:qFormat/>
    <w:uiPriority w:val="0"/>
    <w:rPr>
      <w:rFonts w:ascii="楷体_GB2312" w:hAnsi="宋体" w:eastAsia="楷体_GB2312"/>
      <w:color w:val="000000"/>
      <w:kern w:val="0"/>
      <w:szCs w:val="21"/>
    </w:rPr>
  </w:style>
  <w:style w:type="paragraph" w:styleId="7">
    <w:name w:val="Body Text Indent"/>
    <w:basedOn w:val="1"/>
    <w:next w:val="8"/>
    <w:autoRedefine/>
    <w:qFormat/>
    <w:uiPriority w:val="0"/>
    <w:pPr>
      <w:ind w:firstLine="600" w:firstLineChars="200"/>
    </w:pPr>
    <w:rPr>
      <w:sz w:val="30"/>
    </w:rPr>
  </w:style>
  <w:style w:type="paragraph" w:styleId="8">
    <w:name w:val="header"/>
    <w:basedOn w:val="1"/>
    <w:qFormat/>
    <w:uiPriority w:val="99"/>
    <w:pPr>
      <w:pBdr>
        <w:bottom w:val="single" w:color="auto" w:sz="6" w:space="1"/>
      </w:pBdr>
      <w:tabs>
        <w:tab w:val="center" w:pos="4153"/>
        <w:tab w:val="right" w:pos="8306"/>
      </w:tabs>
      <w:jc w:val="center"/>
    </w:pPr>
    <w:rPr>
      <w:sz w:val="18"/>
      <w:szCs w:val="18"/>
    </w:rPr>
  </w:style>
  <w:style w:type="paragraph" w:styleId="9">
    <w:name w:val="Plain Text"/>
    <w:basedOn w:val="1"/>
    <w:autoRedefine/>
    <w:qFormat/>
    <w:uiPriority w:val="0"/>
    <w:rPr>
      <w:rFonts w:hAnsi="Courier New" w:cs="Courier New"/>
      <w:szCs w:val="21"/>
    </w:rPr>
  </w:style>
  <w:style w:type="paragraph" w:styleId="10">
    <w:name w:val="footer"/>
    <w:basedOn w:val="1"/>
    <w:autoRedefine/>
    <w:unhideWhenUsed/>
    <w:qFormat/>
    <w:uiPriority w:val="99"/>
    <w:pPr>
      <w:tabs>
        <w:tab w:val="center" w:pos="4153"/>
        <w:tab w:val="right" w:pos="8306"/>
      </w:tabs>
    </w:pPr>
    <w:rPr>
      <w:sz w:val="18"/>
      <w:szCs w:val="18"/>
    </w:rPr>
  </w:style>
  <w:style w:type="paragraph" w:styleId="11">
    <w:name w:val="Normal (Web)"/>
    <w:basedOn w:val="1"/>
    <w:autoRedefine/>
    <w:unhideWhenUsed/>
    <w:qFormat/>
    <w:uiPriority w:val="99"/>
    <w:rPr>
      <w:rFonts w:ascii="Times New Roman" w:hAnsi="Times New Roman"/>
      <w:kern w:val="0"/>
      <w:szCs w:val="20"/>
    </w:rPr>
  </w:style>
  <w:style w:type="paragraph" w:styleId="12">
    <w:name w:val="Body Text First Indent 2"/>
    <w:basedOn w:val="7"/>
    <w:next w:val="1"/>
    <w:autoRedefine/>
    <w:unhideWhenUsed/>
    <w:qFormat/>
    <w:uiPriority w:val="99"/>
    <w:pPr>
      <w:spacing w:after="120"/>
      <w:ind w:left="420" w:leftChars="200" w:firstLine="42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qFormat/>
    <w:uiPriority w:val="0"/>
    <w:rPr>
      <w:color w:val="0000FF"/>
      <w:u w:val="single"/>
    </w:rPr>
  </w:style>
  <w:style w:type="paragraph" w:customStyle="1" w:styleId="17">
    <w:name w:val="列出段落1"/>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513</Words>
  <Characters>525</Characters>
  <Lines>18</Lines>
  <Paragraphs>5</Paragraphs>
  <TotalTime>2</TotalTime>
  <ScaleCrop>false</ScaleCrop>
  <LinksUpToDate>false</LinksUpToDate>
  <CharactersWithSpaces>539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高于堡</cp:lastModifiedBy>
  <dcterms:modified xsi:type="dcterms:W3CDTF">2024-08-06T02:50:58Z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CF834F5FA2B9441EA2356E7AD013DE0A_13</vt:lpwstr>
  </property>
</Properties>
</file>