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E6007">
      <w:pPr>
        <w:spacing w:line="720" w:lineRule="auto"/>
        <w:jc w:val="center"/>
        <w:rPr>
          <w:rFonts w:eastAsia="黑体"/>
          <w:bCs/>
          <w:sz w:val="44"/>
          <w:szCs w:val="44"/>
        </w:rPr>
      </w:pPr>
      <w:bookmarkStart w:id="0" w:name="_Toc130227860"/>
    </w:p>
    <w:p w14:paraId="0C9CBD53">
      <w:pPr>
        <w:pStyle w:val="20"/>
        <w:spacing w:before="249" w:after="249"/>
        <w:ind w:left="483" w:firstLine="480"/>
      </w:pPr>
    </w:p>
    <w:p w14:paraId="184B29AE">
      <w:pPr>
        <w:spacing w:line="720" w:lineRule="auto"/>
        <w:jc w:val="center"/>
        <w:rPr>
          <w:rFonts w:ascii="黑体" w:hAnsi="黑体" w:eastAsia="黑体" w:cs="黑体"/>
          <w:bCs/>
          <w:sz w:val="44"/>
          <w:szCs w:val="44"/>
        </w:rPr>
      </w:pPr>
      <w:r>
        <w:rPr>
          <w:rFonts w:hint="eastAsia" w:ascii="黑体" w:hAnsi="黑体" w:eastAsia="黑体" w:cs="黑体"/>
          <w:bCs/>
          <w:color w:val="auto"/>
          <w:sz w:val="44"/>
          <w:szCs w:val="44"/>
          <w:u w:val="none"/>
        </w:rPr>
        <w:t>龙华区国际医疗器械城产业片区项目</w:t>
      </w:r>
    </w:p>
    <w:p w14:paraId="2BADE4E8">
      <w:pPr>
        <w:spacing w:line="720" w:lineRule="auto"/>
        <w:jc w:val="center"/>
        <w:rPr>
          <w:rFonts w:ascii="黑体" w:hAnsi="黑体" w:eastAsia="黑体" w:cs="黑体"/>
          <w:bCs/>
          <w:sz w:val="44"/>
          <w:szCs w:val="44"/>
        </w:rPr>
      </w:pPr>
      <w:r>
        <w:rPr>
          <w:rFonts w:hint="eastAsia" w:ascii="黑体" w:hAnsi="黑体" w:eastAsia="黑体" w:cs="黑体"/>
          <w:bCs/>
          <w:sz w:val="44"/>
          <w:szCs w:val="44"/>
        </w:rPr>
        <w:t xml:space="preserve">招标代理合同 </w:t>
      </w:r>
    </w:p>
    <w:p w14:paraId="7ED366AF">
      <w:pPr>
        <w:spacing w:line="480" w:lineRule="auto"/>
        <w:outlineLvl w:val="0"/>
        <w:rPr>
          <w:rFonts w:eastAsia="黑体"/>
          <w:sz w:val="32"/>
        </w:rPr>
      </w:pPr>
    </w:p>
    <w:p w14:paraId="036D536B">
      <w:pPr>
        <w:outlineLvl w:val="0"/>
        <w:rPr>
          <w:rFonts w:ascii="黑体" w:hAnsi="黑体" w:eastAsia="黑体"/>
          <w:bCs/>
          <w:sz w:val="32"/>
          <w:szCs w:val="32"/>
        </w:rPr>
      </w:pPr>
    </w:p>
    <w:p w14:paraId="6DC36626">
      <w:pPr>
        <w:ind w:firstLine="2240" w:firstLineChars="700"/>
        <w:jc w:val="left"/>
        <w:outlineLvl w:val="0"/>
        <w:rPr>
          <w:rFonts w:hint="default" w:ascii="黑体" w:hAnsi="黑体" w:eastAsia="黑体"/>
          <w:bCs/>
          <w:sz w:val="32"/>
          <w:szCs w:val="32"/>
          <w:u w:val="single"/>
          <w:lang w:val="en-US" w:eastAsia="zh-CN"/>
        </w:rPr>
      </w:pPr>
      <w:r>
        <w:rPr>
          <w:rFonts w:hint="eastAsia" w:ascii="黑体" w:hAnsi="黑体" w:eastAsia="黑体"/>
          <w:bCs/>
          <w:sz w:val="32"/>
          <w:szCs w:val="32"/>
        </w:rPr>
        <w:t>合同编号：</w:t>
      </w:r>
      <w:r>
        <w:rPr>
          <w:rFonts w:hint="eastAsia" w:ascii="黑体" w:hAnsi="黑体" w:eastAsia="黑体"/>
          <w:bCs/>
          <w:sz w:val="32"/>
          <w:szCs w:val="32"/>
          <w:u w:val="single"/>
          <w:lang w:val="en-US" w:eastAsia="zh-CN"/>
        </w:rPr>
        <w:t xml:space="preserve">              </w:t>
      </w:r>
    </w:p>
    <w:p w14:paraId="724BFD92">
      <w:pPr>
        <w:ind w:left="483"/>
        <w:rPr>
          <w:sz w:val="32"/>
        </w:rPr>
      </w:pPr>
    </w:p>
    <w:p w14:paraId="53A22219">
      <w:pPr>
        <w:ind w:left="483"/>
        <w:rPr>
          <w:sz w:val="32"/>
        </w:rPr>
      </w:pPr>
    </w:p>
    <w:p w14:paraId="7C416DD6">
      <w:pPr>
        <w:spacing w:line="720" w:lineRule="auto"/>
        <w:ind w:firstLine="280" w:firstLineChars="100"/>
        <w:jc w:val="center"/>
        <w:rPr>
          <w:rFonts w:hint="eastAsia" w:ascii="黑体" w:hAnsi="黑体" w:eastAsia="黑体"/>
          <w:bCs/>
          <w:sz w:val="28"/>
          <w:szCs w:val="28"/>
          <w:u w:val="single"/>
          <w:lang w:eastAsia="zh-CN"/>
        </w:rPr>
      </w:pPr>
      <w:r>
        <w:rPr>
          <w:rFonts w:hint="eastAsia" w:ascii="黑体" w:hAnsi="黑体" w:eastAsia="黑体"/>
          <w:sz w:val="28"/>
          <w:szCs w:val="28"/>
        </w:rPr>
        <w:t>委托人（</w:t>
      </w:r>
      <w:r>
        <w:rPr>
          <w:rFonts w:ascii="黑体" w:hAnsi="黑体" w:eastAsia="黑体"/>
          <w:sz w:val="28"/>
          <w:szCs w:val="28"/>
        </w:rPr>
        <w:t>甲方）</w:t>
      </w:r>
      <w:r>
        <w:rPr>
          <w:rFonts w:hint="eastAsia" w:ascii="黑体" w:hAnsi="黑体" w:eastAsia="黑体"/>
          <w:sz w:val="28"/>
          <w:szCs w:val="28"/>
        </w:rPr>
        <w:t>：</w:t>
      </w:r>
      <w:r>
        <w:rPr>
          <w:rFonts w:hint="eastAsia" w:ascii="黑体" w:hAnsi="黑体" w:eastAsia="黑体"/>
          <w:bCs/>
          <w:sz w:val="28"/>
          <w:szCs w:val="28"/>
          <w:u w:val="single"/>
          <w:lang w:eastAsia="zh-CN"/>
        </w:rPr>
        <w:t>深圳市新龙观投资发展有限公司</w:t>
      </w:r>
    </w:p>
    <w:p w14:paraId="6EE7E893">
      <w:pPr>
        <w:spacing w:line="720" w:lineRule="auto"/>
        <w:ind w:left="0" w:leftChars="0" w:firstLine="1478" w:firstLineChars="528"/>
        <w:jc w:val="both"/>
        <w:rPr>
          <w:rFonts w:hint="eastAsia" w:ascii="黑体" w:hAnsi="黑体" w:eastAsia="黑体"/>
          <w:sz w:val="28"/>
          <w:szCs w:val="28"/>
          <w:lang w:eastAsia="zh-CN"/>
        </w:rPr>
      </w:pPr>
      <w:r>
        <w:rPr>
          <w:rFonts w:hint="eastAsia" w:ascii="黑体" w:hAnsi="黑体" w:eastAsia="黑体"/>
          <w:sz w:val="28"/>
          <w:szCs w:val="28"/>
        </w:rPr>
        <w:t>受托人（乙方）：</w:t>
      </w:r>
      <w:r>
        <w:rPr>
          <w:rFonts w:hint="eastAsia" w:ascii="黑体" w:hAnsi="黑体" w:eastAsia="黑体"/>
          <w:sz w:val="28"/>
          <w:szCs w:val="28"/>
          <w:u w:val="single"/>
          <w:lang w:eastAsia="zh-CN"/>
        </w:rPr>
        <w:t xml:space="preserve">                            </w:t>
      </w:r>
    </w:p>
    <w:p w14:paraId="741253FC">
      <w:pPr>
        <w:spacing w:line="720" w:lineRule="auto"/>
        <w:ind w:firstLine="840" w:firstLineChars="300"/>
        <w:jc w:val="center"/>
        <w:rPr>
          <w:rFonts w:ascii="黑体" w:hAnsi="黑体" w:eastAsia="黑体"/>
          <w:sz w:val="28"/>
          <w:szCs w:val="28"/>
        </w:rPr>
      </w:pPr>
    </w:p>
    <w:p w14:paraId="5F733694">
      <w:pPr>
        <w:spacing w:line="720" w:lineRule="auto"/>
        <w:ind w:firstLine="840" w:firstLineChars="300"/>
        <w:jc w:val="center"/>
        <w:rPr>
          <w:rFonts w:ascii="黑体" w:hAnsi="黑体" w:eastAsia="黑体"/>
          <w:sz w:val="28"/>
          <w:szCs w:val="28"/>
        </w:rPr>
      </w:pPr>
    </w:p>
    <w:p w14:paraId="31E945D5">
      <w:pPr>
        <w:spacing w:line="720" w:lineRule="auto"/>
        <w:ind w:firstLine="840" w:firstLineChars="300"/>
        <w:jc w:val="center"/>
        <w:rPr>
          <w:rFonts w:ascii="黑体" w:hAnsi="黑体" w:eastAsia="黑体"/>
          <w:sz w:val="28"/>
          <w:szCs w:val="28"/>
        </w:rPr>
      </w:pPr>
      <w:r>
        <w:rPr>
          <w:rFonts w:hint="eastAsia" w:ascii="黑体" w:hAnsi="黑体" w:eastAsia="黑体"/>
          <w:sz w:val="28"/>
          <w:szCs w:val="28"/>
        </w:rPr>
        <w:t>签订</w:t>
      </w:r>
      <w:r>
        <w:rPr>
          <w:rFonts w:ascii="黑体" w:hAnsi="黑体" w:eastAsia="黑体"/>
          <w:sz w:val="28"/>
          <w:szCs w:val="28"/>
        </w:rPr>
        <w:t>日期：</w:t>
      </w:r>
      <w:r>
        <w:rPr>
          <w:rFonts w:hint="eastAsia" w:ascii="黑体" w:hAnsi="黑体" w:eastAsia="黑体"/>
          <w:sz w:val="28"/>
          <w:szCs w:val="28"/>
        </w:rPr>
        <w:t>202</w:t>
      </w:r>
      <w:r>
        <w:rPr>
          <w:rFonts w:hint="eastAsia" w:ascii="黑体" w:hAnsi="黑体" w:eastAsia="黑体"/>
          <w:sz w:val="28"/>
          <w:szCs w:val="28"/>
          <w:lang w:val="en-US" w:eastAsia="zh-CN"/>
        </w:rPr>
        <w:t>4</w:t>
      </w:r>
      <w:r>
        <w:rPr>
          <w:rFonts w:hint="eastAsia" w:ascii="黑体" w:hAnsi="黑体" w:eastAsia="黑体"/>
          <w:sz w:val="28"/>
          <w:szCs w:val="28"/>
        </w:rPr>
        <w:t>年   月   日</w:t>
      </w:r>
    </w:p>
    <w:p w14:paraId="481C3DA7">
      <w:pPr>
        <w:spacing w:line="360" w:lineRule="auto"/>
        <w:rPr>
          <w:rFonts w:ascii="宋体" w:hAnsi="宋体"/>
          <w:b/>
          <w:sz w:val="30"/>
          <w:szCs w:val="30"/>
        </w:rPr>
        <w:sectPr>
          <w:footerReference r:id="rId3" w:type="default"/>
          <w:pgSz w:w="11906" w:h="16838"/>
          <w:pgMar w:top="1588" w:right="1588" w:bottom="1588" w:left="1588" w:header="851" w:footer="851" w:gutter="0"/>
          <w:pgNumType w:fmt="decimal"/>
          <w:cols w:space="425" w:num="1"/>
          <w:docGrid w:type="lines" w:linePitch="312" w:charSpace="0"/>
        </w:sectPr>
      </w:pPr>
    </w:p>
    <w:p w14:paraId="795889C5">
      <w:pPr>
        <w:spacing w:line="500" w:lineRule="exact"/>
        <w:jc w:val="center"/>
        <w:rPr>
          <w:rFonts w:hint="eastAsia" w:ascii="宋体" w:hAnsi="宋体" w:eastAsia="宋体"/>
          <w:b/>
          <w:sz w:val="36"/>
          <w:szCs w:val="36"/>
          <w:lang w:eastAsia="zh-CN"/>
        </w:rPr>
      </w:pPr>
      <w:r>
        <w:rPr>
          <w:rFonts w:hint="eastAsia" w:ascii="宋体" w:hAnsi="宋体" w:eastAsia="宋体"/>
          <w:b/>
          <w:sz w:val="36"/>
          <w:szCs w:val="36"/>
          <w:lang w:eastAsia="zh-CN"/>
        </w:rPr>
        <w:t>龙华区国际医疗器械城产业片区项目</w:t>
      </w:r>
    </w:p>
    <w:p w14:paraId="6993EF89">
      <w:pPr>
        <w:spacing w:line="500" w:lineRule="exact"/>
        <w:jc w:val="center"/>
        <w:rPr>
          <w:rFonts w:ascii="宋体" w:hAnsi="宋体" w:eastAsia="宋体"/>
          <w:b/>
          <w:sz w:val="36"/>
          <w:szCs w:val="36"/>
        </w:rPr>
      </w:pPr>
      <w:r>
        <w:rPr>
          <w:rFonts w:hint="eastAsia" w:ascii="宋体" w:hAnsi="宋体" w:eastAsia="宋体"/>
          <w:b/>
          <w:sz w:val="36"/>
          <w:szCs w:val="36"/>
        </w:rPr>
        <w:t>招标代理合同</w:t>
      </w:r>
    </w:p>
    <w:p w14:paraId="45B21470">
      <w:pPr>
        <w:pStyle w:val="20"/>
        <w:spacing w:before="249" w:after="249"/>
        <w:ind w:left="483" w:firstLine="482"/>
        <w:rPr>
          <w:b/>
          <w:bCs/>
        </w:rPr>
      </w:pPr>
    </w:p>
    <w:bookmarkEnd w:id="0"/>
    <w:p w14:paraId="52DA9D4C">
      <w:pPr>
        <w:pStyle w:val="23"/>
        <w:ind w:left="0" w:leftChars="0" w:firstLine="482" w:firstLineChars="200"/>
        <w:rPr>
          <w:rFonts w:ascii="宋体" w:hAnsi="宋体"/>
          <w:sz w:val="24"/>
          <w:szCs w:val="24"/>
        </w:rPr>
      </w:pPr>
      <w:r>
        <w:rPr>
          <w:rFonts w:hint="eastAsia" w:ascii="宋体" w:hAnsi="宋体"/>
          <w:b/>
          <w:bCs/>
          <w:sz w:val="24"/>
          <w:szCs w:val="24"/>
        </w:rPr>
        <w:t>委托人（甲方）</w:t>
      </w:r>
      <w:r>
        <w:rPr>
          <w:rFonts w:hint="eastAsia" w:ascii="宋体" w:hAnsi="宋体"/>
          <w:sz w:val="24"/>
          <w:szCs w:val="24"/>
        </w:rPr>
        <w:t>：</w:t>
      </w:r>
      <w:r>
        <w:rPr>
          <w:rFonts w:hint="eastAsia" w:ascii="宋体" w:hAnsi="宋体"/>
          <w:sz w:val="24"/>
          <w:szCs w:val="24"/>
          <w:u w:val="single"/>
          <w:lang w:eastAsia="zh-CN"/>
        </w:rPr>
        <w:t>深圳市新龙观投资发展有限公司</w:t>
      </w:r>
      <w:r>
        <w:rPr>
          <w:rFonts w:hint="eastAsia" w:ascii="宋体" w:hAnsi="宋体"/>
          <w:sz w:val="24"/>
          <w:szCs w:val="24"/>
          <w:u w:val="single"/>
        </w:rPr>
        <w:t xml:space="preserve">                          </w:t>
      </w:r>
    </w:p>
    <w:p w14:paraId="4FD99B75">
      <w:pPr>
        <w:pStyle w:val="23"/>
        <w:ind w:left="0" w:leftChars="0" w:firstLine="482" w:firstLineChars="200"/>
        <w:rPr>
          <w:rFonts w:ascii="宋体" w:hAnsi="宋体"/>
          <w:sz w:val="24"/>
          <w:szCs w:val="24"/>
        </w:rPr>
      </w:pPr>
      <w:r>
        <w:rPr>
          <w:rFonts w:hint="eastAsia" w:ascii="宋体" w:hAnsi="宋体"/>
          <w:b/>
          <w:bCs/>
          <w:sz w:val="24"/>
          <w:szCs w:val="24"/>
        </w:rPr>
        <w:t>法定代表人:</w:t>
      </w:r>
      <w:r>
        <w:rPr>
          <w:rFonts w:hint="eastAsia" w:ascii="宋体" w:hAnsi="宋体"/>
          <w:sz w:val="24"/>
          <w:szCs w:val="24"/>
          <w:u w:val="single"/>
        </w:rPr>
        <w:t xml:space="preserve">刘晓迎                                             </w:t>
      </w:r>
    </w:p>
    <w:p w14:paraId="107546AC">
      <w:pPr>
        <w:pStyle w:val="23"/>
        <w:ind w:left="0" w:leftChars="0" w:firstLine="482" w:firstLineChars="200"/>
        <w:rPr>
          <w:rFonts w:ascii="宋体" w:hAnsi="宋体"/>
          <w:sz w:val="24"/>
          <w:szCs w:val="24"/>
          <w:u w:val="single"/>
        </w:rPr>
      </w:pPr>
      <w:r>
        <w:rPr>
          <w:rFonts w:hint="eastAsia" w:ascii="宋体" w:hAnsi="宋体"/>
          <w:b/>
          <w:bCs/>
          <w:sz w:val="24"/>
          <w:szCs w:val="24"/>
        </w:rPr>
        <w:t>住所地:</w:t>
      </w:r>
      <w:r>
        <w:rPr>
          <w:rFonts w:hint="eastAsia" w:ascii="宋体" w:hAnsi="宋体"/>
          <w:sz w:val="24"/>
          <w:szCs w:val="24"/>
          <w:u w:val="single"/>
        </w:rPr>
        <w:t>深圳市龙华区观湖街道鹭湖社区观盛三路10号龙馨家园A栋2101</w:t>
      </w:r>
    </w:p>
    <w:p w14:paraId="5E8DCCC4">
      <w:pPr>
        <w:pStyle w:val="23"/>
        <w:ind w:left="0" w:leftChars="0" w:firstLine="480" w:firstLineChars="200"/>
        <w:rPr>
          <w:rFonts w:ascii="宋体" w:hAnsi="宋体"/>
          <w:sz w:val="24"/>
          <w:szCs w:val="24"/>
          <w:u w:val="single"/>
        </w:rPr>
      </w:pPr>
    </w:p>
    <w:p w14:paraId="30883BB3">
      <w:pPr>
        <w:pStyle w:val="23"/>
        <w:ind w:left="0" w:leftChars="0" w:firstLine="482" w:firstLineChars="200"/>
        <w:rPr>
          <w:rFonts w:ascii="宋体" w:hAnsi="宋体"/>
          <w:bCs/>
          <w:sz w:val="24"/>
          <w:szCs w:val="24"/>
          <w:u w:val="single"/>
        </w:rPr>
      </w:pPr>
      <w:r>
        <w:rPr>
          <w:rFonts w:hint="eastAsia" w:ascii="宋体" w:hAnsi="宋体"/>
          <w:b/>
          <w:bCs/>
          <w:sz w:val="24"/>
          <w:szCs w:val="24"/>
        </w:rPr>
        <w:t>受托人（乙方）：</w:t>
      </w:r>
      <w:r>
        <w:rPr>
          <w:rFonts w:hint="eastAsia" w:ascii="宋体" w:hAnsi="宋体"/>
          <w:sz w:val="24"/>
          <w:szCs w:val="24"/>
          <w:u w:val="single"/>
          <w:lang w:eastAsia="zh-CN"/>
        </w:rPr>
        <w:t xml:space="preserve">                               </w:t>
      </w:r>
      <w:r>
        <w:rPr>
          <w:rFonts w:hint="eastAsia" w:ascii="宋体" w:hAnsi="宋体"/>
          <w:sz w:val="24"/>
          <w:szCs w:val="24"/>
          <w:u w:val="single"/>
        </w:rPr>
        <w:t xml:space="preserve">                  </w:t>
      </w:r>
    </w:p>
    <w:p w14:paraId="377BDC77">
      <w:pPr>
        <w:pStyle w:val="23"/>
        <w:ind w:left="0" w:leftChars="0" w:firstLine="482" w:firstLineChars="200"/>
        <w:rPr>
          <w:rFonts w:hint="default" w:ascii="宋体" w:hAnsi="宋体" w:eastAsia="宋体"/>
          <w:sz w:val="24"/>
          <w:szCs w:val="24"/>
          <w:lang w:val="en-US" w:eastAsia="zh-CN"/>
        </w:rPr>
      </w:pPr>
      <w:r>
        <w:rPr>
          <w:rFonts w:hint="eastAsia" w:ascii="宋体" w:hAnsi="宋体"/>
          <w:b/>
          <w:bCs/>
          <w:sz w:val="24"/>
          <w:szCs w:val="24"/>
        </w:rPr>
        <w:t>法定代表人:</w:t>
      </w:r>
      <w:r>
        <w:rPr>
          <w:rFonts w:hint="eastAsia" w:ascii="宋体" w:hAnsi="宋体"/>
          <w:sz w:val="24"/>
          <w:szCs w:val="24"/>
          <w:u w:val="single"/>
          <w:lang w:val="en-US" w:eastAsia="zh-CN"/>
        </w:rPr>
        <w:t xml:space="preserve">     </w:t>
      </w:r>
    </w:p>
    <w:p w14:paraId="55E98689">
      <w:pPr>
        <w:pStyle w:val="23"/>
        <w:ind w:left="1563" w:leftChars="228" w:hanging="1084" w:hangingChars="450"/>
        <w:rPr>
          <w:rFonts w:ascii="宋体" w:hAnsi="宋体"/>
          <w:sz w:val="24"/>
          <w:szCs w:val="24"/>
          <w:u w:val="single"/>
        </w:rPr>
      </w:pPr>
      <w:r>
        <w:rPr>
          <w:rFonts w:hint="eastAsia" w:ascii="宋体" w:hAnsi="宋体"/>
          <w:b/>
          <w:bCs/>
          <w:sz w:val="24"/>
          <w:szCs w:val="24"/>
        </w:rPr>
        <w:t>住所地:</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14:paraId="60092BB7">
      <w:pPr>
        <w:pStyle w:val="23"/>
        <w:ind w:left="1559" w:leftChars="228" w:hanging="1080" w:hangingChars="450"/>
        <w:rPr>
          <w:rFonts w:ascii="宋体" w:hAnsi="宋体"/>
          <w:sz w:val="24"/>
          <w:szCs w:val="24"/>
          <w:u w:val="single"/>
        </w:rPr>
      </w:pPr>
    </w:p>
    <w:p w14:paraId="71B0CDFF">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根据《中华人民共和国民法典》、《中华人民共和国招标投标法》等有关法律、行政法规的规定，本着平等、自愿、公平和诚实信用的原则，就</w:t>
      </w:r>
      <w:r>
        <w:rPr>
          <w:rFonts w:hint="eastAsia" w:asciiTheme="minorEastAsia" w:hAnsiTheme="minorEastAsia" w:cstheme="minorEastAsia"/>
          <w:color w:val="000000" w:themeColor="text1"/>
          <w:sz w:val="24"/>
          <w:szCs w:val="24"/>
          <w14:textFill>
            <w14:solidFill>
              <w14:schemeClr w14:val="tx1"/>
            </w14:solidFill>
          </w14:textFill>
        </w:rPr>
        <w:t>甲方委托乙方负责</w:t>
      </w:r>
      <w:r>
        <w:rPr>
          <w:rFonts w:hint="eastAsia" w:asciiTheme="minorEastAsia" w:hAnsiTheme="minorEastAsia" w:cstheme="minorEastAsia"/>
          <w:color w:val="auto"/>
          <w:sz w:val="24"/>
          <w:szCs w:val="24"/>
          <w:u w:val="single"/>
          <w:lang w:eastAsia="zh-CN"/>
        </w:rPr>
        <w:t>龙华区国际医疗器械城产业片区项目</w:t>
      </w:r>
      <w:r>
        <w:rPr>
          <w:rFonts w:hint="eastAsia" w:asciiTheme="minorEastAsia" w:hAnsiTheme="minorEastAsia" w:cstheme="minorEastAsia"/>
          <w:sz w:val="24"/>
          <w:szCs w:val="24"/>
          <w:u w:val="single"/>
        </w:rPr>
        <w:t>招标代理事宜</w:t>
      </w:r>
      <w:r>
        <w:rPr>
          <w:rFonts w:hint="eastAsia" w:asciiTheme="minorEastAsia" w:hAnsiTheme="minorEastAsia" w:cstheme="minorEastAsia"/>
          <w:sz w:val="24"/>
          <w:szCs w:val="24"/>
        </w:rPr>
        <w:t>，经双方协商一致，订立本合同。</w:t>
      </w:r>
    </w:p>
    <w:p w14:paraId="493521F8">
      <w:pPr>
        <w:spacing w:line="500" w:lineRule="exact"/>
        <w:jc w:val="center"/>
      </w:pPr>
      <w:r>
        <w:rPr>
          <w:rFonts w:hint="eastAsia" w:ascii="宋体" w:hAnsi="宋体" w:eastAsia="宋体"/>
          <w:b/>
          <w:sz w:val="30"/>
          <w:szCs w:val="30"/>
        </w:rPr>
        <w:t>第一部分 协议书</w:t>
      </w:r>
    </w:p>
    <w:p w14:paraId="3E818777">
      <w:pPr>
        <w:spacing w:line="360" w:lineRule="auto"/>
        <w:ind w:firstLine="470" w:firstLineChars="196"/>
        <w:rPr>
          <w:rFonts w:asciiTheme="minorEastAsia" w:hAnsiTheme="minorEastAsia" w:cstheme="minorEastAsia"/>
          <w:bCs/>
          <w:sz w:val="24"/>
          <w:szCs w:val="24"/>
        </w:rPr>
      </w:pPr>
      <w:r>
        <w:rPr>
          <w:rFonts w:hint="eastAsia" w:asciiTheme="minorEastAsia" w:hAnsiTheme="minorEastAsia" w:cstheme="minorEastAsia"/>
          <w:bCs/>
          <w:sz w:val="24"/>
          <w:szCs w:val="24"/>
        </w:rPr>
        <w:t>一、项目概况</w:t>
      </w:r>
    </w:p>
    <w:p w14:paraId="4D5EB939">
      <w:pPr>
        <w:spacing w:line="360" w:lineRule="auto"/>
        <w:ind w:firstLine="480" w:firstLineChars="200"/>
        <w:rPr>
          <w:rFonts w:hint="eastAsia" w:asciiTheme="minorEastAsia" w:hAnsiTheme="minorEastAsia" w:eastAsiaTheme="minorEastAsia" w:cstheme="minorEastAsia"/>
          <w:sz w:val="24"/>
          <w:szCs w:val="24"/>
          <w:u w:val="single"/>
          <w:lang w:eastAsia="zh-CN"/>
        </w:rPr>
      </w:pPr>
      <w:r>
        <w:rPr>
          <w:rFonts w:hint="eastAsia" w:asciiTheme="minorEastAsia" w:hAnsiTheme="minorEastAsia" w:cstheme="minorEastAsia"/>
          <w:sz w:val="24"/>
          <w:szCs w:val="24"/>
        </w:rPr>
        <w:t>1.项目名称：</w:t>
      </w:r>
      <w:r>
        <w:rPr>
          <w:rFonts w:hint="eastAsia" w:asciiTheme="minorEastAsia" w:hAnsiTheme="minorEastAsia" w:cstheme="minorEastAsia"/>
          <w:sz w:val="24"/>
          <w:szCs w:val="24"/>
          <w:u w:val="single"/>
          <w:lang w:eastAsia="zh-CN"/>
        </w:rPr>
        <w:t>龙华区国际医疗器械城产业片区项目</w:t>
      </w:r>
    </w:p>
    <w:p w14:paraId="54E736FE">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2.项目地点：</w:t>
      </w:r>
      <w:r>
        <w:rPr>
          <w:rFonts w:hint="eastAsia" w:asciiTheme="minorEastAsia" w:hAnsiTheme="minorEastAsia" w:cstheme="minorEastAsia"/>
          <w:sz w:val="24"/>
          <w:szCs w:val="24"/>
          <w:u w:val="single"/>
        </w:rPr>
        <w:t>深圳市龙华区</w:t>
      </w:r>
      <w:r>
        <w:rPr>
          <w:rFonts w:hint="eastAsia" w:asciiTheme="minorEastAsia" w:hAnsiTheme="minorEastAsia" w:cstheme="minorEastAsia"/>
          <w:sz w:val="24"/>
          <w:szCs w:val="24"/>
          <w:u w:val="single"/>
          <w:lang w:val="en-US" w:eastAsia="zh-CN"/>
        </w:rPr>
        <w:t>观湖</w:t>
      </w:r>
      <w:r>
        <w:rPr>
          <w:rFonts w:hint="eastAsia" w:asciiTheme="minorEastAsia" w:hAnsiTheme="minorEastAsia" w:cstheme="minorEastAsia"/>
          <w:sz w:val="24"/>
          <w:szCs w:val="24"/>
          <w:u w:val="single"/>
        </w:rPr>
        <w:t>街道</w:t>
      </w:r>
    </w:p>
    <w:p w14:paraId="20A3CE10">
      <w:pPr>
        <w:spacing w:line="360" w:lineRule="auto"/>
        <w:ind w:firstLine="480" w:firstLineChars="200"/>
        <w:rPr>
          <w:rFonts w:asciiTheme="minorEastAsia" w:hAnsiTheme="minorEastAsia" w:cstheme="minorEastAsia"/>
          <w:sz w:val="24"/>
          <w:szCs w:val="24"/>
          <w:u w:val="single"/>
        </w:rPr>
      </w:pPr>
      <w:r>
        <w:rPr>
          <w:rFonts w:hint="eastAsia" w:asciiTheme="minorEastAsia" w:hAnsiTheme="minorEastAsia" w:cstheme="minorEastAsia"/>
          <w:sz w:val="24"/>
          <w:szCs w:val="24"/>
        </w:rPr>
        <w:t>3.项目概况：</w:t>
      </w:r>
      <w:r>
        <w:rPr>
          <w:rFonts w:hint="eastAsia" w:asciiTheme="minorEastAsia" w:hAnsiTheme="minorEastAsia" w:cstheme="minorEastAsia"/>
          <w:sz w:val="24"/>
          <w:szCs w:val="24"/>
          <w:u w:val="single"/>
          <w:lang w:eastAsia="zh-CN"/>
        </w:rPr>
        <w:t>龙华区国际医疗器械城产业片区项目，项目范围由10块宗地组成，主地块位于观湖街道观平路东北侧，北邻石马径水库，西邻鹭湖新城。项目留用地规划总建筑面积约205.17万平方米，总规划占地面积约24.11万平方米</w:t>
      </w:r>
      <w:r>
        <w:rPr>
          <w:rFonts w:hint="eastAsia" w:asciiTheme="minorEastAsia" w:hAnsiTheme="minorEastAsia" w:cstheme="minorEastAsia"/>
          <w:sz w:val="24"/>
          <w:szCs w:val="24"/>
          <w:u w:val="single"/>
        </w:rPr>
        <w:t>。具有以政府部门批复的文件为准。</w:t>
      </w:r>
    </w:p>
    <w:p w14:paraId="4DBC899D">
      <w:pPr>
        <w:spacing w:line="360" w:lineRule="auto"/>
        <w:ind w:firstLine="480" w:firstLineChars="200"/>
        <w:rPr>
          <w:rFonts w:ascii="宋体" w:hAnsi="宋体" w:eastAsia="宋体"/>
          <w:sz w:val="24"/>
          <w:szCs w:val="24"/>
        </w:rPr>
      </w:pPr>
      <w:r>
        <w:rPr>
          <w:rFonts w:hint="eastAsia" w:ascii="宋体" w:hAnsi="宋体" w:eastAsia="宋体"/>
          <w:sz w:val="24"/>
          <w:szCs w:val="24"/>
        </w:rPr>
        <w:t>二、招标代理内容</w:t>
      </w:r>
    </w:p>
    <w:p w14:paraId="698A7F0F">
      <w:pPr>
        <w:spacing w:line="360" w:lineRule="auto"/>
        <w:ind w:firstLine="480" w:firstLineChars="200"/>
        <w:rPr>
          <w:rFonts w:asciiTheme="majorEastAsia" w:hAnsiTheme="majorEastAsia" w:eastAsiaTheme="majorEastAsia"/>
          <w:bCs/>
          <w:kern w:val="44"/>
          <w:sz w:val="24"/>
        </w:rPr>
      </w:pPr>
      <w:r>
        <w:rPr>
          <w:rFonts w:hint="eastAsia" w:ascii="宋体" w:hAnsi="宋体" w:eastAsia="宋体"/>
          <w:sz w:val="24"/>
          <w:szCs w:val="24"/>
        </w:rPr>
        <w:t>甲方委托乙方为</w:t>
      </w:r>
      <w:r>
        <w:rPr>
          <w:rFonts w:hint="eastAsia" w:eastAsia="宋体" w:asciiTheme="minorEastAsia" w:hAnsiTheme="minorEastAsia" w:cstheme="minorEastAsia"/>
          <w:sz w:val="24"/>
          <w:szCs w:val="24"/>
          <w:u w:val="single"/>
          <w:lang w:eastAsia="zh-CN"/>
        </w:rPr>
        <w:t>龙华区国际医疗器械城产业片区项目</w:t>
      </w:r>
      <w:r>
        <w:rPr>
          <w:rFonts w:hint="eastAsia" w:ascii="宋体" w:hAnsi="宋体" w:eastAsia="宋体"/>
          <w:sz w:val="24"/>
          <w:szCs w:val="24"/>
        </w:rPr>
        <w:t>招标代理机构，承担本项目的</w:t>
      </w:r>
      <w:r>
        <w:rPr>
          <w:rFonts w:hint="eastAsia" w:ascii="宋体" w:hAnsi="宋体" w:eastAsia="宋体"/>
          <w:sz w:val="24"/>
          <w:szCs w:val="24"/>
          <w:u w:val="single"/>
        </w:rPr>
        <w:t>施工总承包</w:t>
      </w:r>
      <w:r>
        <w:rPr>
          <w:rFonts w:hint="eastAsia" w:asciiTheme="minorEastAsia" w:hAnsiTheme="minorEastAsia"/>
          <w:sz w:val="24"/>
          <w:szCs w:val="24"/>
          <w:u w:val="single"/>
        </w:rPr>
        <w:t>、精装修施工、勘察、设计、监理</w:t>
      </w:r>
      <w:r>
        <w:rPr>
          <w:rFonts w:hint="eastAsia" w:ascii="宋体" w:hAnsi="宋体" w:eastAsia="宋体"/>
          <w:sz w:val="24"/>
          <w:szCs w:val="24"/>
          <w:u w:val="single"/>
        </w:rPr>
        <w:t>、造价咨询、第三方监测、第三方检测、绿建验收评估、竣工测绘验收等</w:t>
      </w:r>
      <w:r>
        <w:rPr>
          <w:rFonts w:hint="eastAsia" w:ascii="宋体" w:hAnsi="宋体" w:eastAsia="宋体"/>
          <w:sz w:val="24"/>
          <w:szCs w:val="24"/>
        </w:rPr>
        <w:t>需公开招标的招标代理工作</w:t>
      </w:r>
      <w:r>
        <w:rPr>
          <w:rFonts w:hint="eastAsia" w:cs="Times New Roman" w:asciiTheme="majorEastAsia" w:hAnsiTheme="majorEastAsia" w:eastAsiaTheme="majorEastAsia"/>
          <w:bCs/>
          <w:kern w:val="44"/>
          <w:sz w:val="24"/>
          <w:szCs w:val="24"/>
        </w:rPr>
        <w:t>。</w:t>
      </w:r>
    </w:p>
    <w:p w14:paraId="4EEC6373">
      <w:pPr>
        <w:pStyle w:val="23"/>
        <w:ind w:left="359" w:leftChars="171" w:firstLine="117" w:firstLineChars="49"/>
        <w:rPr>
          <w:rFonts w:ascii="宋体" w:hAnsi="宋体"/>
          <w:sz w:val="24"/>
          <w:szCs w:val="24"/>
        </w:rPr>
      </w:pPr>
      <w:r>
        <w:rPr>
          <w:rFonts w:hint="eastAsia" w:ascii="宋体" w:hAnsi="宋体"/>
          <w:sz w:val="24"/>
          <w:szCs w:val="24"/>
        </w:rPr>
        <w:t>三、招标代理期限</w:t>
      </w:r>
    </w:p>
    <w:p w14:paraId="74DC75B0">
      <w:pPr>
        <w:ind w:left="359" w:leftChars="171" w:firstLine="480" w:firstLineChars="200"/>
        <w:rPr>
          <w:rFonts w:ascii="宋体" w:hAnsi="宋体" w:eastAsia="宋体"/>
          <w:sz w:val="24"/>
          <w:szCs w:val="24"/>
        </w:rPr>
      </w:pPr>
      <w:r>
        <w:rPr>
          <w:rFonts w:hint="eastAsia" w:ascii="宋体" w:hAnsi="宋体" w:eastAsia="宋体"/>
          <w:sz w:val="24"/>
          <w:szCs w:val="24"/>
        </w:rPr>
        <w:t>自招标代理业务中标通知书发出之日或甲方交付相关资料之日起，至乙方履行完毕合同约定的各项义务之日为止。</w:t>
      </w:r>
    </w:p>
    <w:p w14:paraId="23019C89">
      <w:pPr>
        <w:pStyle w:val="23"/>
        <w:ind w:left="359" w:leftChars="171" w:firstLine="117" w:firstLineChars="49"/>
        <w:rPr>
          <w:rFonts w:ascii="宋体" w:hAnsi="宋体"/>
          <w:sz w:val="24"/>
          <w:szCs w:val="24"/>
        </w:rPr>
      </w:pPr>
      <w:r>
        <w:rPr>
          <w:rFonts w:hint="eastAsia" w:ascii="宋体" w:hAnsi="宋体"/>
          <w:sz w:val="24"/>
          <w:szCs w:val="24"/>
        </w:rPr>
        <w:t>四、合同价款</w:t>
      </w:r>
    </w:p>
    <w:p w14:paraId="6845B732">
      <w:pPr>
        <w:pStyle w:val="9"/>
        <w:spacing w:beforeLines="0" w:afterLines="0" w:line="360" w:lineRule="auto"/>
        <w:ind w:left="239" w:leftChars="114" w:firstLine="230" w:firstLineChars="96"/>
        <w:rPr>
          <w:rFonts w:asciiTheme="minorEastAsia" w:hAnsiTheme="minorEastAsia"/>
        </w:rPr>
      </w:pPr>
      <w:r>
        <w:rPr>
          <w:rFonts w:hint="eastAsia" w:ascii="宋体" w:hAnsi="宋体"/>
        </w:rPr>
        <w:t>1、暂定合同价（含税）：</w:t>
      </w:r>
      <w:r>
        <w:rPr>
          <w:rFonts w:hint="eastAsia" w:asciiTheme="minorEastAsia" w:hAnsiTheme="minorEastAsia" w:eastAsiaTheme="minorEastAsia" w:cstheme="minorBidi"/>
        </w:rPr>
        <w:t>大写人民币</w:t>
      </w:r>
      <w:r>
        <w:rPr>
          <w:rFonts w:hint="eastAsia" w:asciiTheme="minorEastAsia" w:hAnsiTheme="minorEastAsia" w:eastAsiaTheme="minorEastAsia" w:cstheme="minorBidi"/>
          <w:u w:val="single"/>
          <w:lang w:val="en-US" w:eastAsia="zh-CN"/>
        </w:rPr>
        <w:t xml:space="preserve">           </w:t>
      </w:r>
      <w:r>
        <w:rPr>
          <w:rFonts w:hint="eastAsia" w:asciiTheme="minorEastAsia" w:hAnsiTheme="minorEastAsia" w:eastAsiaTheme="minorEastAsia" w:cstheme="minorBidi"/>
        </w:rPr>
        <w:t>（小写：</w:t>
      </w:r>
      <w:r>
        <w:rPr>
          <w:rFonts w:asciiTheme="minorEastAsia" w:hAnsiTheme="minorEastAsia" w:eastAsiaTheme="minorEastAsia" w:cstheme="minorBidi"/>
        </w:rPr>
        <w:t>¥</w:t>
      </w:r>
      <w:r>
        <w:rPr>
          <w:rFonts w:hint="eastAsia" w:asciiTheme="minorEastAsia" w:hAnsiTheme="minorEastAsia" w:eastAsiaTheme="minorEastAsia" w:cstheme="minorBidi"/>
          <w:u w:val="single"/>
          <w:lang w:val="en-US" w:eastAsia="zh-CN"/>
        </w:rPr>
        <w:t xml:space="preserve">          </w:t>
      </w:r>
      <w:r>
        <w:rPr>
          <w:rFonts w:asciiTheme="minorEastAsia" w:hAnsiTheme="minorEastAsia" w:eastAsiaTheme="minorEastAsia" w:cstheme="minorBidi"/>
        </w:rPr>
        <w:t>）</w:t>
      </w:r>
      <w:r>
        <w:rPr>
          <w:rFonts w:hint="eastAsia" w:asciiTheme="minorEastAsia" w:hAnsiTheme="minorEastAsia" w:eastAsiaTheme="minorEastAsia" w:cstheme="minorBidi"/>
        </w:rPr>
        <w:t>。</w:t>
      </w:r>
    </w:p>
    <w:p w14:paraId="007B6F34">
      <w:pPr>
        <w:pStyle w:val="9"/>
        <w:spacing w:beforeLines="0" w:afterLines="0" w:line="360" w:lineRule="auto"/>
        <w:ind w:left="0" w:leftChars="0" w:firstLine="470" w:firstLineChars="196"/>
        <w:rPr>
          <w:rFonts w:ascii="宋体" w:hAnsi="宋体"/>
        </w:rPr>
      </w:pPr>
      <w:r>
        <w:rPr>
          <w:rFonts w:hint="eastAsia" w:ascii="宋体" w:hAnsi="宋体"/>
        </w:rPr>
        <w:t>该合同价款为乙方完成本合同项下所有招标代理工作所能获得的全部费用，包括但不限于资料准备费用、人工费、差旅费、通讯费、税费、沟通协调费用、修改费、返工费、评标会务费、评标专家的差旅费、劳务费、公证费等一切费用。如按相关法律法规、规章或政策等规定必须由甲方支付的费用由甲方自行承担。</w:t>
      </w:r>
    </w:p>
    <w:p w14:paraId="485D997B">
      <w:pPr>
        <w:pStyle w:val="9"/>
        <w:spacing w:beforeLines="0" w:afterLines="0" w:line="360" w:lineRule="auto"/>
        <w:ind w:left="0" w:leftChars="0"/>
        <w:rPr>
          <w:rFonts w:ascii="宋体" w:hAnsi="宋体"/>
        </w:rPr>
      </w:pPr>
      <w:r>
        <w:rPr>
          <w:rFonts w:hint="eastAsia" w:ascii="宋体" w:hAnsi="宋体"/>
        </w:rPr>
        <w:t>五、组成本合同的文件以及文件优先解释顺序</w:t>
      </w:r>
    </w:p>
    <w:p w14:paraId="10350B63">
      <w:pPr>
        <w:pStyle w:val="9"/>
        <w:spacing w:beforeLines="0" w:afterLines="0" w:line="360" w:lineRule="auto"/>
        <w:ind w:left="0" w:leftChars="0"/>
        <w:rPr>
          <w:rFonts w:ascii="宋体" w:hAnsi="宋体"/>
        </w:rPr>
      </w:pPr>
      <w:r>
        <w:rPr>
          <w:rFonts w:hint="eastAsia" w:ascii="宋体" w:hAnsi="宋体"/>
        </w:rPr>
        <w:t>1、本合同履行过程中双方以书面形式签署的补充和修正文件；</w:t>
      </w:r>
    </w:p>
    <w:p w14:paraId="5016786A">
      <w:pPr>
        <w:pStyle w:val="9"/>
        <w:spacing w:beforeLines="0" w:afterLines="0" w:line="360" w:lineRule="auto"/>
        <w:ind w:left="0" w:leftChars="0"/>
        <w:rPr>
          <w:rFonts w:ascii="宋体" w:hAnsi="宋体"/>
        </w:rPr>
      </w:pPr>
      <w:r>
        <w:rPr>
          <w:rFonts w:hint="eastAsia" w:ascii="宋体" w:hAnsi="宋体"/>
        </w:rPr>
        <w:t>2、本合同协议书；</w:t>
      </w:r>
    </w:p>
    <w:p w14:paraId="0BF27C0E">
      <w:pPr>
        <w:pStyle w:val="9"/>
        <w:spacing w:beforeLines="0" w:afterLines="0" w:line="360" w:lineRule="auto"/>
        <w:ind w:left="0" w:leftChars="0"/>
        <w:rPr>
          <w:rFonts w:ascii="宋体" w:hAnsi="宋体"/>
        </w:rPr>
      </w:pPr>
      <w:r>
        <w:rPr>
          <w:rFonts w:hint="eastAsia" w:ascii="宋体" w:hAnsi="宋体"/>
        </w:rPr>
        <w:t>3、本合同专用条款；</w:t>
      </w:r>
    </w:p>
    <w:p w14:paraId="45898E51">
      <w:pPr>
        <w:pStyle w:val="9"/>
        <w:spacing w:beforeLines="0" w:afterLines="0" w:line="360" w:lineRule="auto"/>
        <w:ind w:left="0" w:leftChars="0"/>
        <w:rPr>
          <w:rFonts w:ascii="宋体" w:hAnsi="宋体"/>
        </w:rPr>
      </w:pPr>
      <w:r>
        <w:rPr>
          <w:rFonts w:hint="eastAsia" w:ascii="宋体" w:hAnsi="宋体"/>
        </w:rPr>
        <w:t>4、本合同通用条款。</w:t>
      </w:r>
    </w:p>
    <w:p w14:paraId="59E6291C">
      <w:pPr>
        <w:pStyle w:val="9"/>
        <w:spacing w:beforeLines="0" w:afterLines="0" w:line="360" w:lineRule="auto"/>
        <w:ind w:left="0" w:leftChars="0"/>
        <w:rPr>
          <w:rFonts w:ascii="宋体" w:hAnsi="宋体"/>
        </w:rPr>
      </w:pPr>
      <w:r>
        <w:rPr>
          <w:rFonts w:hint="eastAsia" w:ascii="宋体" w:hAnsi="宋体"/>
        </w:rPr>
        <w:t>六、本协议书中的有关词语定义与本合同第二部分《通用条款》中分别赋予它们的定义相同。</w:t>
      </w:r>
    </w:p>
    <w:p w14:paraId="689FB933">
      <w:pPr>
        <w:pStyle w:val="9"/>
        <w:spacing w:beforeLines="0" w:afterLines="0" w:line="360" w:lineRule="auto"/>
        <w:ind w:left="0" w:leftChars="0"/>
        <w:rPr>
          <w:rFonts w:ascii="宋体" w:hAnsi="宋体"/>
        </w:rPr>
      </w:pPr>
      <w:r>
        <w:rPr>
          <w:rFonts w:hint="eastAsia" w:ascii="宋体" w:hAnsi="宋体"/>
        </w:rPr>
        <w:t>七、乙方向甲方承诺，按照本合同的约定，完成本合同中约定项目范围内的招标代理业务，如违反本合同的约定，应承担相应的违约责任。</w:t>
      </w:r>
    </w:p>
    <w:p w14:paraId="49636FB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八、甲方向乙方承诺，按照本合同的约定，确保代理报酬的支付。</w:t>
      </w:r>
    </w:p>
    <w:p w14:paraId="5143EEBF">
      <w:pPr>
        <w:spacing w:line="360" w:lineRule="auto"/>
        <w:ind w:firstLine="480"/>
        <w:rPr>
          <w:rFonts w:ascii="宋体" w:hAnsi="宋体" w:eastAsia="宋体" w:cs="Times New Roman"/>
          <w:sz w:val="24"/>
        </w:rPr>
      </w:pPr>
      <w:r>
        <w:rPr>
          <w:rFonts w:hint="eastAsia" w:ascii="宋体" w:hAnsi="宋体" w:eastAsia="宋体"/>
          <w:sz w:val="24"/>
        </w:rPr>
        <w:t>九</w:t>
      </w:r>
      <w:r>
        <w:rPr>
          <w:rFonts w:hint="eastAsia" w:ascii="宋体" w:hAnsi="宋体" w:eastAsia="宋体" w:cs="Times New Roman"/>
          <w:sz w:val="24"/>
        </w:rPr>
        <w:t>、</w:t>
      </w:r>
      <w:r>
        <w:rPr>
          <w:rFonts w:hint="eastAsia" w:ascii="宋体" w:hAnsi="宋体" w:eastAsia="宋体"/>
          <w:sz w:val="24"/>
          <w:szCs w:val="24"/>
        </w:rPr>
        <w:t>本合同一式</w:t>
      </w:r>
      <w:r>
        <w:rPr>
          <w:rFonts w:hint="eastAsia" w:ascii="宋体" w:hAnsi="宋体" w:eastAsia="宋体"/>
          <w:sz w:val="24"/>
          <w:szCs w:val="24"/>
          <w:u w:val="single"/>
        </w:rPr>
        <w:t>拾</w:t>
      </w:r>
      <w:r>
        <w:rPr>
          <w:rFonts w:hint="eastAsia" w:ascii="宋体" w:hAnsi="宋体" w:eastAsia="宋体"/>
          <w:sz w:val="24"/>
          <w:szCs w:val="24"/>
          <w:u w:val="single"/>
          <w:lang w:val="en-US" w:eastAsia="zh-CN"/>
        </w:rPr>
        <w:t>贰</w:t>
      </w:r>
      <w:r>
        <w:rPr>
          <w:rFonts w:hint="eastAsia" w:ascii="宋体" w:hAnsi="宋体" w:eastAsia="宋体"/>
          <w:sz w:val="24"/>
          <w:szCs w:val="24"/>
        </w:rPr>
        <w:t>份，甲方持</w:t>
      </w:r>
      <w:r>
        <w:rPr>
          <w:rFonts w:hint="eastAsia" w:ascii="宋体" w:hAnsi="宋体" w:eastAsia="宋体"/>
          <w:sz w:val="24"/>
          <w:szCs w:val="24"/>
          <w:u w:val="single"/>
          <w:lang w:val="en-US" w:eastAsia="zh-CN"/>
        </w:rPr>
        <w:t>陆</w:t>
      </w:r>
      <w:r>
        <w:rPr>
          <w:rFonts w:hint="eastAsia" w:ascii="宋体" w:hAnsi="宋体" w:eastAsia="宋体"/>
          <w:sz w:val="24"/>
          <w:szCs w:val="24"/>
        </w:rPr>
        <w:t>份，乙方持</w:t>
      </w:r>
      <w:r>
        <w:rPr>
          <w:rFonts w:hint="eastAsia" w:ascii="宋体" w:hAnsi="宋体" w:eastAsia="宋体"/>
          <w:sz w:val="24"/>
          <w:szCs w:val="24"/>
          <w:u w:val="single"/>
          <w:lang w:val="en-US" w:eastAsia="zh-CN"/>
        </w:rPr>
        <w:t>陆</w:t>
      </w:r>
      <w:r>
        <w:rPr>
          <w:rFonts w:hint="eastAsia" w:ascii="宋体" w:hAnsi="宋体" w:eastAsia="宋体"/>
          <w:sz w:val="24"/>
          <w:szCs w:val="24"/>
        </w:rPr>
        <w:t>份，均具有同等法律效力。本合同自双方法定代表人或授权代理人签名并加盖公章后生效</w:t>
      </w:r>
      <w:r>
        <w:rPr>
          <w:rFonts w:hint="eastAsia" w:ascii="宋体" w:hAnsi="宋体" w:eastAsia="宋体" w:cs="Times New Roman"/>
          <w:sz w:val="24"/>
        </w:rPr>
        <w:t>。</w:t>
      </w:r>
    </w:p>
    <w:p w14:paraId="1D3F4C7A">
      <w:pPr>
        <w:spacing w:line="360" w:lineRule="auto"/>
        <w:ind w:firstLine="480" w:firstLineChars="200"/>
        <w:rPr>
          <w:rFonts w:ascii="宋体" w:hAnsi="宋体" w:eastAsia="宋体" w:cs="Times New Roman"/>
          <w:sz w:val="24"/>
        </w:rPr>
      </w:pPr>
      <w:r>
        <w:rPr>
          <w:rFonts w:hint="eastAsia" w:ascii="宋体" w:hAnsi="宋体" w:eastAsia="宋体"/>
          <w:sz w:val="24"/>
        </w:rPr>
        <w:t>十</w:t>
      </w:r>
      <w:r>
        <w:rPr>
          <w:rFonts w:hint="eastAsia" w:ascii="宋体" w:hAnsi="宋体" w:eastAsia="宋体" w:cs="Times New Roman"/>
          <w:sz w:val="24"/>
        </w:rPr>
        <w:t>、本合同附件及所有在执行本合同的过程中经甲乙双方签署确认的与本合同有关的文件，均构成本合同的有效组成部分，其生效日期为双方</w:t>
      </w:r>
      <w:r>
        <w:rPr>
          <w:rFonts w:hint="eastAsia" w:ascii="宋体" w:hAnsi="宋体" w:eastAsia="宋体"/>
          <w:sz w:val="24"/>
          <w:szCs w:val="24"/>
        </w:rPr>
        <w:t>法定代表人或授权代理人</w:t>
      </w:r>
      <w:r>
        <w:rPr>
          <w:rFonts w:hint="eastAsia" w:ascii="宋体" w:hAnsi="宋体" w:eastAsia="宋体" w:cs="Times New Roman"/>
          <w:sz w:val="24"/>
        </w:rPr>
        <w:t>签</w:t>
      </w:r>
      <w:r>
        <w:rPr>
          <w:rFonts w:hint="eastAsia" w:ascii="宋体" w:hAnsi="宋体" w:eastAsia="宋体"/>
          <w:sz w:val="24"/>
          <w:szCs w:val="24"/>
        </w:rPr>
        <w:t>名并加</w:t>
      </w:r>
      <w:r>
        <w:rPr>
          <w:rFonts w:hint="eastAsia" w:ascii="宋体" w:hAnsi="宋体" w:eastAsia="宋体" w:cs="Times New Roman"/>
          <w:sz w:val="24"/>
        </w:rPr>
        <w:t>盖公章之日。</w:t>
      </w:r>
    </w:p>
    <w:p w14:paraId="6E400809">
      <w:pPr>
        <w:spacing w:line="360" w:lineRule="auto"/>
        <w:ind w:firstLine="470" w:firstLineChars="196"/>
        <w:rPr>
          <w:rFonts w:ascii="宋体" w:hAnsi="宋体" w:eastAsia="宋体" w:cs="Times New Roman"/>
          <w:sz w:val="24"/>
          <w:szCs w:val="24"/>
        </w:rPr>
      </w:pPr>
      <w:r>
        <w:rPr>
          <w:rFonts w:hint="eastAsia" w:ascii="宋体" w:hAnsi="宋体" w:eastAsia="宋体" w:cs="Times New Roman"/>
          <w:sz w:val="24"/>
          <w:szCs w:val="24"/>
        </w:rPr>
        <w:t>十一、通知及送达</w:t>
      </w:r>
    </w:p>
    <w:p w14:paraId="40ACA9AC">
      <w:pPr>
        <w:spacing w:line="360" w:lineRule="auto"/>
        <w:ind w:firstLine="480" w:firstLineChars="200"/>
        <w:rPr>
          <w:rFonts w:ascii="宋体" w:hAnsi="宋体" w:eastAsia="宋体" w:cs="Times New Roman"/>
          <w:kern w:val="0"/>
          <w:sz w:val="24"/>
        </w:rPr>
      </w:pPr>
      <w:r>
        <w:rPr>
          <w:rFonts w:hint="eastAsia" w:ascii="宋体" w:hAnsi="宋体" w:eastAsia="宋体" w:cs="Times New Roman"/>
          <w:kern w:val="0"/>
          <w:sz w:val="24"/>
        </w:rPr>
        <w:t>1、合同双方均保证本合同所列明的电话号码、传真号码、电子信箱等均真实有效，且双方均保证本合同所列明的各自邮政编码及地址即构成与本合同相关之询问、答复、意向、通知、说明、请求、承认、新的要约或承诺、协议等信函、文书之真实有效的送达地址。</w:t>
      </w:r>
    </w:p>
    <w:p w14:paraId="684DC4D3">
      <w:pPr>
        <w:spacing w:line="360" w:lineRule="auto"/>
        <w:ind w:firstLine="480" w:firstLineChars="200"/>
        <w:rPr>
          <w:rFonts w:ascii="宋体" w:hAnsi="宋体" w:eastAsia="宋体" w:cs="Times New Roman"/>
          <w:kern w:val="0"/>
          <w:sz w:val="24"/>
        </w:rPr>
      </w:pPr>
      <w:r>
        <w:rPr>
          <w:rFonts w:hint="eastAsia" w:ascii="宋体" w:hAnsi="宋体" w:eastAsia="宋体" w:cs="Times New Roman"/>
          <w:kern w:val="0"/>
          <w:sz w:val="24"/>
        </w:rPr>
        <w:t>2、如一方以特快专递的方式邮寄文书至对方送达地址的，以投邮之日起第三日视为已送达，且视为受送达方已清楚、准确地知晓送达文书所包含的全部内容。</w:t>
      </w:r>
    </w:p>
    <w:p w14:paraId="293D019C">
      <w:pPr>
        <w:spacing w:line="360" w:lineRule="auto"/>
        <w:ind w:firstLine="480" w:firstLineChars="200"/>
        <w:rPr>
          <w:rFonts w:ascii="宋体" w:hAnsi="宋体" w:eastAsia="宋体"/>
          <w:sz w:val="24"/>
          <w:szCs w:val="24"/>
        </w:rPr>
      </w:pPr>
      <w:r>
        <w:rPr>
          <w:rFonts w:hint="eastAsia" w:ascii="宋体" w:hAnsi="宋体" w:eastAsia="宋体" w:cs="Times New Roman"/>
          <w:kern w:val="0"/>
          <w:sz w:val="24"/>
        </w:rPr>
        <w:t>3、对于电话号码、传真号码、电子信箱、送达地址等如有变更的，应在变更之日起三日内以书面形式通知对方，未经通知的，视为未变更。送达地址变更未及时告知对方的，或受送达人本人或者受送达人指定的代收人拒绝签收的，导致信函、文书等不能被受送达人实际接收的，文书退回之日视为送达之日。</w:t>
      </w:r>
    </w:p>
    <w:p w14:paraId="19CAF4F4">
      <w:pPr>
        <w:rPr>
          <w:rFonts w:hint="eastAsia" w:ascii="宋体" w:hAnsi="宋体"/>
          <w:b/>
          <w:bCs/>
          <w:sz w:val="30"/>
          <w:szCs w:val="30"/>
        </w:rPr>
      </w:pPr>
      <w:r>
        <w:rPr>
          <w:rFonts w:hint="eastAsia" w:ascii="宋体" w:hAnsi="宋体"/>
          <w:b/>
          <w:bCs/>
          <w:sz w:val="30"/>
          <w:szCs w:val="30"/>
        </w:rPr>
        <w:br w:type="page"/>
      </w:r>
    </w:p>
    <w:p w14:paraId="436A5049">
      <w:pPr>
        <w:pStyle w:val="9"/>
        <w:spacing w:beforeLines="0" w:afterLines="0" w:line="360" w:lineRule="auto"/>
        <w:ind w:left="0" w:leftChars="0" w:firstLine="3614" w:firstLineChars="1200"/>
        <w:rPr>
          <w:rFonts w:ascii="宋体" w:hAnsi="宋体"/>
        </w:rPr>
      </w:pPr>
      <w:r>
        <w:rPr>
          <w:rFonts w:hint="eastAsia" w:ascii="宋体" w:hAnsi="宋体"/>
          <w:b/>
          <w:bCs/>
          <w:sz w:val="30"/>
          <w:szCs w:val="30"/>
        </w:rPr>
        <w:t>第二部分  通用条款</w:t>
      </w:r>
    </w:p>
    <w:p w14:paraId="0B2CECCF">
      <w:pPr>
        <w:spacing w:line="360" w:lineRule="auto"/>
        <w:ind w:firstLine="540"/>
        <w:rPr>
          <w:rFonts w:asciiTheme="minorEastAsia" w:hAnsiTheme="minorEastAsia"/>
          <w:b/>
          <w:bCs/>
          <w:sz w:val="24"/>
          <w:szCs w:val="24"/>
        </w:rPr>
      </w:pPr>
      <w:r>
        <w:rPr>
          <w:rFonts w:hint="eastAsia" w:asciiTheme="minorEastAsia" w:hAnsiTheme="minorEastAsia"/>
          <w:b/>
          <w:bCs/>
          <w:sz w:val="24"/>
          <w:szCs w:val="24"/>
        </w:rPr>
        <w:t>一、词语定义和适用法律</w:t>
      </w:r>
    </w:p>
    <w:p w14:paraId="3E456570">
      <w:pPr>
        <w:spacing w:line="360" w:lineRule="auto"/>
        <w:ind w:firstLine="540"/>
        <w:rPr>
          <w:rFonts w:asciiTheme="minorEastAsia" w:hAnsiTheme="minorEastAsia"/>
          <w:b/>
          <w:bCs/>
          <w:sz w:val="24"/>
          <w:szCs w:val="24"/>
        </w:rPr>
      </w:pPr>
      <w:r>
        <w:rPr>
          <w:rFonts w:hint="eastAsia" w:asciiTheme="minorEastAsia" w:hAnsiTheme="minorEastAsia"/>
          <w:sz w:val="24"/>
          <w:szCs w:val="24"/>
        </w:rPr>
        <w:t>1、词语定义</w:t>
      </w:r>
    </w:p>
    <w:p w14:paraId="630F8F2D">
      <w:pPr>
        <w:spacing w:line="360" w:lineRule="auto"/>
        <w:ind w:firstLine="540"/>
        <w:rPr>
          <w:rFonts w:asciiTheme="minorEastAsia" w:hAnsiTheme="minorEastAsia"/>
          <w:b/>
          <w:bCs/>
          <w:sz w:val="24"/>
          <w:szCs w:val="24"/>
        </w:rPr>
      </w:pPr>
      <w:r>
        <w:rPr>
          <w:rFonts w:hint="eastAsia" w:asciiTheme="minorEastAsia" w:hAnsiTheme="minorEastAsia"/>
          <w:sz w:val="24"/>
          <w:szCs w:val="24"/>
        </w:rPr>
        <w:t>下列词语除本合同专用条款另有约定外，应具有本条款所赋予的定义：</w:t>
      </w:r>
    </w:p>
    <w:p w14:paraId="2FA119FD">
      <w:pPr>
        <w:spacing w:line="360" w:lineRule="auto"/>
        <w:ind w:firstLine="540"/>
        <w:rPr>
          <w:rFonts w:asciiTheme="minorEastAsia" w:hAnsiTheme="minorEastAsia"/>
          <w:b/>
          <w:bCs/>
          <w:sz w:val="24"/>
          <w:szCs w:val="24"/>
        </w:rPr>
      </w:pPr>
      <w:r>
        <w:rPr>
          <w:rFonts w:hint="eastAsia" w:asciiTheme="minorEastAsia" w:hAnsiTheme="minorEastAsia"/>
          <w:sz w:val="24"/>
          <w:szCs w:val="24"/>
        </w:rPr>
        <w:t>l</w:t>
      </w:r>
      <w:r>
        <w:rPr>
          <w:rFonts w:asciiTheme="minorEastAsia" w:hAnsiTheme="minorEastAsia"/>
          <w:sz w:val="24"/>
          <w:szCs w:val="24"/>
          <w:lang w:val="zh-CN"/>
        </w:rPr>
        <w:t>.</w:t>
      </w:r>
      <w:r>
        <w:rPr>
          <w:rFonts w:hint="eastAsia" w:asciiTheme="minorEastAsia" w:hAnsiTheme="minorEastAsia"/>
          <w:sz w:val="24"/>
          <w:szCs w:val="24"/>
        </w:rPr>
        <w:t>1 招标代理合同：甲方将工程建设项目招标工作委托给具有相应招标代理资质的乙方，实施招标活动签订的委托合同，</w:t>
      </w:r>
    </w:p>
    <w:p w14:paraId="195E6DA9">
      <w:pPr>
        <w:spacing w:line="360" w:lineRule="auto"/>
        <w:ind w:firstLine="540"/>
        <w:rPr>
          <w:rFonts w:asciiTheme="minorEastAsia" w:hAnsiTheme="minorEastAsia"/>
          <w:b/>
          <w:bCs/>
          <w:sz w:val="24"/>
          <w:szCs w:val="24"/>
        </w:rPr>
      </w:pPr>
      <w:r>
        <w:rPr>
          <w:rFonts w:hint="eastAsia" w:asciiTheme="minorEastAsia" w:hAnsiTheme="minorEastAsia"/>
          <w:sz w:val="24"/>
          <w:szCs w:val="24"/>
        </w:rPr>
        <w:t>l</w:t>
      </w:r>
      <w:r>
        <w:rPr>
          <w:rFonts w:asciiTheme="minorEastAsia" w:hAnsiTheme="minorEastAsia"/>
          <w:sz w:val="24"/>
          <w:szCs w:val="24"/>
          <w:lang w:val="zh-CN"/>
        </w:rPr>
        <w:t>.</w:t>
      </w:r>
      <w:r>
        <w:rPr>
          <w:rFonts w:hint="eastAsia" w:asciiTheme="minorEastAsia" w:hAnsiTheme="minorEastAsia"/>
          <w:sz w:val="24"/>
          <w:szCs w:val="24"/>
        </w:rPr>
        <w:t>2 通用条款：是根据有关法律、行政法规和工程建设项目招标代理的需要所订立，通用于各类工程建设项目招标代理的条款。</w:t>
      </w:r>
    </w:p>
    <w:p w14:paraId="701062DF">
      <w:pPr>
        <w:spacing w:line="360" w:lineRule="auto"/>
        <w:ind w:firstLine="540"/>
        <w:rPr>
          <w:rFonts w:asciiTheme="minorEastAsia" w:hAnsiTheme="minorEastAsia"/>
          <w:b/>
          <w:bCs/>
          <w:sz w:val="24"/>
          <w:szCs w:val="24"/>
        </w:rPr>
      </w:pPr>
      <w:r>
        <w:rPr>
          <w:rFonts w:hint="eastAsia" w:asciiTheme="minorEastAsia" w:hAnsiTheme="minorEastAsia"/>
          <w:sz w:val="24"/>
          <w:szCs w:val="24"/>
        </w:rPr>
        <w:t>1</w:t>
      </w:r>
      <w:r>
        <w:rPr>
          <w:rFonts w:asciiTheme="minorEastAsia" w:hAnsiTheme="minorEastAsia"/>
          <w:sz w:val="24"/>
          <w:szCs w:val="24"/>
          <w:lang w:val="zh-CN"/>
        </w:rPr>
        <w:t>.</w:t>
      </w:r>
      <w:r>
        <w:rPr>
          <w:rFonts w:hint="eastAsia" w:asciiTheme="minorEastAsia" w:hAnsiTheme="minorEastAsia"/>
          <w:sz w:val="24"/>
          <w:szCs w:val="24"/>
        </w:rPr>
        <w:t>3 专用条款：是甲方与乙方根据有关法律、行政法规规定，结合具体工程建设项目招标代理的实际，经协商达成一致意见的条款，是对通用条款的具体化、补充或修改。</w:t>
      </w:r>
    </w:p>
    <w:p w14:paraId="3CAB653F">
      <w:pPr>
        <w:spacing w:line="360" w:lineRule="auto"/>
        <w:ind w:firstLine="540"/>
        <w:rPr>
          <w:rFonts w:asciiTheme="minorEastAsia" w:hAnsiTheme="minorEastAsia"/>
          <w:b/>
          <w:bCs/>
          <w:sz w:val="24"/>
          <w:szCs w:val="24"/>
        </w:rPr>
      </w:pPr>
      <w:r>
        <w:rPr>
          <w:rFonts w:hint="eastAsia" w:asciiTheme="minorEastAsia" w:hAnsiTheme="minorEastAsia"/>
          <w:sz w:val="24"/>
          <w:szCs w:val="24"/>
        </w:rPr>
        <w:t>l</w:t>
      </w:r>
      <w:r>
        <w:rPr>
          <w:rFonts w:asciiTheme="minorEastAsia" w:hAnsiTheme="minorEastAsia"/>
          <w:sz w:val="24"/>
          <w:szCs w:val="24"/>
          <w:lang w:val="zh-CN"/>
        </w:rPr>
        <w:t>.</w:t>
      </w:r>
      <w:r>
        <w:rPr>
          <w:rFonts w:hint="eastAsia" w:asciiTheme="minorEastAsia" w:hAnsiTheme="minorEastAsia"/>
          <w:sz w:val="24"/>
          <w:szCs w:val="24"/>
        </w:rPr>
        <w:t>4 委托人（甲方）：指在合同中约定的，具有建设项目招标委托主体资格的当事人，以及承继该当事人全部权利义务的合法继受人。</w:t>
      </w:r>
    </w:p>
    <w:p w14:paraId="7E759AEF">
      <w:pPr>
        <w:spacing w:line="360" w:lineRule="auto"/>
        <w:ind w:firstLine="540"/>
        <w:rPr>
          <w:rFonts w:asciiTheme="minorEastAsia" w:hAnsiTheme="minorEastAsia"/>
          <w:b/>
          <w:bCs/>
          <w:sz w:val="24"/>
          <w:szCs w:val="24"/>
        </w:rPr>
      </w:pPr>
      <w:r>
        <w:rPr>
          <w:rFonts w:hint="eastAsia" w:asciiTheme="minorEastAsia" w:hAnsiTheme="minorEastAsia"/>
          <w:sz w:val="24"/>
          <w:szCs w:val="24"/>
        </w:rPr>
        <w:t>1</w:t>
      </w:r>
      <w:r>
        <w:rPr>
          <w:rFonts w:asciiTheme="minorEastAsia" w:hAnsiTheme="minorEastAsia"/>
          <w:sz w:val="24"/>
          <w:szCs w:val="24"/>
          <w:lang w:val="zh-CN"/>
        </w:rPr>
        <w:t>.</w:t>
      </w:r>
      <w:r>
        <w:rPr>
          <w:rFonts w:hint="eastAsia" w:asciiTheme="minorEastAsia" w:hAnsiTheme="minorEastAsia"/>
          <w:sz w:val="24"/>
          <w:szCs w:val="24"/>
        </w:rPr>
        <w:t>5 受托人（乙方）：指在合同中约定的，甲方同意委托的具有建设项目招标代理主体资格的当事人，以及承继该当事人全部权利义务的合法继受人。</w:t>
      </w:r>
    </w:p>
    <w:p w14:paraId="52F999EA">
      <w:pPr>
        <w:spacing w:line="360" w:lineRule="auto"/>
        <w:ind w:firstLine="540"/>
        <w:rPr>
          <w:rFonts w:asciiTheme="minorEastAsia" w:hAnsiTheme="minorEastAsia"/>
          <w:b/>
          <w:bCs/>
          <w:sz w:val="24"/>
          <w:szCs w:val="24"/>
        </w:rPr>
      </w:pPr>
      <w:r>
        <w:rPr>
          <w:rFonts w:hint="eastAsia" w:asciiTheme="minorEastAsia" w:hAnsiTheme="minorEastAsia"/>
          <w:sz w:val="24"/>
          <w:szCs w:val="24"/>
        </w:rPr>
        <w:t>1</w:t>
      </w:r>
      <w:r>
        <w:rPr>
          <w:rFonts w:asciiTheme="minorEastAsia" w:hAnsiTheme="minorEastAsia"/>
          <w:sz w:val="24"/>
          <w:szCs w:val="24"/>
          <w:lang w:val="zh-CN"/>
        </w:rPr>
        <w:t>.</w:t>
      </w:r>
      <w:r>
        <w:rPr>
          <w:rFonts w:hint="eastAsia" w:asciiTheme="minorEastAsia" w:hAnsiTheme="minorEastAsia"/>
          <w:sz w:val="24"/>
          <w:szCs w:val="24"/>
        </w:rPr>
        <w:t>6 招标代理项目负责人：指乙方在专用条款中指定的负责合同实际履行的代表人、代理人或授权主体。</w:t>
      </w:r>
    </w:p>
    <w:p w14:paraId="02AE7C5E">
      <w:pPr>
        <w:spacing w:line="360" w:lineRule="auto"/>
        <w:ind w:firstLine="540"/>
        <w:rPr>
          <w:rFonts w:asciiTheme="minorEastAsia" w:hAnsiTheme="minorEastAsia"/>
          <w:b/>
          <w:bCs/>
          <w:sz w:val="24"/>
          <w:szCs w:val="24"/>
        </w:rPr>
      </w:pPr>
      <w:r>
        <w:rPr>
          <w:rFonts w:hint="eastAsia" w:asciiTheme="minorEastAsia" w:hAnsiTheme="minorEastAsia"/>
          <w:sz w:val="24"/>
          <w:szCs w:val="24"/>
        </w:rPr>
        <w:t>1</w:t>
      </w:r>
      <w:r>
        <w:rPr>
          <w:rFonts w:asciiTheme="minorEastAsia" w:hAnsiTheme="minorEastAsia"/>
          <w:sz w:val="24"/>
          <w:szCs w:val="24"/>
          <w:lang w:val="zh-CN"/>
        </w:rPr>
        <w:t>.</w:t>
      </w:r>
      <w:r>
        <w:rPr>
          <w:rFonts w:hint="eastAsia" w:asciiTheme="minorEastAsia" w:hAnsiTheme="minorEastAsia"/>
          <w:sz w:val="24"/>
          <w:szCs w:val="24"/>
        </w:rPr>
        <w:t>7 工程建设项目：指由甲方和乙方在合同中约定的委托代理招标的工程。</w:t>
      </w:r>
    </w:p>
    <w:p w14:paraId="38321700">
      <w:pPr>
        <w:spacing w:line="360" w:lineRule="auto"/>
        <w:ind w:firstLine="540"/>
        <w:rPr>
          <w:rFonts w:asciiTheme="minorEastAsia" w:hAnsiTheme="minorEastAsia"/>
          <w:b/>
          <w:bCs/>
          <w:sz w:val="24"/>
          <w:szCs w:val="24"/>
        </w:rPr>
      </w:pPr>
      <w:r>
        <w:rPr>
          <w:rFonts w:hint="eastAsia" w:asciiTheme="minorEastAsia" w:hAnsiTheme="minorEastAsia"/>
          <w:sz w:val="24"/>
          <w:szCs w:val="24"/>
        </w:rPr>
        <w:t>1</w:t>
      </w:r>
      <w:r>
        <w:rPr>
          <w:rFonts w:asciiTheme="minorEastAsia" w:hAnsiTheme="minorEastAsia"/>
          <w:sz w:val="24"/>
          <w:szCs w:val="24"/>
          <w:lang w:val="zh-CN"/>
        </w:rPr>
        <w:t>.</w:t>
      </w:r>
      <w:r>
        <w:rPr>
          <w:rFonts w:hint="eastAsia" w:asciiTheme="minorEastAsia" w:hAnsiTheme="minorEastAsia"/>
          <w:sz w:val="24"/>
          <w:szCs w:val="24"/>
        </w:rPr>
        <w:t>8 招标代理业务：甲方委托乙方代理实施工程建设项目招标的工作内容。</w:t>
      </w:r>
    </w:p>
    <w:p w14:paraId="6BC5B615">
      <w:pPr>
        <w:spacing w:line="360" w:lineRule="auto"/>
        <w:ind w:firstLine="540"/>
        <w:rPr>
          <w:rFonts w:asciiTheme="minorEastAsia" w:hAnsiTheme="minorEastAsia"/>
          <w:b/>
          <w:bCs/>
          <w:sz w:val="24"/>
          <w:szCs w:val="24"/>
        </w:rPr>
      </w:pPr>
      <w:r>
        <w:rPr>
          <w:rFonts w:hint="eastAsia" w:asciiTheme="minorEastAsia" w:hAnsiTheme="minorEastAsia"/>
          <w:sz w:val="24"/>
          <w:szCs w:val="24"/>
        </w:rPr>
        <w:t>1</w:t>
      </w:r>
      <w:r>
        <w:rPr>
          <w:rFonts w:asciiTheme="minorEastAsia" w:hAnsiTheme="minorEastAsia"/>
          <w:sz w:val="24"/>
          <w:szCs w:val="24"/>
          <w:lang w:val="zh-CN"/>
        </w:rPr>
        <w:t>.</w:t>
      </w:r>
      <w:r>
        <w:rPr>
          <w:rFonts w:hint="eastAsia" w:asciiTheme="minorEastAsia" w:hAnsiTheme="minorEastAsia"/>
          <w:sz w:val="24"/>
          <w:szCs w:val="24"/>
        </w:rPr>
        <w:t>9 附加服务：指甲方和乙方在本合同通用条款4</w:t>
      </w:r>
      <w:r>
        <w:rPr>
          <w:rFonts w:asciiTheme="minorEastAsia" w:hAnsiTheme="minorEastAsia"/>
          <w:sz w:val="24"/>
          <w:szCs w:val="24"/>
          <w:lang w:val="zh-CN"/>
        </w:rPr>
        <w:t>.</w:t>
      </w:r>
      <w:r>
        <w:rPr>
          <w:rFonts w:hint="eastAsia" w:asciiTheme="minorEastAsia" w:hAnsiTheme="minorEastAsia"/>
          <w:sz w:val="24"/>
          <w:szCs w:val="24"/>
        </w:rPr>
        <w:t>1款和专用条款4</w:t>
      </w:r>
      <w:r>
        <w:rPr>
          <w:rFonts w:asciiTheme="minorEastAsia" w:hAnsiTheme="minorEastAsia"/>
          <w:sz w:val="24"/>
          <w:szCs w:val="24"/>
          <w:lang w:val="zh-CN"/>
        </w:rPr>
        <w:t>.</w:t>
      </w:r>
      <w:r>
        <w:rPr>
          <w:rFonts w:hint="eastAsia" w:asciiTheme="minorEastAsia" w:hAnsiTheme="minorEastAsia"/>
          <w:sz w:val="24"/>
          <w:szCs w:val="24"/>
        </w:rPr>
        <w:t>1款中双方约定工作范围之外的附加工作。</w:t>
      </w:r>
    </w:p>
    <w:p w14:paraId="18ABCFF2">
      <w:pPr>
        <w:spacing w:line="360" w:lineRule="auto"/>
        <w:ind w:firstLine="540"/>
        <w:rPr>
          <w:rFonts w:asciiTheme="minorEastAsia" w:hAnsiTheme="minorEastAsia"/>
          <w:b/>
          <w:bCs/>
          <w:sz w:val="24"/>
          <w:szCs w:val="24"/>
        </w:rPr>
      </w:pPr>
      <w:r>
        <w:rPr>
          <w:rFonts w:hint="eastAsia" w:asciiTheme="minorEastAsia" w:hAnsiTheme="minorEastAsia"/>
          <w:sz w:val="24"/>
          <w:szCs w:val="24"/>
        </w:rPr>
        <w:t>1</w:t>
      </w:r>
      <w:r>
        <w:rPr>
          <w:rFonts w:asciiTheme="minorEastAsia" w:hAnsiTheme="minorEastAsia"/>
          <w:sz w:val="24"/>
          <w:szCs w:val="24"/>
          <w:lang w:val="zh-CN"/>
        </w:rPr>
        <w:t>.</w:t>
      </w:r>
      <w:r>
        <w:rPr>
          <w:rFonts w:hint="eastAsia" w:asciiTheme="minorEastAsia" w:hAnsiTheme="minorEastAsia"/>
          <w:sz w:val="24"/>
          <w:szCs w:val="24"/>
        </w:rPr>
        <w:t>10代理报酬：甲方和乙方在合同中约定的，乙方按照约定应收取的代理报酬总额。</w:t>
      </w:r>
    </w:p>
    <w:p w14:paraId="755B1D2C">
      <w:pPr>
        <w:spacing w:line="360" w:lineRule="auto"/>
        <w:ind w:firstLine="540"/>
        <w:rPr>
          <w:rFonts w:asciiTheme="minorEastAsia" w:hAnsiTheme="minorEastAsia"/>
          <w:b/>
          <w:bCs/>
          <w:sz w:val="24"/>
          <w:szCs w:val="24"/>
        </w:rPr>
      </w:pPr>
      <w:r>
        <w:rPr>
          <w:rFonts w:hint="eastAsia" w:asciiTheme="minorEastAsia" w:hAnsiTheme="minorEastAsia"/>
          <w:sz w:val="24"/>
          <w:szCs w:val="24"/>
        </w:rPr>
        <w:t>1</w:t>
      </w:r>
      <w:r>
        <w:rPr>
          <w:rFonts w:asciiTheme="minorEastAsia" w:hAnsiTheme="minorEastAsia"/>
          <w:sz w:val="24"/>
          <w:szCs w:val="24"/>
          <w:lang w:val="zh-CN"/>
        </w:rPr>
        <w:t>.</w:t>
      </w:r>
      <w:r>
        <w:rPr>
          <w:rFonts w:hint="eastAsia" w:asciiTheme="minorEastAsia" w:hAnsiTheme="minorEastAsia"/>
          <w:sz w:val="24"/>
          <w:szCs w:val="24"/>
        </w:rPr>
        <w:t>11 图纸：指由甲方提供的满足招标需要的所有图纸、计算书、配套说明以及相关的技术资料。</w:t>
      </w:r>
    </w:p>
    <w:p w14:paraId="7DC62788">
      <w:pPr>
        <w:spacing w:line="360" w:lineRule="auto"/>
        <w:ind w:firstLine="540"/>
        <w:rPr>
          <w:rFonts w:asciiTheme="minorEastAsia" w:hAnsiTheme="minorEastAsia"/>
          <w:b/>
          <w:bCs/>
          <w:sz w:val="24"/>
          <w:szCs w:val="24"/>
        </w:rPr>
      </w:pPr>
      <w:r>
        <w:rPr>
          <w:rFonts w:hint="eastAsia" w:asciiTheme="minorEastAsia" w:hAnsiTheme="minorEastAsia"/>
          <w:sz w:val="24"/>
          <w:szCs w:val="24"/>
        </w:rPr>
        <w:t>1</w:t>
      </w:r>
      <w:r>
        <w:rPr>
          <w:rFonts w:asciiTheme="minorEastAsia" w:hAnsiTheme="minorEastAsia"/>
          <w:sz w:val="24"/>
          <w:szCs w:val="24"/>
          <w:lang w:val="zh-CN"/>
        </w:rPr>
        <w:t>.</w:t>
      </w:r>
      <w:r>
        <w:rPr>
          <w:rFonts w:hint="eastAsia" w:asciiTheme="minorEastAsia" w:hAnsiTheme="minorEastAsia"/>
          <w:sz w:val="24"/>
          <w:szCs w:val="24"/>
        </w:rPr>
        <w:t>12书面形式：指具有公章、法定代表人或授权代理人签字的合同书、信件和数据电文（包括电报、电传、传真）等可以有形地表现所载内容的形式。</w:t>
      </w:r>
    </w:p>
    <w:p w14:paraId="0E4A5DAD">
      <w:pPr>
        <w:spacing w:line="360" w:lineRule="auto"/>
        <w:ind w:firstLine="540"/>
        <w:rPr>
          <w:rFonts w:asciiTheme="minorEastAsia" w:hAnsiTheme="minorEastAsia"/>
          <w:b/>
          <w:bCs/>
          <w:sz w:val="24"/>
          <w:szCs w:val="24"/>
        </w:rPr>
      </w:pPr>
      <w:r>
        <w:rPr>
          <w:rFonts w:hint="eastAsia" w:asciiTheme="minorEastAsia" w:hAnsiTheme="minorEastAsia"/>
          <w:sz w:val="24"/>
          <w:szCs w:val="24"/>
        </w:rPr>
        <w:t>1</w:t>
      </w:r>
      <w:r>
        <w:rPr>
          <w:rFonts w:asciiTheme="minorEastAsia" w:hAnsiTheme="minorEastAsia"/>
          <w:sz w:val="24"/>
          <w:szCs w:val="24"/>
          <w:lang w:val="zh-CN"/>
        </w:rPr>
        <w:t>.</w:t>
      </w:r>
      <w:r>
        <w:rPr>
          <w:rFonts w:hint="eastAsia" w:asciiTheme="minorEastAsia" w:hAnsiTheme="minorEastAsia"/>
          <w:sz w:val="24"/>
          <w:szCs w:val="24"/>
        </w:rPr>
        <w:t>13违约责任：指合同一方不履行合同义务或履行合同义务不符合约定所应承担的责任。</w:t>
      </w:r>
    </w:p>
    <w:p w14:paraId="74D30899">
      <w:pPr>
        <w:spacing w:line="360" w:lineRule="auto"/>
        <w:ind w:firstLine="540"/>
        <w:rPr>
          <w:rFonts w:asciiTheme="minorEastAsia" w:hAnsiTheme="minorEastAsia"/>
          <w:b/>
          <w:bCs/>
          <w:sz w:val="24"/>
          <w:szCs w:val="24"/>
        </w:rPr>
      </w:pPr>
      <w:r>
        <w:rPr>
          <w:rFonts w:hint="eastAsia" w:asciiTheme="minorEastAsia" w:hAnsiTheme="minorEastAsia"/>
          <w:sz w:val="24"/>
          <w:szCs w:val="24"/>
        </w:rPr>
        <w:t>1</w:t>
      </w:r>
      <w:r>
        <w:rPr>
          <w:rFonts w:asciiTheme="minorEastAsia" w:hAnsiTheme="minorEastAsia"/>
          <w:sz w:val="24"/>
          <w:szCs w:val="24"/>
          <w:lang w:val="zh-CN"/>
        </w:rPr>
        <w:t>.</w:t>
      </w:r>
      <w:r>
        <w:rPr>
          <w:rFonts w:hint="eastAsia" w:asciiTheme="minorEastAsia" w:hAnsiTheme="minorEastAsia"/>
          <w:sz w:val="24"/>
          <w:szCs w:val="24"/>
        </w:rPr>
        <w:t>14索赔：指在合同履行过程中，对于并非自己的过错，而是应由对方承担责任的情况造成的实际损失，向对方提出经济补偿或其他的要求。</w:t>
      </w:r>
    </w:p>
    <w:p w14:paraId="59283126">
      <w:pPr>
        <w:spacing w:line="360" w:lineRule="auto"/>
        <w:ind w:firstLine="540"/>
        <w:rPr>
          <w:rFonts w:asciiTheme="minorEastAsia" w:hAnsiTheme="minorEastAsia"/>
          <w:b/>
          <w:bCs/>
          <w:sz w:val="24"/>
          <w:szCs w:val="24"/>
        </w:rPr>
      </w:pPr>
      <w:r>
        <w:rPr>
          <w:rFonts w:hint="eastAsia" w:asciiTheme="minorEastAsia" w:hAnsiTheme="minorEastAsia"/>
          <w:sz w:val="24"/>
          <w:szCs w:val="24"/>
        </w:rPr>
        <w:t>1</w:t>
      </w:r>
      <w:r>
        <w:rPr>
          <w:rFonts w:asciiTheme="minorEastAsia" w:hAnsiTheme="minorEastAsia"/>
          <w:sz w:val="24"/>
          <w:szCs w:val="24"/>
          <w:lang w:val="zh-CN"/>
        </w:rPr>
        <w:t>.</w:t>
      </w:r>
      <w:r>
        <w:rPr>
          <w:rFonts w:hint="eastAsia" w:asciiTheme="minorEastAsia" w:hAnsiTheme="minorEastAsia"/>
          <w:sz w:val="24"/>
          <w:szCs w:val="24"/>
        </w:rPr>
        <w:t>15 不可抗力：指双方不能预见、不能避免和不能克服的事件，非双方任何一方违约或过错导致。这些事件包括但不限于战争、严重火灾、洪水、台风、地震，或其他双方一致认为属于不可抗力的事件。</w:t>
      </w:r>
    </w:p>
    <w:p w14:paraId="353AD9E6">
      <w:pPr>
        <w:spacing w:line="360" w:lineRule="auto"/>
        <w:ind w:firstLine="540"/>
        <w:rPr>
          <w:rFonts w:asciiTheme="minorEastAsia" w:hAnsiTheme="minorEastAsia"/>
          <w:b/>
          <w:bCs/>
          <w:sz w:val="24"/>
          <w:szCs w:val="24"/>
        </w:rPr>
      </w:pPr>
      <w:r>
        <w:rPr>
          <w:rFonts w:hint="eastAsia" w:asciiTheme="minorEastAsia" w:hAnsiTheme="minorEastAsia"/>
          <w:sz w:val="24"/>
          <w:szCs w:val="24"/>
        </w:rPr>
        <w:t>1</w:t>
      </w:r>
      <w:r>
        <w:rPr>
          <w:rFonts w:asciiTheme="minorEastAsia" w:hAnsiTheme="minorEastAsia"/>
          <w:sz w:val="24"/>
          <w:szCs w:val="24"/>
          <w:lang w:val="zh-CN"/>
        </w:rPr>
        <w:t>.</w:t>
      </w:r>
      <w:r>
        <w:rPr>
          <w:rFonts w:hint="eastAsia" w:asciiTheme="minorEastAsia" w:hAnsiTheme="minorEastAsia"/>
          <w:sz w:val="24"/>
          <w:szCs w:val="24"/>
        </w:rPr>
        <w:t>16 小时或天：本合同中规定按小时计算时间的，从事件有效开始时计算（不扣除休息时间）；规定按天计算时间的，开始当天不计入，从次日开始计算。时限的最后一天是休息日或者其他法定节假日的，以节假日后的次日为时限的最后一天。时限的最后一天的截止时间为当日24时。</w:t>
      </w:r>
    </w:p>
    <w:p w14:paraId="25DC965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2、合同文件及解释顺序</w:t>
      </w:r>
    </w:p>
    <w:p w14:paraId="6B2AA453">
      <w:pPr>
        <w:tabs>
          <w:tab w:val="left" w:pos="540"/>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lang w:val="zh-CN"/>
        </w:rPr>
        <w:t>.</w:t>
      </w:r>
      <w:r>
        <w:rPr>
          <w:rFonts w:hint="eastAsia" w:asciiTheme="minorEastAsia" w:hAnsiTheme="minorEastAsia"/>
          <w:sz w:val="24"/>
          <w:szCs w:val="24"/>
        </w:rPr>
        <w:t>l合同文件应能互相解释，互为说明。除本合同专用条款另有约定外，组成本合同的文件及优先解释顺序如下：</w:t>
      </w:r>
    </w:p>
    <w:p w14:paraId="3A0FC2E1">
      <w:pPr>
        <w:tabs>
          <w:tab w:val="left" w:pos="540"/>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（1）本合同履行过程中双方以书面形式签署的补充和修正文件；</w:t>
      </w:r>
    </w:p>
    <w:p w14:paraId="663808E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（2）本合同协议书：</w:t>
      </w:r>
    </w:p>
    <w:p w14:paraId="56A1AE2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（3）本合同专用条款；</w:t>
      </w:r>
    </w:p>
    <w:p w14:paraId="54F5A5A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（4）本合同通用条款。</w:t>
      </w:r>
    </w:p>
    <w:p w14:paraId="6B1AD55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lang w:val="zh-CN"/>
        </w:rPr>
        <w:t>.</w:t>
      </w:r>
      <w:r>
        <w:rPr>
          <w:rFonts w:hint="eastAsia" w:asciiTheme="minorEastAsia" w:hAnsiTheme="minorEastAsia"/>
          <w:sz w:val="24"/>
          <w:szCs w:val="24"/>
        </w:rPr>
        <w:t>2当合同文件内容出现含糊不清或不相一致时，应在不影响招标代理业务正常进行的情况下，由甲方和乙方协商解决。双方协商不成时，按本合同通用条款第12条关于争议的约定处理。</w:t>
      </w:r>
    </w:p>
    <w:p w14:paraId="231F7BE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3、语言文字和适用法律</w:t>
      </w:r>
    </w:p>
    <w:p w14:paraId="5C0AE997">
      <w:pPr>
        <w:tabs>
          <w:tab w:val="left" w:pos="540"/>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lang w:val="zh-CN"/>
        </w:rPr>
        <w:t>.</w:t>
      </w:r>
      <w:r>
        <w:rPr>
          <w:rFonts w:hint="eastAsia" w:asciiTheme="minorEastAsia" w:hAnsiTheme="minorEastAsia"/>
          <w:sz w:val="24"/>
          <w:szCs w:val="24"/>
        </w:rPr>
        <w:t>1语言文字</w:t>
      </w:r>
    </w:p>
    <w:p w14:paraId="58E214B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除本合同专用条款中另有约定，本合同文件使用汉语语言文字书写、解释和说明。如本合同专用条款约定使用两种以上（含两种）语言文字时，汉语应为解释和说明本合同的标准语言文字。</w:t>
      </w:r>
    </w:p>
    <w:p w14:paraId="4B72E6F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lang w:val="zh-CN"/>
        </w:rPr>
        <w:t>.</w:t>
      </w:r>
      <w:r>
        <w:rPr>
          <w:rFonts w:hint="eastAsia" w:asciiTheme="minorEastAsia" w:hAnsiTheme="minorEastAsia"/>
          <w:sz w:val="24"/>
          <w:szCs w:val="24"/>
        </w:rPr>
        <w:t>2适用法律和行政法规</w:t>
      </w:r>
    </w:p>
    <w:p w14:paraId="053999A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本合同文件适用有关法律和行政法规。需要明示的法律和行政法规，双方可在本合同专用条款中约定。</w:t>
      </w:r>
    </w:p>
    <w:p w14:paraId="493B5C77">
      <w:pPr>
        <w:spacing w:line="360" w:lineRule="auto"/>
        <w:ind w:firstLine="482" w:firstLineChars="200"/>
        <w:rPr>
          <w:rFonts w:asciiTheme="minorEastAsia" w:hAnsiTheme="minorEastAsia"/>
          <w:b/>
          <w:bCs/>
          <w:sz w:val="24"/>
          <w:szCs w:val="24"/>
        </w:rPr>
      </w:pPr>
      <w:r>
        <w:rPr>
          <w:rFonts w:hint="eastAsia" w:asciiTheme="minorEastAsia" w:hAnsiTheme="minorEastAsia"/>
          <w:b/>
          <w:bCs/>
          <w:sz w:val="24"/>
          <w:szCs w:val="24"/>
        </w:rPr>
        <w:t>二、双方一般权利和义务</w:t>
      </w:r>
    </w:p>
    <w:p w14:paraId="3A4CE854">
      <w:pPr>
        <w:tabs>
          <w:tab w:val="left" w:pos="360"/>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4、甲方的义务</w:t>
      </w:r>
    </w:p>
    <w:p w14:paraId="35BE708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w:t>
      </w:r>
      <w:r>
        <w:rPr>
          <w:rFonts w:asciiTheme="minorEastAsia" w:hAnsiTheme="minorEastAsia"/>
          <w:sz w:val="24"/>
          <w:szCs w:val="24"/>
          <w:lang w:val="zh-CN"/>
        </w:rPr>
        <w:t>.</w:t>
      </w:r>
      <w:r>
        <w:rPr>
          <w:rFonts w:hint="eastAsia" w:asciiTheme="minorEastAsia" w:hAnsiTheme="minorEastAsia"/>
          <w:sz w:val="24"/>
          <w:szCs w:val="24"/>
        </w:rPr>
        <w:t>1甲方按本合同专用条款约定的内容和时间完成下列工作：</w:t>
      </w:r>
    </w:p>
    <w:p w14:paraId="01128912">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（1）向乙方提供本工程招标代理业务应具备的相关工程前期资料及资金落实情况资料；</w:t>
      </w:r>
    </w:p>
    <w:p w14:paraId="7AC9A1EC">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（2）向乙方提供完成本工程招标代理业务所需的全部技术资料和图纸，需要交底的须向乙方详细交底，并对提供资料的真实性、完整性、准确性负责；</w:t>
      </w:r>
    </w:p>
    <w:p w14:paraId="61B16FD7">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（3）向乙方提供保证招标工作顺利完成的条件，提供的条件在本合同专用条款内约定；</w:t>
      </w:r>
    </w:p>
    <w:p w14:paraId="596CA2E7">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（4）指定专人与乙方联系，指定人员的姓名、职务、职称在本合同专用条款内约定；</w:t>
      </w:r>
    </w:p>
    <w:p w14:paraId="3B8E0BBF">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（5）根据需要，做好与第三方的协调工作；</w:t>
      </w:r>
    </w:p>
    <w:p w14:paraId="02534DF6">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（6）按本合同专用条款的约定支付代理报酬；</w:t>
      </w:r>
    </w:p>
    <w:p w14:paraId="65D9D9F2">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（7）依法应尽的其他义务，双方在本合同专用条款内约定。</w:t>
      </w:r>
    </w:p>
    <w:p w14:paraId="0D55F59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w:t>
      </w:r>
      <w:r>
        <w:rPr>
          <w:rFonts w:asciiTheme="minorEastAsia" w:hAnsiTheme="minorEastAsia"/>
          <w:sz w:val="24"/>
          <w:szCs w:val="24"/>
          <w:lang w:val="zh-CN"/>
        </w:rPr>
        <w:t>.</w:t>
      </w:r>
      <w:r>
        <w:rPr>
          <w:rFonts w:hint="eastAsia" w:asciiTheme="minorEastAsia" w:hAnsiTheme="minorEastAsia"/>
          <w:sz w:val="24"/>
          <w:szCs w:val="24"/>
        </w:rPr>
        <w:t>2甲方负有对乙方为本合同提供的技术服务进行知识产权保护的责任。</w:t>
      </w:r>
    </w:p>
    <w:p w14:paraId="3506D46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w:t>
      </w:r>
      <w:r>
        <w:rPr>
          <w:rFonts w:asciiTheme="minorEastAsia" w:hAnsiTheme="minorEastAsia"/>
          <w:sz w:val="24"/>
          <w:szCs w:val="24"/>
          <w:lang w:val="zh-CN"/>
        </w:rPr>
        <w:t>.</w:t>
      </w:r>
      <w:r>
        <w:rPr>
          <w:rFonts w:hint="eastAsia" w:asciiTheme="minorEastAsia" w:hAnsiTheme="minorEastAsia"/>
          <w:sz w:val="24"/>
          <w:szCs w:val="24"/>
        </w:rPr>
        <w:t>3甲方未能履行以上各项义务，给乙方造成损失的，应当赔偿乙方的有关损失。</w:t>
      </w:r>
    </w:p>
    <w:p w14:paraId="27B1C5EE">
      <w:pPr>
        <w:tabs>
          <w:tab w:val="left" w:pos="360"/>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5、乙方的义务</w:t>
      </w:r>
    </w:p>
    <w:p w14:paraId="246C0A8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w:t>
      </w:r>
      <w:r>
        <w:rPr>
          <w:rFonts w:asciiTheme="minorEastAsia" w:hAnsiTheme="minorEastAsia"/>
          <w:sz w:val="24"/>
          <w:szCs w:val="24"/>
          <w:lang w:val="zh-CN"/>
        </w:rPr>
        <w:t>.</w:t>
      </w:r>
      <w:r>
        <w:rPr>
          <w:rFonts w:hint="eastAsia" w:asciiTheme="minorEastAsia" w:hAnsiTheme="minorEastAsia"/>
          <w:sz w:val="24"/>
          <w:szCs w:val="24"/>
        </w:rPr>
        <w:t>1甲方委托乙方开展招标代理工作的具体范围和内容在本合同专用条款中约定。</w:t>
      </w:r>
    </w:p>
    <w:p w14:paraId="4063588F">
      <w:pPr>
        <w:tabs>
          <w:tab w:val="left" w:pos="360"/>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5.2乙方应根据本合同专用条款中约定的委托招标代理业务的工作范围和内容，选择有足够经验的专职技术经济人员担任招标代理项目负责人。招标代理项目负责人的姓名、身份证号在专用条款内写明。</w:t>
      </w:r>
    </w:p>
    <w:p w14:paraId="5138DE0F">
      <w:pPr>
        <w:tabs>
          <w:tab w:val="left" w:pos="360"/>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w:t>
      </w:r>
      <w:r>
        <w:rPr>
          <w:rFonts w:asciiTheme="minorEastAsia" w:hAnsiTheme="minorEastAsia"/>
          <w:sz w:val="24"/>
          <w:szCs w:val="24"/>
          <w:lang w:val="zh-CN"/>
        </w:rPr>
        <w:t>.</w:t>
      </w:r>
      <w:r>
        <w:rPr>
          <w:rFonts w:hint="eastAsia" w:asciiTheme="minorEastAsia" w:hAnsiTheme="minorEastAsia"/>
          <w:sz w:val="24"/>
          <w:szCs w:val="24"/>
        </w:rPr>
        <w:t>3乙方按本合同专用条款约定的内容和时间完成下列工作：</w:t>
      </w:r>
    </w:p>
    <w:p w14:paraId="3B9CFC3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（1）依法按照合法、公开、公平、公正和诚实信用原则，组织招标工作，维护各方的合法权益；</w:t>
      </w:r>
    </w:p>
    <w:p w14:paraId="272BCCD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（2）应用专业技术与技能为甲方提供完成招标工作相关的咨询服务；</w:t>
      </w:r>
    </w:p>
    <w:p w14:paraId="42039CD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（3）向甲方宣传有关工程招标的法律、行政法规和规章，解释合理的招标程序，以便得到甲方的支持和配合；</w:t>
      </w:r>
    </w:p>
    <w:p w14:paraId="3B7F4E9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（4）依法应尽的其他义务，双方在本合同专用条款内约定。</w:t>
      </w:r>
    </w:p>
    <w:p w14:paraId="74198FE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w:t>
      </w:r>
      <w:r>
        <w:rPr>
          <w:rFonts w:asciiTheme="minorEastAsia" w:hAnsiTheme="minorEastAsia"/>
          <w:sz w:val="24"/>
          <w:szCs w:val="24"/>
          <w:lang w:val="zh-CN"/>
        </w:rPr>
        <w:t>.</w:t>
      </w:r>
      <w:r>
        <w:rPr>
          <w:rFonts w:hint="eastAsia" w:asciiTheme="minorEastAsia" w:hAnsiTheme="minorEastAsia"/>
          <w:sz w:val="24"/>
          <w:szCs w:val="24"/>
        </w:rPr>
        <w:t>4乙方应对招标工作中乙方所出具有关数据的计算、技术经济资料等的科学性和准确性负责。</w:t>
      </w:r>
    </w:p>
    <w:p w14:paraId="5B899E0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w:t>
      </w:r>
      <w:r>
        <w:rPr>
          <w:rFonts w:asciiTheme="minorEastAsia" w:hAnsiTheme="minorEastAsia"/>
          <w:sz w:val="24"/>
          <w:szCs w:val="24"/>
          <w:lang w:val="zh-CN"/>
        </w:rPr>
        <w:t>.</w:t>
      </w:r>
      <w:r>
        <w:rPr>
          <w:rFonts w:hint="eastAsia" w:asciiTheme="minorEastAsia" w:hAnsiTheme="minorEastAsia"/>
          <w:sz w:val="24"/>
          <w:szCs w:val="24"/>
        </w:rPr>
        <w:t>5乙方不得接受与本合同工程建设项目中委托招标范围之内的相关的投标咨询业务或和投标单位串通损害甲方任何利益。</w:t>
      </w:r>
      <w:r>
        <w:rPr>
          <w:rFonts w:hint="eastAsia" w:asciiTheme="minorEastAsia" w:hAnsiTheme="minorEastAsia"/>
          <w:sz w:val="24"/>
          <w:szCs w:val="24"/>
        </w:rPr>
        <w:tab/>
      </w:r>
    </w:p>
    <w:p w14:paraId="4670D60B">
      <w:pPr>
        <w:spacing w:line="360" w:lineRule="auto"/>
        <w:rPr>
          <w:rFonts w:asciiTheme="minorEastAsia" w:hAnsiTheme="minorEastAsia"/>
          <w:sz w:val="24"/>
          <w:szCs w:val="24"/>
        </w:rPr>
      </w:pPr>
      <w:r>
        <w:rPr>
          <w:rFonts w:hint="eastAsia" w:asciiTheme="minorEastAsia" w:hAnsiTheme="minorEastAsia"/>
          <w:sz w:val="24"/>
          <w:szCs w:val="24"/>
        </w:rPr>
        <w:t xml:space="preserve">    5</w:t>
      </w:r>
      <w:r>
        <w:rPr>
          <w:rFonts w:asciiTheme="minorEastAsia" w:hAnsiTheme="minorEastAsia"/>
          <w:sz w:val="24"/>
          <w:szCs w:val="24"/>
          <w:lang w:val="zh-CN"/>
        </w:rPr>
        <w:t>.</w:t>
      </w:r>
      <w:r>
        <w:rPr>
          <w:rFonts w:hint="eastAsia" w:asciiTheme="minorEastAsia" w:hAnsiTheme="minorEastAsia"/>
          <w:sz w:val="24"/>
          <w:szCs w:val="24"/>
        </w:rPr>
        <w:t>6乙方为本合同提供技术服务的知识产权应属乙方专有。任何第三方如果提出侵权指控，乙方须与第三方交涉并承担由此而引起的一切法律责任和费用。</w:t>
      </w:r>
    </w:p>
    <w:p w14:paraId="37AC1982">
      <w:pPr>
        <w:spacing w:line="360" w:lineRule="auto"/>
        <w:rPr>
          <w:rFonts w:asciiTheme="minorEastAsia" w:hAnsiTheme="minorEastAsia"/>
          <w:sz w:val="24"/>
          <w:szCs w:val="24"/>
        </w:rPr>
      </w:pPr>
      <w:r>
        <w:rPr>
          <w:rFonts w:hint="eastAsia" w:asciiTheme="minorEastAsia" w:hAnsiTheme="minorEastAsia"/>
          <w:sz w:val="24"/>
          <w:szCs w:val="24"/>
        </w:rPr>
        <w:t xml:space="preserve">    5</w:t>
      </w:r>
      <w:r>
        <w:rPr>
          <w:rFonts w:asciiTheme="minorEastAsia" w:hAnsiTheme="minorEastAsia"/>
          <w:sz w:val="24"/>
          <w:szCs w:val="24"/>
          <w:lang w:val="zh-CN"/>
        </w:rPr>
        <w:t>.</w:t>
      </w:r>
      <w:r>
        <w:rPr>
          <w:rFonts w:hint="eastAsia" w:asciiTheme="minorEastAsia" w:hAnsiTheme="minorEastAsia"/>
          <w:sz w:val="24"/>
          <w:szCs w:val="24"/>
        </w:rPr>
        <w:t>7未经甲方同意，乙方不得分包或转让本合同的任何权利和义务。</w:t>
      </w:r>
    </w:p>
    <w:p w14:paraId="177C02BE">
      <w:pPr>
        <w:spacing w:line="360" w:lineRule="auto"/>
        <w:rPr>
          <w:rFonts w:asciiTheme="minorEastAsia" w:hAnsiTheme="minorEastAsia"/>
          <w:sz w:val="24"/>
          <w:szCs w:val="24"/>
        </w:rPr>
      </w:pPr>
      <w:r>
        <w:rPr>
          <w:rFonts w:hint="eastAsia" w:asciiTheme="minorEastAsia" w:hAnsiTheme="minorEastAsia"/>
          <w:sz w:val="24"/>
          <w:szCs w:val="24"/>
        </w:rPr>
        <w:t xml:space="preserve">    5</w:t>
      </w:r>
      <w:r>
        <w:rPr>
          <w:rFonts w:asciiTheme="minorEastAsia" w:hAnsiTheme="minorEastAsia"/>
          <w:sz w:val="24"/>
          <w:szCs w:val="24"/>
          <w:lang w:val="zh-CN"/>
        </w:rPr>
        <w:t>.</w:t>
      </w:r>
      <w:r>
        <w:rPr>
          <w:rFonts w:hint="eastAsia" w:asciiTheme="minorEastAsia" w:hAnsiTheme="minorEastAsia"/>
          <w:sz w:val="24"/>
          <w:szCs w:val="24"/>
        </w:rPr>
        <w:t>8乙方不得接受所有投标人的礼品、宴请和任何其它好处，不得泄露招标、评标、定标过程中依法需要保密的内容。合同终止后，未经甲方书面同意，乙方不得泄漏与本合同工程相关的任何招标资料和情况。</w:t>
      </w:r>
    </w:p>
    <w:p w14:paraId="3D1BD52C">
      <w:pPr>
        <w:spacing w:line="360" w:lineRule="auto"/>
        <w:rPr>
          <w:rFonts w:asciiTheme="minorEastAsia" w:hAnsiTheme="minorEastAsia"/>
          <w:sz w:val="24"/>
          <w:szCs w:val="24"/>
        </w:rPr>
      </w:pPr>
      <w:r>
        <w:rPr>
          <w:rFonts w:hint="eastAsia" w:asciiTheme="minorEastAsia" w:hAnsiTheme="minorEastAsia"/>
          <w:sz w:val="24"/>
          <w:szCs w:val="24"/>
        </w:rPr>
        <w:t xml:space="preserve">    5</w:t>
      </w:r>
      <w:r>
        <w:rPr>
          <w:rFonts w:asciiTheme="minorEastAsia" w:hAnsiTheme="minorEastAsia"/>
          <w:sz w:val="24"/>
          <w:szCs w:val="24"/>
          <w:lang w:val="zh-CN"/>
        </w:rPr>
        <w:t>.</w:t>
      </w:r>
      <w:r>
        <w:rPr>
          <w:rFonts w:hint="eastAsia" w:asciiTheme="minorEastAsia" w:hAnsiTheme="minorEastAsia"/>
          <w:sz w:val="24"/>
          <w:szCs w:val="24"/>
        </w:rPr>
        <w:t>9乙方未能履行以上各项义务，给甲方造成损失的，应当赔偿甲方的有关损失。</w:t>
      </w:r>
    </w:p>
    <w:p w14:paraId="0908097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6、甲方的权利</w:t>
      </w:r>
    </w:p>
    <w:p w14:paraId="3BE7A29B">
      <w:pPr>
        <w:spacing w:line="360" w:lineRule="auto"/>
        <w:ind w:firstLine="465"/>
        <w:rPr>
          <w:rFonts w:asciiTheme="minorEastAsia" w:hAnsiTheme="minorEastAsia"/>
          <w:sz w:val="24"/>
          <w:szCs w:val="24"/>
        </w:rPr>
      </w:pPr>
      <w:r>
        <w:rPr>
          <w:rFonts w:hint="eastAsia" w:asciiTheme="minorEastAsia" w:hAnsiTheme="minorEastAsia"/>
          <w:sz w:val="24"/>
          <w:szCs w:val="24"/>
        </w:rPr>
        <w:t>6</w:t>
      </w:r>
      <w:r>
        <w:rPr>
          <w:rFonts w:asciiTheme="minorEastAsia" w:hAnsiTheme="minorEastAsia"/>
          <w:sz w:val="24"/>
          <w:szCs w:val="24"/>
          <w:lang w:val="zh-CN"/>
        </w:rPr>
        <w:t>.</w:t>
      </w:r>
      <w:r>
        <w:rPr>
          <w:rFonts w:hint="eastAsia" w:asciiTheme="minorEastAsia" w:hAnsiTheme="minorEastAsia"/>
          <w:sz w:val="24"/>
          <w:szCs w:val="24"/>
        </w:rPr>
        <w:t>1甲方拥有下列权利：</w:t>
      </w:r>
    </w:p>
    <w:p w14:paraId="1A0BD1F5">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（1）按合同约定，接收招标代理成果；</w:t>
      </w:r>
    </w:p>
    <w:p w14:paraId="3EBA7A57">
      <w:pPr>
        <w:spacing w:line="360" w:lineRule="auto"/>
        <w:rPr>
          <w:rFonts w:asciiTheme="minorEastAsia" w:hAnsiTheme="minorEastAsia"/>
          <w:sz w:val="24"/>
          <w:szCs w:val="24"/>
        </w:rPr>
      </w:pPr>
      <w:r>
        <w:rPr>
          <w:rFonts w:hint="eastAsia" w:asciiTheme="minorEastAsia" w:hAnsiTheme="minorEastAsia"/>
          <w:sz w:val="24"/>
          <w:szCs w:val="24"/>
        </w:rPr>
        <w:t xml:space="preserve">   （2）向乙方询问本合同工程招标工作进展情况和相关内容或提出不违反法律、行政法规的建议；</w:t>
      </w:r>
    </w:p>
    <w:p w14:paraId="3DEF1625">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（3）审查乙方为本合同工程编制的各种文件，并提出修正意见；</w:t>
      </w:r>
    </w:p>
    <w:p w14:paraId="5173E02F">
      <w:pPr>
        <w:spacing w:line="360" w:lineRule="auto"/>
        <w:ind w:firstLine="360" w:firstLineChars="150"/>
        <w:outlineLvl w:val="0"/>
        <w:rPr>
          <w:rFonts w:asciiTheme="minorEastAsia" w:hAnsiTheme="minorEastAsia"/>
          <w:sz w:val="24"/>
          <w:szCs w:val="24"/>
        </w:rPr>
      </w:pPr>
      <w:r>
        <w:rPr>
          <w:rFonts w:hint="eastAsia" w:asciiTheme="minorEastAsia" w:hAnsiTheme="minorEastAsia"/>
          <w:sz w:val="24"/>
          <w:szCs w:val="24"/>
        </w:rPr>
        <w:t>（4）要求乙方提交招标代理业务工作报告；</w:t>
      </w:r>
    </w:p>
    <w:p w14:paraId="597FE009">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（5）与乙方协商，要求更换其不称职的招标代理从业人员，乙方应按甲方要求2个工作日内完成更换；</w:t>
      </w:r>
    </w:p>
    <w:p w14:paraId="3A40592F">
      <w:pPr>
        <w:spacing w:line="360" w:lineRule="auto"/>
        <w:ind w:firstLine="360" w:firstLineChars="150"/>
        <w:outlineLvl w:val="0"/>
        <w:rPr>
          <w:rFonts w:asciiTheme="minorEastAsia" w:hAnsiTheme="minorEastAsia"/>
          <w:sz w:val="24"/>
          <w:szCs w:val="24"/>
        </w:rPr>
      </w:pPr>
      <w:r>
        <w:rPr>
          <w:rFonts w:hint="eastAsia" w:asciiTheme="minorEastAsia" w:hAnsiTheme="minorEastAsia"/>
          <w:sz w:val="24"/>
          <w:szCs w:val="24"/>
        </w:rPr>
        <w:t>（6）依法选择中标人；</w:t>
      </w:r>
    </w:p>
    <w:p w14:paraId="00FA2A69">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（7）本合同履行期间，由于乙方不履行合同约定的内容，给甲方造成损失或影响招标工作正常进行的，甲方有权终止本合同，并依法向乙方追索经济赔偿，直至追究法律责任；</w:t>
      </w:r>
    </w:p>
    <w:p w14:paraId="10512E8A">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（8）依法享有的其他权利，双方在本合同专用条款内约定。</w:t>
      </w:r>
    </w:p>
    <w:p w14:paraId="7246041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7、乙方的权利</w:t>
      </w:r>
    </w:p>
    <w:p w14:paraId="7B2319E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7</w:t>
      </w:r>
      <w:r>
        <w:rPr>
          <w:rFonts w:asciiTheme="minorEastAsia" w:hAnsiTheme="minorEastAsia"/>
          <w:sz w:val="24"/>
          <w:szCs w:val="24"/>
          <w:lang w:val="zh-CN"/>
        </w:rPr>
        <w:t>.</w:t>
      </w:r>
      <w:r>
        <w:rPr>
          <w:rFonts w:hint="eastAsia" w:asciiTheme="minorEastAsia" w:hAnsiTheme="minorEastAsia"/>
          <w:sz w:val="24"/>
          <w:szCs w:val="24"/>
        </w:rPr>
        <w:t>1乙方拥有下列权利：</w:t>
      </w:r>
    </w:p>
    <w:p w14:paraId="0D7D6898">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（1）按合同约定收取委托代理报酬；</w:t>
      </w:r>
    </w:p>
    <w:p w14:paraId="7C2C68CE">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（2）对招标过程中应由甲方做出的决定，乙方有权提出建议；</w:t>
      </w:r>
    </w:p>
    <w:p w14:paraId="0959F01B">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（3）当甲方提供的资料不足或不明确时，有权要求甲方补足资料或作出明确的答复；</w:t>
      </w:r>
    </w:p>
    <w:p w14:paraId="769349B6">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（4）拒绝甲方提出的违反法律、行政法规的要求，并向甲方作出解释；</w:t>
      </w:r>
    </w:p>
    <w:p w14:paraId="7BB45021">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（5）有权参加甲方组织的涉及招标工作的所有会议和活动；</w:t>
      </w:r>
    </w:p>
    <w:p w14:paraId="24AEF0C6">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（6）乙方在履行和完成本合同服务工作过程中各阶段形成的全部成果的财产权及知识产权归甲方所有，乙方对其成果享有署名权。</w:t>
      </w:r>
    </w:p>
    <w:p w14:paraId="242A2621">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（7）依法享有的其他权利，双方在本合同专用条款内约定。</w:t>
      </w:r>
    </w:p>
    <w:p w14:paraId="22E36925">
      <w:pPr>
        <w:spacing w:line="360" w:lineRule="auto"/>
        <w:ind w:firstLine="472" w:firstLineChars="196"/>
        <w:rPr>
          <w:rFonts w:asciiTheme="minorEastAsia" w:hAnsiTheme="minorEastAsia"/>
          <w:b/>
          <w:bCs/>
          <w:sz w:val="24"/>
          <w:szCs w:val="24"/>
        </w:rPr>
      </w:pPr>
      <w:r>
        <w:rPr>
          <w:rFonts w:hint="eastAsia" w:asciiTheme="minorEastAsia" w:hAnsiTheme="minorEastAsia"/>
          <w:b/>
          <w:bCs/>
          <w:sz w:val="24"/>
          <w:szCs w:val="24"/>
        </w:rPr>
        <w:t>三、委托代理报酬与收取</w:t>
      </w:r>
    </w:p>
    <w:p w14:paraId="0505D5E5">
      <w:pPr>
        <w:spacing w:line="360" w:lineRule="auto"/>
        <w:ind w:firstLine="480" w:firstLineChars="200"/>
        <w:outlineLvl w:val="0"/>
        <w:rPr>
          <w:rFonts w:asciiTheme="minorEastAsia" w:hAnsiTheme="minorEastAsia"/>
          <w:sz w:val="24"/>
          <w:szCs w:val="24"/>
        </w:rPr>
      </w:pPr>
      <w:r>
        <w:rPr>
          <w:rFonts w:hint="eastAsia" w:asciiTheme="minorEastAsia" w:hAnsiTheme="minorEastAsia"/>
          <w:sz w:val="24"/>
          <w:szCs w:val="24"/>
        </w:rPr>
        <w:t>8、委托代理报酬</w:t>
      </w:r>
    </w:p>
    <w:p w14:paraId="47A15CF9">
      <w:pPr>
        <w:tabs>
          <w:tab w:val="left" w:pos="540"/>
        </w:tabs>
        <w:spacing w:line="360" w:lineRule="auto"/>
        <w:ind w:firstLine="240"/>
        <w:rPr>
          <w:rFonts w:asciiTheme="minorEastAsia" w:hAnsiTheme="minorEastAsia"/>
          <w:color w:val="FF0000"/>
          <w:sz w:val="24"/>
          <w:szCs w:val="24"/>
        </w:rPr>
      </w:pPr>
      <w:r>
        <w:rPr>
          <w:rFonts w:hint="eastAsia" w:asciiTheme="minorEastAsia" w:hAnsiTheme="minorEastAsia"/>
          <w:sz w:val="24"/>
          <w:szCs w:val="24"/>
        </w:rPr>
        <w:t xml:space="preserve">  8</w:t>
      </w:r>
      <w:r>
        <w:rPr>
          <w:rFonts w:asciiTheme="minorEastAsia" w:hAnsiTheme="minorEastAsia"/>
          <w:sz w:val="24"/>
          <w:szCs w:val="24"/>
          <w:lang w:val="zh-CN"/>
        </w:rPr>
        <w:t>.</w:t>
      </w:r>
      <w:r>
        <w:rPr>
          <w:rFonts w:hint="eastAsia" w:asciiTheme="minorEastAsia" w:hAnsiTheme="minorEastAsia"/>
          <w:sz w:val="24"/>
          <w:szCs w:val="24"/>
        </w:rPr>
        <w:t>1双方按照本合同约定的招标代理业务范围，在本合同专用条款内约定委托代理报酬的计算方法、金额、币种、汇率和支付方式、支付时间。</w:t>
      </w:r>
    </w:p>
    <w:p w14:paraId="1214309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8</w:t>
      </w:r>
      <w:r>
        <w:rPr>
          <w:rFonts w:asciiTheme="minorEastAsia" w:hAnsiTheme="minorEastAsia"/>
          <w:sz w:val="24"/>
          <w:szCs w:val="24"/>
          <w:lang w:val="zh-CN"/>
        </w:rPr>
        <w:t>.</w:t>
      </w:r>
      <w:r>
        <w:rPr>
          <w:rFonts w:hint="eastAsia" w:asciiTheme="minorEastAsia" w:hAnsiTheme="minorEastAsia"/>
          <w:sz w:val="24"/>
          <w:szCs w:val="24"/>
        </w:rPr>
        <w:t>2在招标代理业务范围内所发生的费用（如：评标会务费、评标专家的差旅费、劳务费、公证费等），由乙方承担。</w:t>
      </w:r>
    </w:p>
    <w:p w14:paraId="6623E4F6">
      <w:pPr>
        <w:spacing w:line="360" w:lineRule="auto"/>
        <w:ind w:firstLine="240"/>
        <w:outlineLvl w:val="0"/>
        <w:rPr>
          <w:rFonts w:asciiTheme="minorEastAsia" w:hAnsiTheme="minorEastAsia"/>
          <w:sz w:val="24"/>
          <w:szCs w:val="24"/>
        </w:rPr>
      </w:pPr>
      <w:r>
        <w:rPr>
          <w:rFonts w:hint="eastAsia" w:asciiTheme="minorEastAsia" w:hAnsiTheme="minorEastAsia"/>
          <w:sz w:val="24"/>
          <w:szCs w:val="24"/>
        </w:rPr>
        <w:t xml:space="preserve">  9、委托代理报酬的收取</w:t>
      </w:r>
    </w:p>
    <w:p w14:paraId="6ABA6B8F">
      <w:pPr>
        <w:spacing w:line="360" w:lineRule="auto"/>
        <w:ind w:firstLine="240"/>
        <w:rPr>
          <w:rFonts w:asciiTheme="minorEastAsia" w:hAnsiTheme="minorEastAsia"/>
          <w:sz w:val="24"/>
          <w:szCs w:val="24"/>
        </w:rPr>
      </w:pPr>
      <w:r>
        <w:rPr>
          <w:rFonts w:hint="eastAsia" w:asciiTheme="minorEastAsia" w:hAnsiTheme="minorEastAsia"/>
          <w:sz w:val="24"/>
          <w:szCs w:val="24"/>
        </w:rPr>
        <w:t xml:space="preserve">  9</w:t>
      </w:r>
      <w:r>
        <w:rPr>
          <w:rFonts w:asciiTheme="minorEastAsia" w:hAnsiTheme="minorEastAsia"/>
          <w:sz w:val="24"/>
          <w:szCs w:val="24"/>
          <w:lang w:val="zh-CN"/>
        </w:rPr>
        <w:t>.</w:t>
      </w:r>
      <w:r>
        <w:rPr>
          <w:rFonts w:hint="eastAsia" w:asciiTheme="minorEastAsia" w:hAnsiTheme="minorEastAsia"/>
          <w:sz w:val="24"/>
          <w:szCs w:val="24"/>
        </w:rPr>
        <w:t>1乙方完成甲方委托的招标代理工作范围以外的工作，为附加服务项目，应收取的报酬由双方协商，签订补充协议。</w:t>
      </w:r>
    </w:p>
    <w:p w14:paraId="0F0FAA76">
      <w:pPr>
        <w:spacing w:line="360" w:lineRule="auto"/>
        <w:ind w:firstLine="240"/>
        <w:rPr>
          <w:rFonts w:asciiTheme="minorEastAsia" w:hAnsiTheme="minorEastAsia"/>
          <w:sz w:val="24"/>
          <w:szCs w:val="24"/>
        </w:rPr>
      </w:pPr>
      <w:r>
        <w:rPr>
          <w:rFonts w:hint="eastAsia" w:asciiTheme="minorEastAsia" w:hAnsiTheme="minorEastAsia"/>
          <w:sz w:val="24"/>
          <w:szCs w:val="24"/>
        </w:rPr>
        <w:t xml:space="preserve">  9</w:t>
      </w:r>
      <w:r>
        <w:rPr>
          <w:rFonts w:asciiTheme="minorEastAsia" w:hAnsiTheme="minorEastAsia"/>
          <w:sz w:val="24"/>
          <w:szCs w:val="24"/>
          <w:lang w:val="zh-CN"/>
        </w:rPr>
        <w:t>.</w:t>
      </w:r>
      <w:r>
        <w:rPr>
          <w:rFonts w:hint="eastAsia" w:asciiTheme="minorEastAsia" w:hAnsiTheme="minorEastAsia"/>
          <w:sz w:val="24"/>
          <w:szCs w:val="24"/>
        </w:rPr>
        <w:t>2甲方在本合同专用条款约定的支付时间内，未能如期支付代理报酬，乙方有权催促甲方支付。</w:t>
      </w:r>
    </w:p>
    <w:p w14:paraId="1FF4E460">
      <w:pPr>
        <w:spacing w:line="360" w:lineRule="auto"/>
        <w:ind w:firstLine="240"/>
        <w:rPr>
          <w:rFonts w:asciiTheme="minorEastAsia" w:hAnsiTheme="minorEastAsia"/>
          <w:sz w:val="24"/>
          <w:szCs w:val="24"/>
        </w:rPr>
      </w:pPr>
      <w:r>
        <w:rPr>
          <w:rFonts w:hint="eastAsia" w:asciiTheme="minorEastAsia" w:hAnsiTheme="minorEastAsia"/>
          <w:sz w:val="24"/>
          <w:szCs w:val="24"/>
        </w:rPr>
        <w:t xml:space="preserve">  9</w:t>
      </w:r>
      <w:r>
        <w:rPr>
          <w:rFonts w:asciiTheme="minorEastAsia" w:hAnsiTheme="minorEastAsia"/>
          <w:sz w:val="24"/>
          <w:szCs w:val="24"/>
          <w:lang w:val="zh-CN"/>
        </w:rPr>
        <w:t>.</w:t>
      </w:r>
      <w:r>
        <w:rPr>
          <w:rFonts w:hint="eastAsia" w:asciiTheme="minorEastAsia" w:hAnsiTheme="minorEastAsia"/>
          <w:sz w:val="24"/>
          <w:szCs w:val="24"/>
        </w:rPr>
        <w:t>3委托代理报酬应由甲方按本合同专用条款约定的支付方法和时间，直接向乙方支付。</w:t>
      </w:r>
    </w:p>
    <w:p w14:paraId="727AC782">
      <w:pPr>
        <w:autoSpaceDE w:val="0"/>
        <w:autoSpaceDN w:val="0"/>
        <w:adjustRightInd w:val="0"/>
        <w:spacing w:line="360" w:lineRule="auto"/>
        <w:ind w:firstLine="472" w:firstLineChars="196"/>
        <w:outlineLvl w:val="0"/>
        <w:rPr>
          <w:rFonts w:asciiTheme="minorEastAsia" w:hAnsiTheme="minorEastAsia"/>
          <w:b/>
          <w:bCs/>
          <w:sz w:val="24"/>
          <w:szCs w:val="24"/>
          <w:lang w:val="zh-CN"/>
        </w:rPr>
      </w:pPr>
      <w:r>
        <w:rPr>
          <w:rFonts w:hint="eastAsia" w:asciiTheme="minorEastAsia" w:hAnsiTheme="minorEastAsia"/>
          <w:b/>
          <w:bCs/>
          <w:sz w:val="24"/>
          <w:szCs w:val="24"/>
          <w:lang w:val="zh-CN"/>
        </w:rPr>
        <w:t>四、违约、索赔和争议</w:t>
      </w:r>
    </w:p>
    <w:p w14:paraId="05D39A75">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10、违约</w:t>
      </w:r>
    </w:p>
    <w:p w14:paraId="43BEAE1E">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10</w:t>
      </w:r>
      <w:r>
        <w:rPr>
          <w:rFonts w:asciiTheme="minorEastAsia" w:hAnsiTheme="minorEastAsia"/>
          <w:sz w:val="24"/>
          <w:szCs w:val="24"/>
          <w:lang w:val="zh-CN"/>
        </w:rPr>
        <w:t>.1</w:t>
      </w:r>
      <w:r>
        <w:rPr>
          <w:rFonts w:hint="eastAsia" w:asciiTheme="minorEastAsia" w:hAnsiTheme="minorEastAsia"/>
          <w:sz w:val="24"/>
          <w:szCs w:val="24"/>
        </w:rPr>
        <w:t>甲方违约。当发生下列情况时：</w:t>
      </w:r>
    </w:p>
    <w:p w14:paraId="25504824">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rPr>
        <w:t>（1）本合同通用条款第4</w:t>
      </w:r>
      <w:r>
        <w:rPr>
          <w:rFonts w:asciiTheme="minorEastAsia" w:hAnsiTheme="minorEastAsia"/>
          <w:sz w:val="24"/>
          <w:szCs w:val="24"/>
          <w:lang w:val="zh-CN"/>
        </w:rPr>
        <w:t>.</w:t>
      </w:r>
      <w:r>
        <w:rPr>
          <w:rFonts w:hint="eastAsia" w:asciiTheme="minorEastAsia" w:hAnsiTheme="minorEastAsia"/>
          <w:sz w:val="24"/>
          <w:szCs w:val="24"/>
        </w:rPr>
        <w:t>2 -（3）款提到的甲方未按本合同专用条款的约定，向乙方提供为保证招标工作顺利完成的条件，致使招标工作无法进行；</w:t>
      </w:r>
    </w:p>
    <w:p w14:paraId="0F9C139E">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rPr>
        <w:t>（2）本合同通用条款第4</w:t>
      </w:r>
      <w:r>
        <w:rPr>
          <w:rFonts w:asciiTheme="minorEastAsia" w:hAnsiTheme="minorEastAsia"/>
          <w:sz w:val="24"/>
          <w:szCs w:val="24"/>
          <w:lang w:val="zh-CN"/>
        </w:rPr>
        <w:t>.</w:t>
      </w:r>
      <w:r>
        <w:rPr>
          <w:rFonts w:hint="eastAsia" w:asciiTheme="minorEastAsia" w:hAnsiTheme="minorEastAsia"/>
          <w:sz w:val="24"/>
          <w:szCs w:val="24"/>
        </w:rPr>
        <w:t>2 -（6）款提到的甲方未按本合同专用条款的约定向乙方支付委托代理报酬；</w:t>
      </w:r>
    </w:p>
    <w:p w14:paraId="6CF4DBAA">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rPr>
        <w:t>（3）甲方不履行合同义务或不按合同约定履行义务的其他情况。</w:t>
      </w:r>
    </w:p>
    <w:p w14:paraId="4EEDFFB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甲方应承担的违约责任，由双方在本合同专用条款内约定甲方赔偿乙方损失的计算方法或甲方应当支付违约金的数额或计算方法。</w:t>
      </w:r>
    </w:p>
    <w:p w14:paraId="7B375874">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10</w:t>
      </w:r>
      <w:r>
        <w:rPr>
          <w:rFonts w:asciiTheme="minorEastAsia" w:hAnsiTheme="minorEastAsia"/>
          <w:sz w:val="24"/>
          <w:szCs w:val="24"/>
          <w:lang w:val="zh-CN"/>
        </w:rPr>
        <w:t>.2</w:t>
      </w:r>
      <w:r>
        <w:rPr>
          <w:rFonts w:hint="eastAsia" w:asciiTheme="minorEastAsia" w:hAnsiTheme="minorEastAsia"/>
          <w:sz w:val="24"/>
          <w:szCs w:val="24"/>
          <w:lang w:val="zh-CN"/>
        </w:rPr>
        <w:t>本合同关于乙方违约的具体责任：</w:t>
      </w:r>
    </w:p>
    <w:p w14:paraId="6D605D5C">
      <w:pPr>
        <w:numPr>
          <w:ilvl w:val="0"/>
          <w:numId w:val="1"/>
        </w:num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本合同通用条款第5</w:t>
      </w:r>
      <w:r>
        <w:rPr>
          <w:rFonts w:asciiTheme="minorEastAsia" w:hAnsiTheme="minorEastAsia"/>
          <w:sz w:val="24"/>
          <w:szCs w:val="24"/>
          <w:lang w:val="zh-CN"/>
        </w:rPr>
        <w:t>.</w:t>
      </w:r>
      <w:r>
        <w:rPr>
          <w:rFonts w:hint="eastAsia" w:asciiTheme="minorEastAsia" w:hAnsiTheme="minorEastAsia"/>
          <w:sz w:val="24"/>
          <w:szCs w:val="24"/>
        </w:rPr>
        <w:t>2 -（2）款提到的乙方未按本合同专用条款的约定，应用专业技术与技能为甲方提供完成招标工作相关的咨询服务；</w:t>
      </w:r>
    </w:p>
    <w:p w14:paraId="25435AA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（2）本合同通用条款第5</w:t>
      </w:r>
      <w:r>
        <w:rPr>
          <w:rFonts w:asciiTheme="minorEastAsia" w:hAnsiTheme="minorEastAsia"/>
          <w:sz w:val="24"/>
          <w:szCs w:val="24"/>
          <w:lang w:val="zh-CN"/>
        </w:rPr>
        <w:t>.</w:t>
      </w:r>
      <w:r>
        <w:rPr>
          <w:rFonts w:hint="eastAsia" w:asciiTheme="minorEastAsia" w:hAnsiTheme="minorEastAsia"/>
          <w:sz w:val="24"/>
          <w:szCs w:val="24"/>
        </w:rPr>
        <w:t>4款提到的乙方未按本合同专用条款的约定，接受了与本合同工程建设项目有关的投标咨询业务或和投标单位串通损害甲方任何利益；</w:t>
      </w:r>
    </w:p>
    <w:p w14:paraId="778EF18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（3）本合同通用条款第5</w:t>
      </w:r>
      <w:r>
        <w:rPr>
          <w:rFonts w:asciiTheme="minorEastAsia" w:hAnsiTheme="minorEastAsia"/>
          <w:sz w:val="24"/>
          <w:szCs w:val="24"/>
          <w:lang w:val="zh-CN"/>
        </w:rPr>
        <w:t>.</w:t>
      </w:r>
      <w:r>
        <w:rPr>
          <w:rFonts w:hint="eastAsia" w:asciiTheme="minorEastAsia" w:hAnsiTheme="minorEastAsia"/>
          <w:sz w:val="24"/>
          <w:szCs w:val="24"/>
        </w:rPr>
        <w:t>7款提到的乙方未按本合同专用条款的约定，接受投标人的任何其他好处或泄露了与本合同工程相关的任何招标资料和情况；</w:t>
      </w:r>
    </w:p>
    <w:p w14:paraId="0BF1F430">
      <w:pPr>
        <w:spacing w:line="360" w:lineRule="auto"/>
        <w:ind w:firstLine="480"/>
        <w:rPr>
          <w:rFonts w:asciiTheme="minorEastAsia" w:hAnsiTheme="minorEastAsia"/>
          <w:sz w:val="24"/>
          <w:szCs w:val="24"/>
        </w:rPr>
      </w:pPr>
      <w:r>
        <w:rPr>
          <w:rFonts w:hint="eastAsia" w:asciiTheme="minorEastAsia" w:hAnsiTheme="minorEastAsia"/>
          <w:sz w:val="24"/>
          <w:szCs w:val="24"/>
        </w:rPr>
        <w:t>（4）乙方不履行合同义务或不按合同约定履行义务的其他情况。</w:t>
      </w:r>
    </w:p>
    <w:p w14:paraId="6E78E171">
      <w:pPr>
        <w:spacing w:line="360" w:lineRule="auto"/>
        <w:ind w:firstLine="480"/>
        <w:rPr>
          <w:rFonts w:asciiTheme="minorEastAsia" w:hAnsiTheme="minorEastAsia"/>
          <w:sz w:val="24"/>
          <w:szCs w:val="24"/>
        </w:rPr>
      </w:pPr>
      <w:r>
        <w:rPr>
          <w:rFonts w:hint="eastAsia" w:asciiTheme="minorEastAsia" w:hAnsiTheme="minorEastAsia"/>
          <w:sz w:val="24"/>
          <w:szCs w:val="24"/>
        </w:rPr>
        <w:t>乙方承担违约责任，赔偿因其违约给甲方造成的经济损失，双方在本合同专用条款内约定乙方赔偿甲方损失的计算方法或乙方应当支付违约金的数额或计算方法。</w:t>
      </w:r>
    </w:p>
    <w:p w14:paraId="63A4BAE5">
      <w:pPr>
        <w:spacing w:line="360" w:lineRule="auto"/>
        <w:ind w:firstLine="480"/>
        <w:rPr>
          <w:rFonts w:asciiTheme="minorEastAsia" w:hAnsiTheme="minorEastAsia"/>
          <w:sz w:val="24"/>
          <w:szCs w:val="24"/>
        </w:rPr>
      </w:pPr>
      <w:r>
        <w:rPr>
          <w:rFonts w:hint="eastAsia" w:asciiTheme="minorEastAsia" w:hAnsiTheme="minorEastAsia"/>
          <w:sz w:val="24"/>
          <w:szCs w:val="24"/>
        </w:rPr>
        <w:t>10</w:t>
      </w:r>
      <w:r>
        <w:rPr>
          <w:rFonts w:asciiTheme="minorEastAsia" w:hAnsiTheme="minorEastAsia"/>
          <w:sz w:val="24"/>
          <w:szCs w:val="24"/>
          <w:lang w:val="zh-CN"/>
        </w:rPr>
        <w:t>.</w:t>
      </w:r>
      <w:r>
        <w:rPr>
          <w:rFonts w:hint="eastAsia" w:asciiTheme="minorEastAsia" w:hAnsiTheme="minorEastAsia"/>
          <w:sz w:val="24"/>
          <w:szCs w:val="24"/>
        </w:rPr>
        <w:t>3第三方违约。如果一方的违约被认定为是第三方造成或共同造成的，则应由合同双方中违约的一方先行向另一方承担全部违约责任，再由承担违约责任的一方向第三方追索。</w:t>
      </w:r>
    </w:p>
    <w:p w14:paraId="75F2B1E4">
      <w:pPr>
        <w:spacing w:line="360" w:lineRule="auto"/>
        <w:ind w:firstLine="480"/>
        <w:rPr>
          <w:rFonts w:asciiTheme="minorEastAsia" w:hAnsiTheme="minorEastAsia"/>
          <w:sz w:val="24"/>
          <w:szCs w:val="24"/>
        </w:rPr>
      </w:pPr>
      <w:r>
        <w:rPr>
          <w:rFonts w:hint="eastAsia" w:asciiTheme="minorEastAsia" w:hAnsiTheme="minorEastAsia"/>
          <w:sz w:val="24"/>
          <w:szCs w:val="24"/>
        </w:rPr>
        <w:t>11、索赔</w:t>
      </w:r>
    </w:p>
    <w:p w14:paraId="413A1DAF">
      <w:pPr>
        <w:spacing w:line="360" w:lineRule="auto"/>
        <w:ind w:firstLine="480"/>
        <w:rPr>
          <w:rFonts w:asciiTheme="minorEastAsia" w:hAnsiTheme="minorEastAsia"/>
          <w:sz w:val="24"/>
          <w:szCs w:val="24"/>
        </w:rPr>
      </w:pPr>
      <w:r>
        <w:rPr>
          <w:rFonts w:hint="eastAsia" w:asciiTheme="minorEastAsia" w:hAnsiTheme="minorEastAsia"/>
          <w:sz w:val="24"/>
          <w:szCs w:val="24"/>
        </w:rPr>
        <w:t>11</w:t>
      </w:r>
      <w:r>
        <w:rPr>
          <w:rFonts w:asciiTheme="minorEastAsia" w:hAnsiTheme="minorEastAsia"/>
          <w:sz w:val="24"/>
          <w:szCs w:val="24"/>
          <w:lang w:val="zh-CN"/>
        </w:rPr>
        <w:t>.</w:t>
      </w:r>
      <w:r>
        <w:rPr>
          <w:rFonts w:hint="eastAsia" w:asciiTheme="minorEastAsia" w:hAnsiTheme="minorEastAsia"/>
          <w:sz w:val="24"/>
          <w:szCs w:val="24"/>
        </w:rPr>
        <w:t>1当事人一方向另一方提出索赔时，要有正当的索赔理由，且有索赔事件发生时的有效证据。</w:t>
      </w:r>
    </w:p>
    <w:p w14:paraId="3B4251E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11</w:t>
      </w:r>
      <w:r>
        <w:rPr>
          <w:rFonts w:asciiTheme="minorEastAsia" w:hAnsiTheme="minorEastAsia"/>
          <w:sz w:val="24"/>
          <w:szCs w:val="24"/>
          <w:lang w:val="zh-CN"/>
        </w:rPr>
        <w:t>.</w:t>
      </w:r>
      <w:r>
        <w:rPr>
          <w:rFonts w:hint="eastAsia" w:asciiTheme="minorEastAsia" w:hAnsiTheme="minorEastAsia"/>
          <w:sz w:val="24"/>
          <w:szCs w:val="24"/>
        </w:rPr>
        <w:t>2甲方未能按合同约定履行自己的各项义务，或者发生应由甲方承担责任的其他情况，给乙方造成损失，乙方可按下列程序以书面形式向甲方索赔：</w:t>
      </w:r>
    </w:p>
    <w:p w14:paraId="7B47BDBB">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（1）索赔事件发生后7天内，向甲方发出索赔报告及有关资料；</w:t>
      </w:r>
    </w:p>
    <w:p w14:paraId="6D777D82">
      <w:pPr>
        <w:spacing w:line="360" w:lineRule="auto"/>
        <w:ind w:firstLine="360" w:firstLineChars="150"/>
        <w:rPr>
          <w:rFonts w:asciiTheme="minorEastAsia" w:hAnsiTheme="minorEastAsia"/>
          <w:color w:val="FF0000"/>
          <w:sz w:val="24"/>
          <w:szCs w:val="24"/>
        </w:rPr>
      </w:pPr>
      <w:r>
        <w:rPr>
          <w:rFonts w:hint="eastAsia" w:asciiTheme="minorEastAsia" w:hAnsiTheme="minorEastAsia"/>
          <w:sz w:val="24"/>
          <w:szCs w:val="24"/>
        </w:rPr>
        <w:t>（2）甲方收到乙方的索赔报告及有关资料后，于7天内给予答复，或要求乙方进一步补充索赔理由和证据；</w:t>
      </w:r>
    </w:p>
    <w:p w14:paraId="3ED85114">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（3）甲方在收到乙方送交的索赔报告和有关资料后7天内未予答复，或未对乙方作进一步要求，乙方可向甲方进行催告，催告后仍未作任何答复的，视为该项索赔已经甲方认可。</w:t>
      </w:r>
    </w:p>
    <w:p w14:paraId="18CCF38E">
      <w:pPr>
        <w:spacing w:line="360" w:lineRule="auto"/>
        <w:rPr>
          <w:rFonts w:asciiTheme="minorEastAsia" w:hAnsiTheme="minorEastAsia"/>
          <w:sz w:val="24"/>
          <w:szCs w:val="24"/>
        </w:rPr>
      </w:pPr>
      <w:r>
        <w:rPr>
          <w:rFonts w:hint="eastAsia" w:asciiTheme="minorEastAsia" w:hAnsiTheme="minorEastAsia"/>
          <w:sz w:val="24"/>
          <w:szCs w:val="24"/>
        </w:rPr>
        <w:t xml:space="preserve">    11</w:t>
      </w:r>
      <w:r>
        <w:rPr>
          <w:rFonts w:asciiTheme="minorEastAsia" w:hAnsiTheme="minorEastAsia"/>
          <w:sz w:val="24"/>
          <w:szCs w:val="24"/>
          <w:lang w:val="zh-CN"/>
        </w:rPr>
        <w:t>.</w:t>
      </w:r>
      <w:r>
        <w:rPr>
          <w:rFonts w:hint="eastAsia" w:asciiTheme="minorEastAsia" w:hAnsiTheme="minorEastAsia"/>
          <w:sz w:val="24"/>
          <w:szCs w:val="24"/>
        </w:rPr>
        <w:t>3乙方未能按合同约定履行自己的各项义务，或者发生应由乙方承担责任的其他情况，给甲方造成经济损失，甲方可按11</w:t>
      </w:r>
      <w:r>
        <w:rPr>
          <w:rFonts w:asciiTheme="minorEastAsia" w:hAnsiTheme="minorEastAsia"/>
          <w:sz w:val="24"/>
          <w:szCs w:val="24"/>
          <w:lang w:val="zh-CN"/>
        </w:rPr>
        <w:t>.</w:t>
      </w:r>
      <w:r>
        <w:rPr>
          <w:rFonts w:hint="eastAsia" w:asciiTheme="minorEastAsia" w:hAnsiTheme="minorEastAsia"/>
          <w:sz w:val="24"/>
          <w:szCs w:val="24"/>
        </w:rPr>
        <w:t>2款确定的时限和程序向乙方提出索赔。</w:t>
      </w:r>
    </w:p>
    <w:p w14:paraId="14EA59A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12、争议</w:t>
      </w:r>
    </w:p>
    <w:p w14:paraId="1641427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12</w:t>
      </w:r>
      <w:r>
        <w:rPr>
          <w:rFonts w:asciiTheme="minorEastAsia" w:hAnsiTheme="minorEastAsia"/>
          <w:sz w:val="24"/>
          <w:szCs w:val="24"/>
          <w:lang w:val="zh-CN"/>
        </w:rPr>
        <w:t>.</w:t>
      </w:r>
      <w:r>
        <w:rPr>
          <w:rFonts w:hint="eastAsia" w:asciiTheme="minorEastAsia" w:hAnsiTheme="minorEastAsia"/>
          <w:sz w:val="24"/>
          <w:szCs w:val="24"/>
        </w:rPr>
        <w:t>1  甲方和乙方履行合同时发生争议，可以和解或者向有关部门或机构申请调解。当事人不愿和解、调解或者和解、调解不成的，双方可以在本合同专用条款约定以下一种方式解决争议：</w:t>
      </w:r>
    </w:p>
    <w:p w14:paraId="6711903D">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（1）双方达成仲裁协议，向约定的仲裁委员会申请仲裁；</w:t>
      </w:r>
    </w:p>
    <w:p w14:paraId="5BEB9F79">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（2）未达成仲裁协议的，向有管辖权的人民法院起诉。</w:t>
      </w:r>
    </w:p>
    <w:p w14:paraId="0C4BDB46">
      <w:pPr>
        <w:spacing w:line="360" w:lineRule="auto"/>
        <w:ind w:firstLine="472" w:firstLineChars="196"/>
        <w:rPr>
          <w:rFonts w:asciiTheme="minorEastAsia" w:hAnsiTheme="minorEastAsia"/>
          <w:b/>
          <w:bCs/>
          <w:sz w:val="24"/>
          <w:szCs w:val="24"/>
        </w:rPr>
      </w:pPr>
      <w:r>
        <w:rPr>
          <w:rFonts w:hint="eastAsia" w:asciiTheme="minorEastAsia" w:hAnsiTheme="minorEastAsia"/>
          <w:b/>
          <w:bCs/>
          <w:sz w:val="24"/>
          <w:szCs w:val="24"/>
        </w:rPr>
        <w:t>五、合同变更、解除、生效与终止</w:t>
      </w:r>
    </w:p>
    <w:p w14:paraId="337824D3">
      <w:pPr>
        <w:spacing w:line="360" w:lineRule="auto"/>
        <w:ind w:left="480"/>
        <w:rPr>
          <w:rFonts w:asciiTheme="minorEastAsia" w:hAnsiTheme="minorEastAsia"/>
          <w:sz w:val="24"/>
          <w:szCs w:val="24"/>
        </w:rPr>
      </w:pPr>
      <w:r>
        <w:rPr>
          <w:rFonts w:hint="eastAsia" w:asciiTheme="minorEastAsia" w:hAnsiTheme="minorEastAsia"/>
          <w:sz w:val="24"/>
          <w:szCs w:val="24"/>
        </w:rPr>
        <w:t>13、合同变更或解除</w:t>
      </w:r>
    </w:p>
    <w:p w14:paraId="773D5B9F">
      <w:pPr>
        <w:spacing w:line="360" w:lineRule="auto"/>
        <w:ind w:firstLine="480"/>
        <w:rPr>
          <w:rFonts w:asciiTheme="minorEastAsia" w:hAnsiTheme="minorEastAsia"/>
          <w:sz w:val="24"/>
          <w:szCs w:val="24"/>
        </w:rPr>
      </w:pPr>
      <w:r>
        <w:rPr>
          <w:rFonts w:hint="eastAsia" w:asciiTheme="minorEastAsia" w:hAnsiTheme="minorEastAsia"/>
          <w:sz w:val="24"/>
          <w:szCs w:val="24"/>
        </w:rPr>
        <w:t>13</w:t>
      </w:r>
      <w:r>
        <w:rPr>
          <w:rFonts w:asciiTheme="minorEastAsia" w:hAnsiTheme="minorEastAsia"/>
          <w:sz w:val="24"/>
          <w:szCs w:val="24"/>
          <w:lang w:val="zh-CN"/>
        </w:rPr>
        <w:t>.</w:t>
      </w:r>
      <w:r>
        <w:rPr>
          <w:rFonts w:hint="eastAsia" w:asciiTheme="minorEastAsia" w:hAnsiTheme="minorEastAsia"/>
          <w:sz w:val="24"/>
          <w:szCs w:val="24"/>
        </w:rPr>
        <w:t>1本合同签订后，由于甲方原因，使得乙方不能持续履行招标代理业务时，甲方应及时通知乙方暂停招标代理业务。当需要恢复招标代理业务时，应当在正式恢复前7天通知乙方。</w:t>
      </w:r>
    </w:p>
    <w:p w14:paraId="1EE54B51">
      <w:pPr>
        <w:autoSpaceDE w:val="0"/>
        <w:autoSpaceDN w:val="0"/>
        <w:adjustRightInd w:val="0"/>
        <w:spacing w:line="360" w:lineRule="auto"/>
        <w:ind w:firstLine="480"/>
        <w:rPr>
          <w:rFonts w:asciiTheme="minorEastAsia" w:hAnsiTheme="minorEastAsia"/>
          <w:sz w:val="24"/>
          <w:szCs w:val="24"/>
          <w:lang w:val="zh-CN"/>
        </w:rPr>
      </w:pPr>
      <w:r>
        <w:rPr>
          <w:rFonts w:asciiTheme="minorEastAsia" w:hAnsiTheme="minorEastAsia"/>
          <w:sz w:val="24"/>
          <w:szCs w:val="24"/>
          <w:lang w:val="zh-CN"/>
        </w:rPr>
        <w:t>13.</w:t>
      </w:r>
      <w:r>
        <w:rPr>
          <w:rFonts w:hint="eastAsia" w:asciiTheme="minorEastAsia" w:hAnsiTheme="minorEastAsia"/>
          <w:sz w:val="24"/>
          <w:szCs w:val="24"/>
          <w:lang w:val="zh-CN"/>
        </w:rPr>
        <w:t>2 本合同当事人一方要求变更或解除合同时，除法律、行政法规另有规定外，应与对方当事人协商一致并达成书面协议。未达成书面协议的，本合同依然有效。</w:t>
      </w:r>
    </w:p>
    <w:p w14:paraId="1F2F37F1">
      <w:pPr>
        <w:autoSpaceDE w:val="0"/>
        <w:autoSpaceDN w:val="0"/>
        <w:adjustRightInd w:val="0"/>
        <w:spacing w:line="360" w:lineRule="auto"/>
        <w:ind w:firstLine="480"/>
        <w:rPr>
          <w:rFonts w:asciiTheme="minorEastAsia" w:hAnsiTheme="minorEastAsia"/>
          <w:sz w:val="24"/>
          <w:szCs w:val="24"/>
          <w:lang w:val="zh-CN"/>
        </w:rPr>
      </w:pPr>
      <w:r>
        <w:rPr>
          <w:rFonts w:asciiTheme="minorEastAsia" w:hAnsiTheme="minorEastAsia"/>
          <w:sz w:val="24"/>
          <w:szCs w:val="24"/>
          <w:lang w:val="zh-CN"/>
        </w:rPr>
        <w:t>13.</w:t>
      </w:r>
      <w:r>
        <w:rPr>
          <w:rFonts w:hint="eastAsia" w:asciiTheme="minorEastAsia" w:hAnsiTheme="minorEastAsia"/>
          <w:sz w:val="24"/>
          <w:szCs w:val="24"/>
          <w:lang w:val="zh-CN"/>
        </w:rPr>
        <w:t>3 因解除合同使当事人一方遭受损失的，除依法可以免除责任外，应由责任方负责赔偿对方的损失，赔偿方法与金额由双方在</w:t>
      </w:r>
      <w:r>
        <w:rPr>
          <w:rFonts w:hint="eastAsia" w:asciiTheme="minorEastAsia" w:hAnsiTheme="minorEastAsia"/>
          <w:sz w:val="24"/>
          <w:szCs w:val="24"/>
        </w:rPr>
        <w:t>专用条款中</w:t>
      </w:r>
      <w:r>
        <w:rPr>
          <w:rFonts w:hint="eastAsia" w:asciiTheme="minorEastAsia" w:hAnsiTheme="minorEastAsia"/>
          <w:sz w:val="24"/>
          <w:szCs w:val="24"/>
          <w:lang w:val="zh-CN"/>
        </w:rPr>
        <w:t>约定。</w:t>
      </w:r>
    </w:p>
    <w:p w14:paraId="3134D5BF">
      <w:pPr>
        <w:autoSpaceDE w:val="0"/>
        <w:autoSpaceDN w:val="0"/>
        <w:adjustRightInd w:val="0"/>
        <w:spacing w:line="360" w:lineRule="auto"/>
        <w:ind w:firstLine="480"/>
        <w:rPr>
          <w:rFonts w:asciiTheme="minorEastAsia" w:hAnsiTheme="minorEastAsia"/>
          <w:sz w:val="24"/>
          <w:szCs w:val="24"/>
          <w:lang w:val="zh-CN"/>
        </w:rPr>
      </w:pPr>
      <w:r>
        <w:rPr>
          <w:rFonts w:asciiTheme="minorEastAsia" w:hAnsiTheme="minorEastAsia"/>
          <w:sz w:val="24"/>
          <w:szCs w:val="24"/>
          <w:lang w:val="zh-CN"/>
        </w:rPr>
        <w:t>14</w:t>
      </w:r>
      <w:r>
        <w:rPr>
          <w:rFonts w:hint="eastAsia" w:asciiTheme="minorEastAsia" w:hAnsiTheme="minorEastAsia"/>
          <w:sz w:val="24"/>
          <w:szCs w:val="24"/>
          <w:lang w:val="zh-CN"/>
        </w:rPr>
        <w:t>、合同生效</w:t>
      </w:r>
    </w:p>
    <w:p w14:paraId="6A4A6E6E">
      <w:pPr>
        <w:spacing w:line="360" w:lineRule="auto"/>
        <w:ind w:firstLine="480"/>
        <w:rPr>
          <w:rFonts w:asciiTheme="minorEastAsia" w:hAnsiTheme="minorEastAsia"/>
          <w:sz w:val="24"/>
          <w:szCs w:val="24"/>
          <w:lang w:val="zh-CN"/>
        </w:rPr>
      </w:pPr>
      <w:r>
        <w:rPr>
          <w:rFonts w:asciiTheme="minorEastAsia" w:hAnsiTheme="minorEastAsia"/>
          <w:sz w:val="24"/>
          <w:szCs w:val="24"/>
          <w:lang w:val="zh-CN"/>
        </w:rPr>
        <w:t>14.1</w:t>
      </w:r>
      <w:r>
        <w:rPr>
          <w:rFonts w:hint="eastAsia" w:asciiTheme="minorEastAsia" w:hAnsiTheme="minorEastAsia"/>
          <w:sz w:val="24"/>
          <w:szCs w:val="24"/>
          <w:lang w:val="zh-CN"/>
        </w:rPr>
        <w:t>除生效条件双方在协议书中另有约定外，本合同自双方</w:t>
      </w:r>
      <w:r>
        <w:rPr>
          <w:rFonts w:hint="eastAsia" w:ascii="宋体" w:hAnsi="宋体" w:eastAsia="宋体"/>
          <w:sz w:val="24"/>
          <w:szCs w:val="24"/>
        </w:rPr>
        <w:t>法定代表人或授权代理人</w:t>
      </w:r>
      <w:r>
        <w:rPr>
          <w:rFonts w:hint="eastAsia" w:asciiTheme="minorEastAsia" w:hAnsiTheme="minorEastAsia"/>
          <w:sz w:val="24"/>
          <w:szCs w:val="24"/>
          <w:lang w:val="zh-CN"/>
        </w:rPr>
        <w:t>签</w:t>
      </w:r>
      <w:r>
        <w:rPr>
          <w:rFonts w:hint="eastAsia" w:asciiTheme="minorEastAsia" w:hAnsiTheme="minorEastAsia"/>
          <w:sz w:val="24"/>
          <w:szCs w:val="24"/>
        </w:rPr>
        <w:t>名并加</w:t>
      </w:r>
      <w:r>
        <w:rPr>
          <w:rFonts w:hint="eastAsia" w:asciiTheme="minorEastAsia" w:hAnsiTheme="minorEastAsia"/>
          <w:sz w:val="24"/>
          <w:szCs w:val="24"/>
          <w:lang w:val="zh-CN"/>
        </w:rPr>
        <w:t>盖</w:t>
      </w:r>
      <w:r>
        <w:rPr>
          <w:rFonts w:hint="eastAsia" w:asciiTheme="minorEastAsia" w:hAnsiTheme="minorEastAsia"/>
          <w:sz w:val="24"/>
          <w:szCs w:val="24"/>
        </w:rPr>
        <w:t>公</w:t>
      </w:r>
      <w:r>
        <w:rPr>
          <w:rFonts w:hint="eastAsia" w:asciiTheme="minorEastAsia" w:hAnsiTheme="minorEastAsia"/>
          <w:sz w:val="24"/>
          <w:szCs w:val="24"/>
          <w:lang w:val="zh-CN"/>
        </w:rPr>
        <w:t>章之日起生效。</w:t>
      </w:r>
    </w:p>
    <w:p w14:paraId="29223BC0">
      <w:pPr>
        <w:autoSpaceDE w:val="0"/>
        <w:autoSpaceDN w:val="0"/>
        <w:adjustRightInd w:val="0"/>
        <w:spacing w:line="360" w:lineRule="auto"/>
        <w:ind w:firstLine="480"/>
        <w:rPr>
          <w:rFonts w:asciiTheme="minorEastAsia" w:hAnsiTheme="minorEastAsia"/>
          <w:sz w:val="24"/>
          <w:szCs w:val="24"/>
          <w:lang w:val="zh-CN"/>
        </w:rPr>
      </w:pPr>
      <w:r>
        <w:rPr>
          <w:rFonts w:asciiTheme="minorEastAsia" w:hAnsiTheme="minorEastAsia"/>
          <w:sz w:val="24"/>
          <w:szCs w:val="24"/>
          <w:lang w:val="zh-CN"/>
        </w:rPr>
        <w:t>15</w:t>
      </w:r>
      <w:r>
        <w:rPr>
          <w:rFonts w:hint="eastAsia" w:asciiTheme="minorEastAsia" w:hAnsiTheme="minorEastAsia"/>
          <w:sz w:val="24"/>
          <w:szCs w:val="24"/>
          <w:lang w:val="zh-CN"/>
        </w:rPr>
        <w:t>、合同</w:t>
      </w:r>
      <w:r>
        <w:rPr>
          <w:rFonts w:hint="eastAsia" w:asciiTheme="minorEastAsia" w:hAnsiTheme="minorEastAsia"/>
          <w:sz w:val="24"/>
          <w:szCs w:val="24"/>
        </w:rPr>
        <w:t>无效和</w:t>
      </w:r>
      <w:r>
        <w:rPr>
          <w:rFonts w:hint="eastAsia" w:asciiTheme="minorEastAsia" w:hAnsiTheme="minorEastAsia"/>
          <w:sz w:val="24"/>
          <w:szCs w:val="24"/>
          <w:lang w:val="zh-CN"/>
        </w:rPr>
        <w:t>终止</w:t>
      </w:r>
    </w:p>
    <w:p w14:paraId="074BCCB7">
      <w:pPr>
        <w:autoSpaceDE w:val="0"/>
        <w:autoSpaceDN w:val="0"/>
        <w:adjustRightInd w:val="0"/>
        <w:spacing w:line="360" w:lineRule="auto"/>
        <w:ind w:firstLine="480"/>
        <w:rPr>
          <w:rFonts w:asciiTheme="minorEastAsia" w:hAnsiTheme="minorEastAsia"/>
          <w:sz w:val="24"/>
          <w:szCs w:val="24"/>
          <w:lang w:val="zh-CN"/>
        </w:rPr>
      </w:pPr>
      <w:r>
        <w:rPr>
          <w:rFonts w:asciiTheme="minorEastAsia" w:hAnsiTheme="minorEastAsia"/>
          <w:sz w:val="24"/>
          <w:szCs w:val="24"/>
          <w:lang w:val="zh-CN"/>
        </w:rPr>
        <w:t>15.</w:t>
      </w:r>
      <w:r>
        <w:rPr>
          <w:rFonts w:hint="eastAsia" w:asciiTheme="minorEastAsia" w:hAnsiTheme="minorEastAsia"/>
          <w:sz w:val="24"/>
          <w:szCs w:val="24"/>
          <w:lang w:val="zh-CN"/>
        </w:rPr>
        <w:t>1本合同无效的，不影响争议解决条款的效力。</w:t>
      </w:r>
    </w:p>
    <w:p w14:paraId="79D5E0BC">
      <w:pPr>
        <w:autoSpaceDE w:val="0"/>
        <w:autoSpaceDN w:val="0"/>
        <w:adjustRightInd w:val="0"/>
        <w:spacing w:line="360" w:lineRule="auto"/>
        <w:ind w:firstLine="480"/>
        <w:rPr>
          <w:rFonts w:asciiTheme="minorEastAsia" w:hAnsiTheme="minorEastAsia"/>
          <w:sz w:val="24"/>
          <w:szCs w:val="24"/>
          <w:lang w:val="zh-CN"/>
        </w:rPr>
      </w:pPr>
      <w:r>
        <w:rPr>
          <w:rFonts w:asciiTheme="minorEastAsia" w:hAnsiTheme="minorEastAsia"/>
          <w:sz w:val="24"/>
          <w:szCs w:val="24"/>
          <w:lang w:val="zh-CN"/>
        </w:rPr>
        <w:t>15.</w:t>
      </w:r>
      <w:r>
        <w:rPr>
          <w:rFonts w:hint="eastAsia" w:asciiTheme="minorEastAsia" w:hAnsiTheme="minorEastAsia"/>
          <w:sz w:val="24"/>
          <w:szCs w:val="24"/>
          <w:lang w:val="zh-CN"/>
        </w:rPr>
        <w:t>2因不可抗力，致使当事人一方或双方不能履行本合同时，双方应协商确定本合同继续履行的条件或终止本合同。如果双方不能就本合同继续履行的条件或终止本合同达成一致意见，本合同自行终止。除甲方应付给乙方已完成工作的报酬外，</w:t>
      </w:r>
      <w:r>
        <w:rPr>
          <w:rFonts w:hint="eastAsia" w:asciiTheme="minorEastAsia" w:hAnsiTheme="minorEastAsia"/>
          <w:sz w:val="24"/>
          <w:szCs w:val="24"/>
        </w:rPr>
        <w:t>双方各不负责任，</w:t>
      </w:r>
      <w:r>
        <w:rPr>
          <w:rFonts w:hint="eastAsia" w:asciiTheme="minorEastAsia" w:hAnsiTheme="minorEastAsia"/>
          <w:sz w:val="24"/>
          <w:szCs w:val="24"/>
          <w:lang w:val="zh-CN"/>
        </w:rPr>
        <w:t>各自承担相应的损失。</w:t>
      </w:r>
    </w:p>
    <w:p w14:paraId="4F914589">
      <w:pPr>
        <w:autoSpaceDE w:val="0"/>
        <w:autoSpaceDN w:val="0"/>
        <w:adjustRightInd w:val="0"/>
        <w:spacing w:line="360" w:lineRule="auto"/>
        <w:ind w:firstLine="480"/>
        <w:rPr>
          <w:rFonts w:asciiTheme="minorEastAsia" w:hAnsiTheme="minorEastAsia"/>
          <w:sz w:val="24"/>
          <w:szCs w:val="24"/>
          <w:lang w:val="zh-CN"/>
        </w:rPr>
      </w:pPr>
      <w:r>
        <w:rPr>
          <w:rFonts w:asciiTheme="minorEastAsia" w:hAnsiTheme="minorEastAsia"/>
          <w:sz w:val="24"/>
          <w:szCs w:val="24"/>
          <w:lang w:val="zh-CN"/>
        </w:rPr>
        <w:t>15.</w:t>
      </w:r>
      <w:r>
        <w:rPr>
          <w:rFonts w:hint="eastAsia" w:asciiTheme="minorEastAsia" w:hAnsiTheme="minorEastAsia"/>
          <w:sz w:val="24"/>
          <w:szCs w:val="24"/>
        </w:rPr>
        <w:t>3</w:t>
      </w:r>
      <w:r>
        <w:rPr>
          <w:rFonts w:hint="eastAsia" w:asciiTheme="minorEastAsia" w:hAnsiTheme="minorEastAsia"/>
          <w:sz w:val="24"/>
          <w:szCs w:val="24"/>
          <w:lang w:val="zh-CN"/>
        </w:rPr>
        <w:t xml:space="preserve"> 本合同的权利和义务终止后，甲方和乙方应当遵循诚实信用原则，履行通知、协助、保密等义务。</w:t>
      </w:r>
    </w:p>
    <w:p w14:paraId="24F2F73A">
      <w:pPr>
        <w:autoSpaceDE w:val="0"/>
        <w:autoSpaceDN w:val="0"/>
        <w:adjustRightInd w:val="0"/>
        <w:spacing w:line="360" w:lineRule="auto"/>
        <w:ind w:firstLine="480"/>
        <w:rPr>
          <w:rFonts w:asciiTheme="minorEastAsia" w:hAnsiTheme="minorEastAsia"/>
          <w:b/>
          <w:bCs/>
          <w:sz w:val="24"/>
          <w:szCs w:val="24"/>
          <w:lang w:val="zh-CN"/>
        </w:rPr>
      </w:pPr>
      <w:r>
        <w:rPr>
          <w:rFonts w:hint="eastAsia" w:asciiTheme="minorEastAsia" w:hAnsiTheme="minorEastAsia"/>
          <w:b/>
          <w:bCs/>
          <w:sz w:val="24"/>
          <w:szCs w:val="24"/>
          <w:lang w:val="zh-CN"/>
        </w:rPr>
        <w:t>六、其他</w:t>
      </w:r>
    </w:p>
    <w:p w14:paraId="6871B334">
      <w:pPr>
        <w:autoSpaceDE w:val="0"/>
        <w:autoSpaceDN w:val="0"/>
        <w:adjustRightInd w:val="0"/>
        <w:spacing w:line="360" w:lineRule="auto"/>
        <w:ind w:firstLine="480"/>
        <w:outlineLvl w:val="0"/>
        <w:rPr>
          <w:rFonts w:asciiTheme="minorEastAsia" w:hAnsiTheme="minorEastAsia"/>
          <w:sz w:val="24"/>
          <w:szCs w:val="24"/>
          <w:lang w:val="zh-CN"/>
        </w:rPr>
      </w:pPr>
      <w:r>
        <w:rPr>
          <w:rFonts w:asciiTheme="minorEastAsia" w:hAnsiTheme="minorEastAsia"/>
          <w:sz w:val="24"/>
          <w:szCs w:val="24"/>
          <w:lang w:val="zh-CN"/>
        </w:rPr>
        <w:t>1</w:t>
      </w:r>
      <w:r>
        <w:rPr>
          <w:rFonts w:hint="eastAsia" w:asciiTheme="minorEastAsia" w:hAnsiTheme="minorEastAsia"/>
          <w:sz w:val="24"/>
          <w:szCs w:val="24"/>
          <w:lang w:val="zh-CN"/>
        </w:rPr>
        <w:t>6、补充条款</w:t>
      </w:r>
    </w:p>
    <w:p w14:paraId="294E003C">
      <w:pPr>
        <w:autoSpaceDE w:val="0"/>
        <w:autoSpaceDN w:val="0"/>
        <w:adjustRightInd w:val="0"/>
        <w:spacing w:line="360" w:lineRule="auto"/>
        <w:ind w:firstLine="480"/>
        <w:rPr>
          <w:rFonts w:asciiTheme="minorEastAsia" w:hAnsiTheme="minorEastAsia"/>
          <w:sz w:val="24"/>
          <w:szCs w:val="24"/>
          <w:lang w:val="zh-CN"/>
        </w:rPr>
      </w:pPr>
      <w:r>
        <w:rPr>
          <w:rFonts w:hint="eastAsia" w:asciiTheme="minorEastAsia" w:hAnsiTheme="minorEastAsia"/>
          <w:sz w:val="24"/>
          <w:szCs w:val="24"/>
          <w:lang w:val="zh-CN"/>
        </w:rPr>
        <w:t>双方根据有关法律、行政法规规定，结合本合同招标工程实际，经协商一致后，可对本合同通用条款未涉及的内容进行补充。</w:t>
      </w:r>
    </w:p>
    <w:p w14:paraId="1BD9AAE8">
      <w:pPr>
        <w:rPr>
          <w:rFonts w:hint="eastAsia" w:ascii="宋体" w:hAnsi="宋体" w:eastAsia="宋体"/>
          <w:b/>
          <w:bCs/>
          <w:sz w:val="30"/>
          <w:szCs w:val="30"/>
          <w:lang w:val="zh-CN"/>
        </w:rPr>
      </w:pPr>
      <w:r>
        <w:rPr>
          <w:rFonts w:hint="eastAsia" w:ascii="宋体" w:hAnsi="宋体" w:eastAsia="宋体"/>
          <w:b/>
          <w:bCs/>
          <w:sz w:val="30"/>
          <w:szCs w:val="30"/>
          <w:lang w:val="zh-CN"/>
        </w:rPr>
        <w:br w:type="page"/>
      </w:r>
    </w:p>
    <w:p w14:paraId="040C4B82">
      <w:pPr>
        <w:widowControl/>
        <w:ind w:firstLine="3313" w:firstLineChars="1100"/>
        <w:jc w:val="left"/>
        <w:rPr>
          <w:rFonts w:ascii="宋体" w:hAnsi="宋体" w:eastAsia="宋体"/>
          <w:b/>
          <w:bCs/>
          <w:sz w:val="30"/>
          <w:szCs w:val="30"/>
          <w:lang w:val="zh-CN"/>
        </w:rPr>
      </w:pPr>
      <w:r>
        <w:rPr>
          <w:rFonts w:hint="eastAsia" w:ascii="宋体" w:hAnsi="宋体" w:eastAsia="宋体"/>
          <w:b/>
          <w:bCs/>
          <w:sz w:val="30"/>
          <w:szCs w:val="30"/>
          <w:lang w:val="zh-CN"/>
        </w:rPr>
        <w:t>第三部分 专用条款</w:t>
      </w:r>
    </w:p>
    <w:p w14:paraId="6BD84BC2">
      <w:pPr>
        <w:autoSpaceDE w:val="0"/>
        <w:autoSpaceDN w:val="0"/>
        <w:adjustRightInd w:val="0"/>
        <w:spacing w:line="360" w:lineRule="auto"/>
        <w:ind w:firstLine="472" w:firstLineChars="196"/>
        <w:outlineLvl w:val="0"/>
        <w:rPr>
          <w:rFonts w:asciiTheme="minorEastAsia" w:hAnsiTheme="minorEastAsia"/>
          <w:b/>
          <w:bCs/>
          <w:sz w:val="24"/>
          <w:szCs w:val="24"/>
          <w:lang w:val="zh-CN"/>
        </w:rPr>
      </w:pPr>
      <w:r>
        <w:rPr>
          <w:rFonts w:hint="eastAsia" w:asciiTheme="minorEastAsia" w:hAnsiTheme="minorEastAsia"/>
          <w:b/>
          <w:bCs/>
          <w:sz w:val="24"/>
          <w:szCs w:val="24"/>
          <w:lang w:val="zh-CN"/>
        </w:rPr>
        <w:t>一、词语定义和适用法律</w:t>
      </w:r>
    </w:p>
    <w:p w14:paraId="17BC748C">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1、合同文件及解释顺序</w:t>
      </w:r>
    </w:p>
    <w:p w14:paraId="48BE4A84">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1</w:t>
      </w:r>
      <w:r>
        <w:rPr>
          <w:rFonts w:asciiTheme="minorEastAsia" w:hAnsiTheme="minorEastAsia"/>
          <w:sz w:val="24"/>
          <w:szCs w:val="24"/>
          <w:lang w:val="zh-CN"/>
        </w:rPr>
        <w:t>.1</w:t>
      </w:r>
      <w:r>
        <w:rPr>
          <w:rFonts w:hint="eastAsia" w:asciiTheme="minorEastAsia" w:hAnsiTheme="minorEastAsia"/>
          <w:sz w:val="24"/>
          <w:szCs w:val="24"/>
          <w:lang w:val="zh-CN"/>
        </w:rPr>
        <w:t xml:space="preserve"> 合同文件及解释顺序</w:t>
      </w:r>
      <w:r>
        <w:rPr>
          <w:rFonts w:hint="eastAsia" w:cs="宋体" w:asciiTheme="minorEastAsia" w:hAnsiTheme="minorEastAsia"/>
          <w:sz w:val="24"/>
          <w:szCs w:val="24"/>
        </w:rPr>
        <w:t xml:space="preserve">详见通用条款 </w:t>
      </w:r>
    </w:p>
    <w:p w14:paraId="1C2E87A1">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2、语言文字和适用法律</w:t>
      </w:r>
    </w:p>
    <w:p w14:paraId="7F6DB668">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2</w:t>
      </w:r>
      <w:r>
        <w:rPr>
          <w:rFonts w:asciiTheme="minorEastAsia" w:hAnsiTheme="minorEastAsia"/>
          <w:sz w:val="24"/>
          <w:szCs w:val="24"/>
          <w:lang w:val="zh-CN"/>
        </w:rPr>
        <w:t>.1</w:t>
      </w:r>
      <w:r>
        <w:rPr>
          <w:rFonts w:hint="eastAsia" w:asciiTheme="minorEastAsia" w:hAnsiTheme="minorEastAsia"/>
          <w:sz w:val="24"/>
          <w:szCs w:val="24"/>
          <w:lang w:val="zh-CN"/>
        </w:rPr>
        <w:t xml:space="preserve"> 语言文字</w:t>
      </w:r>
    </w:p>
    <w:p w14:paraId="4BF84E6F">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本合同采用的文字为：</w:t>
      </w:r>
      <w:r>
        <w:rPr>
          <w:rFonts w:hint="eastAsia" w:cs="宋体" w:asciiTheme="minorEastAsia" w:hAnsiTheme="minorEastAsia"/>
          <w:sz w:val="24"/>
          <w:szCs w:val="24"/>
        </w:rPr>
        <w:t>中文</w:t>
      </w:r>
    </w:p>
    <w:p w14:paraId="745035E7">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2</w:t>
      </w:r>
      <w:r>
        <w:rPr>
          <w:rFonts w:asciiTheme="minorEastAsia" w:hAnsiTheme="minorEastAsia"/>
          <w:sz w:val="24"/>
          <w:szCs w:val="24"/>
          <w:lang w:val="zh-CN"/>
        </w:rPr>
        <w:t>.2</w:t>
      </w:r>
      <w:r>
        <w:rPr>
          <w:rFonts w:hint="eastAsia" w:asciiTheme="minorEastAsia" w:hAnsiTheme="minorEastAsia"/>
          <w:sz w:val="24"/>
          <w:szCs w:val="24"/>
          <w:lang w:val="zh-CN"/>
        </w:rPr>
        <w:t xml:space="preserve"> 本合同需要明示的法律、行政法规：《中华人民共和国民法典》、《中华人民共和国建筑法》、</w:t>
      </w:r>
      <w:r>
        <w:rPr>
          <w:rFonts w:hint="eastAsia" w:cs="宋体" w:asciiTheme="minorEastAsia" w:hAnsiTheme="minorEastAsia"/>
          <w:sz w:val="24"/>
          <w:szCs w:val="24"/>
        </w:rPr>
        <w:t>《中华人民共和国招标投标法》、《中华人民共和国招标投标法实施条例》、《中华人民共和国政府采购法》、《中华人民共和国政府采购法实施条例》、《深圳经济特区建设施工招标投标条例》和《</w:t>
      </w:r>
      <w:r>
        <w:rPr>
          <w:rFonts w:hint="eastAsia" w:asciiTheme="minorEastAsia" w:hAnsiTheme="minorEastAsia"/>
          <w:sz w:val="24"/>
          <w:szCs w:val="24"/>
        </w:rPr>
        <w:t>深圳市人民政府印发关于建设工程招标投标改革若干规定的通知（</w:t>
      </w:r>
      <w:r>
        <w:rPr>
          <w:rFonts w:hint="eastAsia" w:cs="宋体" w:asciiTheme="minorEastAsia" w:hAnsiTheme="minorEastAsia"/>
          <w:sz w:val="24"/>
          <w:szCs w:val="24"/>
        </w:rPr>
        <w:t>深府【2015】73号</w:t>
      </w:r>
      <w:r>
        <w:rPr>
          <w:rFonts w:hint="eastAsia" w:asciiTheme="minorEastAsia" w:hAnsiTheme="minorEastAsia"/>
          <w:sz w:val="24"/>
          <w:szCs w:val="24"/>
        </w:rPr>
        <w:t>）</w:t>
      </w:r>
      <w:r>
        <w:rPr>
          <w:rFonts w:hint="eastAsia" w:cs="宋体" w:asciiTheme="minorEastAsia" w:hAnsiTheme="minorEastAsia"/>
          <w:sz w:val="24"/>
          <w:szCs w:val="24"/>
        </w:rPr>
        <w:t>》等现行的法律、法规、规章、规定及办法。</w:t>
      </w:r>
    </w:p>
    <w:p w14:paraId="59B6D3ED">
      <w:pPr>
        <w:adjustRightInd w:val="0"/>
        <w:spacing w:line="360" w:lineRule="auto"/>
        <w:ind w:firstLine="482" w:firstLineChars="200"/>
        <w:rPr>
          <w:rFonts w:asciiTheme="minorEastAsia" w:hAnsiTheme="minorEastAsia"/>
          <w:b/>
          <w:bCs/>
          <w:sz w:val="24"/>
          <w:szCs w:val="24"/>
        </w:rPr>
      </w:pPr>
      <w:r>
        <w:rPr>
          <w:rFonts w:hint="eastAsia" w:asciiTheme="minorEastAsia" w:hAnsiTheme="minorEastAsia"/>
          <w:b/>
          <w:bCs/>
          <w:sz w:val="24"/>
          <w:szCs w:val="24"/>
        </w:rPr>
        <w:t>二、双方一般权利和义务</w:t>
      </w:r>
    </w:p>
    <w:p w14:paraId="05E0CA8D">
      <w:pPr>
        <w:adjustRightInd w:val="0"/>
        <w:spacing w:line="360" w:lineRule="auto"/>
        <w:ind w:firstLine="480" w:firstLineChars="200"/>
        <w:rPr>
          <w:sz w:val="24"/>
          <w:szCs w:val="24"/>
        </w:rPr>
      </w:pPr>
      <w:r>
        <w:rPr>
          <w:rFonts w:hint="eastAsia" w:asciiTheme="minorEastAsia" w:hAnsiTheme="minorEastAsia"/>
          <w:sz w:val="24"/>
          <w:szCs w:val="24"/>
        </w:rPr>
        <w:t>3</w:t>
      </w:r>
      <w:r>
        <w:rPr>
          <w:rFonts w:hint="eastAsia" w:asciiTheme="minorEastAsia" w:hAnsiTheme="minorEastAsia"/>
          <w:sz w:val="24"/>
          <w:szCs w:val="24"/>
          <w:lang w:val="zh-CN"/>
        </w:rPr>
        <w:t>、甲方的义务</w:t>
      </w:r>
    </w:p>
    <w:p w14:paraId="3A7B554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lang w:val="zh-CN"/>
        </w:rPr>
        <w:t>.</w:t>
      </w:r>
      <w:r>
        <w:rPr>
          <w:rFonts w:hint="eastAsia" w:asciiTheme="minorEastAsia" w:hAnsiTheme="minorEastAsia"/>
          <w:sz w:val="24"/>
          <w:szCs w:val="24"/>
        </w:rPr>
        <w:t>1 甲方对乙方进行的具体招标代理工作应进行协助和配合。</w:t>
      </w:r>
    </w:p>
    <w:p w14:paraId="6EAD7F84">
      <w:pPr>
        <w:adjustRightInd w:val="0"/>
        <w:spacing w:line="360" w:lineRule="auto"/>
        <w:ind w:left="480"/>
        <w:rPr>
          <w:rFonts w:ascii="宋体" w:hAnsi="宋体" w:eastAsia="宋体"/>
          <w:sz w:val="24"/>
          <w:szCs w:val="24"/>
        </w:rPr>
      </w:pPr>
      <w:r>
        <w:rPr>
          <w:rFonts w:hint="eastAsia" w:ascii="宋体" w:hAnsi="宋体" w:eastAsia="宋体"/>
          <w:sz w:val="24"/>
          <w:szCs w:val="24"/>
        </w:rPr>
        <w:t>4、乙方的义务</w:t>
      </w:r>
    </w:p>
    <w:p w14:paraId="54C324AA">
      <w:pPr>
        <w:adjustRightInd w:val="0"/>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4.1 </w:t>
      </w:r>
      <w:r>
        <w:rPr>
          <w:rFonts w:hint="eastAsia" w:asciiTheme="minorEastAsia" w:hAnsiTheme="minorEastAsia"/>
          <w:sz w:val="24"/>
          <w:szCs w:val="24"/>
        </w:rPr>
        <w:t>乙方开展招标代理工作的具体范围和内容包括但不限于：</w:t>
      </w:r>
    </w:p>
    <w:p w14:paraId="546867B0">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（1）</w:t>
      </w:r>
      <w:r>
        <w:rPr>
          <w:rFonts w:hint="eastAsia" w:ascii="宋体" w:hAnsi="宋体" w:eastAsia="宋体"/>
          <w:sz w:val="24"/>
          <w:szCs w:val="24"/>
        </w:rPr>
        <w:t>提供招标前期咨询，拟定进度计划安排；</w:t>
      </w:r>
    </w:p>
    <w:p w14:paraId="6476B952">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（2）</w:t>
      </w:r>
      <w:r>
        <w:rPr>
          <w:rFonts w:hint="eastAsia" w:ascii="宋体" w:hAnsi="宋体" w:eastAsia="宋体"/>
          <w:sz w:val="24"/>
          <w:szCs w:val="24"/>
        </w:rPr>
        <w:t>编制招标方案、招标文件并报送甲方审核批准；</w:t>
      </w:r>
    </w:p>
    <w:p w14:paraId="66F17F9A">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（3）</w:t>
      </w:r>
      <w:r>
        <w:rPr>
          <w:rFonts w:hint="eastAsia" w:ascii="宋体" w:hAnsi="宋体" w:eastAsia="宋体"/>
          <w:sz w:val="24"/>
          <w:szCs w:val="24"/>
        </w:rPr>
        <w:t>办理招标公告、招标文件的备案及发布；</w:t>
      </w:r>
    </w:p>
    <w:p w14:paraId="2523A185">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（4）</w:t>
      </w:r>
      <w:r>
        <w:rPr>
          <w:rFonts w:hint="eastAsia" w:ascii="宋体" w:hAnsi="宋体" w:eastAsia="宋体"/>
          <w:sz w:val="24"/>
          <w:szCs w:val="24"/>
        </w:rPr>
        <w:t>负责澄清答疑工作，组织踏勘现场（若有）和答疑会，并草拟答疑纪要；办理答疑补遗文件的备案及发布；</w:t>
      </w:r>
    </w:p>
    <w:p w14:paraId="234B1923">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（5）</w:t>
      </w:r>
      <w:r>
        <w:rPr>
          <w:rFonts w:hint="eastAsia" w:ascii="宋体" w:hAnsi="宋体" w:eastAsia="宋体"/>
          <w:sz w:val="24"/>
          <w:szCs w:val="24"/>
        </w:rPr>
        <w:t>审查投标人资格；</w:t>
      </w:r>
    </w:p>
    <w:p w14:paraId="684E56F3">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（6）</w:t>
      </w:r>
      <w:r>
        <w:rPr>
          <w:rFonts w:hint="eastAsia" w:ascii="宋体" w:hAnsi="宋体" w:eastAsia="宋体"/>
          <w:sz w:val="24"/>
          <w:szCs w:val="24"/>
        </w:rPr>
        <w:t>组织开标、评标等会务工作；</w:t>
      </w:r>
    </w:p>
    <w:p w14:paraId="5B7AF635">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（7）</w:t>
      </w:r>
      <w:r>
        <w:rPr>
          <w:rFonts w:hint="eastAsia" w:ascii="宋体" w:hAnsi="宋体" w:eastAsia="宋体"/>
          <w:sz w:val="24"/>
          <w:szCs w:val="24"/>
        </w:rPr>
        <w:t>协助甲方进行清标，罗列清标情况，编制清标报告等有关资料；</w:t>
      </w:r>
    </w:p>
    <w:p w14:paraId="347E336F">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（8）</w:t>
      </w:r>
      <w:r>
        <w:rPr>
          <w:rFonts w:hint="eastAsia" w:ascii="宋体" w:hAnsi="宋体" w:eastAsia="宋体"/>
          <w:sz w:val="24"/>
          <w:szCs w:val="24"/>
        </w:rPr>
        <w:t>组织定标会，协助甲方定标；</w:t>
      </w:r>
    </w:p>
    <w:p w14:paraId="76BC88CB">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（9）</w:t>
      </w:r>
      <w:r>
        <w:rPr>
          <w:rFonts w:hint="eastAsia" w:ascii="宋体" w:hAnsi="宋体" w:eastAsia="宋体"/>
          <w:sz w:val="24"/>
          <w:szCs w:val="24"/>
        </w:rPr>
        <w:t>编制招标投标情况报告；</w:t>
      </w:r>
    </w:p>
    <w:p w14:paraId="5184C1F0">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（10）</w:t>
      </w:r>
      <w:r>
        <w:rPr>
          <w:rFonts w:hint="eastAsia" w:ascii="宋体" w:hAnsi="宋体" w:eastAsia="宋体"/>
          <w:sz w:val="24"/>
          <w:szCs w:val="24"/>
        </w:rPr>
        <w:t>办理招标投标全过程的备案手续；</w:t>
      </w:r>
    </w:p>
    <w:p w14:paraId="37F2335B">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（11）</w:t>
      </w:r>
      <w:r>
        <w:rPr>
          <w:rFonts w:hint="eastAsia" w:ascii="宋体" w:hAnsi="宋体" w:eastAsia="宋体"/>
          <w:sz w:val="24"/>
          <w:szCs w:val="24"/>
        </w:rPr>
        <w:t>签发中标通知书；</w:t>
      </w:r>
    </w:p>
    <w:p w14:paraId="306AC931">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（12）</w:t>
      </w:r>
      <w:r>
        <w:rPr>
          <w:rFonts w:hint="eastAsia" w:ascii="宋体" w:hAnsi="宋体" w:eastAsia="宋体"/>
          <w:sz w:val="24"/>
          <w:szCs w:val="24"/>
        </w:rPr>
        <w:t>整理归档招标资料；</w:t>
      </w:r>
    </w:p>
    <w:p w14:paraId="7A2179AC">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（13）</w:t>
      </w:r>
      <w:r>
        <w:rPr>
          <w:rFonts w:hint="eastAsia" w:ascii="宋体" w:hAnsi="宋体" w:eastAsia="宋体"/>
          <w:sz w:val="24"/>
          <w:szCs w:val="24"/>
        </w:rPr>
        <w:t>协助甲方与中标人签订合同；</w:t>
      </w:r>
    </w:p>
    <w:p w14:paraId="3E93FC81">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（14）</w:t>
      </w:r>
      <w:r>
        <w:rPr>
          <w:rFonts w:hint="eastAsia" w:ascii="宋体" w:hAnsi="宋体" w:eastAsia="宋体"/>
          <w:sz w:val="24"/>
          <w:szCs w:val="24"/>
        </w:rPr>
        <w:t>在依法需要重新招标的情形出现时，开展重新招标工作；</w:t>
      </w:r>
    </w:p>
    <w:p w14:paraId="5B12B5B6">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（15）</w:t>
      </w:r>
      <w:r>
        <w:rPr>
          <w:rFonts w:hint="eastAsia" w:ascii="宋体" w:hAnsi="宋体" w:eastAsia="宋体"/>
          <w:sz w:val="24"/>
          <w:szCs w:val="24"/>
        </w:rPr>
        <w:t>参加或配合召开相关各种汇报会、论证会，必要时提供投标分析成果及建议，并按甲方要求制作相关的资料和电子文件等；</w:t>
      </w:r>
    </w:p>
    <w:p w14:paraId="1AF84751">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（16）</w:t>
      </w:r>
      <w:r>
        <w:rPr>
          <w:rFonts w:hint="eastAsia" w:ascii="宋体" w:hAnsi="宋体" w:eastAsia="宋体"/>
          <w:sz w:val="24"/>
          <w:szCs w:val="24"/>
        </w:rPr>
        <w:t>无条件配合合同范围内的反复修改、评审工作；</w:t>
      </w:r>
    </w:p>
    <w:p w14:paraId="3A256057">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（17）</w:t>
      </w:r>
      <w:r>
        <w:rPr>
          <w:rFonts w:hint="eastAsia" w:ascii="宋体" w:hAnsi="宋体" w:eastAsia="宋体"/>
          <w:sz w:val="24"/>
          <w:szCs w:val="24"/>
        </w:rPr>
        <w:t>按要求参加会议并在会议纪要上会签，按会议纪要要求对成果文件进行修改、补充和完善；</w:t>
      </w:r>
    </w:p>
    <w:p w14:paraId="0A2AA4FF">
      <w:pPr>
        <w:numPr>
          <w:ilvl w:val="0"/>
          <w:numId w:val="0"/>
        </w:numPr>
        <w:adjustRightInd w:val="0"/>
        <w:spacing w:line="360" w:lineRule="auto"/>
        <w:ind w:firstLine="480" w:firstLineChars="20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（18）</w:t>
      </w:r>
      <w:r>
        <w:rPr>
          <w:rFonts w:hint="eastAsia" w:ascii="宋体" w:hAnsi="宋体" w:eastAsia="宋体" w:cstheme="minorBidi"/>
          <w:kern w:val="2"/>
          <w:sz w:val="24"/>
          <w:szCs w:val="24"/>
          <w:lang w:val="en-US" w:eastAsia="zh-CN" w:bidi="ar-SA"/>
        </w:rPr>
        <w:t>招标过程中甲方为完成招投标活动所要求乙方承担的其他工作内容；</w:t>
      </w:r>
    </w:p>
    <w:p w14:paraId="4E5E5773">
      <w:pPr>
        <w:numPr>
          <w:ilvl w:val="0"/>
          <w:numId w:val="0"/>
        </w:numPr>
        <w:adjustRightInd w:val="0"/>
        <w:spacing w:line="360" w:lineRule="auto"/>
        <w:ind w:firstLine="480" w:firstLineChars="200"/>
        <w:rPr>
          <w:rFonts w:hint="default"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（19）</w:t>
      </w:r>
      <w:r>
        <w:rPr>
          <w:rFonts w:hint="eastAsia" w:ascii="宋体" w:hAnsi="宋体" w:eastAsia="宋体" w:cstheme="minorBidi"/>
          <w:kern w:val="2"/>
          <w:sz w:val="24"/>
          <w:szCs w:val="24"/>
          <w:lang w:val="en-US" w:eastAsia="zh-CN" w:bidi="ar-SA"/>
        </w:rPr>
        <w:t>提供一名驻场人员于委托人指定地点办公，服务至合同期满（受托人负责驻场人员薪酬、社保、福利、食宿等费用）。</w:t>
      </w:r>
    </w:p>
    <w:p w14:paraId="749E1562">
      <w:pPr>
        <w:adjustRightInd w:val="0"/>
        <w:spacing w:line="360" w:lineRule="auto"/>
        <w:ind w:firstLine="480" w:firstLineChars="200"/>
        <w:rPr>
          <w:rFonts w:ascii="宋体" w:hAnsi="宋体" w:eastAsia="宋体"/>
          <w:sz w:val="24"/>
          <w:szCs w:val="24"/>
        </w:rPr>
      </w:pPr>
      <w:r>
        <w:rPr>
          <w:rFonts w:hint="eastAsia" w:ascii="宋体" w:hAnsi="宋体" w:eastAsia="宋体"/>
          <w:sz w:val="24"/>
          <w:szCs w:val="24"/>
        </w:rPr>
        <w:t>4.2严格按项目招标规定的相关工作程序和招标代理工作具体范围及内容按时按质完成全部工作；乙方应确保为项目配备足够的人员、设备资源以满足本项目招标代理工作的进度要求及质量管理要求。</w:t>
      </w:r>
    </w:p>
    <w:p w14:paraId="47E4F17D">
      <w:pPr>
        <w:adjustRightInd w:val="0"/>
        <w:spacing w:line="360" w:lineRule="auto"/>
        <w:ind w:firstLine="480" w:firstLineChars="200"/>
        <w:rPr>
          <w:rFonts w:hint="default" w:ascii="宋体" w:hAnsi="宋体" w:eastAsia="宋体"/>
          <w:color w:val="000000" w:themeColor="text1"/>
          <w:sz w:val="24"/>
          <w:szCs w:val="24"/>
          <w:u w:val="single"/>
          <w:lang w:val="en-US"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乙方招标代理项目总负责人：</w:t>
      </w:r>
      <w:r>
        <w:rPr>
          <w:rFonts w:hint="eastAsia" w:ascii="宋体" w:hAnsi="宋体" w:eastAsia="宋体"/>
          <w:color w:val="000000" w:themeColor="text1"/>
          <w:sz w:val="24"/>
          <w:szCs w:val="24"/>
          <w:u w:val="single"/>
          <w:lang w:val="en-US" w:eastAsia="zh-CN"/>
          <w14:textFill>
            <w14:solidFill>
              <w14:schemeClr w14:val="tx1"/>
            </w14:solidFill>
          </w14:textFill>
        </w:rPr>
        <w:t xml:space="preserve">         </w:t>
      </w:r>
    </w:p>
    <w:p w14:paraId="345E8BBE">
      <w:pPr>
        <w:adjustRightInd w:val="0"/>
        <w:spacing w:line="360" w:lineRule="auto"/>
        <w:ind w:firstLine="480" w:firstLineChars="200"/>
        <w:rPr>
          <w:rFonts w:hint="default" w:ascii="宋体" w:hAnsi="宋体" w:eastAsia="宋体"/>
          <w:color w:val="000000" w:themeColor="text1"/>
          <w:sz w:val="24"/>
          <w:szCs w:val="24"/>
          <w:u w:val="single"/>
          <w:lang w:val="en-US"/>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身份证号：</w:t>
      </w:r>
      <w:r>
        <w:rPr>
          <w:rFonts w:hint="eastAsia" w:ascii="宋体" w:hAnsi="宋体" w:eastAsia="宋体"/>
          <w:color w:val="000000" w:themeColor="text1"/>
          <w:sz w:val="24"/>
          <w:szCs w:val="24"/>
          <w:u w:val="single"/>
          <w:lang w:val="en-US" w:eastAsia="zh-CN"/>
          <w14:textFill>
            <w14:solidFill>
              <w14:schemeClr w14:val="tx1"/>
            </w14:solidFill>
          </w14:textFill>
        </w:rPr>
        <w:t xml:space="preserve">                </w:t>
      </w:r>
    </w:p>
    <w:p w14:paraId="19FA62D6">
      <w:pPr>
        <w:adjustRightInd w:val="0"/>
        <w:spacing w:line="360" w:lineRule="auto"/>
        <w:ind w:firstLine="480" w:firstLineChars="200"/>
        <w:rPr>
          <w:rFonts w:hint="default" w:ascii="宋体" w:hAnsi="宋体" w:eastAsia="宋体"/>
          <w:color w:val="000000" w:themeColor="text1"/>
          <w:sz w:val="24"/>
          <w:szCs w:val="24"/>
          <w:u w:val="single"/>
          <w:lang w:val="en-US"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专业职称：</w:t>
      </w:r>
      <w:r>
        <w:rPr>
          <w:rFonts w:hint="eastAsia" w:ascii="宋体" w:hAnsi="宋体" w:eastAsia="宋体"/>
          <w:color w:val="000000" w:themeColor="text1"/>
          <w:sz w:val="24"/>
          <w:szCs w:val="24"/>
          <w:u w:val="single"/>
          <w:lang w:val="en-US" w:eastAsia="zh-CN"/>
          <w14:textFill>
            <w14:solidFill>
              <w14:schemeClr w14:val="tx1"/>
            </w14:solidFill>
          </w14:textFill>
        </w:rPr>
        <w:t xml:space="preserve">                </w:t>
      </w:r>
    </w:p>
    <w:p w14:paraId="2681E538">
      <w:pPr>
        <w:adjustRightInd w:val="0"/>
        <w:spacing w:line="360" w:lineRule="auto"/>
        <w:ind w:left="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联系电话：</w:t>
      </w:r>
      <w:r>
        <w:rPr>
          <w:rFonts w:hint="eastAsia" w:ascii="宋体" w:hAnsi="宋体" w:eastAsia="宋体"/>
          <w:color w:val="000000" w:themeColor="text1"/>
          <w:sz w:val="24"/>
          <w:szCs w:val="24"/>
          <w:u w:val="single"/>
          <w:lang w:val="en-US" w:eastAsia="zh-CN"/>
          <w14:textFill>
            <w14:solidFill>
              <w14:schemeClr w14:val="tx1"/>
            </w14:solidFill>
          </w14:textFill>
        </w:rPr>
        <w:t xml:space="preserve">                </w:t>
      </w:r>
    </w:p>
    <w:p w14:paraId="32CF1252">
      <w:pPr>
        <w:adjustRightInd w:val="0"/>
        <w:spacing w:line="360" w:lineRule="auto"/>
        <w:ind w:firstLine="480" w:firstLineChars="200"/>
        <w:rPr>
          <w:rFonts w:ascii="宋体" w:hAnsi="宋体" w:eastAsia="宋体"/>
          <w:color w:val="000000" w:themeColor="text1"/>
          <w:sz w:val="24"/>
          <w:szCs w:val="24"/>
          <w:u w:val="single"/>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项目负责人：</w:t>
      </w:r>
      <w:r>
        <w:rPr>
          <w:rFonts w:hint="eastAsia" w:ascii="宋体" w:hAnsi="宋体" w:eastAsia="宋体"/>
          <w:color w:val="000000" w:themeColor="text1"/>
          <w:sz w:val="24"/>
          <w:szCs w:val="24"/>
          <w:u w:val="single"/>
          <w:lang w:val="en-US" w:eastAsia="zh-CN"/>
          <w14:textFill>
            <w14:solidFill>
              <w14:schemeClr w14:val="tx1"/>
            </w14:solidFill>
          </w14:textFill>
        </w:rPr>
        <w:t xml:space="preserve">                </w:t>
      </w:r>
    </w:p>
    <w:p w14:paraId="59DCF61D">
      <w:pPr>
        <w:adjustRightInd w:val="0"/>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身份证号：</w:t>
      </w:r>
      <w:r>
        <w:rPr>
          <w:rFonts w:hint="eastAsia" w:ascii="宋体" w:hAnsi="宋体" w:eastAsia="宋体"/>
          <w:color w:val="000000" w:themeColor="text1"/>
          <w:sz w:val="24"/>
          <w:szCs w:val="24"/>
          <w:u w:val="single"/>
          <w:lang w:val="en-US" w:eastAsia="zh-CN"/>
          <w14:textFill>
            <w14:solidFill>
              <w14:schemeClr w14:val="tx1"/>
            </w14:solidFill>
          </w14:textFill>
        </w:rPr>
        <w:t xml:space="preserve">                </w:t>
      </w:r>
    </w:p>
    <w:p w14:paraId="1A8E93C0">
      <w:pPr>
        <w:adjustRightInd w:val="0"/>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专业职称：</w:t>
      </w:r>
      <w:r>
        <w:rPr>
          <w:rFonts w:hint="eastAsia" w:ascii="宋体" w:hAnsi="宋体" w:eastAsia="宋体"/>
          <w:color w:val="000000" w:themeColor="text1"/>
          <w:sz w:val="24"/>
          <w:szCs w:val="24"/>
          <w:u w:val="single"/>
          <w:lang w:val="en-US" w:eastAsia="zh-CN"/>
          <w14:textFill>
            <w14:solidFill>
              <w14:schemeClr w14:val="tx1"/>
            </w14:solidFill>
          </w14:textFill>
        </w:rPr>
        <w:t xml:space="preserve">                </w:t>
      </w:r>
    </w:p>
    <w:p w14:paraId="05E3D0FA">
      <w:pPr>
        <w:adjustRightInd w:val="0"/>
        <w:spacing w:line="360" w:lineRule="auto"/>
        <w:ind w:firstLine="480" w:firstLineChars="200"/>
        <w:rPr>
          <w:rFonts w:ascii="宋体" w:hAnsi="宋体" w:eastAsia="宋体"/>
          <w:color w:val="000000" w:themeColor="text1"/>
          <w:sz w:val="24"/>
          <w:szCs w:val="24"/>
          <w:u w:val="single"/>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联系电话：</w:t>
      </w:r>
      <w:r>
        <w:rPr>
          <w:rFonts w:hint="eastAsia" w:ascii="宋体" w:hAnsi="宋体" w:eastAsia="宋体"/>
          <w:color w:val="000000" w:themeColor="text1"/>
          <w:sz w:val="24"/>
          <w:szCs w:val="24"/>
          <w:u w:val="single"/>
          <w:lang w:val="en-US" w:eastAsia="zh-CN"/>
          <w14:textFill>
            <w14:solidFill>
              <w14:schemeClr w14:val="tx1"/>
            </w14:solidFill>
          </w14:textFill>
        </w:rPr>
        <w:t xml:space="preserve">                </w:t>
      </w:r>
    </w:p>
    <w:p w14:paraId="776CFB8E">
      <w:pPr>
        <w:adjustRightInd w:val="0"/>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项目经办人：</w:t>
      </w:r>
      <w:r>
        <w:rPr>
          <w:rFonts w:hint="eastAsia" w:ascii="宋体" w:hAnsi="宋体" w:eastAsia="宋体"/>
          <w:color w:val="000000" w:themeColor="text1"/>
          <w:sz w:val="24"/>
          <w:szCs w:val="24"/>
          <w:u w:val="single"/>
          <w:lang w:val="en-US" w:eastAsia="zh-CN"/>
          <w14:textFill>
            <w14:solidFill>
              <w14:schemeClr w14:val="tx1"/>
            </w14:solidFill>
          </w14:textFill>
        </w:rPr>
        <w:t xml:space="preserve">                </w:t>
      </w:r>
    </w:p>
    <w:p w14:paraId="50AD0545">
      <w:pPr>
        <w:adjustRightInd w:val="0"/>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身份证号：</w:t>
      </w:r>
      <w:r>
        <w:rPr>
          <w:rFonts w:hint="eastAsia" w:ascii="宋体" w:hAnsi="宋体" w:eastAsia="宋体"/>
          <w:color w:val="000000" w:themeColor="text1"/>
          <w:sz w:val="24"/>
          <w:szCs w:val="24"/>
          <w:u w:val="single"/>
          <w:lang w:val="en-US" w:eastAsia="zh-CN"/>
          <w14:textFill>
            <w14:solidFill>
              <w14:schemeClr w14:val="tx1"/>
            </w14:solidFill>
          </w14:textFill>
        </w:rPr>
        <w:t xml:space="preserve">                </w:t>
      </w:r>
    </w:p>
    <w:p w14:paraId="14D5D6A4">
      <w:pPr>
        <w:adjustRightInd w:val="0"/>
        <w:spacing w:line="360" w:lineRule="auto"/>
        <w:ind w:firstLine="480" w:firstLineChars="200"/>
        <w:rPr>
          <w:rFonts w:ascii="宋体" w:hAnsi="宋体" w:eastAsia="宋体"/>
          <w:color w:val="000000" w:themeColor="text1"/>
          <w:sz w:val="24"/>
          <w:szCs w:val="24"/>
          <w:u w:val="single"/>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专业职称：</w:t>
      </w:r>
      <w:r>
        <w:rPr>
          <w:rFonts w:hint="eastAsia" w:ascii="宋体" w:hAnsi="宋体" w:eastAsia="宋体"/>
          <w:color w:val="000000" w:themeColor="text1"/>
          <w:sz w:val="24"/>
          <w:szCs w:val="24"/>
          <w:u w:val="single"/>
          <w:lang w:val="en-US" w:eastAsia="zh-CN"/>
          <w14:textFill>
            <w14:solidFill>
              <w14:schemeClr w14:val="tx1"/>
            </w14:solidFill>
          </w14:textFill>
        </w:rPr>
        <w:t xml:space="preserve">                </w:t>
      </w:r>
    </w:p>
    <w:p w14:paraId="01396B78">
      <w:pPr>
        <w:adjustRightInd w:val="0"/>
        <w:spacing w:line="360" w:lineRule="auto"/>
        <w:ind w:firstLine="480" w:firstLineChars="200"/>
        <w:rPr>
          <w:rFonts w:ascii="宋体" w:hAnsi="宋体" w:eastAsia="宋体"/>
          <w:color w:val="000000" w:themeColor="text1"/>
          <w:sz w:val="24"/>
          <w:szCs w:val="24"/>
          <w:u w:val="single"/>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联系电话：</w:t>
      </w:r>
      <w:r>
        <w:rPr>
          <w:rFonts w:hint="eastAsia" w:ascii="宋体" w:hAnsi="宋体" w:eastAsia="宋体"/>
          <w:color w:val="000000" w:themeColor="text1"/>
          <w:sz w:val="24"/>
          <w:szCs w:val="24"/>
          <w:u w:val="single"/>
          <w:lang w:val="en-US" w:eastAsia="zh-CN"/>
          <w14:textFill>
            <w14:solidFill>
              <w14:schemeClr w14:val="tx1"/>
            </w14:solidFill>
          </w14:textFill>
        </w:rPr>
        <w:t xml:space="preserve">                </w:t>
      </w:r>
    </w:p>
    <w:p w14:paraId="03629D41">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rPr>
        <w:t>4</w:t>
      </w:r>
      <w:r>
        <w:rPr>
          <w:rFonts w:asciiTheme="minorEastAsia" w:hAnsiTheme="minorEastAsia"/>
          <w:sz w:val="24"/>
          <w:szCs w:val="24"/>
          <w:lang w:val="zh-CN"/>
        </w:rPr>
        <w:t>.</w:t>
      </w:r>
      <w:r>
        <w:rPr>
          <w:rFonts w:hint="eastAsia" w:asciiTheme="minorEastAsia" w:hAnsiTheme="minorEastAsia"/>
          <w:sz w:val="24"/>
          <w:szCs w:val="24"/>
        </w:rPr>
        <w:t>3</w:t>
      </w:r>
      <w:r>
        <w:rPr>
          <w:rFonts w:hint="eastAsia" w:asciiTheme="minorEastAsia" w:hAnsiTheme="minorEastAsia"/>
          <w:sz w:val="24"/>
          <w:szCs w:val="24"/>
          <w:lang w:val="zh-CN"/>
        </w:rPr>
        <w:t>乙方应按约定的时间和要求完成下列工作：</w:t>
      </w:r>
    </w:p>
    <w:p w14:paraId="4E7843E7">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（1）乙方的工作期限为从委托之日起，</w:t>
      </w:r>
      <w:r>
        <w:rPr>
          <w:rFonts w:hint="eastAsia" w:asciiTheme="minorEastAsia" w:hAnsiTheme="minorEastAsia"/>
          <w:sz w:val="24"/>
          <w:szCs w:val="24"/>
          <w:u w:val="single"/>
          <w:lang w:val="zh-CN"/>
        </w:rPr>
        <w:t xml:space="preserve"> 50 </w:t>
      </w:r>
      <w:r>
        <w:rPr>
          <w:rFonts w:hint="eastAsia" w:asciiTheme="minorEastAsia" w:hAnsiTheme="minorEastAsia"/>
          <w:sz w:val="24"/>
          <w:szCs w:val="24"/>
          <w:lang w:val="zh-CN"/>
        </w:rPr>
        <w:t>天内完成单项招标工作的所有工作内容（非乙方原因导致延期除外）。乙方每次对文件的修改不超过</w:t>
      </w:r>
      <w:r>
        <w:rPr>
          <w:rFonts w:hint="eastAsia" w:asciiTheme="minorEastAsia" w:hAnsiTheme="minorEastAsia"/>
          <w:sz w:val="24"/>
          <w:szCs w:val="24"/>
          <w:u w:val="single"/>
          <w:lang w:val="zh-CN"/>
        </w:rPr>
        <w:t xml:space="preserve"> 5 </w:t>
      </w:r>
      <w:r>
        <w:rPr>
          <w:rFonts w:hint="eastAsia" w:asciiTheme="minorEastAsia" w:hAnsiTheme="minorEastAsia"/>
          <w:sz w:val="24"/>
          <w:szCs w:val="24"/>
          <w:lang w:val="zh-CN"/>
        </w:rPr>
        <w:t>天，甲方对时限有要求的按具体要求执行，由此产生的费用已经包含在合同价格中。</w:t>
      </w:r>
    </w:p>
    <w:p w14:paraId="657218DC">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w:t>
      </w:r>
      <w:r>
        <w:rPr>
          <w:rFonts w:asciiTheme="minorEastAsia" w:hAnsiTheme="minorEastAsia"/>
          <w:sz w:val="24"/>
          <w:szCs w:val="24"/>
          <w:lang w:val="zh-CN"/>
        </w:rPr>
        <w:t>2</w:t>
      </w:r>
      <w:r>
        <w:rPr>
          <w:rFonts w:hint="eastAsia" w:asciiTheme="minorEastAsia" w:hAnsiTheme="minorEastAsia"/>
          <w:sz w:val="24"/>
          <w:szCs w:val="24"/>
          <w:lang w:val="zh-CN"/>
        </w:rPr>
        <w:t>）乙方完成相应阶段工作内容，应提交的成果包括但不限于：</w:t>
      </w:r>
    </w:p>
    <w:p w14:paraId="659F9702">
      <w:pPr>
        <w:autoSpaceDE w:val="0"/>
        <w:autoSpaceDN w:val="0"/>
        <w:adjustRightInd w:val="0"/>
        <w:spacing w:line="360" w:lineRule="auto"/>
        <w:ind w:firstLine="720" w:firstLineChars="300"/>
        <w:rPr>
          <w:rFonts w:asciiTheme="minorEastAsia" w:hAnsiTheme="minorEastAsia"/>
          <w:sz w:val="24"/>
          <w:szCs w:val="24"/>
          <w:lang w:val="zh-CN"/>
        </w:rPr>
      </w:pPr>
      <w:r>
        <w:rPr>
          <w:rFonts w:hint="eastAsia" w:asciiTheme="minorEastAsia" w:hAnsiTheme="minorEastAsia"/>
          <w:sz w:val="24"/>
          <w:szCs w:val="24"/>
          <w:lang w:val="zh-CN"/>
        </w:rPr>
        <w:t>①在接受甲方委托后</w:t>
      </w:r>
      <w:r>
        <w:rPr>
          <w:rFonts w:hint="eastAsia" w:asciiTheme="minorEastAsia" w:hAnsiTheme="minorEastAsia"/>
          <w:sz w:val="24"/>
          <w:szCs w:val="24"/>
          <w:u w:val="single"/>
          <w:lang w:val="zh-CN"/>
        </w:rPr>
        <w:t xml:space="preserve"> 5 </w:t>
      </w:r>
      <w:r>
        <w:rPr>
          <w:rFonts w:hint="eastAsia" w:asciiTheme="minorEastAsia" w:hAnsiTheme="minorEastAsia"/>
          <w:sz w:val="24"/>
          <w:szCs w:val="24"/>
          <w:lang w:val="zh-CN"/>
        </w:rPr>
        <w:t>天内完成招标文件的编制、报甲方审核。</w:t>
      </w:r>
    </w:p>
    <w:p w14:paraId="1AF6E376">
      <w:pPr>
        <w:autoSpaceDE w:val="0"/>
        <w:autoSpaceDN w:val="0"/>
        <w:adjustRightInd w:val="0"/>
        <w:spacing w:line="360" w:lineRule="auto"/>
        <w:ind w:firstLine="720" w:firstLineChars="300"/>
        <w:rPr>
          <w:rFonts w:asciiTheme="minorEastAsia" w:hAnsiTheme="minorEastAsia"/>
          <w:sz w:val="24"/>
          <w:szCs w:val="24"/>
          <w:lang w:val="zh-CN"/>
        </w:rPr>
      </w:pPr>
      <w:r>
        <w:rPr>
          <w:rFonts w:hint="eastAsia" w:asciiTheme="minorEastAsia" w:hAnsiTheme="minorEastAsia"/>
          <w:sz w:val="24"/>
          <w:szCs w:val="24"/>
          <w:lang w:val="zh-CN"/>
        </w:rPr>
        <w:t>②在甲方确认招标文件后</w:t>
      </w:r>
      <w:r>
        <w:rPr>
          <w:rFonts w:hint="eastAsia" w:asciiTheme="minorEastAsia" w:hAnsiTheme="minorEastAsia"/>
          <w:sz w:val="24"/>
          <w:szCs w:val="24"/>
          <w:u w:val="single"/>
          <w:lang w:val="zh-CN"/>
        </w:rPr>
        <w:t xml:space="preserve"> 5 </w:t>
      </w:r>
      <w:r>
        <w:rPr>
          <w:rFonts w:hint="eastAsia" w:asciiTheme="minorEastAsia" w:hAnsiTheme="minorEastAsia"/>
          <w:sz w:val="24"/>
          <w:szCs w:val="24"/>
          <w:lang w:val="zh-CN"/>
        </w:rPr>
        <w:t>个工作日内，发布招标公告。</w:t>
      </w:r>
    </w:p>
    <w:p w14:paraId="48AB985E">
      <w:pPr>
        <w:autoSpaceDE w:val="0"/>
        <w:autoSpaceDN w:val="0"/>
        <w:adjustRightInd w:val="0"/>
        <w:spacing w:line="360" w:lineRule="auto"/>
        <w:ind w:firstLine="720" w:firstLineChars="300"/>
        <w:rPr>
          <w:rFonts w:asciiTheme="minorEastAsia" w:hAnsiTheme="minorEastAsia"/>
          <w:sz w:val="24"/>
          <w:szCs w:val="24"/>
          <w:lang w:val="zh-CN"/>
        </w:rPr>
      </w:pPr>
      <w:r>
        <w:rPr>
          <w:rFonts w:hint="eastAsia" w:asciiTheme="minorEastAsia" w:hAnsiTheme="minorEastAsia"/>
          <w:sz w:val="24"/>
          <w:szCs w:val="24"/>
          <w:lang w:val="zh-CN"/>
        </w:rPr>
        <w:t>③按照法律法规规定的程序完成招标后</w:t>
      </w:r>
      <w:r>
        <w:rPr>
          <w:rFonts w:hint="eastAsia" w:asciiTheme="minorEastAsia" w:hAnsiTheme="minorEastAsia"/>
          <w:sz w:val="24"/>
          <w:szCs w:val="24"/>
          <w:u w:val="single"/>
          <w:lang w:val="zh-CN"/>
        </w:rPr>
        <w:t xml:space="preserve"> 7 </w:t>
      </w:r>
      <w:r>
        <w:rPr>
          <w:rFonts w:hint="eastAsia" w:asciiTheme="minorEastAsia" w:hAnsiTheme="minorEastAsia"/>
          <w:sz w:val="24"/>
          <w:szCs w:val="24"/>
          <w:lang w:val="zh-CN"/>
        </w:rPr>
        <w:t>天内提交招标情况报告。</w:t>
      </w:r>
    </w:p>
    <w:p w14:paraId="32718390">
      <w:pPr>
        <w:autoSpaceDE w:val="0"/>
        <w:autoSpaceDN w:val="0"/>
        <w:adjustRightInd w:val="0"/>
        <w:spacing w:line="360" w:lineRule="auto"/>
        <w:ind w:firstLine="720" w:firstLineChars="300"/>
        <w:rPr>
          <w:rFonts w:asciiTheme="minorEastAsia" w:hAnsiTheme="minorEastAsia"/>
          <w:sz w:val="24"/>
          <w:szCs w:val="24"/>
          <w:lang w:val="zh-CN"/>
        </w:rPr>
      </w:pPr>
      <w:r>
        <w:rPr>
          <w:rFonts w:hint="eastAsia" w:asciiTheme="minorEastAsia" w:hAnsiTheme="minorEastAsia"/>
          <w:sz w:val="24"/>
          <w:szCs w:val="24"/>
          <w:lang w:val="zh-CN"/>
        </w:rPr>
        <w:t>④在中标通知书发出后</w:t>
      </w:r>
      <w:r>
        <w:rPr>
          <w:rFonts w:hint="eastAsia" w:asciiTheme="minorEastAsia" w:hAnsiTheme="minorEastAsia"/>
          <w:sz w:val="24"/>
          <w:szCs w:val="24"/>
          <w:u w:val="single"/>
          <w:lang w:val="zh-CN"/>
        </w:rPr>
        <w:t xml:space="preserve"> 15 </w:t>
      </w:r>
      <w:r>
        <w:rPr>
          <w:rFonts w:hint="eastAsia" w:asciiTheme="minorEastAsia" w:hAnsiTheme="minorEastAsia"/>
          <w:sz w:val="24"/>
          <w:szCs w:val="24"/>
          <w:lang w:val="zh-CN"/>
        </w:rPr>
        <w:t>天内，向甲方提供3套全部招标资料,并装订成册（一正两副）。</w:t>
      </w:r>
    </w:p>
    <w:p w14:paraId="1930AC00">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（3）应用专业技术与技能为甲方提供完成招标工作相关的咨询服务；</w:t>
      </w:r>
    </w:p>
    <w:p w14:paraId="7DEC9477">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（4）依法应尽的其他义务，包含但不限于以下要求：</w:t>
      </w:r>
    </w:p>
    <w:p w14:paraId="7E32AC57">
      <w:pPr>
        <w:adjustRightInd w:val="0"/>
        <w:spacing w:line="360" w:lineRule="auto"/>
        <w:ind w:firstLine="720" w:firstLineChars="300"/>
        <w:rPr>
          <w:rFonts w:cs="Times New Roman" w:asciiTheme="minorEastAsia" w:hAnsiTheme="minorEastAsia"/>
          <w:sz w:val="24"/>
          <w:szCs w:val="24"/>
        </w:rPr>
      </w:pPr>
      <w:r>
        <w:rPr>
          <w:rFonts w:hint="eastAsia" w:cs="Times New Roman" w:asciiTheme="minorEastAsia" w:hAnsiTheme="minorEastAsia"/>
          <w:sz w:val="24"/>
          <w:szCs w:val="24"/>
        </w:rPr>
        <w:t>①按照国家、广东省、深圳市招投标和政府采购相关法律法规，在甲方的授权与监督管理下，代理实施项目范围内的招标及采购工作，并接受其它相关方的监督、审查。</w:t>
      </w:r>
    </w:p>
    <w:p w14:paraId="7DCD8837">
      <w:pPr>
        <w:adjustRightInd w:val="0"/>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②按照合法、公开、公平、公正和诚实信用原则，组织招标工作，维护各方的合法权益；</w:t>
      </w:r>
    </w:p>
    <w:p w14:paraId="3D4F8E33">
      <w:pPr>
        <w:autoSpaceDE w:val="0"/>
        <w:autoSpaceDN w:val="0"/>
        <w:adjustRightInd w:val="0"/>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③招标过程中，及时、准确地向甲方汇报招标进度及招标情况；</w:t>
      </w:r>
    </w:p>
    <w:p w14:paraId="3DB7E749">
      <w:pPr>
        <w:autoSpaceDE w:val="0"/>
        <w:autoSpaceDN w:val="0"/>
        <w:adjustRightInd w:val="0"/>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④配合甲方所聘请的顾问或相关部门对招标文件进行审核（如果有）。</w:t>
      </w:r>
    </w:p>
    <w:p w14:paraId="062EFB58">
      <w:pPr>
        <w:autoSpaceDE w:val="0"/>
        <w:autoSpaceDN w:val="0"/>
        <w:adjustRightInd w:val="0"/>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5、甲方的权利</w:t>
      </w:r>
    </w:p>
    <w:p w14:paraId="4245EBD8">
      <w:pPr>
        <w:autoSpaceDE w:val="0"/>
        <w:autoSpaceDN w:val="0"/>
        <w:adjustRightInd w:val="0"/>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5.1甲方拥有的其他权利：</w:t>
      </w:r>
    </w:p>
    <w:p w14:paraId="2FB378F7">
      <w:pPr>
        <w:autoSpaceDE w:val="0"/>
        <w:autoSpaceDN w:val="0"/>
        <w:adjustRightInd w:val="0"/>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（1）乙方在提供招标代理服务过程中因故意或过失造成甲方的合法权益损害的，甲方有权解除本合同，给予履约评价不合格处理，并在一定期限内拒绝乙方参与甲方项</w:t>
      </w:r>
      <w:r>
        <w:rPr>
          <w:rFonts w:hint="eastAsia" w:cs="Times New Roman" w:asciiTheme="minorEastAsia" w:hAnsiTheme="minorEastAsia"/>
          <w:color w:val="000000" w:themeColor="text1"/>
          <w:sz w:val="24"/>
          <w:szCs w:val="24"/>
          <w14:textFill>
            <w14:solidFill>
              <w14:schemeClr w14:val="tx1"/>
            </w14:solidFill>
          </w14:textFill>
        </w:rPr>
        <w:t>目招标代理投标或抽</w:t>
      </w:r>
      <w:r>
        <w:rPr>
          <w:rFonts w:hint="eastAsia" w:cs="Times New Roman" w:asciiTheme="minorEastAsia" w:hAnsiTheme="minorEastAsia"/>
          <w:sz w:val="24"/>
          <w:szCs w:val="24"/>
        </w:rPr>
        <w:t>签候选，并要求乙方承担与自身过错相适应的赔偿责任，如造成其他经济损失的，甲方有权要求乙方赔偿。</w:t>
      </w:r>
    </w:p>
    <w:p w14:paraId="1813AA4C">
      <w:pPr>
        <w:autoSpaceDE w:val="0"/>
        <w:autoSpaceDN w:val="0"/>
        <w:adjustRightInd w:val="0"/>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（2）对出现违规行为的乙方，提请建设行政主管部门进行相应处理。</w:t>
      </w:r>
    </w:p>
    <w:p w14:paraId="764AFCF4">
      <w:pPr>
        <w:autoSpaceDE w:val="0"/>
        <w:autoSpaceDN w:val="0"/>
        <w:adjustRightInd w:val="0"/>
        <w:spacing w:line="360" w:lineRule="auto"/>
        <w:ind w:firstLine="480" w:firstLineChars="200"/>
        <w:rPr>
          <w:rFonts w:hint="eastAsia" w:cs="Times New Roman" w:asciiTheme="minorEastAsia" w:hAnsiTheme="minorEastAsia"/>
          <w:sz w:val="24"/>
          <w:szCs w:val="24"/>
        </w:rPr>
      </w:pPr>
      <w:r>
        <w:rPr>
          <w:rFonts w:hint="eastAsia" w:cs="Times New Roman" w:asciiTheme="minorEastAsia" w:hAnsiTheme="minorEastAsia"/>
          <w:sz w:val="24"/>
          <w:szCs w:val="24"/>
        </w:rPr>
        <w:t>（3）凡履约评价为不合格的单位，给予一定的处罚或根据《深圳市人民政府印发关于建设工程招标投标改革若干规定的通知》（深府〔2015〕73号）的有关规定，不接受其在一定时期内参与集团项目投标（限制期在截标前已经生效的，应当不接受其参与集团项目投标），具体如下</w:t>
      </w: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lang w:val="en-US" w:eastAsia="zh-CN"/>
        </w:rPr>
        <w:t>详见附件2：《深圳市龙华建设发展集团有限公司建设工程合同履约评价管理办法（试行）》</w:t>
      </w: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rPr>
        <w:t>：</w:t>
      </w:r>
    </w:p>
    <w:p w14:paraId="338F35BD">
      <w:pPr>
        <w:autoSpaceDE w:val="0"/>
        <w:autoSpaceDN w:val="0"/>
        <w:adjustRightInd w:val="0"/>
        <w:spacing w:line="360" w:lineRule="auto"/>
        <w:ind w:firstLine="480" w:firstLineChars="200"/>
        <w:rPr>
          <w:rFonts w:hint="eastAsia" w:cs="Times New Roman" w:asciiTheme="minorEastAsia" w:hAnsiTheme="minorEastAsia"/>
          <w:sz w:val="24"/>
          <w:szCs w:val="24"/>
        </w:rPr>
      </w:pPr>
      <w:r>
        <w:rPr>
          <w:rFonts w:hint="eastAsia" w:cs="Times New Roman" w:asciiTheme="minorEastAsia" w:hAnsiTheme="minorEastAsia"/>
          <w:sz w:val="24"/>
          <w:szCs w:val="24"/>
        </w:rPr>
        <w:t>1</w:t>
      </w: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rPr>
        <w:t>即时履约评价不合格的履约单位，按其定期履约评价不合格进行处罚，与对应当期的定期履约评价不合格不进行重复处罚，但若被政府相关部门处罚则按政府相关部门要求执行。</w:t>
      </w:r>
    </w:p>
    <w:p w14:paraId="4C869AC6">
      <w:pPr>
        <w:autoSpaceDE w:val="0"/>
        <w:autoSpaceDN w:val="0"/>
        <w:adjustRightInd w:val="0"/>
        <w:spacing w:line="360" w:lineRule="auto"/>
        <w:ind w:firstLine="480" w:firstLineChars="200"/>
        <w:rPr>
          <w:rFonts w:hint="eastAsia" w:cs="Times New Roman" w:asciiTheme="minorEastAsia" w:hAnsiTheme="minorEastAsia"/>
          <w:sz w:val="24"/>
          <w:szCs w:val="24"/>
        </w:rPr>
      </w:pPr>
      <w:r>
        <w:rPr>
          <w:rFonts w:hint="eastAsia" w:cs="Times New Roman" w:asciiTheme="minorEastAsia" w:hAnsiTheme="minorEastAsia"/>
          <w:sz w:val="24"/>
          <w:szCs w:val="24"/>
        </w:rPr>
        <w:t>2</w:t>
      </w: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rPr>
        <w:t>定期履约评价不合格的履约单位，按不同类别合同进行处罚(罚款自履约评价结果公告后下一次进度款申请中予以扣除)，具体处罚金额如下:</w:t>
      </w:r>
    </w:p>
    <w:p w14:paraId="53AA98F2">
      <w:pPr>
        <w:autoSpaceDE w:val="0"/>
        <w:autoSpaceDN w:val="0"/>
        <w:adjustRightInd w:val="0"/>
        <w:spacing w:line="360" w:lineRule="auto"/>
        <w:ind w:firstLine="480" w:firstLineChars="200"/>
        <w:rPr>
          <w:rFonts w:hint="eastAsia" w:cs="Times New Roman" w:asciiTheme="minorEastAsia" w:hAnsiTheme="minorEastAsia"/>
          <w:sz w:val="24"/>
          <w:szCs w:val="24"/>
        </w:rPr>
      </w:pPr>
      <w:r>
        <w:rPr>
          <w:rFonts w:hint="eastAsia" w:cs="Times New Roman" w:asciiTheme="minorEastAsia" w:hAnsiTheme="minorEastAsia"/>
          <w:sz w:val="24"/>
          <w:szCs w:val="24"/>
          <w:lang w:val="en-US" w:eastAsia="zh-CN"/>
        </w:rPr>
        <w:t>①</w:t>
      </w:r>
      <w:r>
        <w:rPr>
          <w:rFonts w:hint="eastAsia" w:cs="Times New Roman" w:asciiTheme="minorEastAsia" w:hAnsiTheme="minorEastAsia"/>
          <w:sz w:val="24"/>
          <w:szCs w:val="24"/>
        </w:rPr>
        <w:t>合同金额≤200万元的，罚款2万元；</w:t>
      </w:r>
    </w:p>
    <w:p w14:paraId="087A278E">
      <w:pPr>
        <w:autoSpaceDE w:val="0"/>
        <w:autoSpaceDN w:val="0"/>
        <w:adjustRightInd w:val="0"/>
        <w:spacing w:line="360" w:lineRule="auto"/>
        <w:ind w:firstLine="480" w:firstLineChars="200"/>
        <w:rPr>
          <w:rFonts w:hint="eastAsia" w:cs="Times New Roman" w:asciiTheme="minorEastAsia" w:hAnsiTheme="minorEastAsia"/>
          <w:sz w:val="24"/>
          <w:szCs w:val="24"/>
        </w:rPr>
      </w:pPr>
      <w:r>
        <w:rPr>
          <w:rFonts w:hint="eastAsia" w:cs="Times New Roman" w:asciiTheme="minorEastAsia" w:hAnsiTheme="minorEastAsia"/>
          <w:sz w:val="24"/>
          <w:szCs w:val="24"/>
          <w:lang w:val="en-US" w:eastAsia="zh-CN"/>
        </w:rPr>
        <w:t>②</w:t>
      </w:r>
      <w:r>
        <w:rPr>
          <w:rFonts w:hint="eastAsia" w:cs="Times New Roman" w:asciiTheme="minorEastAsia" w:hAnsiTheme="minorEastAsia"/>
          <w:sz w:val="24"/>
          <w:szCs w:val="24"/>
        </w:rPr>
        <w:t>200万元＜合同金额≤1000万元，罚款5万元；</w:t>
      </w:r>
    </w:p>
    <w:p w14:paraId="71592665">
      <w:pPr>
        <w:autoSpaceDE w:val="0"/>
        <w:autoSpaceDN w:val="0"/>
        <w:adjustRightInd w:val="0"/>
        <w:spacing w:line="360" w:lineRule="auto"/>
        <w:ind w:firstLine="480" w:firstLineChars="200"/>
        <w:rPr>
          <w:rFonts w:hint="eastAsia" w:cs="Times New Roman" w:asciiTheme="minorEastAsia" w:hAnsiTheme="minorEastAsia"/>
          <w:sz w:val="24"/>
          <w:szCs w:val="24"/>
        </w:rPr>
      </w:pPr>
      <w:r>
        <w:rPr>
          <w:rFonts w:hint="eastAsia" w:cs="Times New Roman" w:asciiTheme="minorEastAsia" w:hAnsiTheme="minorEastAsia"/>
          <w:sz w:val="24"/>
          <w:szCs w:val="24"/>
          <w:lang w:val="en-US" w:eastAsia="zh-CN"/>
        </w:rPr>
        <w:t>③</w:t>
      </w:r>
      <w:r>
        <w:rPr>
          <w:rFonts w:hint="eastAsia" w:cs="Times New Roman" w:asciiTheme="minorEastAsia" w:hAnsiTheme="minorEastAsia"/>
          <w:sz w:val="24"/>
          <w:szCs w:val="24"/>
        </w:rPr>
        <w:t>1000万元＜合同金额≤1亿元，罚款10万元；</w:t>
      </w:r>
    </w:p>
    <w:p w14:paraId="381C7273">
      <w:pPr>
        <w:autoSpaceDE w:val="0"/>
        <w:autoSpaceDN w:val="0"/>
        <w:adjustRightInd w:val="0"/>
        <w:spacing w:line="360" w:lineRule="auto"/>
        <w:ind w:firstLine="480" w:firstLineChars="200"/>
        <w:rPr>
          <w:rFonts w:hint="eastAsia" w:cs="Times New Roman" w:asciiTheme="minorEastAsia" w:hAnsiTheme="minorEastAsia"/>
          <w:sz w:val="24"/>
          <w:szCs w:val="24"/>
        </w:rPr>
      </w:pPr>
      <w:r>
        <w:rPr>
          <w:rFonts w:hint="eastAsia" w:cs="Times New Roman" w:asciiTheme="minorEastAsia" w:hAnsiTheme="minorEastAsia"/>
          <w:sz w:val="24"/>
          <w:szCs w:val="24"/>
          <w:lang w:val="en-US" w:eastAsia="zh-CN"/>
        </w:rPr>
        <w:t>④</w:t>
      </w:r>
      <w:r>
        <w:rPr>
          <w:rFonts w:hint="eastAsia" w:cs="Times New Roman" w:asciiTheme="minorEastAsia" w:hAnsiTheme="minorEastAsia"/>
          <w:sz w:val="24"/>
          <w:szCs w:val="24"/>
        </w:rPr>
        <w:t>1亿元＜合同金额≤5亿元，罚款15万元；</w:t>
      </w:r>
    </w:p>
    <w:p w14:paraId="1C81C5EB">
      <w:pPr>
        <w:autoSpaceDE w:val="0"/>
        <w:autoSpaceDN w:val="0"/>
        <w:adjustRightInd w:val="0"/>
        <w:spacing w:line="360" w:lineRule="auto"/>
        <w:ind w:firstLine="480" w:firstLineChars="200"/>
        <w:rPr>
          <w:rFonts w:hint="eastAsia" w:cs="Times New Roman" w:asciiTheme="minorEastAsia" w:hAnsiTheme="minorEastAsia"/>
          <w:sz w:val="24"/>
          <w:szCs w:val="24"/>
        </w:rPr>
      </w:pPr>
      <w:r>
        <w:rPr>
          <w:rFonts w:hint="eastAsia" w:cs="Times New Roman" w:asciiTheme="minorEastAsia" w:hAnsiTheme="minorEastAsia"/>
          <w:sz w:val="24"/>
          <w:szCs w:val="24"/>
          <w:lang w:val="en-US" w:eastAsia="zh-CN"/>
        </w:rPr>
        <w:t>⑤</w:t>
      </w:r>
      <w:r>
        <w:rPr>
          <w:rFonts w:hint="eastAsia" w:cs="Times New Roman" w:asciiTheme="minorEastAsia" w:hAnsiTheme="minorEastAsia"/>
          <w:sz w:val="24"/>
          <w:szCs w:val="24"/>
        </w:rPr>
        <w:t>合同金额＞5亿元的，罚款20万元。</w:t>
      </w:r>
    </w:p>
    <w:p w14:paraId="2EB622A1">
      <w:pPr>
        <w:autoSpaceDE w:val="0"/>
        <w:autoSpaceDN w:val="0"/>
        <w:adjustRightInd w:val="0"/>
        <w:spacing w:line="360" w:lineRule="auto"/>
        <w:ind w:firstLine="480" w:firstLineChars="200"/>
        <w:rPr>
          <w:rFonts w:hint="eastAsia" w:cs="Times New Roman" w:asciiTheme="minorEastAsia" w:hAnsiTheme="minorEastAsia"/>
          <w:sz w:val="24"/>
          <w:szCs w:val="24"/>
        </w:rPr>
      </w:pPr>
      <w:r>
        <w:rPr>
          <w:rFonts w:hint="eastAsia" w:cs="Times New Roman" w:asciiTheme="minorEastAsia" w:hAnsiTheme="minorEastAsia"/>
          <w:sz w:val="24"/>
          <w:szCs w:val="24"/>
        </w:rPr>
        <w:t>3</w:t>
      </w: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rPr>
        <w:t>即时履约评价不合格的履约单位，自即时履约评价结果公告起，三个月内不接受其参加集团项目的投标或承接新的工程；</w:t>
      </w:r>
    </w:p>
    <w:p w14:paraId="6D898A3D">
      <w:pPr>
        <w:autoSpaceDE w:val="0"/>
        <w:autoSpaceDN w:val="0"/>
        <w:adjustRightInd w:val="0"/>
        <w:spacing w:line="360" w:lineRule="auto"/>
        <w:ind w:firstLine="480" w:firstLineChars="200"/>
        <w:rPr>
          <w:rFonts w:hint="eastAsia" w:cs="Times New Roman" w:asciiTheme="minorEastAsia" w:hAnsiTheme="minorEastAsia"/>
          <w:sz w:val="24"/>
          <w:szCs w:val="24"/>
        </w:rPr>
      </w:pPr>
      <w:r>
        <w:rPr>
          <w:rFonts w:hint="eastAsia" w:cs="Times New Roman" w:asciiTheme="minorEastAsia" w:hAnsiTheme="minorEastAsia"/>
          <w:sz w:val="24"/>
          <w:szCs w:val="24"/>
        </w:rPr>
        <w:t>4</w:t>
      </w: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rPr>
        <w:t>定期履约评价不合格的履约单位，自定期履约评价结果公告起，三个月内不接受其参加集团项目的投标或承接新的工程；</w:t>
      </w:r>
    </w:p>
    <w:p w14:paraId="27E78334">
      <w:pPr>
        <w:autoSpaceDE w:val="0"/>
        <w:autoSpaceDN w:val="0"/>
        <w:adjustRightInd w:val="0"/>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5</w:t>
      </w: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rPr>
        <w:t>最终履约评价不合格的履约单位，自最终履约评价结果公告起，三年内不接受其参加集团项目的投标或承接新的工程。。</w:t>
      </w:r>
    </w:p>
    <w:p w14:paraId="0675C93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6、乙方的权利</w:t>
      </w:r>
    </w:p>
    <w:p w14:paraId="448D4E0B">
      <w:pPr>
        <w:spacing w:line="360" w:lineRule="auto"/>
        <w:ind w:firstLine="480" w:firstLineChars="200"/>
        <w:rPr>
          <w:rFonts w:ascii="宋体" w:hAnsi="宋体" w:eastAsia="宋体" w:cs="Times New Roman"/>
          <w:sz w:val="24"/>
          <w:szCs w:val="24"/>
        </w:rPr>
      </w:pPr>
      <w:r>
        <w:rPr>
          <w:rFonts w:hint="eastAsia" w:cs="Times New Roman" w:asciiTheme="minorEastAsia" w:hAnsiTheme="minorEastAsia"/>
          <w:sz w:val="24"/>
          <w:szCs w:val="24"/>
        </w:rPr>
        <w:t>6.1乙方</w:t>
      </w:r>
      <w:r>
        <w:rPr>
          <w:rFonts w:hint="eastAsia" w:ascii="宋体" w:hAnsi="宋体" w:eastAsia="宋体" w:cs="Times New Roman"/>
          <w:sz w:val="24"/>
          <w:szCs w:val="24"/>
        </w:rPr>
        <w:t>拥有的其他权利：</w:t>
      </w:r>
    </w:p>
    <w:p w14:paraId="197A4624">
      <w:pPr>
        <w:spacing w:line="360" w:lineRule="auto"/>
        <w:ind w:firstLine="360" w:firstLineChars="150"/>
        <w:rPr>
          <w:rFonts w:ascii="宋体" w:hAnsi="宋体" w:eastAsia="宋体" w:cs="Times New Roman"/>
          <w:sz w:val="24"/>
          <w:szCs w:val="24"/>
        </w:rPr>
      </w:pPr>
      <w:r>
        <w:rPr>
          <w:rFonts w:hint="eastAsia" w:ascii="宋体" w:hAnsi="宋体" w:eastAsia="宋体" w:cs="Times New Roman"/>
          <w:sz w:val="24"/>
          <w:szCs w:val="24"/>
        </w:rPr>
        <w:t>（1）有权要求甲方对委托工作提供必要的协助；</w:t>
      </w:r>
    </w:p>
    <w:p w14:paraId="3C17E3A6">
      <w:pPr>
        <w:spacing w:line="360" w:lineRule="auto"/>
        <w:ind w:firstLine="360" w:firstLineChars="150"/>
        <w:rPr>
          <w:rFonts w:ascii="宋体" w:hAnsi="宋体" w:eastAsia="宋体" w:cs="Times New Roman"/>
          <w:sz w:val="24"/>
          <w:szCs w:val="24"/>
        </w:rPr>
      </w:pPr>
      <w:r>
        <w:rPr>
          <w:rFonts w:hint="eastAsia" w:ascii="宋体" w:hAnsi="宋体" w:eastAsia="宋体" w:cs="Times New Roman"/>
          <w:sz w:val="24"/>
          <w:szCs w:val="24"/>
        </w:rPr>
        <w:t>（2）在有关法律、法规和规章规定的范围内，依据本合同代理内容，开展代理服务工作；</w:t>
      </w:r>
    </w:p>
    <w:p w14:paraId="1322843E">
      <w:pPr>
        <w:spacing w:line="360" w:lineRule="auto"/>
        <w:ind w:firstLine="360" w:firstLineChars="150"/>
        <w:rPr>
          <w:rFonts w:ascii="宋体" w:hAnsi="宋体" w:eastAsia="宋体" w:cs="Times New Roman"/>
          <w:sz w:val="24"/>
          <w:szCs w:val="24"/>
        </w:rPr>
      </w:pPr>
      <w:r>
        <w:rPr>
          <w:rFonts w:hint="eastAsia" w:ascii="宋体" w:hAnsi="宋体" w:eastAsia="宋体" w:cs="Times New Roman"/>
          <w:sz w:val="24"/>
          <w:szCs w:val="24"/>
        </w:rPr>
        <w:t>（3）</w:t>
      </w:r>
      <w:r>
        <w:rPr>
          <w:rFonts w:hint="eastAsia" w:cs="Times New Roman" w:asciiTheme="minorEastAsia" w:hAnsiTheme="minorEastAsia"/>
          <w:sz w:val="24"/>
          <w:szCs w:val="24"/>
        </w:rPr>
        <w:t>按合同收取招标代理报酬</w:t>
      </w:r>
      <w:r>
        <w:rPr>
          <w:rFonts w:hint="eastAsia" w:ascii="宋体" w:hAnsi="宋体" w:eastAsia="宋体" w:cs="Times New Roman"/>
          <w:sz w:val="24"/>
          <w:szCs w:val="24"/>
        </w:rPr>
        <w:t>。</w:t>
      </w:r>
    </w:p>
    <w:p w14:paraId="1FB02178">
      <w:pPr>
        <w:spacing w:line="360" w:lineRule="auto"/>
        <w:ind w:firstLine="472" w:firstLineChars="196"/>
        <w:rPr>
          <w:rFonts w:asciiTheme="minorEastAsia" w:hAnsiTheme="minorEastAsia"/>
          <w:b/>
          <w:bCs/>
          <w:sz w:val="24"/>
          <w:szCs w:val="24"/>
        </w:rPr>
      </w:pPr>
      <w:r>
        <w:rPr>
          <w:rFonts w:hint="eastAsia" w:asciiTheme="minorEastAsia" w:hAnsiTheme="minorEastAsia"/>
          <w:b/>
          <w:bCs/>
          <w:sz w:val="24"/>
          <w:szCs w:val="24"/>
        </w:rPr>
        <w:t>三、委托代理报酬与收取</w:t>
      </w:r>
    </w:p>
    <w:p w14:paraId="5453140F">
      <w:pPr>
        <w:pStyle w:val="23"/>
        <w:ind w:left="0" w:leftChars="0" w:firstLine="480" w:firstLineChars="200"/>
        <w:rPr>
          <w:rFonts w:asciiTheme="minorEastAsia" w:hAnsiTheme="minorEastAsia" w:eastAsiaTheme="minorEastAsia"/>
          <w:sz w:val="24"/>
          <w:szCs w:val="24"/>
          <w:lang w:val="zh-CN"/>
        </w:rPr>
      </w:pPr>
      <w:r>
        <w:rPr>
          <w:rFonts w:hint="eastAsia" w:asciiTheme="minorEastAsia" w:hAnsiTheme="minorEastAsia" w:eastAsiaTheme="minorEastAsia"/>
          <w:sz w:val="24"/>
          <w:szCs w:val="24"/>
        </w:rPr>
        <w:t>7</w:t>
      </w:r>
      <w:r>
        <w:rPr>
          <w:rFonts w:hint="eastAsia" w:asciiTheme="minorEastAsia" w:hAnsiTheme="minorEastAsia" w:eastAsiaTheme="minorEastAsia"/>
          <w:sz w:val="24"/>
          <w:szCs w:val="24"/>
          <w:lang w:val="zh-CN"/>
        </w:rPr>
        <w:t>、委托代理报酬</w:t>
      </w:r>
    </w:p>
    <w:p w14:paraId="19E0E289">
      <w:pPr>
        <w:pStyle w:val="9"/>
        <w:spacing w:beforeLines="0" w:afterLines="0" w:line="360" w:lineRule="auto"/>
        <w:ind w:left="0" w:leftChars="0"/>
        <w:rPr>
          <w:rFonts w:ascii="宋体" w:hAnsi="宋体"/>
        </w:rPr>
      </w:pPr>
      <w:r>
        <w:rPr>
          <w:rFonts w:hint="eastAsia" w:asciiTheme="minorEastAsia" w:hAnsiTheme="minorEastAsia" w:eastAsiaTheme="minorEastAsia"/>
        </w:rPr>
        <w:t>7</w:t>
      </w:r>
      <w:r>
        <w:rPr>
          <w:rFonts w:hint="eastAsia" w:asciiTheme="minorEastAsia" w:hAnsiTheme="minorEastAsia" w:eastAsiaTheme="minorEastAsia"/>
          <w:lang w:val="zh-CN"/>
        </w:rPr>
        <w:t>.1</w:t>
      </w:r>
      <w:r>
        <w:rPr>
          <w:rFonts w:hint="eastAsia" w:asciiTheme="minorEastAsia" w:hAnsiTheme="minorEastAsia" w:eastAsiaTheme="minorEastAsia" w:cstheme="minorBidi"/>
          <w:color w:val="000000"/>
        </w:rPr>
        <w:t>代理报酬的计算方式及支付时间：</w:t>
      </w:r>
    </w:p>
    <w:p w14:paraId="183C6F77">
      <w:pPr>
        <w:pStyle w:val="9"/>
        <w:spacing w:beforeLines="0" w:afterLines="0" w:line="360" w:lineRule="auto"/>
        <w:ind w:left="0" w:leftChars="0"/>
        <w:rPr>
          <w:rFonts w:asciiTheme="minorEastAsia" w:hAnsiTheme="minorEastAsia" w:eastAsiaTheme="minorEastAsia" w:cstheme="minorBidi"/>
          <w:color w:val="000000"/>
        </w:rPr>
      </w:pPr>
      <w:r>
        <w:rPr>
          <w:rFonts w:hint="eastAsia" w:asciiTheme="minorEastAsia" w:hAnsiTheme="minorEastAsia" w:eastAsiaTheme="minorEastAsia" w:cstheme="minorBidi"/>
          <w:color w:val="000000"/>
        </w:rPr>
        <w:t>7.1.1代理报酬的计算方式：</w:t>
      </w:r>
    </w:p>
    <w:p w14:paraId="34805C90">
      <w:pPr>
        <w:pStyle w:val="9"/>
        <w:spacing w:beforeLines="0" w:afterLines="0" w:line="360" w:lineRule="auto"/>
        <w:ind w:left="0" w:leftChars="0"/>
        <w:rPr>
          <w:rFonts w:ascii="宋体" w:hAnsi="宋体"/>
        </w:rPr>
      </w:pPr>
      <w:r>
        <w:rPr>
          <w:rFonts w:hint="eastAsia" w:ascii="宋体" w:hAnsi="宋体"/>
        </w:rPr>
        <w:t>(1)计费依据：参照国家计委《招标代理服务收费管理暂行办法》（计价格[2002]1980号</w:t>
      </w:r>
      <w:r>
        <w:rPr>
          <w:rFonts w:hint="eastAsia" w:ascii="宋体" w:hAnsi="宋体"/>
          <w:color w:val="000000" w:themeColor="text1"/>
          <w14:textFill>
            <w14:solidFill>
              <w14:schemeClr w14:val="tx1"/>
            </w14:solidFill>
          </w14:textFill>
        </w:rPr>
        <w:t>）以及《国家发展改革委关于降低部分建设项目收费标准规范收费行为等有关问题的通知》（发改价格[2011]534号）计算并下浮</w:t>
      </w:r>
      <w:r>
        <w:rPr>
          <w:rFonts w:hint="eastAsia" w:ascii="宋体" w:hAnsi="宋体"/>
          <w:color w:val="000000" w:themeColor="text1"/>
          <w:u w:val="single"/>
          <w:lang w:val="en-US" w:eastAsia="zh-CN"/>
          <w14:textFill>
            <w14:solidFill>
              <w14:schemeClr w14:val="tx1"/>
            </w14:solidFill>
          </w14:textFill>
        </w:rPr>
        <w:t xml:space="preserve">    </w:t>
      </w:r>
      <w:r>
        <w:rPr>
          <w:rFonts w:hint="eastAsia" w:ascii="宋体" w:hAnsi="宋体"/>
          <w:color w:val="000000" w:themeColor="text1"/>
          <w:u w:val="single"/>
          <w14:textFill>
            <w14:solidFill>
              <w14:schemeClr w14:val="tx1"/>
            </w14:solidFill>
          </w14:textFill>
        </w:rPr>
        <w:t>%</w:t>
      </w:r>
      <w:r>
        <w:rPr>
          <w:rFonts w:hint="eastAsia" w:ascii="宋体" w:hAnsi="宋体"/>
          <w:color w:val="000000" w:themeColor="text1"/>
          <w14:textFill>
            <w14:solidFill>
              <w14:schemeClr w14:val="tx1"/>
            </w14:solidFill>
          </w14:textFill>
        </w:rPr>
        <w:t>确定；施工按工程类标准执行，按照每个标段的中标通知书中载明的中标价，</w:t>
      </w:r>
      <w:r>
        <w:rPr>
          <w:rFonts w:hint="eastAsia" w:ascii="宋体" w:hAnsi="宋体"/>
          <w:color w:val="000000" w:themeColor="text1"/>
          <w:lang w:val="en-US" w:eastAsia="zh-CN"/>
          <w14:textFill>
            <w14:solidFill>
              <w14:schemeClr w14:val="tx1"/>
            </w14:solidFill>
          </w14:textFill>
        </w:rPr>
        <w:t>付款</w:t>
      </w:r>
      <w:r>
        <w:rPr>
          <w:rFonts w:hint="eastAsia" w:ascii="宋体" w:hAnsi="宋体"/>
          <w:color w:val="000000" w:themeColor="text1"/>
          <w14:textFill>
            <w14:solidFill>
              <w14:schemeClr w14:val="tx1"/>
            </w14:solidFill>
          </w14:textFill>
        </w:rPr>
        <w:t>时以各单项招标标段工程对应的中标价为基数计算相应的招标代理费；</w:t>
      </w:r>
      <w:r>
        <w:rPr>
          <w:rFonts w:hint="eastAsia" w:ascii="宋体" w:hAnsi="宋体"/>
        </w:rPr>
        <w:t>勘察、设计、监理、造价咨询、设计咨询、造价复审、第三方监测、第三方检测、绿建验收评估、竣工测绘验收等按服务类</w:t>
      </w:r>
      <w:r>
        <w:rPr>
          <w:rFonts w:hint="eastAsia" w:ascii="宋体" w:hAnsi="宋体"/>
          <w:color w:val="000000" w:themeColor="text1"/>
          <w14:textFill>
            <w14:solidFill>
              <w14:schemeClr w14:val="tx1"/>
            </w14:solidFill>
          </w14:textFill>
        </w:rPr>
        <w:t>标准执行，</w:t>
      </w:r>
      <w:r>
        <w:rPr>
          <w:rFonts w:hint="eastAsia" w:ascii="宋体" w:hAnsi="宋体"/>
          <w:color w:val="000000" w:themeColor="text1"/>
          <w:lang w:val="en-US" w:eastAsia="zh-CN"/>
          <w14:textFill>
            <w14:solidFill>
              <w14:schemeClr w14:val="tx1"/>
            </w14:solidFill>
          </w14:textFill>
        </w:rPr>
        <w:t>付款</w:t>
      </w:r>
      <w:r>
        <w:rPr>
          <w:rFonts w:hint="eastAsia" w:ascii="宋体" w:hAnsi="宋体"/>
          <w:color w:val="000000" w:themeColor="text1"/>
          <w14:textFill>
            <w14:solidFill>
              <w14:schemeClr w14:val="tx1"/>
            </w14:solidFill>
          </w14:textFill>
        </w:rPr>
        <w:t>时以</w:t>
      </w:r>
      <w:r>
        <w:rPr>
          <w:rFonts w:hint="eastAsia" w:ascii="宋体" w:hAnsi="宋体"/>
          <w:lang w:val="en-US" w:eastAsia="zh-CN"/>
        </w:rPr>
        <w:t>各单项招标标段工程对应</w:t>
      </w:r>
      <w:r>
        <w:rPr>
          <w:rFonts w:hint="eastAsia" w:ascii="宋体" w:hAnsi="宋体"/>
        </w:rPr>
        <w:t>的中标通知书中载明的中标价计算相应服务类别的招标代理费。若招标项目流标，需要组织重新招标的，不重复计取招标代理费。</w:t>
      </w:r>
    </w:p>
    <w:p w14:paraId="50F2F653">
      <w:pPr>
        <w:pStyle w:val="9"/>
        <w:spacing w:beforeLines="0" w:afterLines="0" w:line="360" w:lineRule="auto"/>
        <w:ind w:left="0" w:leftChars="0"/>
        <w:rPr>
          <w:rFonts w:ascii="宋体" w:hAnsi="宋体"/>
        </w:rPr>
      </w:pPr>
      <w:r>
        <w:rPr>
          <w:rFonts w:hint="eastAsia" w:ascii="宋体" w:hAnsi="宋体"/>
        </w:rPr>
        <w:t>（2）暂定合同价：本合同招标代理服务费为暂定价，计费公式</w:t>
      </w:r>
      <w:r>
        <w:rPr>
          <w:rFonts w:hint="eastAsia" w:asciiTheme="majorEastAsia" w:hAnsiTheme="majorEastAsia" w:eastAsiaTheme="majorEastAsia"/>
          <w:bCs/>
          <w:kern w:val="44"/>
        </w:rPr>
        <w:t>及计算过程</w:t>
      </w:r>
      <w:r>
        <w:rPr>
          <w:rFonts w:hint="eastAsia" w:ascii="宋体" w:hAnsi="宋体"/>
        </w:rPr>
        <w:t>详见补充条款第11.3条。</w:t>
      </w:r>
    </w:p>
    <w:p w14:paraId="63DB1DF9">
      <w:pPr>
        <w:spacing w:line="360" w:lineRule="auto"/>
        <w:ind w:firstLine="566" w:firstLineChars="236"/>
        <w:rPr>
          <w:rFonts w:ascii="宋体" w:hAnsi="宋体" w:eastAsia="宋体" w:cs="Times New Roman"/>
          <w:color w:val="000000"/>
          <w:sz w:val="24"/>
          <w:szCs w:val="24"/>
        </w:rPr>
      </w:pPr>
      <w:r>
        <w:rPr>
          <w:rFonts w:hint="eastAsia" w:asciiTheme="minorEastAsia" w:hAnsiTheme="minorEastAsia"/>
          <w:color w:val="000000"/>
          <w:sz w:val="24"/>
          <w:szCs w:val="24"/>
          <w:lang w:val="en-US" w:eastAsia="zh-CN"/>
        </w:rPr>
        <w:t>当期应付款</w:t>
      </w:r>
      <w:r>
        <w:rPr>
          <w:rFonts w:hint="eastAsia" w:asciiTheme="minorEastAsia" w:hAnsiTheme="minorEastAsia"/>
          <w:color w:val="000000"/>
          <w:sz w:val="24"/>
          <w:szCs w:val="24"/>
        </w:rPr>
        <w:t>=基本费用-违约金。</w:t>
      </w:r>
    </w:p>
    <w:p w14:paraId="6F22402C">
      <w:pPr>
        <w:spacing w:line="360" w:lineRule="auto"/>
        <w:ind w:firstLine="600" w:firstLineChars="250"/>
        <w:rPr>
          <w:rFonts w:asciiTheme="minorEastAsia" w:hAnsiTheme="minorEastAsia"/>
          <w:color w:val="000000"/>
          <w:sz w:val="24"/>
          <w:szCs w:val="24"/>
        </w:rPr>
      </w:pPr>
      <w:r>
        <w:rPr>
          <w:rFonts w:hint="eastAsia" w:asciiTheme="minorEastAsia" w:hAnsiTheme="minorEastAsia"/>
          <w:color w:val="000000"/>
          <w:sz w:val="24"/>
          <w:szCs w:val="24"/>
          <w:lang w:val="en-US" w:eastAsia="zh-CN"/>
        </w:rPr>
        <w:t>项目所有招标工作完成后，</w:t>
      </w:r>
      <w:r>
        <w:rPr>
          <w:rFonts w:hint="eastAsia" w:asciiTheme="minorEastAsia" w:hAnsiTheme="minorEastAsia"/>
          <w:color w:val="000000"/>
          <w:sz w:val="24"/>
          <w:szCs w:val="24"/>
        </w:rPr>
        <w:t>最终结算价以甲方审定的或甲方委托第三方机构审定并经甲方确认的结果为准，项目按规定须提交龙华区财政投资评审中心评审的，则最终结算价以龙华区财政投资评审中心评审结论为准（若项目按规定须提交政府审计部门审计的，则最终结算价以政府审计部门审计结果为准）。</w:t>
      </w:r>
    </w:p>
    <w:p w14:paraId="2484236E">
      <w:pPr>
        <w:spacing w:line="360" w:lineRule="auto"/>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（3）在招标过程中，若因外界原因导致项目中断或提前结束，费用补偿方式为：已完成的招标工作，按照7.1.1条所述方法计算代理费；尚未完成的单项工程招标工作，费用不予计算。</w:t>
      </w:r>
    </w:p>
    <w:p w14:paraId="6EEE43F1">
      <w:pPr>
        <w:spacing w:line="500" w:lineRule="exact"/>
        <w:ind w:right="26"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乙方保证其提供的银行账号真实、合法、有效，甲方向乙方指定的银行账号转入款项后即视为甲方履行完毕付款义务，合同支付方式包括但不限于银行转账、商业汇票、银行汇票等形式。乙方开户银行、账号等如有变更，应在本合同规定的付款期限前10天，以书面方式通知甲方。如乙方未按合同通知而使甲方遭受损失的，应予以赔偿（包括但不限于向第三方索赔而支付的诉讼费、律师费、财产保全费、调查费、执行费等）。</w:t>
      </w:r>
    </w:p>
    <w:p w14:paraId="582465B6">
      <w:pPr>
        <w:pStyle w:val="9"/>
        <w:spacing w:beforeLines="0" w:afterLines="0" w:line="360" w:lineRule="auto"/>
        <w:ind w:left="0" w:leftChars="0" w:firstLine="470" w:firstLineChars="196"/>
        <w:rPr>
          <w:rFonts w:asciiTheme="minorEastAsia" w:hAnsiTheme="minorEastAsia" w:eastAsiaTheme="minorEastAsia" w:cstheme="minorBidi"/>
          <w:color w:val="000000"/>
        </w:rPr>
      </w:pPr>
      <w:r>
        <w:rPr>
          <w:rFonts w:hint="eastAsia" w:asciiTheme="minorEastAsia" w:hAnsiTheme="minorEastAsia" w:eastAsiaTheme="minorEastAsia" w:cstheme="minorBidi"/>
          <w:color w:val="000000"/>
        </w:rPr>
        <w:t>7.1.2 代理报酬的支付时间：</w:t>
      </w:r>
    </w:p>
    <w:p w14:paraId="6E9C5E33">
      <w:pPr>
        <w:pStyle w:val="9"/>
        <w:spacing w:beforeLines="0" w:afterLines="0" w:line="360" w:lineRule="auto"/>
        <w:ind w:left="0" w:leftChars="0" w:firstLine="470" w:firstLineChars="196"/>
        <w:rPr>
          <w:rFonts w:asciiTheme="minorEastAsia" w:hAnsiTheme="minorEastAsia" w:eastAsiaTheme="minorEastAsia" w:cstheme="minorBidi"/>
          <w:color w:val="000000"/>
          <w:highlight w:val="none"/>
        </w:rPr>
      </w:pPr>
      <w:r>
        <w:rPr>
          <w:rFonts w:hint="eastAsia" w:asciiTheme="minorEastAsia" w:hAnsiTheme="minorEastAsia" w:eastAsiaTheme="minorEastAsia" w:cstheme="minorBidi"/>
          <w:color w:val="000000"/>
          <w:highlight w:val="none"/>
        </w:rPr>
        <w:t>乙方每完成一个单项工程招标工作并将该单项招标资料全部移交，经甲方确认无误，甲方在收到乙方出具的等额增值税专用发票后支付至该单项招标代理费的100%。</w:t>
      </w:r>
    </w:p>
    <w:p w14:paraId="789C531F">
      <w:pPr>
        <w:pStyle w:val="23"/>
        <w:ind w:left="0" w:leftChars="0" w:firstLine="480" w:firstLineChars="200"/>
        <w:rPr>
          <w:rFonts w:asciiTheme="minorEastAsia" w:hAnsiTheme="minorEastAsia"/>
          <w:sz w:val="24"/>
          <w:szCs w:val="24"/>
          <w:lang w:val="zh-CN"/>
        </w:rPr>
      </w:pPr>
      <w:r>
        <w:rPr>
          <w:rFonts w:hint="eastAsia" w:asciiTheme="minorEastAsia" w:hAnsiTheme="minorEastAsia"/>
          <w:sz w:val="24"/>
          <w:szCs w:val="24"/>
        </w:rPr>
        <w:t>8</w:t>
      </w:r>
      <w:r>
        <w:rPr>
          <w:rFonts w:hint="eastAsia" w:asciiTheme="minorEastAsia" w:hAnsiTheme="minorEastAsia"/>
          <w:sz w:val="24"/>
          <w:szCs w:val="24"/>
          <w:lang w:val="zh-CN"/>
        </w:rPr>
        <w:t>、委托代理报酬的收取：</w:t>
      </w:r>
    </w:p>
    <w:p w14:paraId="001806D2">
      <w:pPr>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rPr>
        <w:t>8</w:t>
      </w:r>
      <w:r>
        <w:rPr>
          <w:rFonts w:asciiTheme="minorEastAsia" w:hAnsiTheme="minorEastAsia"/>
          <w:sz w:val="24"/>
          <w:szCs w:val="24"/>
          <w:lang w:val="zh-CN"/>
        </w:rPr>
        <w:t>.</w:t>
      </w:r>
      <w:r>
        <w:rPr>
          <w:rFonts w:hint="eastAsia" w:asciiTheme="minorEastAsia" w:hAnsiTheme="minorEastAsia"/>
          <w:sz w:val="24"/>
          <w:szCs w:val="24"/>
        </w:rPr>
        <w:t>1</w:t>
      </w:r>
      <w:r>
        <w:rPr>
          <w:rFonts w:hint="eastAsia" w:asciiTheme="minorEastAsia" w:hAnsiTheme="minorEastAsia"/>
          <w:sz w:val="24"/>
          <w:szCs w:val="24"/>
          <w:lang w:val="zh-CN"/>
        </w:rPr>
        <w:t xml:space="preserve"> 逾期支付时，银行贷款利率：不计取。</w:t>
      </w:r>
    </w:p>
    <w:p w14:paraId="5C680E53">
      <w:pPr>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rPr>
        <w:t>8</w:t>
      </w:r>
      <w:r>
        <w:rPr>
          <w:rFonts w:asciiTheme="minorEastAsia" w:hAnsiTheme="minorEastAsia"/>
          <w:sz w:val="24"/>
          <w:szCs w:val="24"/>
          <w:lang w:val="zh-CN"/>
        </w:rPr>
        <w:t>.</w:t>
      </w:r>
      <w:r>
        <w:rPr>
          <w:rFonts w:hint="eastAsia" w:asciiTheme="minorEastAsia" w:hAnsiTheme="minorEastAsia"/>
          <w:sz w:val="24"/>
          <w:szCs w:val="24"/>
        </w:rPr>
        <w:t>2</w:t>
      </w:r>
      <w:r>
        <w:rPr>
          <w:rFonts w:hint="eastAsia" w:asciiTheme="minorEastAsia" w:hAnsiTheme="minorEastAsia"/>
          <w:sz w:val="24"/>
          <w:szCs w:val="24"/>
          <w:lang w:val="zh-CN"/>
        </w:rPr>
        <w:t xml:space="preserve"> 逾期支付时，应收取的利息：不计取。</w:t>
      </w:r>
    </w:p>
    <w:p w14:paraId="4EE90ACB">
      <w:pPr>
        <w:autoSpaceDE w:val="0"/>
        <w:autoSpaceDN w:val="0"/>
        <w:adjustRightInd w:val="0"/>
        <w:spacing w:line="360" w:lineRule="auto"/>
        <w:ind w:firstLine="472" w:firstLineChars="196"/>
        <w:outlineLvl w:val="0"/>
        <w:rPr>
          <w:rFonts w:asciiTheme="minorEastAsia" w:hAnsiTheme="minorEastAsia"/>
          <w:b/>
          <w:bCs/>
          <w:sz w:val="24"/>
          <w:szCs w:val="24"/>
          <w:lang w:val="zh-CN"/>
        </w:rPr>
      </w:pPr>
      <w:r>
        <w:rPr>
          <w:rFonts w:hint="eastAsia" w:asciiTheme="minorEastAsia" w:hAnsiTheme="minorEastAsia"/>
          <w:b/>
          <w:bCs/>
          <w:sz w:val="24"/>
          <w:szCs w:val="24"/>
          <w:lang w:val="zh-CN"/>
        </w:rPr>
        <w:t>四、违约、索赔和争议</w:t>
      </w:r>
    </w:p>
    <w:p w14:paraId="54436D6A">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rPr>
        <w:t>9</w:t>
      </w:r>
      <w:r>
        <w:rPr>
          <w:rFonts w:hint="eastAsia" w:asciiTheme="minorEastAsia" w:hAnsiTheme="minorEastAsia"/>
          <w:sz w:val="24"/>
          <w:szCs w:val="24"/>
          <w:lang w:val="zh-CN"/>
        </w:rPr>
        <w:t>、违约</w:t>
      </w:r>
      <w:bookmarkStart w:id="1" w:name="_GoBack"/>
      <w:bookmarkEnd w:id="1"/>
    </w:p>
    <w:p w14:paraId="0AED4D7C">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rPr>
        <w:t>9</w:t>
      </w:r>
      <w:r>
        <w:rPr>
          <w:rFonts w:asciiTheme="minorEastAsia" w:hAnsiTheme="minorEastAsia"/>
          <w:sz w:val="24"/>
          <w:szCs w:val="24"/>
          <w:lang w:val="zh-CN"/>
        </w:rPr>
        <w:t>.1</w:t>
      </w:r>
      <w:r>
        <w:rPr>
          <w:rFonts w:hint="eastAsia" w:asciiTheme="minorEastAsia" w:hAnsiTheme="minorEastAsia"/>
          <w:sz w:val="24"/>
          <w:szCs w:val="24"/>
          <w:lang w:val="zh-CN"/>
        </w:rPr>
        <w:t xml:space="preserve"> 本合同关于甲方违约的具体责任：</w:t>
      </w:r>
    </w:p>
    <w:p w14:paraId="6CAA65E0">
      <w:pPr>
        <w:autoSpaceDE w:val="0"/>
        <w:autoSpaceDN w:val="0"/>
        <w:adjustRightInd w:val="0"/>
        <w:spacing w:line="360" w:lineRule="auto"/>
        <w:ind w:firstLine="360" w:firstLineChars="150"/>
        <w:rPr>
          <w:rFonts w:asciiTheme="minorEastAsia" w:hAnsiTheme="minorEastAsia"/>
          <w:sz w:val="24"/>
          <w:szCs w:val="24"/>
          <w:lang w:val="zh-CN"/>
        </w:rPr>
      </w:pPr>
      <w:r>
        <w:rPr>
          <w:rFonts w:hint="eastAsia" w:asciiTheme="minorEastAsia" w:hAnsiTheme="minorEastAsia"/>
          <w:sz w:val="24"/>
          <w:szCs w:val="24"/>
          <w:lang w:val="zh-CN"/>
        </w:rPr>
        <w:t>（</w:t>
      </w:r>
      <w:r>
        <w:rPr>
          <w:rFonts w:asciiTheme="minorEastAsia" w:hAnsiTheme="minorEastAsia"/>
          <w:sz w:val="24"/>
          <w:szCs w:val="24"/>
          <w:lang w:val="zh-CN"/>
        </w:rPr>
        <w:t>1</w:t>
      </w:r>
      <w:r>
        <w:rPr>
          <w:rFonts w:hint="eastAsia" w:asciiTheme="minorEastAsia" w:hAnsiTheme="minorEastAsia"/>
          <w:sz w:val="24"/>
          <w:szCs w:val="24"/>
          <w:lang w:val="zh-CN"/>
        </w:rPr>
        <w:t>）甲方未按照本合同通用条款第</w:t>
      </w:r>
      <w:r>
        <w:rPr>
          <w:rFonts w:asciiTheme="minorEastAsia" w:hAnsiTheme="minorEastAsia"/>
          <w:sz w:val="24"/>
          <w:szCs w:val="24"/>
          <w:lang w:val="zh-CN"/>
        </w:rPr>
        <w:t>4.2</w:t>
      </w:r>
      <w:r>
        <w:rPr>
          <w:rFonts w:hint="eastAsia" w:asciiTheme="minorEastAsia" w:hAnsiTheme="minorEastAsia"/>
          <w:sz w:val="24"/>
          <w:szCs w:val="24"/>
          <w:lang w:val="zh-CN"/>
        </w:rPr>
        <w:t>－（</w:t>
      </w:r>
      <w:r>
        <w:rPr>
          <w:rFonts w:asciiTheme="minorEastAsia" w:hAnsiTheme="minorEastAsia"/>
          <w:sz w:val="24"/>
          <w:szCs w:val="24"/>
          <w:lang w:val="zh-CN"/>
        </w:rPr>
        <w:t>3</w:t>
      </w:r>
      <w:r>
        <w:rPr>
          <w:rFonts w:hint="eastAsia" w:asciiTheme="minorEastAsia" w:hAnsiTheme="minorEastAsia"/>
          <w:sz w:val="24"/>
          <w:szCs w:val="24"/>
          <w:lang w:val="zh-CN"/>
        </w:rPr>
        <w:t>）款的约定，向乙方提供保证招标工作顺利完成的条件，乙方不向甲方追究违约责任。</w:t>
      </w:r>
    </w:p>
    <w:p w14:paraId="75617DA5">
      <w:pPr>
        <w:autoSpaceDE w:val="0"/>
        <w:autoSpaceDN w:val="0"/>
        <w:adjustRightInd w:val="0"/>
        <w:spacing w:line="360" w:lineRule="auto"/>
        <w:ind w:firstLine="360" w:firstLineChars="150"/>
        <w:rPr>
          <w:rFonts w:asciiTheme="minorEastAsia" w:hAnsiTheme="minorEastAsia"/>
          <w:sz w:val="24"/>
          <w:szCs w:val="24"/>
          <w:vertAlign w:val="subscript"/>
        </w:rPr>
      </w:pPr>
      <w:r>
        <w:rPr>
          <w:rFonts w:hint="eastAsia" w:asciiTheme="minorEastAsia" w:hAnsiTheme="minorEastAsia"/>
          <w:sz w:val="24"/>
          <w:szCs w:val="24"/>
          <w:lang w:val="zh-CN"/>
        </w:rPr>
        <w:t>（</w:t>
      </w:r>
      <w:r>
        <w:rPr>
          <w:rFonts w:asciiTheme="minorEastAsia" w:hAnsiTheme="minorEastAsia"/>
          <w:sz w:val="24"/>
          <w:szCs w:val="24"/>
          <w:lang w:val="zh-CN"/>
        </w:rPr>
        <w:t>2</w:t>
      </w:r>
      <w:r>
        <w:rPr>
          <w:rFonts w:hint="eastAsia" w:asciiTheme="minorEastAsia" w:hAnsiTheme="minorEastAsia"/>
          <w:sz w:val="24"/>
          <w:szCs w:val="24"/>
          <w:lang w:val="zh-CN"/>
        </w:rPr>
        <w:t>）甲方</w:t>
      </w:r>
      <w:r>
        <w:rPr>
          <w:rFonts w:hint="eastAsia" w:asciiTheme="minorEastAsia" w:hAnsiTheme="minorEastAsia"/>
          <w:sz w:val="24"/>
          <w:szCs w:val="24"/>
        </w:rPr>
        <w:t>未</w:t>
      </w:r>
      <w:r>
        <w:rPr>
          <w:rFonts w:hint="eastAsia" w:asciiTheme="minorEastAsia" w:hAnsiTheme="minorEastAsia"/>
          <w:sz w:val="24"/>
          <w:szCs w:val="24"/>
          <w:lang w:val="zh-CN"/>
        </w:rPr>
        <w:t>按本合同通用条款第</w:t>
      </w:r>
      <w:r>
        <w:rPr>
          <w:rFonts w:asciiTheme="minorEastAsia" w:hAnsiTheme="minorEastAsia"/>
          <w:sz w:val="24"/>
          <w:szCs w:val="24"/>
          <w:lang w:val="zh-CN"/>
        </w:rPr>
        <w:t>4.2</w:t>
      </w:r>
      <w:r>
        <w:rPr>
          <w:rFonts w:hint="eastAsia" w:asciiTheme="minorEastAsia" w:hAnsiTheme="minorEastAsia"/>
          <w:sz w:val="24"/>
          <w:szCs w:val="24"/>
          <w:lang w:val="zh-CN"/>
        </w:rPr>
        <w:t>－（</w:t>
      </w:r>
      <w:r>
        <w:rPr>
          <w:rFonts w:asciiTheme="minorEastAsia" w:hAnsiTheme="minorEastAsia"/>
          <w:sz w:val="24"/>
          <w:szCs w:val="24"/>
          <w:lang w:val="zh-CN"/>
        </w:rPr>
        <w:t>6</w:t>
      </w:r>
      <w:r>
        <w:rPr>
          <w:rFonts w:hint="eastAsia" w:asciiTheme="minorEastAsia" w:hAnsiTheme="minorEastAsia"/>
          <w:sz w:val="24"/>
          <w:szCs w:val="24"/>
          <w:lang w:val="zh-CN"/>
        </w:rPr>
        <w:t>）款的约定，及时向乙方支付委托代理报酬，乙方不向甲方追究违约责任。</w:t>
      </w:r>
    </w:p>
    <w:p w14:paraId="6D8011D1">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rPr>
        <w:t>9</w:t>
      </w:r>
      <w:r>
        <w:rPr>
          <w:rFonts w:asciiTheme="minorEastAsia" w:hAnsiTheme="minorEastAsia"/>
          <w:sz w:val="24"/>
          <w:szCs w:val="24"/>
          <w:lang w:val="zh-CN"/>
        </w:rPr>
        <w:t>.2</w:t>
      </w:r>
      <w:r>
        <w:rPr>
          <w:rFonts w:hint="eastAsia" w:asciiTheme="minorEastAsia" w:hAnsiTheme="minorEastAsia"/>
          <w:sz w:val="24"/>
          <w:szCs w:val="24"/>
          <w:lang w:val="zh-CN"/>
        </w:rPr>
        <w:t xml:space="preserve"> 本合同关于乙方违约的具体责任：</w:t>
      </w:r>
    </w:p>
    <w:p w14:paraId="4BD2F061">
      <w:pPr>
        <w:autoSpaceDE w:val="0"/>
        <w:autoSpaceDN w:val="0"/>
        <w:adjustRightInd w:val="0"/>
        <w:spacing w:line="360" w:lineRule="auto"/>
        <w:ind w:firstLine="360" w:firstLineChars="150"/>
        <w:rPr>
          <w:rFonts w:asciiTheme="minorEastAsia" w:hAnsiTheme="minorEastAsia"/>
          <w:sz w:val="24"/>
          <w:szCs w:val="24"/>
          <w:lang w:val="zh-CN"/>
        </w:rPr>
      </w:pPr>
      <w:r>
        <w:rPr>
          <w:rFonts w:hint="eastAsia" w:asciiTheme="minorEastAsia" w:hAnsiTheme="minorEastAsia"/>
          <w:sz w:val="24"/>
          <w:szCs w:val="24"/>
          <w:lang w:val="zh-CN"/>
        </w:rPr>
        <w:t>（</w:t>
      </w:r>
      <w:r>
        <w:rPr>
          <w:rFonts w:asciiTheme="minorEastAsia" w:hAnsiTheme="minorEastAsia"/>
          <w:sz w:val="24"/>
          <w:szCs w:val="24"/>
          <w:lang w:val="zh-CN"/>
        </w:rPr>
        <w:t>1</w:t>
      </w:r>
      <w:r>
        <w:rPr>
          <w:rFonts w:hint="eastAsia" w:asciiTheme="minorEastAsia" w:hAnsiTheme="minorEastAsia"/>
          <w:sz w:val="24"/>
          <w:szCs w:val="24"/>
          <w:lang w:val="zh-CN"/>
        </w:rPr>
        <w:t>）乙方未按照本合同通用条款第</w:t>
      </w:r>
      <w:r>
        <w:rPr>
          <w:rFonts w:asciiTheme="minorEastAsia" w:hAnsiTheme="minorEastAsia"/>
          <w:sz w:val="24"/>
          <w:szCs w:val="24"/>
          <w:lang w:val="zh-CN"/>
        </w:rPr>
        <w:t>5.2</w:t>
      </w:r>
      <w:r>
        <w:rPr>
          <w:rFonts w:hint="eastAsia" w:asciiTheme="minorEastAsia" w:hAnsiTheme="minorEastAsia"/>
          <w:sz w:val="24"/>
          <w:szCs w:val="24"/>
          <w:lang w:val="zh-CN"/>
        </w:rPr>
        <w:t>－（</w:t>
      </w:r>
      <w:r>
        <w:rPr>
          <w:rFonts w:asciiTheme="minorEastAsia" w:hAnsiTheme="minorEastAsia"/>
          <w:sz w:val="24"/>
          <w:szCs w:val="24"/>
          <w:lang w:val="zh-CN"/>
        </w:rPr>
        <w:t>2</w:t>
      </w:r>
      <w:r>
        <w:rPr>
          <w:rFonts w:hint="eastAsia" w:asciiTheme="minorEastAsia" w:hAnsiTheme="minorEastAsia"/>
          <w:sz w:val="24"/>
          <w:szCs w:val="24"/>
          <w:lang w:val="zh-CN"/>
        </w:rPr>
        <w:t>）款的约定，</w:t>
      </w:r>
      <w:r>
        <w:rPr>
          <w:rFonts w:hint="eastAsia" w:asciiTheme="minorEastAsia" w:hAnsiTheme="minorEastAsia"/>
          <w:sz w:val="24"/>
          <w:szCs w:val="24"/>
        </w:rPr>
        <w:t>应用专业技术与技能为</w:t>
      </w:r>
      <w:r>
        <w:rPr>
          <w:rFonts w:hint="eastAsia" w:asciiTheme="minorEastAsia" w:hAnsiTheme="minorEastAsia"/>
          <w:sz w:val="24"/>
          <w:szCs w:val="24"/>
          <w:lang w:val="zh-CN"/>
        </w:rPr>
        <w:t>甲方提供完成招标工作的咨询服务应承担的责任：</w:t>
      </w:r>
      <w:r>
        <w:rPr>
          <w:rFonts w:hint="eastAsia" w:asciiTheme="minorEastAsia" w:hAnsiTheme="minorEastAsia"/>
          <w:sz w:val="24"/>
          <w:szCs w:val="24"/>
        </w:rPr>
        <w:t>乙方应按暂定合同价的30%支付</w:t>
      </w:r>
      <w:r>
        <w:rPr>
          <w:rFonts w:hint="eastAsia" w:asciiTheme="minorEastAsia" w:hAnsiTheme="minorEastAsia"/>
          <w:sz w:val="24"/>
          <w:szCs w:val="24"/>
          <w:lang w:val="zh-CN"/>
        </w:rPr>
        <w:t>甲方</w:t>
      </w:r>
      <w:r>
        <w:rPr>
          <w:rFonts w:hint="eastAsia" w:asciiTheme="minorEastAsia" w:hAnsiTheme="minorEastAsia"/>
          <w:sz w:val="24"/>
          <w:szCs w:val="24"/>
        </w:rPr>
        <w:t>违约金</w:t>
      </w:r>
      <w:r>
        <w:rPr>
          <w:rFonts w:hint="eastAsia" w:asciiTheme="minorEastAsia" w:hAnsiTheme="minorEastAsia"/>
          <w:sz w:val="24"/>
          <w:szCs w:val="24"/>
          <w:lang w:val="zh-CN"/>
        </w:rPr>
        <w:t>，</w:t>
      </w:r>
      <w:r>
        <w:rPr>
          <w:rFonts w:hint="eastAsia" w:asciiTheme="minorEastAsia" w:hAnsiTheme="minorEastAsia"/>
          <w:sz w:val="24"/>
          <w:szCs w:val="24"/>
        </w:rPr>
        <w:t>如造成其他损失的，由乙方承担赔偿责任</w:t>
      </w:r>
      <w:r>
        <w:rPr>
          <w:rFonts w:hint="eastAsia" w:asciiTheme="minorEastAsia" w:hAnsiTheme="minorEastAsia"/>
          <w:sz w:val="24"/>
          <w:szCs w:val="24"/>
          <w:lang w:val="zh-CN"/>
        </w:rPr>
        <w:t>。</w:t>
      </w:r>
    </w:p>
    <w:p w14:paraId="6BC33BBE">
      <w:pPr>
        <w:autoSpaceDE w:val="0"/>
        <w:autoSpaceDN w:val="0"/>
        <w:adjustRightInd w:val="0"/>
        <w:spacing w:line="360" w:lineRule="auto"/>
        <w:ind w:firstLine="360" w:firstLineChars="150"/>
        <w:rPr>
          <w:rFonts w:asciiTheme="minorEastAsia" w:hAnsiTheme="minorEastAsia"/>
          <w:sz w:val="24"/>
          <w:szCs w:val="24"/>
          <w:lang w:val="zh-CN"/>
        </w:rPr>
      </w:pPr>
      <w:r>
        <w:rPr>
          <w:rFonts w:hint="eastAsia" w:asciiTheme="minorEastAsia" w:hAnsiTheme="minorEastAsia"/>
          <w:sz w:val="24"/>
          <w:szCs w:val="24"/>
          <w:lang w:val="zh-CN"/>
        </w:rPr>
        <w:t>（</w:t>
      </w:r>
      <w:r>
        <w:rPr>
          <w:rFonts w:asciiTheme="minorEastAsia" w:hAnsiTheme="minorEastAsia"/>
          <w:sz w:val="24"/>
          <w:szCs w:val="24"/>
          <w:lang w:val="zh-CN"/>
        </w:rPr>
        <w:t>2</w:t>
      </w:r>
      <w:r>
        <w:rPr>
          <w:rFonts w:hint="eastAsia" w:asciiTheme="minorEastAsia" w:hAnsiTheme="minorEastAsia"/>
          <w:sz w:val="24"/>
          <w:szCs w:val="24"/>
          <w:lang w:val="zh-CN"/>
        </w:rPr>
        <w:t>）乙方违反本合同通用条款第</w:t>
      </w:r>
      <w:r>
        <w:rPr>
          <w:rFonts w:asciiTheme="minorEastAsia" w:hAnsiTheme="minorEastAsia"/>
          <w:sz w:val="24"/>
          <w:szCs w:val="24"/>
          <w:lang w:val="zh-CN"/>
        </w:rPr>
        <w:t>5.4</w:t>
      </w:r>
      <w:r>
        <w:rPr>
          <w:rFonts w:hint="eastAsia" w:asciiTheme="minorEastAsia" w:hAnsiTheme="minorEastAsia"/>
          <w:sz w:val="24"/>
          <w:szCs w:val="24"/>
          <w:lang w:val="zh-CN"/>
        </w:rPr>
        <w:t>款的约定，接受了与本合同工程建设项目有关的投标咨询业务</w:t>
      </w:r>
      <w:r>
        <w:rPr>
          <w:rFonts w:hint="eastAsia" w:asciiTheme="minorEastAsia" w:hAnsiTheme="minorEastAsia"/>
          <w:sz w:val="24"/>
          <w:szCs w:val="24"/>
        </w:rPr>
        <w:t>或和投标单位串通损害甲方任何利益</w:t>
      </w:r>
      <w:r>
        <w:rPr>
          <w:rFonts w:hint="eastAsia" w:asciiTheme="minorEastAsia" w:hAnsiTheme="minorEastAsia"/>
          <w:sz w:val="24"/>
          <w:szCs w:val="24"/>
          <w:lang w:val="zh-CN"/>
        </w:rPr>
        <w:t>应承担的违约责任：</w:t>
      </w:r>
      <w:r>
        <w:rPr>
          <w:rFonts w:hint="eastAsia" w:asciiTheme="minorEastAsia" w:hAnsiTheme="minorEastAsia"/>
          <w:sz w:val="24"/>
          <w:szCs w:val="24"/>
        </w:rPr>
        <w:t>乙方应按暂定合同价的30%支付</w:t>
      </w:r>
      <w:r>
        <w:rPr>
          <w:rFonts w:hint="eastAsia" w:asciiTheme="minorEastAsia" w:hAnsiTheme="minorEastAsia"/>
          <w:sz w:val="24"/>
          <w:szCs w:val="24"/>
          <w:lang w:val="zh-CN"/>
        </w:rPr>
        <w:t>甲方</w:t>
      </w:r>
      <w:r>
        <w:rPr>
          <w:rFonts w:hint="eastAsia" w:asciiTheme="minorEastAsia" w:hAnsiTheme="minorEastAsia"/>
          <w:sz w:val="24"/>
          <w:szCs w:val="24"/>
        </w:rPr>
        <w:t>违约金</w:t>
      </w:r>
      <w:r>
        <w:rPr>
          <w:rFonts w:hint="eastAsia" w:asciiTheme="minorEastAsia" w:hAnsiTheme="minorEastAsia"/>
          <w:sz w:val="24"/>
          <w:szCs w:val="24"/>
          <w:lang w:val="zh-CN"/>
        </w:rPr>
        <w:t>，</w:t>
      </w:r>
      <w:r>
        <w:rPr>
          <w:rFonts w:hint="eastAsia" w:asciiTheme="minorEastAsia" w:hAnsiTheme="minorEastAsia"/>
          <w:sz w:val="24"/>
          <w:szCs w:val="24"/>
        </w:rPr>
        <w:t>如造成其他损失的，由乙方承担赔偿责任</w:t>
      </w:r>
      <w:r>
        <w:rPr>
          <w:rFonts w:hint="eastAsia" w:asciiTheme="minorEastAsia" w:hAnsiTheme="minorEastAsia"/>
          <w:sz w:val="24"/>
          <w:szCs w:val="24"/>
          <w:lang w:val="zh-CN"/>
        </w:rPr>
        <w:t>。</w:t>
      </w:r>
    </w:p>
    <w:p w14:paraId="13065D45">
      <w:pPr>
        <w:autoSpaceDE w:val="0"/>
        <w:autoSpaceDN w:val="0"/>
        <w:adjustRightInd w:val="0"/>
        <w:spacing w:line="360" w:lineRule="auto"/>
        <w:ind w:firstLine="360" w:firstLineChars="150"/>
        <w:rPr>
          <w:rFonts w:asciiTheme="minorEastAsia" w:hAnsiTheme="minorEastAsia"/>
          <w:sz w:val="24"/>
          <w:szCs w:val="24"/>
          <w:lang w:val="zh-CN"/>
        </w:rPr>
      </w:pPr>
      <w:r>
        <w:rPr>
          <w:rFonts w:hint="eastAsia" w:asciiTheme="minorEastAsia" w:hAnsiTheme="minorEastAsia"/>
          <w:sz w:val="24"/>
          <w:szCs w:val="24"/>
          <w:lang w:val="zh-CN"/>
        </w:rPr>
        <w:t>（</w:t>
      </w:r>
      <w:r>
        <w:rPr>
          <w:rFonts w:asciiTheme="minorEastAsia" w:hAnsiTheme="minorEastAsia"/>
          <w:sz w:val="24"/>
          <w:szCs w:val="24"/>
          <w:lang w:val="zh-CN"/>
        </w:rPr>
        <w:t>3</w:t>
      </w:r>
      <w:r>
        <w:rPr>
          <w:rFonts w:hint="eastAsia" w:asciiTheme="minorEastAsia" w:hAnsiTheme="minorEastAsia"/>
          <w:sz w:val="24"/>
          <w:szCs w:val="24"/>
          <w:lang w:val="zh-CN"/>
        </w:rPr>
        <w:t>）乙方违反本合同通用条款第</w:t>
      </w:r>
      <w:r>
        <w:rPr>
          <w:rFonts w:asciiTheme="minorEastAsia" w:hAnsiTheme="minorEastAsia"/>
          <w:sz w:val="24"/>
          <w:szCs w:val="24"/>
          <w:lang w:val="zh-CN"/>
        </w:rPr>
        <w:t>5.7</w:t>
      </w:r>
      <w:r>
        <w:rPr>
          <w:rFonts w:hint="eastAsia" w:asciiTheme="minorEastAsia" w:hAnsiTheme="minorEastAsia"/>
          <w:sz w:val="24"/>
          <w:szCs w:val="24"/>
          <w:lang w:val="zh-CN"/>
        </w:rPr>
        <w:t>款的约定，</w:t>
      </w:r>
      <w:r>
        <w:rPr>
          <w:rFonts w:hint="eastAsia" w:asciiTheme="minorEastAsia" w:hAnsiTheme="minorEastAsia"/>
          <w:sz w:val="24"/>
          <w:szCs w:val="24"/>
        </w:rPr>
        <w:t>接受投标人的任何其他好处或</w:t>
      </w:r>
      <w:r>
        <w:rPr>
          <w:rFonts w:hint="eastAsia" w:asciiTheme="minorEastAsia" w:hAnsiTheme="minorEastAsia"/>
          <w:sz w:val="24"/>
          <w:szCs w:val="24"/>
          <w:lang w:val="zh-CN"/>
        </w:rPr>
        <w:t>泄露了与本合同工程有关的任何不应泄露的招标资料和情况应承担的违约责任：</w:t>
      </w:r>
      <w:r>
        <w:rPr>
          <w:rFonts w:hint="eastAsia" w:asciiTheme="minorEastAsia" w:hAnsiTheme="minorEastAsia"/>
          <w:sz w:val="24"/>
          <w:szCs w:val="24"/>
        </w:rPr>
        <w:t>乙方应按暂定合同价的30%支付</w:t>
      </w:r>
      <w:r>
        <w:rPr>
          <w:rFonts w:hint="eastAsia" w:asciiTheme="minorEastAsia" w:hAnsiTheme="minorEastAsia"/>
          <w:sz w:val="24"/>
          <w:szCs w:val="24"/>
          <w:lang w:val="zh-CN"/>
        </w:rPr>
        <w:t>甲方</w:t>
      </w:r>
      <w:r>
        <w:rPr>
          <w:rFonts w:hint="eastAsia" w:asciiTheme="minorEastAsia" w:hAnsiTheme="minorEastAsia"/>
          <w:sz w:val="24"/>
          <w:szCs w:val="24"/>
        </w:rPr>
        <w:t>违约金</w:t>
      </w:r>
      <w:r>
        <w:rPr>
          <w:rFonts w:hint="eastAsia" w:asciiTheme="minorEastAsia" w:hAnsiTheme="minorEastAsia"/>
          <w:sz w:val="24"/>
          <w:szCs w:val="24"/>
          <w:lang w:val="zh-CN"/>
        </w:rPr>
        <w:t>，</w:t>
      </w:r>
      <w:r>
        <w:rPr>
          <w:rFonts w:hint="eastAsia" w:asciiTheme="minorEastAsia" w:hAnsiTheme="minorEastAsia"/>
          <w:sz w:val="24"/>
          <w:szCs w:val="24"/>
        </w:rPr>
        <w:t>如造成其他损失的，由乙方承担赔偿责任</w:t>
      </w:r>
      <w:r>
        <w:rPr>
          <w:rFonts w:hint="eastAsia" w:asciiTheme="minorEastAsia" w:hAnsiTheme="minorEastAsia"/>
          <w:sz w:val="24"/>
          <w:szCs w:val="24"/>
          <w:lang w:val="zh-CN"/>
        </w:rPr>
        <w:t>。</w:t>
      </w:r>
    </w:p>
    <w:p w14:paraId="713C9EC8">
      <w:pPr>
        <w:autoSpaceDE w:val="0"/>
        <w:autoSpaceDN w:val="0"/>
        <w:adjustRightInd w:val="0"/>
        <w:spacing w:line="360" w:lineRule="auto"/>
        <w:ind w:firstLine="360" w:firstLineChars="150"/>
        <w:rPr>
          <w:rFonts w:asciiTheme="minorEastAsia" w:hAnsiTheme="minorEastAsia"/>
          <w:sz w:val="24"/>
          <w:szCs w:val="24"/>
          <w:lang w:val="zh-CN"/>
        </w:rPr>
      </w:pPr>
      <w:r>
        <w:rPr>
          <w:rFonts w:hint="eastAsia" w:asciiTheme="minorEastAsia" w:hAnsiTheme="minorEastAsia"/>
          <w:sz w:val="24"/>
          <w:szCs w:val="24"/>
          <w:lang w:val="zh-CN"/>
        </w:rPr>
        <w:t>（</w:t>
      </w:r>
      <w:r>
        <w:rPr>
          <w:rFonts w:asciiTheme="minorEastAsia" w:hAnsiTheme="minorEastAsia"/>
          <w:sz w:val="24"/>
          <w:szCs w:val="24"/>
          <w:lang w:val="zh-CN"/>
        </w:rPr>
        <w:t>4</w:t>
      </w:r>
      <w:r>
        <w:rPr>
          <w:rFonts w:hint="eastAsia" w:asciiTheme="minorEastAsia" w:hAnsiTheme="minorEastAsia"/>
          <w:sz w:val="24"/>
          <w:szCs w:val="24"/>
          <w:lang w:val="zh-CN"/>
        </w:rPr>
        <w:t>）双方约定的乙方的其他违约责任：</w:t>
      </w:r>
    </w:p>
    <w:p w14:paraId="1A0D1EAB">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①因乙方自身原因，每出现一次因提交的中间成果及汇报材料存在纰漏影响了项目招标的正常进展，甲方可扣除合同价款5000元/次。</w:t>
      </w:r>
    </w:p>
    <w:p w14:paraId="2AA9570D">
      <w:pPr>
        <w:autoSpaceDE w:val="0"/>
        <w:autoSpaceDN w:val="0"/>
        <w:adjustRightInd w:val="0"/>
        <w:spacing w:line="360" w:lineRule="auto"/>
        <w:ind w:firstLine="480" w:firstLineChars="200"/>
        <w:outlineLvl w:val="0"/>
        <w:rPr>
          <w:rFonts w:asciiTheme="minorEastAsia" w:hAnsiTheme="minorEastAsia"/>
          <w:sz w:val="24"/>
          <w:szCs w:val="24"/>
          <w:lang w:val="zh-CN"/>
        </w:rPr>
      </w:pPr>
      <w:r>
        <w:rPr>
          <w:rFonts w:hint="eastAsia" w:asciiTheme="minorEastAsia" w:hAnsiTheme="minorEastAsia"/>
          <w:sz w:val="24"/>
          <w:szCs w:val="24"/>
          <w:lang w:val="zh-CN"/>
        </w:rPr>
        <w:t>②乙方工作延迟的，每超过节点工期或者总工期一天，乙方应向甲方支付每日人民币10000元的违约金。累计迟交3次或迟交达15日的，甲方可解除合同，并可要求乙方支付暂定</w:t>
      </w:r>
      <w:r>
        <w:rPr>
          <w:rFonts w:hint="eastAsia" w:asciiTheme="minorEastAsia" w:hAnsiTheme="minorEastAsia"/>
          <w:sz w:val="24"/>
          <w:szCs w:val="24"/>
        </w:rPr>
        <w:t>合同</w:t>
      </w:r>
      <w:r>
        <w:rPr>
          <w:rFonts w:hint="eastAsia" w:asciiTheme="minorEastAsia" w:hAnsiTheme="minorEastAsia"/>
          <w:sz w:val="24"/>
          <w:szCs w:val="24"/>
          <w:lang w:val="zh-CN"/>
        </w:rPr>
        <w:t>价款</w:t>
      </w:r>
      <w:r>
        <w:rPr>
          <w:rFonts w:hint="eastAsia" w:asciiTheme="minorEastAsia" w:hAnsiTheme="minorEastAsia"/>
          <w:sz w:val="24"/>
          <w:szCs w:val="24"/>
        </w:rPr>
        <w:t>的30%作为</w:t>
      </w:r>
      <w:r>
        <w:rPr>
          <w:rFonts w:hint="eastAsia" w:asciiTheme="minorEastAsia" w:hAnsiTheme="minorEastAsia"/>
          <w:sz w:val="24"/>
          <w:szCs w:val="24"/>
          <w:lang w:val="zh-CN"/>
        </w:rPr>
        <w:t>违约金和损失</w:t>
      </w:r>
      <w:r>
        <w:rPr>
          <w:rFonts w:hint="eastAsia" w:asciiTheme="minorEastAsia" w:hAnsiTheme="minorEastAsia"/>
          <w:sz w:val="24"/>
          <w:szCs w:val="24"/>
        </w:rPr>
        <w:t>赔偿</w:t>
      </w:r>
      <w:r>
        <w:rPr>
          <w:rFonts w:hint="eastAsia" w:asciiTheme="minorEastAsia" w:hAnsiTheme="minorEastAsia"/>
          <w:sz w:val="24"/>
          <w:szCs w:val="24"/>
          <w:lang w:val="zh-CN"/>
        </w:rPr>
        <w:t xml:space="preserve">。 </w:t>
      </w:r>
    </w:p>
    <w:p w14:paraId="00C5F1E1">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③乙方提交的工作成果文件质量不符合合同约定的标准且经修改仍然不能达到合格标准的，甲方可解除合同，并可要求乙方支付暂定</w:t>
      </w:r>
      <w:r>
        <w:rPr>
          <w:rFonts w:hint="eastAsia" w:asciiTheme="minorEastAsia" w:hAnsiTheme="minorEastAsia"/>
          <w:sz w:val="24"/>
          <w:szCs w:val="24"/>
        </w:rPr>
        <w:t>合同</w:t>
      </w:r>
      <w:r>
        <w:rPr>
          <w:rFonts w:hint="eastAsia" w:asciiTheme="minorEastAsia" w:hAnsiTheme="minorEastAsia"/>
          <w:sz w:val="24"/>
          <w:szCs w:val="24"/>
          <w:lang w:val="zh-CN"/>
        </w:rPr>
        <w:t>价款</w:t>
      </w:r>
      <w:r>
        <w:rPr>
          <w:rFonts w:hint="eastAsia" w:asciiTheme="minorEastAsia" w:hAnsiTheme="minorEastAsia"/>
          <w:sz w:val="24"/>
          <w:szCs w:val="24"/>
        </w:rPr>
        <w:t>的</w:t>
      </w:r>
      <w:r>
        <w:rPr>
          <w:rFonts w:hint="eastAsia" w:asciiTheme="minorEastAsia" w:hAnsiTheme="minorEastAsia"/>
          <w:sz w:val="24"/>
          <w:szCs w:val="24"/>
          <w:lang w:val="zh-CN"/>
        </w:rPr>
        <w:t>30%</w:t>
      </w:r>
      <w:r>
        <w:rPr>
          <w:rFonts w:hint="eastAsia" w:asciiTheme="minorEastAsia" w:hAnsiTheme="minorEastAsia"/>
          <w:sz w:val="24"/>
          <w:szCs w:val="24"/>
        </w:rPr>
        <w:t>作为</w:t>
      </w:r>
      <w:r>
        <w:rPr>
          <w:rFonts w:hint="eastAsia" w:asciiTheme="minorEastAsia" w:hAnsiTheme="minorEastAsia"/>
          <w:sz w:val="24"/>
          <w:szCs w:val="24"/>
          <w:lang w:val="zh-CN"/>
        </w:rPr>
        <w:t>违约金和</w:t>
      </w:r>
      <w:r>
        <w:rPr>
          <w:rFonts w:hint="eastAsia" w:asciiTheme="minorEastAsia" w:hAnsiTheme="minorEastAsia"/>
          <w:sz w:val="24"/>
          <w:szCs w:val="24"/>
        </w:rPr>
        <w:t>损失赔偿</w:t>
      </w:r>
      <w:r>
        <w:rPr>
          <w:rFonts w:hint="eastAsia" w:asciiTheme="minorEastAsia" w:hAnsiTheme="minorEastAsia"/>
          <w:sz w:val="24"/>
          <w:szCs w:val="24"/>
          <w:lang w:val="zh-CN"/>
        </w:rPr>
        <w:t xml:space="preserve">。 </w:t>
      </w:r>
    </w:p>
    <w:p w14:paraId="198CEAC8">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④未经甲方</w:t>
      </w:r>
      <w:r>
        <w:rPr>
          <w:rFonts w:hint="eastAsia" w:asciiTheme="minorEastAsia" w:hAnsiTheme="minorEastAsia"/>
          <w:sz w:val="24"/>
          <w:szCs w:val="24"/>
        </w:rPr>
        <w:t>书面</w:t>
      </w:r>
      <w:r>
        <w:rPr>
          <w:rFonts w:hint="eastAsia" w:asciiTheme="minorEastAsia" w:hAnsiTheme="minorEastAsia"/>
          <w:sz w:val="24"/>
          <w:szCs w:val="24"/>
          <w:lang w:val="zh-CN"/>
        </w:rPr>
        <w:t>许可，乙方擅自变更招标代理负责人，甲方有权直接扣除暂定合同价款</w:t>
      </w:r>
      <w:r>
        <w:rPr>
          <w:rFonts w:hint="eastAsia" w:asciiTheme="minorEastAsia" w:hAnsiTheme="minorEastAsia"/>
          <w:sz w:val="24"/>
          <w:szCs w:val="24"/>
        </w:rPr>
        <w:t>的</w:t>
      </w:r>
      <w:r>
        <w:rPr>
          <w:rFonts w:hint="eastAsia" w:asciiTheme="minorEastAsia" w:hAnsiTheme="minorEastAsia"/>
          <w:sz w:val="24"/>
          <w:szCs w:val="24"/>
          <w:lang w:val="zh-CN"/>
        </w:rPr>
        <w:t>10%</w:t>
      </w:r>
      <w:r>
        <w:rPr>
          <w:rFonts w:hint="eastAsia" w:asciiTheme="minorEastAsia" w:hAnsiTheme="minorEastAsia"/>
          <w:sz w:val="24"/>
          <w:szCs w:val="24"/>
        </w:rPr>
        <w:t>作为</w:t>
      </w:r>
      <w:r>
        <w:rPr>
          <w:rFonts w:hint="eastAsia" w:asciiTheme="minorEastAsia" w:hAnsiTheme="minorEastAsia"/>
          <w:sz w:val="24"/>
          <w:szCs w:val="24"/>
          <w:lang w:val="zh-CN"/>
        </w:rPr>
        <w:t>违约金。</w:t>
      </w:r>
    </w:p>
    <w:p w14:paraId="1E8C768A">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⑤</w:t>
      </w:r>
      <w:r>
        <w:rPr>
          <w:rFonts w:hint="eastAsia" w:asciiTheme="minorEastAsia" w:hAnsiTheme="minorEastAsia"/>
          <w:sz w:val="24"/>
          <w:szCs w:val="24"/>
        </w:rPr>
        <w:t>甲方要求乙方更换不称职的招标代理从业人员，乙方应在2个工作日内完成更换，若拒不执行，</w:t>
      </w:r>
      <w:r>
        <w:rPr>
          <w:rFonts w:hint="eastAsia" w:asciiTheme="minorEastAsia" w:hAnsiTheme="minorEastAsia"/>
          <w:sz w:val="24"/>
          <w:szCs w:val="24"/>
          <w:lang w:val="zh-CN"/>
        </w:rPr>
        <w:t>乙方应向甲方支付每日每人人民币2000元的违约金。</w:t>
      </w:r>
    </w:p>
    <w:p w14:paraId="2C711F1C">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⑥甲方要求乙方积极做好参加会议、调研等配合工作。乙方在配合工作中，迟到半个小时以上（含半个小时）,每人每迟到一次扣除300元，每人每缺席一次扣除500元。</w:t>
      </w:r>
    </w:p>
    <w:p w14:paraId="651D7C78">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⑦</w:t>
      </w:r>
      <w:r>
        <w:rPr>
          <w:rFonts w:hint="eastAsia" w:asciiTheme="minorEastAsia" w:hAnsiTheme="minorEastAsia"/>
          <w:sz w:val="24"/>
          <w:szCs w:val="24"/>
        </w:rPr>
        <w:t>乙方需负责计算的相关数据、费用以及依据规范设置的相应指标，出现明显错误，</w:t>
      </w:r>
      <w:r>
        <w:rPr>
          <w:rFonts w:hint="eastAsia" w:asciiTheme="minorEastAsia" w:hAnsiTheme="minorEastAsia"/>
          <w:sz w:val="24"/>
          <w:szCs w:val="24"/>
          <w:lang w:val="zh-CN"/>
        </w:rPr>
        <w:t>影响了项目招标的正常进展，甲方可扣除合同价款5000元/次。</w:t>
      </w:r>
      <w:r>
        <w:rPr>
          <w:rFonts w:hint="eastAsia" w:asciiTheme="minorEastAsia" w:hAnsiTheme="minorEastAsia"/>
          <w:sz w:val="24"/>
          <w:szCs w:val="24"/>
        </w:rPr>
        <w:t>若因此造成不可逆转的严重后果</w:t>
      </w:r>
      <w:r>
        <w:rPr>
          <w:rFonts w:hint="eastAsia" w:asciiTheme="minorEastAsia" w:hAnsiTheme="minorEastAsia"/>
          <w:sz w:val="24"/>
          <w:szCs w:val="24"/>
          <w:lang w:val="zh-CN"/>
        </w:rPr>
        <w:t>，甲方可解除合同，并可要求乙方支付暂定合同价</w:t>
      </w:r>
      <w:r>
        <w:rPr>
          <w:rFonts w:hint="eastAsia" w:asciiTheme="minorEastAsia" w:hAnsiTheme="minorEastAsia"/>
          <w:sz w:val="24"/>
          <w:szCs w:val="24"/>
        </w:rPr>
        <w:t>的</w:t>
      </w:r>
      <w:r>
        <w:rPr>
          <w:rFonts w:hint="eastAsia" w:asciiTheme="minorEastAsia" w:hAnsiTheme="minorEastAsia"/>
          <w:sz w:val="24"/>
          <w:szCs w:val="24"/>
          <w:lang w:val="zh-CN"/>
        </w:rPr>
        <w:t>30%</w:t>
      </w:r>
      <w:r>
        <w:rPr>
          <w:rFonts w:hint="eastAsia" w:asciiTheme="minorEastAsia" w:hAnsiTheme="minorEastAsia"/>
          <w:sz w:val="24"/>
          <w:szCs w:val="24"/>
        </w:rPr>
        <w:t>作为</w:t>
      </w:r>
      <w:r>
        <w:rPr>
          <w:rFonts w:hint="eastAsia" w:asciiTheme="minorEastAsia" w:hAnsiTheme="minorEastAsia"/>
          <w:sz w:val="24"/>
          <w:szCs w:val="24"/>
          <w:lang w:val="zh-CN"/>
        </w:rPr>
        <w:t>违约金和损失</w:t>
      </w:r>
      <w:r>
        <w:rPr>
          <w:rFonts w:hint="eastAsia" w:asciiTheme="minorEastAsia" w:hAnsiTheme="minorEastAsia"/>
          <w:sz w:val="24"/>
          <w:szCs w:val="24"/>
        </w:rPr>
        <w:t>赔偿</w:t>
      </w:r>
      <w:r>
        <w:rPr>
          <w:rFonts w:hint="eastAsia" w:asciiTheme="minorEastAsia" w:hAnsiTheme="minorEastAsia"/>
          <w:sz w:val="24"/>
          <w:szCs w:val="24"/>
          <w:lang w:val="zh-CN"/>
        </w:rPr>
        <w:t>。</w:t>
      </w:r>
    </w:p>
    <w:p w14:paraId="01E910F7">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⑧乙方未按合同约定履行职责，甲方有权要求乙方立即纠正，乙方收到甲方纠正</w:t>
      </w:r>
      <w:r>
        <w:rPr>
          <w:rFonts w:hint="eastAsia" w:asciiTheme="minorEastAsia" w:hAnsiTheme="minorEastAsia"/>
          <w:sz w:val="24"/>
          <w:szCs w:val="24"/>
        </w:rPr>
        <w:t>口头或书面</w:t>
      </w:r>
      <w:r>
        <w:rPr>
          <w:rFonts w:hint="eastAsia" w:asciiTheme="minorEastAsia" w:hAnsiTheme="minorEastAsia"/>
          <w:sz w:val="24"/>
          <w:szCs w:val="24"/>
          <w:lang w:val="zh-CN"/>
        </w:rPr>
        <w:t>通知后三日内未予纠正的，甲方有权追究违约责任或直接单方解除合同并不予支付乙方任何费用。</w:t>
      </w:r>
    </w:p>
    <w:p w14:paraId="2AD3AFA0">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⑨因乙方原因，造成甲方损失或影响招标工作正常进行的，甲方有权向乙方追索经济赔偿、追究法律责任。</w:t>
      </w:r>
    </w:p>
    <w:p w14:paraId="064898F8">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⑩因乙方违反本合同保密、廉洁条款约定的，乙方应向甲方支付违约金20000元，违约金不足以弥补损失的，以甲方实际损失为准。</w:t>
      </w:r>
    </w:p>
    <w:p w14:paraId="3E642DEB">
      <w:pPr>
        <w:autoSpaceDE w:val="0"/>
        <w:autoSpaceDN w:val="0"/>
        <w:adjustRightInd w:val="0"/>
        <w:spacing w:line="360" w:lineRule="auto"/>
        <w:ind w:firstLine="480" w:firstLineChars="200"/>
        <w:rPr>
          <w:rFonts w:hint="eastAsia" w:asciiTheme="minorEastAsia" w:hAnsiTheme="minorEastAsia"/>
          <w:sz w:val="24"/>
          <w:szCs w:val="24"/>
          <w:lang w:val="zh-CN"/>
        </w:rPr>
      </w:pPr>
      <w:r>
        <w:rPr>
          <w:rFonts w:hint="eastAsia" w:asciiTheme="minorEastAsia" w:hAnsiTheme="minorEastAsia"/>
          <w:sz w:val="24"/>
          <w:szCs w:val="24"/>
          <w:lang w:val="zh-CN"/>
        </w:rPr>
        <w:t>上述单项招标标段违约情况扣除的最终违约金合计金额不超过单项招标标段的招标代理费报酬；各单项招标标段违约情况累计扣除的最终违约金不超过本暂定合同价。</w:t>
      </w:r>
    </w:p>
    <w:p w14:paraId="0DA0B5CA">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1</w:t>
      </w:r>
      <w:r>
        <w:rPr>
          <w:rFonts w:hint="eastAsia" w:asciiTheme="minorEastAsia" w:hAnsiTheme="minorEastAsia"/>
          <w:sz w:val="24"/>
          <w:szCs w:val="24"/>
        </w:rPr>
        <w:t>0</w:t>
      </w:r>
      <w:r>
        <w:rPr>
          <w:rFonts w:hint="eastAsia" w:asciiTheme="minorEastAsia" w:hAnsiTheme="minorEastAsia"/>
          <w:sz w:val="24"/>
          <w:szCs w:val="24"/>
          <w:lang w:val="zh-CN"/>
        </w:rPr>
        <w:t>、争议</w:t>
      </w:r>
    </w:p>
    <w:p w14:paraId="7A644064">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1</w:t>
      </w:r>
      <w:r>
        <w:rPr>
          <w:rFonts w:hint="eastAsia" w:asciiTheme="minorEastAsia" w:hAnsiTheme="minorEastAsia"/>
          <w:sz w:val="24"/>
          <w:szCs w:val="24"/>
        </w:rPr>
        <w:t>0</w:t>
      </w:r>
      <w:r>
        <w:rPr>
          <w:rFonts w:hint="eastAsia" w:asciiTheme="minorEastAsia" w:hAnsiTheme="minorEastAsia"/>
          <w:sz w:val="24"/>
          <w:szCs w:val="24"/>
          <w:lang w:val="zh-CN"/>
        </w:rPr>
        <w:t>.1 双方约定，凡因执行本合同所发生的与本合同有关的一切争议，当和解或调解不成时，依法向甲方所在地人民法院提起诉讼。</w:t>
      </w:r>
    </w:p>
    <w:p w14:paraId="6DFB049B">
      <w:pPr>
        <w:autoSpaceDE w:val="0"/>
        <w:autoSpaceDN w:val="0"/>
        <w:adjustRightInd w:val="0"/>
        <w:spacing w:line="360" w:lineRule="auto"/>
        <w:ind w:firstLine="540"/>
        <w:outlineLvl w:val="0"/>
        <w:rPr>
          <w:rFonts w:asciiTheme="minorEastAsia" w:hAnsiTheme="minorEastAsia"/>
          <w:b/>
          <w:bCs/>
          <w:sz w:val="24"/>
          <w:szCs w:val="24"/>
          <w:lang w:val="zh-CN"/>
        </w:rPr>
      </w:pPr>
      <w:r>
        <w:rPr>
          <w:rFonts w:hint="eastAsia" w:asciiTheme="minorEastAsia" w:hAnsiTheme="minorEastAsia"/>
          <w:b/>
          <w:bCs/>
          <w:sz w:val="24"/>
          <w:szCs w:val="24"/>
          <w:lang w:val="zh-CN"/>
        </w:rPr>
        <w:t>六、其他</w:t>
      </w:r>
    </w:p>
    <w:p w14:paraId="226576D0">
      <w:pPr>
        <w:autoSpaceDE w:val="0"/>
        <w:autoSpaceDN w:val="0"/>
        <w:adjustRightInd w:val="0"/>
        <w:spacing w:line="360" w:lineRule="auto"/>
        <w:ind w:firstLine="480"/>
        <w:outlineLvl w:val="0"/>
        <w:rPr>
          <w:rFonts w:asciiTheme="minorEastAsia" w:hAnsiTheme="minorEastAsia"/>
          <w:sz w:val="24"/>
          <w:szCs w:val="24"/>
          <w:lang w:val="zh-CN"/>
        </w:rPr>
      </w:pPr>
      <w:r>
        <w:rPr>
          <w:rFonts w:asciiTheme="minorEastAsia" w:hAnsiTheme="minorEastAsia"/>
          <w:sz w:val="24"/>
          <w:szCs w:val="24"/>
          <w:lang w:val="zh-CN"/>
        </w:rPr>
        <w:t>1</w:t>
      </w:r>
      <w:r>
        <w:rPr>
          <w:rFonts w:hint="eastAsia" w:asciiTheme="minorEastAsia" w:hAnsiTheme="minorEastAsia"/>
          <w:sz w:val="24"/>
          <w:szCs w:val="24"/>
        </w:rPr>
        <w:t>1</w:t>
      </w:r>
      <w:r>
        <w:rPr>
          <w:rFonts w:hint="eastAsia" w:asciiTheme="minorEastAsia" w:hAnsiTheme="minorEastAsia"/>
          <w:sz w:val="24"/>
          <w:szCs w:val="24"/>
          <w:lang w:val="zh-CN"/>
        </w:rPr>
        <w:t>、补充条款</w:t>
      </w:r>
    </w:p>
    <w:p w14:paraId="6CA85CE6">
      <w:pPr>
        <w:adjustRightInd w:val="0"/>
        <w:spacing w:line="360" w:lineRule="auto"/>
        <w:ind w:firstLine="480" w:firstLineChars="200"/>
        <w:jc w:val="left"/>
        <w:rPr>
          <w:rFonts w:asciiTheme="minorEastAsia" w:hAnsiTheme="minorEastAsia"/>
          <w:sz w:val="24"/>
          <w:szCs w:val="24"/>
          <w:lang w:val="zh-CN"/>
        </w:rPr>
      </w:pPr>
      <w:r>
        <w:rPr>
          <w:rFonts w:hint="eastAsia" w:asciiTheme="minorEastAsia" w:hAnsiTheme="minorEastAsia"/>
          <w:sz w:val="24"/>
          <w:szCs w:val="24"/>
          <w:lang w:val="zh-CN"/>
        </w:rPr>
        <w:t>1</w:t>
      </w:r>
      <w:r>
        <w:rPr>
          <w:rFonts w:hint="eastAsia" w:asciiTheme="minorEastAsia" w:hAnsiTheme="minorEastAsia"/>
          <w:sz w:val="24"/>
          <w:szCs w:val="24"/>
        </w:rPr>
        <w:t>1</w:t>
      </w:r>
      <w:r>
        <w:rPr>
          <w:rFonts w:hint="eastAsia" w:asciiTheme="minorEastAsia" w:hAnsiTheme="minorEastAsia"/>
          <w:sz w:val="24"/>
          <w:szCs w:val="24"/>
          <w:lang w:val="zh-CN"/>
        </w:rPr>
        <w:t>.1 甲方享有本项目实施过程中产生的全部知识成果及知识产权。</w:t>
      </w:r>
    </w:p>
    <w:p w14:paraId="5A152A6D">
      <w:pPr>
        <w:adjustRightInd w:val="0"/>
        <w:spacing w:line="360" w:lineRule="auto"/>
        <w:ind w:firstLine="480" w:firstLineChars="200"/>
        <w:jc w:val="left"/>
        <w:rPr>
          <w:rFonts w:asciiTheme="minorEastAsia" w:hAnsiTheme="minorEastAsia"/>
          <w:sz w:val="24"/>
          <w:szCs w:val="24"/>
          <w:lang w:val="zh-CN"/>
        </w:rPr>
      </w:pPr>
      <w:r>
        <w:rPr>
          <w:rFonts w:hint="eastAsia" w:asciiTheme="minorEastAsia" w:hAnsiTheme="minorEastAsia"/>
          <w:sz w:val="24"/>
          <w:szCs w:val="24"/>
          <w:lang w:val="zh-CN"/>
        </w:rPr>
        <w:t>1</w:t>
      </w:r>
      <w:r>
        <w:rPr>
          <w:rFonts w:hint="eastAsia" w:asciiTheme="minorEastAsia" w:hAnsiTheme="minorEastAsia"/>
          <w:sz w:val="24"/>
          <w:szCs w:val="24"/>
        </w:rPr>
        <w:t>1</w:t>
      </w:r>
      <w:r>
        <w:rPr>
          <w:rFonts w:hint="eastAsia" w:asciiTheme="minorEastAsia" w:hAnsiTheme="minorEastAsia"/>
          <w:sz w:val="24"/>
          <w:szCs w:val="24"/>
          <w:lang w:val="zh-CN"/>
        </w:rPr>
        <w:t>.2 乙方保证，甲方使用乙方成果将不会对任何第三方构成侵权，任何第三方向甲方提出的侵权之诉讼或索赔均由乙方承担处理、应诉和赔偿责任。</w:t>
      </w:r>
    </w:p>
    <w:p w14:paraId="22C535A4">
      <w:pPr>
        <w:spacing w:line="360" w:lineRule="auto"/>
        <w:ind w:firstLine="480" w:firstLineChars="200"/>
        <w:rPr>
          <w:rFonts w:asciiTheme="minorEastAsia" w:hAnsiTheme="minorEastAsia"/>
          <w:sz w:val="24"/>
          <w:szCs w:val="24"/>
          <w:vertAlign w:val="subscript"/>
        </w:rPr>
      </w:pPr>
      <w:r>
        <w:rPr>
          <w:rFonts w:hint="eastAsia" w:asciiTheme="minorEastAsia" w:hAnsiTheme="minorEastAsia"/>
          <w:sz w:val="24"/>
          <w:szCs w:val="24"/>
          <w:lang w:val="zh-CN"/>
        </w:rPr>
        <w:t>1</w:t>
      </w:r>
      <w:r>
        <w:rPr>
          <w:rFonts w:hint="eastAsia" w:asciiTheme="minorEastAsia" w:hAnsiTheme="minorEastAsia"/>
          <w:sz w:val="24"/>
          <w:szCs w:val="24"/>
        </w:rPr>
        <w:t>1</w:t>
      </w:r>
      <w:r>
        <w:rPr>
          <w:rFonts w:hint="eastAsia" w:asciiTheme="minorEastAsia" w:hAnsiTheme="minorEastAsia"/>
          <w:sz w:val="24"/>
          <w:szCs w:val="24"/>
          <w:lang w:val="zh-CN"/>
        </w:rPr>
        <w:t>.3  本工程招标代理服务收费计算过程如下：</w:t>
      </w:r>
    </w:p>
    <w:p w14:paraId="357B7155">
      <w:pPr>
        <w:pStyle w:val="23"/>
        <w:ind w:left="0" w:leftChars="0" w:firstLine="480" w:firstLineChars="200"/>
        <w:rPr>
          <w:rFonts w:cs="Times New Roman" w:asciiTheme="minorEastAsia" w:hAnsiTheme="minorEastAsia" w:eastAsiaTheme="minorEastAsia"/>
          <w:sz w:val="24"/>
          <w:szCs w:val="24"/>
        </w:rPr>
      </w:pPr>
      <w:r>
        <w:rPr>
          <w:rFonts w:hint="eastAsia" w:asciiTheme="minorEastAsia" w:hAnsiTheme="minorEastAsia" w:eastAsiaTheme="minorEastAsia"/>
          <w:sz w:val="24"/>
          <w:szCs w:val="24"/>
          <w:lang w:val="zh-CN"/>
        </w:rPr>
        <w:t>参照国家计委《招标代理服务收费管理暂行办法》（计价格[2002]1980号）以及</w:t>
      </w:r>
      <w:r>
        <w:rPr>
          <w:rFonts w:hint="eastAsia" w:asciiTheme="minorEastAsia" w:hAnsiTheme="minorEastAsia" w:eastAsiaTheme="minorEastAsia"/>
          <w:sz w:val="24"/>
        </w:rPr>
        <w:t>《国家发展改革委关于降低部分建设项目收费标准规范收费行为等有关问题的通知》（发改价格[2011]534号）</w:t>
      </w:r>
      <w:r>
        <w:rPr>
          <w:rFonts w:hint="eastAsia" w:asciiTheme="minorEastAsia" w:hAnsiTheme="minorEastAsia" w:eastAsiaTheme="minorEastAsia"/>
          <w:sz w:val="24"/>
          <w:szCs w:val="24"/>
          <w:lang w:val="zh-CN"/>
        </w:rPr>
        <w:t>的规定：</w:t>
      </w:r>
    </w:p>
    <w:tbl>
      <w:tblPr>
        <w:tblStyle w:val="16"/>
        <w:tblW w:w="8690"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970"/>
        <w:gridCol w:w="1417"/>
        <w:gridCol w:w="1560"/>
        <w:gridCol w:w="1743"/>
      </w:tblGrid>
      <w:tr w14:paraId="1E1A3C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970" w:type="dxa"/>
            <w:tcBorders>
              <w:top w:val="outset" w:color="auto" w:sz="6" w:space="0"/>
              <w:left w:val="outset" w:color="auto" w:sz="6" w:space="0"/>
              <w:bottom w:val="outset" w:color="auto" w:sz="6" w:space="0"/>
              <w:right w:val="outset" w:color="auto" w:sz="6" w:space="0"/>
            </w:tcBorders>
            <w:vAlign w:val="center"/>
          </w:tcPr>
          <w:p w14:paraId="727865AB">
            <w:pPr>
              <w:spacing w:before="100" w:beforeAutospacing="1" w:after="100" w:afterAutospacing="1" w:line="360" w:lineRule="auto"/>
              <w:jc w:val="center"/>
              <w:rPr>
                <w:rFonts w:ascii="Arial" w:hAnsi="Arial" w:cs="Arial"/>
                <w:kern w:val="0"/>
                <w:sz w:val="24"/>
              </w:rPr>
            </w:pPr>
            <w:r>
              <w:rPr>
                <w:rFonts w:ascii="Arial" w:hAnsi="Arial" w:cs="Arial"/>
                <w:bCs/>
                <w:kern w:val="0"/>
                <w:sz w:val="24"/>
              </w:rPr>
              <w:t>中标金额（万元）</w:t>
            </w:r>
          </w:p>
        </w:tc>
        <w:tc>
          <w:tcPr>
            <w:tcW w:w="1417" w:type="dxa"/>
            <w:tcBorders>
              <w:top w:val="outset" w:color="auto" w:sz="6" w:space="0"/>
              <w:left w:val="outset" w:color="auto" w:sz="6" w:space="0"/>
              <w:bottom w:val="outset" w:color="auto" w:sz="6" w:space="0"/>
              <w:right w:val="outset" w:color="auto" w:sz="6" w:space="0"/>
            </w:tcBorders>
            <w:vAlign w:val="center"/>
          </w:tcPr>
          <w:p w14:paraId="40F8F894">
            <w:pPr>
              <w:spacing w:before="100" w:beforeAutospacing="1" w:after="100" w:afterAutospacing="1" w:line="360" w:lineRule="auto"/>
              <w:jc w:val="center"/>
              <w:rPr>
                <w:rFonts w:ascii="Arial" w:hAnsi="Arial" w:cs="Arial"/>
                <w:kern w:val="0"/>
                <w:sz w:val="24"/>
              </w:rPr>
            </w:pPr>
            <w:r>
              <w:rPr>
                <w:rFonts w:ascii="Arial" w:hAnsi="Arial" w:cs="Arial"/>
                <w:bCs/>
                <w:kern w:val="0"/>
                <w:sz w:val="24"/>
              </w:rPr>
              <w:t>货物招标</w:t>
            </w:r>
          </w:p>
        </w:tc>
        <w:tc>
          <w:tcPr>
            <w:tcW w:w="1560" w:type="dxa"/>
            <w:tcBorders>
              <w:top w:val="outset" w:color="auto" w:sz="6" w:space="0"/>
              <w:left w:val="outset" w:color="auto" w:sz="6" w:space="0"/>
              <w:bottom w:val="outset" w:color="auto" w:sz="6" w:space="0"/>
              <w:right w:val="outset" w:color="auto" w:sz="6" w:space="0"/>
            </w:tcBorders>
            <w:vAlign w:val="center"/>
          </w:tcPr>
          <w:p w14:paraId="54866184">
            <w:pPr>
              <w:spacing w:before="100" w:beforeAutospacing="1" w:after="100" w:afterAutospacing="1" w:line="360" w:lineRule="auto"/>
              <w:jc w:val="center"/>
              <w:rPr>
                <w:rFonts w:ascii="Arial" w:hAnsi="Arial" w:cs="Arial"/>
                <w:kern w:val="0"/>
                <w:sz w:val="24"/>
              </w:rPr>
            </w:pPr>
            <w:r>
              <w:rPr>
                <w:rFonts w:ascii="Arial" w:hAnsi="Arial" w:cs="Arial"/>
                <w:bCs/>
                <w:kern w:val="0"/>
                <w:sz w:val="24"/>
              </w:rPr>
              <w:t>服务招标</w:t>
            </w:r>
          </w:p>
        </w:tc>
        <w:tc>
          <w:tcPr>
            <w:tcW w:w="1743" w:type="dxa"/>
            <w:tcBorders>
              <w:top w:val="outset" w:color="auto" w:sz="6" w:space="0"/>
              <w:left w:val="outset" w:color="auto" w:sz="6" w:space="0"/>
              <w:bottom w:val="outset" w:color="auto" w:sz="6" w:space="0"/>
              <w:right w:val="outset" w:color="auto" w:sz="6" w:space="0"/>
            </w:tcBorders>
            <w:vAlign w:val="center"/>
          </w:tcPr>
          <w:p w14:paraId="10ADE982">
            <w:pPr>
              <w:spacing w:before="100" w:beforeAutospacing="1" w:after="100" w:afterAutospacing="1" w:line="360" w:lineRule="auto"/>
              <w:jc w:val="center"/>
              <w:rPr>
                <w:rFonts w:ascii="Arial" w:hAnsi="Arial" w:cs="Arial"/>
                <w:kern w:val="0"/>
                <w:sz w:val="24"/>
              </w:rPr>
            </w:pPr>
            <w:r>
              <w:rPr>
                <w:rFonts w:ascii="Arial" w:hAnsi="Arial" w:cs="Arial"/>
                <w:bCs/>
                <w:kern w:val="0"/>
                <w:sz w:val="24"/>
              </w:rPr>
              <w:t>工程招标</w:t>
            </w:r>
          </w:p>
        </w:tc>
      </w:tr>
      <w:tr w14:paraId="317099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970" w:type="dxa"/>
            <w:tcBorders>
              <w:top w:val="outset" w:color="auto" w:sz="6" w:space="0"/>
              <w:left w:val="outset" w:color="auto" w:sz="6" w:space="0"/>
              <w:bottom w:val="outset" w:color="auto" w:sz="6" w:space="0"/>
              <w:right w:val="outset" w:color="auto" w:sz="6" w:space="0"/>
            </w:tcBorders>
            <w:vAlign w:val="center"/>
          </w:tcPr>
          <w:p w14:paraId="2A244C3D">
            <w:pPr>
              <w:spacing w:before="100" w:beforeAutospacing="1" w:after="100" w:afterAutospacing="1" w:line="360" w:lineRule="auto"/>
              <w:jc w:val="center"/>
              <w:rPr>
                <w:rFonts w:ascii="Arial" w:hAnsi="Arial" w:cs="Arial"/>
                <w:kern w:val="0"/>
                <w:sz w:val="24"/>
              </w:rPr>
            </w:pPr>
            <w:r>
              <w:rPr>
                <w:rFonts w:ascii="Arial" w:hAnsi="Arial" w:cs="Arial"/>
                <w:bCs/>
                <w:kern w:val="0"/>
                <w:sz w:val="24"/>
              </w:rPr>
              <w:t>100以下</w:t>
            </w:r>
          </w:p>
        </w:tc>
        <w:tc>
          <w:tcPr>
            <w:tcW w:w="1417" w:type="dxa"/>
            <w:tcBorders>
              <w:top w:val="outset" w:color="auto" w:sz="6" w:space="0"/>
              <w:left w:val="outset" w:color="auto" w:sz="6" w:space="0"/>
              <w:bottom w:val="outset" w:color="auto" w:sz="6" w:space="0"/>
              <w:right w:val="outset" w:color="auto" w:sz="6" w:space="0"/>
            </w:tcBorders>
            <w:vAlign w:val="center"/>
          </w:tcPr>
          <w:p w14:paraId="4559D75B">
            <w:pPr>
              <w:spacing w:before="100" w:beforeAutospacing="1" w:after="100" w:afterAutospacing="1" w:line="360" w:lineRule="auto"/>
              <w:jc w:val="center"/>
              <w:rPr>
                <w:rFonts w:ascii="Arial" w:hAnsi="Arial" w:cs="Arial"/>
                <w:kern w:val="0"/>
                <w:sz w:val="24"/>
              </w:rPr>
            </w:pPr>
            <w:r>
              <w:rPr>
                <w:rFonts w:ascii="Arial" w:hAnsi="Arial" w:cs="Arial"/>
                <w:bCs/>
                <w:kern w:val="0"/>
                <w:sz w:val="24"/>
              </w:rPr>
              <w:t>1.5％</w:t>
            </w:r>
          </w:p>
        </w:tc>
        <w:tc>
          <w:tcPr>
            <w:tcW w:w="1560" w:type="dxa"/>
            <w:tcBorders>
              <w:top w:val="outset" w:color="auto" w:sz="6" w:space="0"/>
              <w:left w:val="outset" w:color="auto" w:sz="6" w:space="0"/>
              <w:bottom w:val="outset" w:color="auto" w:sz="6" w:space="0"/>
              <w:right w:val="outset" w:color="auto" w:sz="6" w:space="0"/>
            </w:tcBorders>
            <w:vAlign w:val="center"/>
          </w:tcPr>
          <w:p w14:paraId="496FE9B8">
            <w:pPr>
              <w:spacing w:before="100" w:beforeAutospacing="1" w:after="100" w:afterAutospacing="1" w:line="360" w:lineRule="auto"/>
              <w:jc w:val="center"/>
              <w:rPr>
                <w:rFonts w:ascii="Arial" w:hAnsi="Arial" w:cs="Arial"/>
                <w:kern w:val="0"/>
                <w:sz w:val="24"/>
              </w:rPr>
            </w:pPr>
            <w:r>
              <w:rPr>
                <w:rFonts w:ascii="Arial" w:hAnsi="Arial" w:cs="Arial"/>
                <w:bCs/>
                <w:kern w:val="0"/>
                <w:sz w:val="24"/>
              </w:rPr>
              <w:t>1.5％</w:t>
            </w:r>
          </w:p>
        </w:tc>
        <w:tc>
          <w:tcPr>
            <w:tcW w:w="1743" w:type="dxa"/>
            <w:tcBorders>
              <w:top w:val="outset" w:color="auto" w:sz="6" w:space="0"/>
              <w:left w:val="outset" w:color="auto" w:sz="6" w:space="0"/>
              <w:bottom w:val="outset" w:color="auto" w:sz="6" w:space="0"/>
              <w:right w:val="outset" w:color="auto" w:sz="6" w:space="0"/>
            </w:tcBorders>
            <w:vAlign w:val="center"/>
          </w:tcPr>
          <w:p w14:paraId="2B44C63C">
            <w:pPr>
              <w:spacing w:before="100" w:beforeAutospacing="1" w:after="100" w:afterAutospacing="1" w:line="360" w:lineRule="auto"/>
              <w:jc w:val="center"/>
              <w:rPr>
                <w:rFonts w:ascii="Arial" w:hAnsi="Arial" w:cs="Arial"/>
                <w:kern w:val="0"/>
                <w:sz w:val="24"/>
              </w:rPr>
            </w:pPr>
            <w:r>
              <w:rPr>
                <w:rFonts w:ascii="Arial" w:hAnsi="Arial" w:cs="Arial"/>
                <w:bCs/>
                <w:kern w:val="0"/>
                <w:sz w:val="24"/>
              </w:rPr>
              <w:t>1.0％</w:t>
            </w:r>
          </w:p>
        </w:tc>
      </w:tr>
      <w:tr w14:paraId="20EF55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970" w:type="dxa"/>
            <w:tcBorders>
              <w:top w:val="outset" w:color="auto" w:sz="6" w:space="0"/>
              <w:left w:val="outset" w:color="auto" w:sz="6" w:space="0"/>
              <w:bottom w:val="outset" w:color="auto" w:sz="6" w:space="0"/>
              <w:right w:val="outset" w:color="auto" w:sz="6" w:space="0"/>
            </w:tcBorders>
            <w:vAlign w:val="center"/>
          </w:tcPr>
          <w:p w14:paraId="34212382">
            <w:pPr>
              <w:spacing w:before="100" w:beforeAutospacing="1" w:after="100" w:afterAutospacing="1" w:line="360" w:lineRule="auto"/>
              <w:jc w:val="center"/>
              <w:rPr>
                <w:rFonts w:ascii="Arial" w:hAnsi="Arial" w:cs="Arial"/>
                <w:kern w:val="0"/>
                <w:sz w:val="24"/>
              </w:rPr>
            </w:pPr>
            <w:r>
              <w:rPr>
                <w:rFonts w:ascii="Arial" w:hAnsi="Arial" w:cs="Arial"/>
                <w:bCs/>
                <w:kern w:val="0"/>
                <w:sz w:val="24"/>
              </w:rPr>
              <w:t>100—500</w:t>
            </w:r>
          </w:p>
        </w:tc>
        <w:tc>
          <w:tcPr>
            <w:tcW w:w="1417" w:type="dxa"/>
            <w:tcBorders>
              <w:top w:val="outset" w:color="auto" w:sz="6" w:space="0"/>
              <w:left w:val="outset" w:color="auto" w:sz="6" w:space="0"/>
              <w:bottom w:val="outset" w:color="auto" w:sz="6" w:space="0"/>
              <w:right w:val="outset" w:color="auto" w:sz="6" w:space="0"/>
            </w:tcBorders>
            <w:vAlign w:val="center"/>
          </w:tcPr>
          <w:p w14:paraId="1D71E53B">
            <w:pPr>
              <w:spacing w:before="100" w:beforeAutospacing="1" w:after="100" w:afterAutospacing="1" w:line="360" w:lineRule="auto"/>
              <w:jc w:val="center"/>
              <w:rPr>
                <w:rFonts w:ascii="Arial" w:hAnsi="Arial" w:cs="Arial"/>
                <w:kern w:val="0"/>
                <w:sz w:val="24"/>
              </w:rPr>
            </w:pPr>
            <w:r>
              <w:rPr>
                <w:rFonts w:ascii="Arial" w:hAnsi="Arial" w:cs="Arial"/>
                <w:bCs/>
                <w:kern w:val="0"/>
                <w:sz w:val="24"/>
              </w:rPr>
              <w:t>1.1％</w:t>
            </w:r>
          </w:p>
        </w:tc>
        <w:tc>
          <w:tcPr>
            <w:tcW w:w="1560" w:type="dxa"/>
            <w:tcBorders>
              <w:top w:val="outset" w:color="auto" w:sz="6" w:space="0"/>
              <w:left w:val="outset" w:color="auto" w:sz="6" w:space="0"/>
              <w:bottom w:val="outset" w:color="auto" w:sz="6" w:space="0"/>
              <w:right w:val="outset" w:color="auto" w:sz="6" w:space="0"/>
            </w:tcBorders>
            <w:vAlign w:val="center"/>
          </w:tcPr>
          <w:p w14:paraId="23AE3B27">
            <w:pPr>
              <w:spacing w:before="100" w:beforeAutospacing="1" w:after="100" w:afterAutospacing="1" w:line="360" w:lineRule="auto"/>
              <w:jc w:val="center"/>
              <w:rPr>
                <w:rFonts w:ascii="Arial" w:hAnsi="Arial" w:cs="Arial"/>
                <w:kern w:val="0"/>
                <w:sz w:val="24"/>
              </w:rPr>
            </w:pPr>
            <w:r>
              <w:rPr>
                <w:rFonts w:ascii="Arial" w:hAnsi="Arial" w:cs="Arial"/>
                <w:bCs/>
                <w:kern w:val="0"/>
                <w:sz w:val="24"/>
              </w:rPr>
              <w:t>0.8％</w:t>
            </w:r>
          </w:p>
        </w:tc>
        <w:tc>
          <w:tcPr>
            <w:tcW w:w="1743" w:type="dxa"/>
            <w:tcBorders>
              <w:top w:val="outset" w:color="auto" w:sz="6" w:space="0"/>
              <w:left w:val="outset" w:color="auto" w:sz="6" w:space="0"/>
              <w:bottom w:val="outset" w:color="auto" w:sz="6" w:space="0"/>
              <w:right w:val="outset" w:color="auto" w:sz="6" w:space="0"/>
            </w:tcBorders>
            <w:vAlign w:val="center"/>
          </w:tcPr>
          <w:p w14:paraId="31527767">
            <w:pPr>
              <w:spacing w:before="100" w:beforeAutospacing="1" w:after="100" w:afterAutospacing="1" w:line="360" w:lineRule="auto"/>
              <w:jc w:val="center"/>
              <w:rPr>
                <w:rFonts w:ascii="Arial" w:hAnsi="Arial" w:cs="Arial"/>
                <w:kern w:val="0"/>
                <w:sz w:val="24"/>
              </w:rPr>
            </w:pPr>
            <w:r>
              <w:rPr>
                <w:rFonts w:ascii="Arial" w:hAnsi="Arial" w:cs="Arial"/>
                <w:bCs/>
                <w:kern w:val="0"/>
                <w:sz w:val="24"/>
              </w:rPr>
              <w:t>0.7％</w:t>
            </w:r>
          </w:p>
        </w:tc>
      </w:tr>
      <w:tr w14:paraId="70C8BE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970" w:type="dxa"/>
            <w:tcBorders>
              <w:top w:val="outset" w:color="auto" w:sz="6" w:space="0"/>
              <w:left w:val="outset" w:color="auto" w:sz="6" w:space="0"/>
              <w:bottom w:val="outset" w:color="auto" w:sz="6" w:space="0"/>
              <w:right w:val="outset" w:color="auto" w:sz="6" w:space="0"/>
            </w:tcBorders>
            <w:vAlign w:val="center"/>
          </w:tcPr>
          <w:p w14:paraId="6B068704">
            <w:pPr>
              <w:spacing w:before="100" w:beforeAutospacing="1" w:after="100" w:afterAutospacing="1" w:line="360" w:lineRule="auto"/>
              <w:jc w:val="center"/>
              <w:rPr>
                <w:rFonts w:ascii="Arial" w:hAnsi="Arial" w:cs="Arial"/>
                <w:kern w:val="0"/>
                <w:sz w:val="24"/>
              </w:rPr>
            </w:pPr>
            <w:r>
              <w:rPr>
                <w:rFonts w:ascii="Arial" w:hAnsi="Arial" w:cs="Arial"/>
                <w:bCs/>
                <w:kern w:val="0"/>
                <w:sz w:val="24"/>
              </w:rPr>
              <w:t>500—1000</w:t>
            </w:r>
          </w:p>
        </w:tc>
        <w:tc>
          <w:tcPr>
            <w:tcW w:w="1417" w:type="dxa"/>
            <w:tcBorders>
              <w:top w:val="outset" w:color="auto" w:sz="6" w:space="0"/>
              <w:left w:val="outset" w:color="auto" w:sz="6" w:space="0"/>
              <w:bottom w:val="outset" w:color="auto" w:sz="6" w:space="0"/>
              <w:right w:val="outset" w:color="auto" w:sz="6" w:space="0"/>
            </w:tcBorders>
            <w:vAlign w:val="center"/>
          </w:tcPr>
          <w:p w14:paraId="5D0F1D13">
            <w:pPr>
              <w:spacing w:before="100" w:beforeAutospacing="1" w:after="100" w:afterAutospacing="1" w:line="360" w:lineRule="auto"/>
              <w:jc w:val="center"/>
              <w:rPr>
                <w:rFonts w:ascii="Arial" w:hAnsi="Arial" w:cs="Arial"/>
                <w:kern w:val="0"/>
                <w:sz w:val="24"/>
              </w:rPr>
            </w:pPr>
            <w:r>
              <w:rPr>
                <w:rFonts w:ascii="Arial" w:hAnsi="Arial" w:cs="Arial"/>
                <w:bCs/>
                <w:kern w:val="0"/>
                <w:sz w:val="24"/>
              </w:rPr>
              <w:t>0.8％</w:t>
            </w:r>
          </w:p>
        </w:tc>
        <w:tc>
          <w:tcPr>
            <w:tcW w:w="1560" w:type="dxa"/>
            <w:tcBorders>
              <w:top w:val="outset" w:color="auto" w:sz="6" w:space="0"/>
              <w:left w:val="outset" w:color="auto" w:sz="6" w:space="0"/>
              <w:bottom w:val="outset" w:color="auto" w:sz="6" w:space="0"/>
              <w:right w:val="outset" w:color="auto" w:sz="6" w:space="0"/>
            </w:tcBorders>
            <w:vAlign w:val="center"/>
          </w:tcPr>
          <w:p w14:paraId="7304CFA3">
            <w:pPr>
              <w:spacing w:before="100" w:beforeAutospacing="1" w:after="100" w:afterAutospacing="1" w:line="360" w:lineRule="auto"/>
              <w:jc w:val="center"/>
              <w:rPr>
                <w:rFonts w:ascii="Arial" w:hAnsi="Arial" w:cs="Arial"/>
                <w:kern w:val="0"/>
                <w:sz w:val="24"/>
              </w:rPr>
            </w:pPr>
            <w:r>
              <w:rPr>
                <w:rFonts w:ascii="Arial" w:hAnsi="Arial" w:cs="Arial"/>
                <w:bCs/>
                <w:kern w:val="0"/>
                <w:sz w:val="24"/>
              </w:rPr>
              <w:t>0.45％</w:t>
            </w:r>
          </w:p>
        </w:tc>
        <w:tc>
          <w:tcPr>
            <w:tcW w:w="1743" w:type="dxa"/>
            <w:tcBorders>
              <w:top w:val="outset" w:color="auto" w:sz="6" w:space="0"/>
              <w:left w:val="outset" w:color="auto" w:sz="6" w:space="0"/>
              <w:bottom w:val="outset" w:color="auto" w:sz="6" w:space="0"/>
              <w:right w:val="outset" w:color="auto" w:sz="6" w:space="0"/>
            </w:tcBorders>
            <w:vAlign w:val="center"/>
          </w:tcPr>
          <w:p w14:paraId="29BB66C1">
            <w:pPr>
              <w:spacing w:before="100" w:beforeAutospacing="1" w:after="100" w:afterAutospacing="1" w:line="360" w:lineRule="auto"/>
              <w:jc w:val="center"/>
              <w:rPr>
                <w:rFonts w:ascii="Arial" w:hAnsi="Arial" w:cs="Arial"/>
                <w:kern w:val="0"/>
                <w:sz w:val="24"/>
              </w:rPr>
            </w:pPr>
            <w:r>
              <w:rPr>
                <w:rFonts w:ascii="Arial" w:hAnsi="Arial" w:cs="Arial"/>
                <w:bCs/>
                <w:kern w:val="0"/>
                <w:sz w:val="24"/>
              </w:rPr>
              <w:t>0.55％</w:t>
            </w:r>
          </w:p>
        </w:tc>
      </w:tr>
      <w:tr w14:paraId="591C6A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970" w:type="dxa"/>
            <w:tcBorders>
              <w:top w:val="outset" w:color="auto" w:sz="6" w:space="0"/>
              <w:left w:val="outset" w:color="auto" w:sz="6" w:space="0"/>
              <w:bottom w:val="outset" w:color="auto" w:sz="6" w:space="0"/>
              <w:right w:val="outset" w:color="auto" w:sz="6" w:space="0"/>
            </w:tcBorders>
            <w:vAlign w:val="center"/>
          </w:tcPr>
          <w:p w14:paraId="7EE05475">
            <w:pPr>
              <w:spacing w:before="100" w:beforeAutospacing="1" w:after="100" w:afterAutospacing="1" w:line="360" w:lineRule="auto"/>
              <w:jc w:val="center"/>
              <w:rPr>
                <w:rFonts w:ascii="Arial" w:hAnsi="Arial" w:cs="Arial"/>
                <w:kern w:val="0"/>
                <w:sz w:val="24"/>
              </w:rPr>
            </w:pPr>
            <w:r>
              <w:rPr>
                <w:rFonts w:ascii="Arial" w:hAnsi="Arial" w:cs="Arial"/>
                <w:bCs/>
                <w:kern w:val="0"/>
                <w:sz w:val="24"/>
              </w:rPr>
              <w:t>1000—5000</w:t>
            </w:r>
          </w:p>
        </w:tc>
        <w:tc>
          <w:tcPr>
            <w:tcW w:w="1417" w:type="dxa"/>
            <w:tcBorders>
              <w:top w:val="outset" w:color="auto" w:sz="6" w:space="0"/>
              <w:left w:val="outset" w:color="auto" w:sz="6" w:space="0"/>
              <w:bottom w:val="outset" w:color="auto" w:sz="6" w:space="0"/>
              <w:right w:val="outset" w:color="auto" w:sz="6" w:space="0"/>
            </w:tcBorders>
            <w:vAlign w:val="center"/>
          </w:tcPr>
          <w:p w14:paraId="2056861B">
            <w:pPr>
              <w:spacing w:before="100" w:beforeAutospacing="1" w:after="100" w:afterAutospacing="1" w:line="360" w:lineRule="auto"/>
              <w:jc w:val="center"/>
              <w:rPr>
                <w:rFonts w:ascii="Arial" w:hAnsi="Arial" w:cs="Arial"/>
                <w:kern w:val="0"/>
                <w:sz w:val="24"/>
              </w:rPr>
            </w:pPr>
            <w:r>
              <w:rPr>
                <w:rFonts w:ascii="Arial" w:hAnsi="Arial" w:cs="Arial"/>
                <w:bCs/>
                <w:kern w:val="0"/>
                <w:sz w:val="24"/>
              </w:rPr>
              <w:t>0.5％</w:t>
            </w:r>
          </w:p>
        </w:tc>
        <w:tc>
          <w:tcPr>
            <w:tcW w:w="1560" w:type="dxa"/>
            <w:tcBorders>
              <w:top w:val="outset" w:color="auto" w:sz="6" w:space="0"/>
              <w:left w:val="outset" w:color="auto" w:sz="6" w:space="0"/>
              <w:bottom w:val="outset" w:color="auto" w:sz="6" w:space="0"/>
              <w:right w:val="outset" w:color="auto" w:sz="6" w:space="0"/>
            </w:tcBorders>
            <w:vAlign w:val="center"/>
          </w:tcPr>
          <w:p w14:paraId="3B25EB0D">
            <w:pPr>
              <w:spacing w:before="100" w:beforeAutospacing="1" w:after="100" w:afterAutospacing="1" w:line="360" w:lineRule="auto"/>
              <w:jc w:val="center"/>
              <w:rPr>
                <w:rFonts w:ascii="Arial" w:hAnsi="Arial" w:cs="Arial"/>
                <w:kern w:val="0"/>
                <w:sz w:val="24"/>
              </w:rPr>
            </w:pPr>
            <w:r>
              <w:rPr>
                <w:rFonts w:ascii="Arial" w:hAnsi="Arial" w:cs="Arial"/>
                <w:bCs/>
                <w:kern w:val="0"/>
                <w:sz w:val="24"/>
              </w:rPr>
              <w:t>0.25％</w:t>
            </w:r>
          </w:p>
        </w:tc>
        <w:tc>
          <w:tcPr>
            <w:tcW w:w="1743" w:type="dxa"/>
            <w:tcBorders>
              <w:top w:val="outset" w:color="auto" w:sz="6" w:space="0"/>
              <w:left w:val="outset" w:color="auto" w:sz="6" w:space="0"/>
              <w:bottom w:val="outset" w:color="auto" w:sz="6" w:space="0"/>
              <w:right w:val="outset" w:color="auto" w:sz="6" w:space="0"/>
            </w:tcBorders>
            <w:vAlign w:val="center"/>
          </w:tcPr>
          <w:p w14:paraId="091E89E4">
            <w:pPr>
              <w:spacing w:before="100" w:beforeAutospacing="1" w:after="100" w:afterAutospacing="1" w:line="360" w:lineRule="auto"/>
              <w:jc w:val="center"/>
              <w:rPr>
                <w:rFonts w:ascii="Arial" w:hAnsi="Arial" w:cs="Arial"/>
                <w:kern w:val="0"/>
                <w:sz w:val="24"/>
              </w:rPr>
            </w:pPr>
            <w:r>
              <w:rPr>
                <w:rFonts w:ascii="Arial" w:hAnsi="Arial" w:cs="Arial"/>
                <w:bCs/>
                <w:kern w:val="0"/>
                <w:sz w:val="24"/>
              </w:rPr>
              <w:t>0.35％</w:t>
            </w:r>
          </w:p>
        </w:tc>
      </w:tr>
      <w:tr w14:paraId="40544A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970" w:type="dxa"/>
            <w:tcBorders>
              <w:top w:val="outset" w:color="auto" w:sz="6" w:space="0"/>
              <w:left w:val="outset" w:color="auto" w:sz="6" w:space="0"/>
              <w:bottom w:val="outset" w:color="auto" w:sz="6" w:space="0"/>
              <w:right w:val="outset" w:color="auto" w:sz="6" w:space="0"/>
            </w:tcBorders>
            <w:vAlign w:val="center"/>
          </w:tcPr>
          <w:p w14:paraId="2C0B1AFB">
            <w:pPr>
              <w:spacing w:before="100" w:beforeAutospacing="1" w:after="100" w:afterAutospacing="1" w:line="360" w:lineRule="auto"/>
              <w:jc w:val="center"/>
              <w:rPr>
                <w:rFonts w:ascii="Arial" w:hAnsi="Arial" w:cs="Arial"/>
                <w:kern w:val="0"/>
                <w:sz w:val="24"/>
              </w:rPr>
            </w:pPr>
            <w:r>
              <w:rPr>
                <w:rFonts w:ascii="Arial" w:hAnsi="Arial" w:cs="Arial"/>
                <w:bCs/>
                <w:kern w:val="0"/>
                <w:sz w:val="24"/>
              </w:rPr>
              <w:t>5000—10000</w:t>
            </w:r>
          </w:p>
        </w:tc>
        <w:tc>
          <w:tcPr>
            <w:tcW w:w="1417" w:type="dxa"/>
            <w:tcBorders>
              <w:top w:val="outset" w:color="auto" w:sz="6" w:space="0"/>
              <w:left w:val="outset" w:color="auto" w:sz="6" w:space="0"/>
              <w:bottom w:val="outset" w:color="auto" w:sz="6" w:space="0"/>
              <w:right w:val="outset" w:color="auto" w:sz="6" w:space="0"/>
            </w:tcBorders>
            <w:vAlign w:val="center"/>
          </w:tcPr>
          <w:p w14:paraId="4DCF8B48">
            <w:pPr>
              <w:spacing w:before="100" w:beforeAutospacing="1" w:after="100" w:afterAutospacing="1" w:line="360" w:lineRule="auto"/>
              <w:jc w:val="center"/>
              <w:rPr>
                <w:rFonts w:ascii="Arial" w:hAnsi="Arial" w:cs="Arial"/>
                <w:kern w:val="0"/>
                <w:sz w:val="24"/>
              </w:rPr>
            </w:pPr>
            <w:r>
              <w:rPr>
                <w:rFonts w:ascii="Arial" w:hAnsi="Arial" w:cs="Arial"/>
                <w:bCs/>
                <w:kern w:val="0"/>
                <w:sz w:val="24"/>
              </w:rPr>
              <w:t>0.25％</w:t>
            </w:r>
          </w:p>
        </w:tc>
        <w:tc>
          <w:tcPr>
            <w:tcW w:w="1560" w:type="dxa"/>
            <w:tcBorders>
              <w:top w:val="outset" w:color="auto" w:sz="6" w:space="0"/>
              <w:left w:val="outset" w:color="auto" w:sz="6" w:space="0"/>
              <w:bottom w:val="outset" w:color="auto" w:sz="6" w:space="0"/>
              <w:right w:val="outset" w:color="auto" w:sz="6" w:space="0"/>
            </w:tcBorders>
            <w:vAlign w:val="center"/>
          </w:tcPr>
          <w:p w14:paraId="55FAF343">
            <w:pPr>
              <w:spacing w:before="100" w:beforeAutospacing="1" w:after="100" w:afterAutospacing="1" w:line="360" w:lineRule="auto"/>
              <w:jc w:val="center"/>
              <w:rPr>
                <w:rFonts w:ascii="Arial" w:hAnsi="Arial" w:cs="Arial"/>
                <w:kern w:val="0"/>
                <w:sz w:val="24"/>
              </w:rPr>
            </w:pPr>
            <w:r>
              <w:rPr>
                <w:rFonts w:ascii="Arial" w:hAnsi="Arial" w:cs="Arial"/>
                <w:bCs/>
                <w:kern w:val="0"/>
                <w:sz w:val="24"/>
              </w:rPr>
              <w:t>0.1％</w:t>
            </w:r>
          </w:p>
        </w:tc>
        <w:tc>
          <w:tcPr>
            <w:tcW w:w="1743" w:type="dxa"/>
            <w:tcBorders>
              <w:top w:val="outset" w:color="auto" w:sz="6" w:space="0"/>
              <w:left w:val="outset" w:color="auto" w:sz="6" w:space="0"/>
              <w:bottom w:val="outset" w:color="auto" w:sz="6" w:space="0"/>
              <w:right w:val="outset" w:color="auto" w:sz="6" w:space="0"/>
            </w:tcBorders>
            <w:vAlign w:val="center"/>
          </w:tcPr>
          <w:p w14:paraId="72B5647F">
            <w:pPr>
              <w:spacing w:before="100" w:beforeAutospacing="1" w:after="100" w:afterAutospacing="1" w:line="360" w:lineRule="auto"/>
              <w:jc w:val="center"/>
              <w:rPr>
                <w:rFonts w:ascii="Arial" w:hAnsi="Arial" w:cs="Arial"/>
                <w:kern w:val="0"/>
                <w:sz w:val="24"/>
              </w:rPr>
            </w:pPr>
            <w:r>
              <w:rPr>
                <w:rFonts w:ascii="Arial" w:hAnsi="Arial" w:cs="Arial"/>
                <w:bCs/>
                <w:kern w:val="0"/>
                <w:sz w:val="24"/>
              </w:rPr>
              <w:t>0.2％</w:t>
            </w:r>
          </w:p>
        </w:tc>
      </w:tr>
      <w:tr w14:paraId="644A81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970" w:type="dxa"/>
            <w:tcBorders>
              <w:top w:val="outset" w:color="auto" w:sz="6" w:space="0"/>
              <w:left w:val="outset" w:color="auto" w:sz="6" w:space="0"/>
              <w:bottom w:val="outset" w:color="auto" w:sz="6" w:space="0"/>
              <w:right w:val="outset" w:color="auto" w:sz="6" w:space="0"/>
            </w:tcBorders>
            <w:vAlign w:val="center"/>
          </w:tcPr>
          <w:p w14:paraId="7B9500E5">
            <w:pPr>
              <w:spacing w:before="100" w:beforeAutospacing="1" w:after="100" w:afterAutospacing="1" w:line="360" w:lineRule="auto"/>
              <w:jc w:val="center"/>
              <w:rPr>
                <w:rFonts w:ascii="Arial" w:hAnsi="Arial" w:cs="Arial"/>
                <w:kern w:val="0"/>
                <w:sz w:val="24"/>
              </w:rPr>
            </w:pPr>
            <w:r>
              <w:rPr>
                <w:rFonts w:ascii="Arial" w:hAnsi="Arial" w:cs="Arial"/>
                <w:bCs/>
                <w:kern w:val="0"/>
                <w:sz w:val="24"/>
              </w:rPr>
              <w:t>10000—</w:t>
            </w:r>
            <w:r>
              <w:rPr>
                <w:rFonts w:hint="eastAsia" w:ascii="Arial" w:hAnsi="Arial" w:cs="Arial"/>
                <w:bCs/>
                <w:kern w:val="0"/>
                <w:sz w:val="24"/>
              </w:rPr>
              <w:t>5</w:t>
            </w:r>
            <w:r>
              <w:rPr>
                <w:rFonts w:ascii="Arial" w:hAnsi="Arial" w:cs="Arial"/>
                <w:bCs/>
                <w:kern w:val="0"/>
                <w:sz w:val="24"/>
              </w:rPr>
              <w:t>0000</w:t>
            </w:r>
          </w:p>
        </w:tc>
        <w:tc>
          <w:tcPr>
            <w:tcW w:w="1417" w:type="dxa"/>
            <w:tcBorders>
              <w:top w:val="outset" w:color="auto" w:sz="6" w:space="0"/>
              <w:left w:val="outset" w:color="auto" w:sz="6" w:space="0"/>
              <w:bottom w:val="outset" w:color="auto" w:sz="6" w:space="0"/>
              <w:right w:val="outset" w:color="auto" w:sz="6" w:space="0"/>
            </w:tcBorders>
            <w:vAlign w:val="center"/>
          </w:tcPr>
          <w:p w14:paraId="41C2F1F4">
            <w:pPr>
              <w:spacing w:before="100" w:beforeAutospacing="1" w:after="100" w:afterAutospacing="1" w:line="360" w:lineRule="auto"/>
              <w:jc w:val="center"/>
              <w:rPr>
                <w:rFonts w:ascii="Arial" w:hAnsi="Arial" w:cs="Arial"/>
                <w:kern w:val="0"/>
                <w:sz w:val="24"/>
              </w:rPr>
            </w:pPr>
            <w:r>
              <w:rPr>
                <w:rFonts w:ascii="Arial" w:hAnsi="Arial" w:cs="Arial"/>
                <w:bCs/>
                <w:kern w:val="0"/>
                <w:sz w:val="24"/>
              </w:rPr>
              <w:t>0.05％</w:t>
            </w:r>
          </w:p>
        </w:tc>
        <w:tc>
          <w:tcPr>
            <w:tcW w:w="1560" w:type="dxa"/>
            <w:tcBorders>
              <w:top w:val="outset" w:color="auto" w:sz="6" w:space="0"/>
              <w:left w:val="outset" w:color="auto" w:sz="6" w:space="0"/>
              <w:bottom w:val="outset" w:color="auto" w:sz="6" w:space="0"/>
              <w:right w:val="outset" w:color="auto" w:sz="6" w:space="0"/>
            </w:tcBorders>
            <w:vAlign w:val="center"/>
          </w:tcPr>
          <w:p w14:paraId="40C7594F">
            <w:pPr>
              <w:spacing w:before="100" w:beforeAutospacing="1" w:after="100" w:afterAutospacing="1" w:line="360" w:lineRule="auto"/>
              <w:jc w:val="center"/>
              <w:rPr>
                <w:rFonts w:ascii="Arial" w:hAnsi="Arial" w:cs="Arial"/>
                <w:kern w:val="0"/>
                <w:sz w:val="24"/>
              </w:rPr>
            </w:pPr>
            <w:r>
              <w:rPr>
                <w:rFonts w:ascii="Arial" w:hAnsi="Arial" w:cs="Arial"/>
                <w:bCs/>
                <w:kern w:val="0"/>
                <w:sz w:val="24"/>
              </w:rPr>
              <w:t>0.05％</w:t>
            </w:r>
          </w:p>
        </w:tc>
        <w:tc>
          <w:tcPr>
            <w:tcW w:w="1743" w:type="dxa"/>
            <w:tcBorders>
              <w:top w:val="outset" w:color="auto" w:sz="6" w:space="0"/>
              <w:left w:val="outset" w:color="auto" w:sz="6" w:space="0"/>
              <w:bottom w:val="outset" w:color="auto" w:sz="6" w:space="0"/>
              <w:right w:val="outset" w:color="auto" w:sz="6" w:space="0"/>
            </w:tcBorders>
            <w:vAlign w:val="center"/>
          </w:tcPr>
          <w:p w14:paraId="55238595">
            <w:pPr>
              <w:spacing w:before="100" w:beforeAutospacing="1" w:after="100" w:afterAutospacing="1" w:line="360" w:lineRule="auto"/>
              <w:jc w:val="center"/>
              <w:rPr>
                <w:rFonts w:ascii="Arial" w:hAnsi="Arial" w:cs="Arial"/>
                <w:kern w:val="0"/>
                <w:sz w:val="24"/>
              </w:rPr>
            </w:pPr>
            <w:r>
              <w:rPr>
                <w:rFonts w:ascii="Arial" w:hAnsi="Arial" w:cs="Arial"/>
                <w:bCs/>
                <w:kern w:val="0"/>
                <w:sz w:val="24"/>
              </w:rPr>
              <w:t>0.05％</w:t>
            </w:r>
          </w:p>
        </w:tc>
      </w:tr>
      <w:tr w14:paraId="42AFEA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970" w:type="dxa"/>
            <w:tcBorders>
              <w:top w:val="outset" w:color="auto" w:sz="6" w:space="0"/>
              <w:left w:val="outset" w:color="auto" w:sz="6" w:space="0"/>
              <w:bottom w:val="outset" w:color="auto" w:sz="6" w:space="0"/>
              <w:right w:val="outset" w:color="auto" w:sz="6" w:space="0"/>
            </w:tcBorders>
            <w:vAlign w:val="center"/>
          </w:tcPr>
          <w:p w14:paraId="72997184">
            <w:pPr>
              <w:spacing w:before="100" w:beforeAutospacing="1" w:after="100" w:afterAutospacing="1" w:line="360" w:lineRule="auto"/>
              <w:jc w:val="center"/>
              <w:rPr>
                <w:rFonts w:ascii="Arial" w:hAnsi="Arial" w:cs="Arial"/>
                <w:kern w:val="0"/>
                <w:sz w:val="24"/>
              </w:rPr>
            </w:pPr>
            <w:r>
              <w:rPr>
                <w:rFonts w:hint="eastAsia" w:ascii="Arial" w:hAnsi="Arial" w:cs="Arial"/>
                <w:bCs/>
                <w:kern w:val="0"/>
                <w:sz w:val="24"/>
              </w:rPr>
              <w:t>5</w:t>
            </w:r>
            <w:r>
              <w:rPr>
                <w:rFonts w:ascii="Arial" w:hAnsi="Arial" w:cs="Arial"/>
                <w:bCs/>
                <w:kern w:val="0"/>
                <w:sz w:val="24"/>
              </w:rPr>
              <w:t>0000—100000</w:t>
            </w:r>
          </w:p>
        </w:tc>
        <w:tc>
          <w:tcPr>
            <w:tcW w:w="1417" w:type="dxa"/>
            <w:tcBorders>
              <w:top w:val="outset" w:color="auto" w:sz="6" w:space="0"/>
              <w:left w:val="outset" w:color="auto" w:sz="6" w:space="0"/>
              <w:bottom w:val="outset" w:color="auto" w:sz="6" w:space="0"/>
              <w:right w:val="outset" w:color="auto" w:sz="6" w:space="0"/>
            </w:tcBorders>
            <w:vAlign w:val="center"/>
          </w:tcPr>
          <w:p w14:paraId="557F2CC0">
            <w:pPr>
              <w:spacing w:before="100" w:beforeAutospacing="1" w:after="100" w:afterAutospacing="1" w:line="360" w:lineRule="auto"/>
              <w:jc w:val="center"/>
              <w:rPr>
                <w:rFonts w:ascii="Arial" w:hAnsi="Arial" w:cs="Arial"/>
                <w:kern w:val="0"/>
                <w:sz w:val="24"/>
              </w:rPr>
            </w:pPr>
            <w:r>
              <w:rPr>
                <w:rFonts w:ascii="Arial" w:hAnsi="Arial" w:cs="Arial"/>
                <w:bCs/>
                <w:kern w:val="0"/>
                <w:sz w:val="24"/>
              </w:rPr>
              <w:t>0.0</w:t>
            </w:r>
            <w:r>
              <w:rPr>
                <w:rFonts w:hint="eastAsia" w:ascii="Arial" w:hAnsi="Arial" w:cs="Arial"/>
                <w:bCs/>
                <w:kern w:val="0"/>
                <w:sz w:val="24"/>
              </w:rPr>
              <w:t>3</w:t>
            </w:r>
            <w:r>
              <w:rPr>
                <w:rFonts w:ascii="Arial" w:hAnsi="Arial" w:cs="Arial"/>
                <w:bCs/>
                <w:kern w:val="0"/>
                <w:sz w:val="24"/>
              </w:rPr>
              <w:t>5％</w:t>
            </w:r>
          </w:p>
        </w:tc>
        <w:tc>
          <w:tcPr>
            <w:tcW w:w="1560" w:type="dxa"/>
            <w:tcBorders>
              <w:top w:val="outset" w:color="auto" w:sz="6" w:space="0"/>
              <w:left w:val="outset" w:color="auto" w:sz="6" w:space="0"/>
              <w:bottom w:val="outset" w:color="auto" w:sz="6" w:space="0"/>
              <w:right w:val="outset" w:color="auto" w:sz="6" w:space="0"/>
            </w:tcBorders>
            <w:vAlign w:val="center"/>
          </w:tcPr>
          <w:p w14:paraId="5345AA4A">
            <w:pPr>
              <w:spacing w:before="100" w:beforeAutospacing="1" w:after="100" w:afterAutospacing="1" w:line="360" w:lineRule="auto"/>
              <w:jc w:val="center"/>
              <w:rPr>
                <w:rFonts w:ascii="Arial" w:hAnsi="Arial" w:cs="Arial"/>
                <w:kern w:val="0"/>
                <w:sz w:val="24"/>
              </w:rPr>
            </w:pPr>
            <w:r>
              <w:rPr>
                <w:rFonts w:ascii="Arial" w:hAnsi="Arial" w:cs="Arial"/>
                <w:bCs/>
                <w:kern w:val="0"/>
                <w:sz w:val="24"/>
              </w:rPr>
              <w:t>0.0</w:t>
            </w:r>
            <w:r>
              <w:rPr>
                <w:rFonts w:hint="eastAsia" w:ascii="Arial" w:hAnsi="Arial" w:cs="Arial"/>
                <w:bCs/>
                <w:kern w:val="0"/>
                <w:sz w:val="24"/>
              </w:rPr>
              <w:t>3</w:t>
            </w:r>
            <w:r>
              <w:rPr>
                <w:rFonts w:ascii="Arial" w:hAnsi="Arial" w:cs="Arial"/>
                <w:bCs/>
                <w:kern w:val="0"/>
                <w:sz w:val="24"/>
              </w:rPr>
              <w:t>5％</w:t>
            </w:r>
          </w:p>
        </w:tc>
        <w:tc>
          <w:tcPr>
            <w:tcW w:w="1743" w:type="dxa"/>
            <w:tcBorders>
              <w:top w:val="outset" w:color="auto" w:sz="6" w:space="0"/>
              <w:left w:val="outset" w:color="auto" w:sz="6" w:space="0"/>
              <w:bottom w:val="outset" w:color="auto" w:sz="6" w:space="0"/>
              <w:right w:val="outset" w:color="auto" w:sz="6" w:space="0"/>
            </w:tcBorders>
            <w:vAlign w:val="center"/>
          </w:tcPr>
          <w:p w14:paraId="3E72EAD0">
            <w:pPr>
              <w:spacing w:before="100" w:beforeAutospacing="1" w:after="100" w:afterAutospacing="1" w:line="360" w:lineRule="auto"/>
              <w:jc w:val="center"/>
              <w:rPr>
                <w:rFonts w:ascii="Arial" w:hAnsi="Arial" w:cs="Arial"/>
                <w:kern w:val="0"/>
                <w:sz w:val="24"/>
              </w:rPr>
            </w:pPr>
            <w:r>
              <w:rPr>
                <w:rFonts w:ascii="Arial" w:hAnsi="Arial" w:cs="Arial"/>
                <w:bCs/>
                <w:kern w:val="0"/>
                <w:sz w:val="24"/>
              </w:rPr>
              <w:t>0.0</w:t>
            </w:r>
            <w:r>
              <w:rPr>
                <w:rFonts w:hint="eastAsia" w:ascii="Arial" w:hAnsi="Arial" w:cs="Arial"/>
                <w:bCs/>
                <w:kern w:val="0"/>
                <w:sz w:val="24"/>
              </w:rPr>
              <w:t>3</w:t>
            </w:r>
            <w:r>
              <w:rPr>
                <w:rFonts w:ascii="Arial" w:hAnsi="Arial" w:cs="Arial"/>
                <w:bCs/>
                <w:kern w:val="0"/>
                <w:sz w:val="24"/>
              </w:rPr>
              <w:t>5％</w:t>
            </w:r>
          </w:p>
        </w:tc>
      </w:tr>
      <w:tr w14:paraId="68A8E9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970" w:type="dxa"/>
            <w:tcBorders>
              <w:top w:val="outset" w:color="auto" w:sz="6" w:space="0"/>
              <w:left w:val="outset" w:color="auto" w:sz="6" w:space="0"/>
              <w:bottom w:val="outset" w:color="auto" w:sz="6" w:space="0"/>
              <w:right w:val="outset" w:color="auto" w:sz="6" w:space="0"/>
            </w:tcBorders>
            <w:vAlign w:val="center"/>
          </w:tcPr>
          <w:p w14:paraId="061DDD3B">
            <w:pPr>
              <w:spacing w:before="100" w:beforeAutospacing="1" w:after="100" w:afterAutospacing="1" w:line="360" w:lineRule="auto"/>
              <w:jc w:val="center"/>
              <w:rPr>
                <w:rFonts w:ascii="Arial" w:hAnsi="Arial" w:cs="Arial"/>
                <w:bCs/>
                <w:kern w:val="0"/>
                <w:sz w:val="24"/>
              </w:rPr>
            </w:pPr>
            <w:r>
              <w:rPr>
                <w:rFonts w:hint="eastAsia" w:ascii="Arial" w:hAnsi="Arial" w:cs="Arial"/>
                <w:bCs/>
                <w:kern w:val="0"/>
                <w:sz w:val="24"/>
              </w:rPr>
              <w:t>100000-500000</w:t>
            </w:r>
          </w:p>
        </w:tc>
        <w:tc>
          <w:tcPr>
            <w:tcW w:w="1417" w:type="dxa"/>
            <w:tcBorders>
              <w:top w:val="outset" w:color="auto" w:sz="6" w:space="0"/>
              <w:left w:val="outset" w:color="auto" w:sz="6" w:space="0"/>
              <w:bottom w:val="outset" w:color="auto" w:sz="6" w:space="0"/>
              <w:right w:val="outset" w:color="auto" w:sz="6" w:space="0"/>
            </w:tcBorders>
          </w:tcPr>
          <w:p w14:paraId="1D0AE16B">
            <w:pPr>
              <w:spacing w:before="100" w:beforeAutospacing="1" w:after="100" w:afterAutospacing="1" w:line="360" w:lineRule="auto"/>
              <w:jc w:val="center"/>
              <w:rPr>
                <w:rFonts w:ascii="Arial" w:hAnsi="Arial" w:cs="Arial"/>
                <w:bCs/>
                <w:kern w:val="0"/>
                <w:sz w:val="24"/>
              </w:rPr>
            </w:pPr>
            <w:r>
              <w:rPr>
                <w:rFonts w:hint="eastAsia"/>
                <w:sz w:val="30"/>
                <w:szCs w:val="30"/>
              </w:rPr>
              <w:t>0.008%</w:t>
            </w:r>
          </w:p>
        </w:tc>
        <w:tc>
          <w:tcPr>
            <w:tcW w:w="1560" w:type="dxa"/>
            <w:tcBorders>
              <w:top w:val="outset" w:color="auto" w:sz="6" w:space="0"/>
              <w:left w:val="outset" w:color="auto" w:sz="6" w:space="0"/>
              <w:bottom w:val="outset" w:color="auto" w:sz="6" w:space="0"/>
              <w:right w:val="outset" w:color="auto" w:sz="6" w:space="0"/>
            </w:tcBorders>
          </w:tcPr>
          <w:p w14:paraId="4F8B8759">
            <w:pPr>
              <w:spacing w:before="100" w:beforeAutospacing="1" w:after="100" w:afterAutospacing="1" w:line="360" w:lineRule="auto"/>
              <w:jc w:val="center"/>
              <w:rPr>
                <w:rFonts w:ascii="Arial" w:hAnsi="Arial" w:cs="Arial"/>
                <w:bCs/>
                <w:kern w:val="0"/>
                <w:sz w:val="24"/>
              </w:rPr>
            </w:pPr>
            <w:r>
              <w:rPr>
                <w:rFonts w:hint="eastAsia"/>
                <w:sz w:val="30"/>
                <w:szCs w:val="30"/>
              </w:rPr>
              <w:t>0.008%</w:t>
            </w:r>
          </w:p>
        </w:tc>
        <w:tc>
          <w:tcPr>
            <w:tcW w:w="1743" w:type="dxa"/>
            <w:tcBorders>
              <w:top w:val="outset" w:color="auto" w:sz="6" w:space="0"/>
              <w:left w:val="outset" w:color="auto" w:sz="6" w:space="0"/>
              <w:bottom w:val="outset" w:color="auto" w:sz="6" w:space="0"/>
              <w:right w:val="outset" w:color="auto" w:sz="6" w:space="0"/>
            </w:tcBorders>
          </w:tcPr>
          <w:p w14:paraId="75BF7A66">
            <w:pPr>
              <w:spacing w:before="100" w:beforeAutospacing="1" w:after="100" w:afterAutospacing="1" w:line="360" w:lineRule="auto"/>
              <w:jc w:val="center"/>
              <w:rPr>
                <w:rFonts w:ascii="Arial" w:hAnsi="Arial" w:cs="Arial"/>
                <w:bCs/>
                <w:kern w:val="0"/>
                <w:sz w:val="24"/>
              </w:rPr>
            </w:pPr>
            <w:r>
              <w:rPr>
                <w:rFonts w:hint="eastAsia"/>
                <w:sz w:val="30"/>
                <w:szCs w:val="30"/>
              </w:rPr>
              <w:t>0.008%</w:t>
            </w:r>
          </w:p>
        </w:tc>
      </w:tr>
    </w:tbl>
    <w:p w14:paraId="6A3B251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招标代理服务收费按差额定率累进法计算。施工招标属于工程类招标代理，勘察、设计、监理、造价咨询、设计咨询、造价复审、第三方监测、第三方检测、绿建验收评估、竣工测绘验收等属于服务类招标代理。本项目招标代理暂定合同价计算如下：</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4"/>
        <w:gridCol w:w="936"/>
        <w:gridCol w:w="1377"/>
        <w:gridCol w:w="888"/>
        <w:gridCol w:w="2800"/>
        <w:gridCol w:w="1721"/>
        <w:gridCol w:w="978"/>
      </w:tblGrid>
      <w:tr w14:paraId="5FA1A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2" w:hRule="atLeast"/>
        </w:trPr>
        <w:tc>
          <w:tcPr>
            <w:tcW w:w="9174" w:type="dxa"/>
            <w:gridSpan w:val="7"/>
            <w:tcBorders>
              <w:top w:val="nil"/>
              <w:left w:val="nil"/>
              <w:bottom w:val="nil"/>
              <w:right w:val="nil"/>
            </w:tcBorders>
            <w:shd w:val="clear" w:color="auto" w:fill="auto"/>
            <w:vAlign w:val="center"/>
          </w:tcPr>
          <w:p w14:paraId="402A37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观湖北医疗器械城利益统筹项目</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招标代理费明细</w:t>
            </w:r>
          </w:p>
        </w:tc>
      </w:tr>
      <w:tr w14:paraId="72115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474" w:type="dxa"/>
            <w:tcBorders>
              <w:top w:val="single" w:color="000000" w:sz="4" w:space="0"/>
              <w:left w:val="single" w:color="000000" w:sz="4" w:space="0"/>
              <w:bottom w:val="nil"/>
              <w:right w:val="single" w:color="000000" w:sz="4" w:space="0"/>
            </w:tcBorders>
            <w:shd w:val="clear" w:color="auto" w:fill="auto"/>
            <w:vAlign w:val="center"/>
          </w:tcPr>
          <w:p w14:paraId="274F10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936" w:type="dxa"/>
            <w:tcBorders>
              <w:top w:val="single" w:color="000000" w:sz="4" w:space="0"/>
              <w:left w:val="single" w:color="000000" w:sz="4" w:space="0"/>
              <w:bottom w:val="nil"/>
              <w:right w:val="single" w:color="000000" w:sz="4" w:space="0"/>
            </w:tcBorders>
            <w:shd w:val="clear" w:color="auto" w:fill="auto"/>
            <w:vAlign w:val="center"/>
          </w:tcPr>
          <w:p w14:paraId="033394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类别</w:t>
            </w:r>
          </w:p>
        </w:tc>
        <w:tc>
          <w:tcPr>
            <w:tcW w:w="1377" w:type="dxa"/>
            <w:tcBorders>
              <w:top w:val="single" w:color="000000" w:sz="4" w:space="0"/>
              <w:left w:val="single" w:color="000000" w:sz="4" w:space="0"/>
              <w:bottom w:val="nil"/>
              <w:right w:val="single" w:color="000000" w:sz="4" w:space="0"/>
            </w:tcBorders>
            <w:shd w:val="clear" w:color="auto" w:fill="auto"/>
            <w:vAlign w:val="center"/>
          </w:tcPr>
          <w:p w14:paraId="2F40B8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招标项目名称</w:t>
            </w:r>
          </w:p>
        </w:tc>
        <w:tc>
          <w:tcPr>
            <w:tcW w:w="888" w:type="dxa"/>
            <w:tcBorders>
              <w:top w:val="single" w:color="000000" w:sz="4" w:space="0"/>
              <w:left w:val="single" w:color="000000" w:sz="4" w:space="0"/>
              <w:bottom w:val="nil"/>
              <w:right w:val="single" w:color="000000" w:sz="4" w:space="0"/>
            </w:tcBorders>
            <w:shd w:val="clear" w:color="auto" w:fill="auto"/>
            <w:vAlign w:val="center"/>
          </w:tcPr>
          <w:p w14:paraId="62624F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招标公告次数</w:t>
            </w:r>
          </w:p>
        </w:tc>
        <w:tc>
          <w:tcPr>
            <w:tcW w:w="2800" w:type="dxa"/>
            <w:tcBorders>
              <w:top w:val="single" w:color="000000" w:sz="4" w:space="0"/>
              <w:left w:val="single" w:color="000000" w:sz="4" w:space="0"/>
              <w:bottom w:val="nil"/>
              <w:right w:val="single" w:color="000000" w:sz="4" w:space="0"/>
            </w:tcBorders>
            <w:shd w:val="clear" w:color="auto" w:fill="auto"/>
            <w:vAlign w:val="center"/>
          </w:tcPr>
          <w:p w14:paraId="5DE0E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涉及地块名称</w:t>
            </w:r>
          </w:p>
        </w:tc>
        <w:tc>
          <w:tcPr>
            <w:tcW w:w="1721" w:type="dxa"/>
            <w:tcBorders>
              <w:top w:val="single" w:color="000000" w:sz="4" w:space="0"/>
              <w:left w:val="single" w:color="000000" w:sz="4" w:space="0"/>
              <w:bottom w:val="nil"/>
              <w:right w:val="single" w:color="000000" w:sz="4" w:space="0"/>
            </w:tcBorders>
            <w:shd w:val="clear" w:color="auto" w:fill="auto"/>
            <w:vAlign w:val="center"/>
          </w:tcPr>
          <w:p w14:paraId="3749BE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暂定中标价（万元）</w:t>
            </w:r>
          </w:p>
        </w:tc>
        <w:tc>
          <w:tcPr>
            <w:tcW w:w="978" w:type="dxa"/>
            <w:tcBorders>
              <w:top w:val="single" w:color="000000" w:sz="4" w:space="0"/>
              <w:left w:val="nil"/>
              <w:bottom w:val="single" w:color="000000" w:sz="4" w:space="0"/>
              <w:right w:val="single" w:color="000000" w:sz="4" w:space="0"/>
            </w:tcBorders>
            <w:shd w:val="clear" w:color="auto" w:fill="auto"/>
            <w:vAlign w:val="center"/>
          </w:tcPr>
          <w:p w14:paraId="7A4F3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招标代理费</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（万元）</w:t>
            </w:r>
          </w:p>
        </w:tc>
      </w:tr>
      <w:tr w14:paraId="2F20B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8B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C1A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施工类</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8F5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主体施工总承包</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F1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Ⅰ</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1E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一标段（11-17-1地块）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C0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76,445.77</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F3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59.81</w:t>
            </w:r>
          </w:p>
        </w:tc>
      </w:tr>
      <w:tr w14:paraId="62299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52EA2">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330F3">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0FDC9">
            <w:pPr>
              <w:jc w:val="center"/>
              <w:rPr>
                <w:rFonts w:hint="eastAsia" w:asciiTheme="minorEastAsia" w:hAnsiTheme="minorEastAsia" w:eastAsiaTheme="minorEastAsia" w:cstheme="minorEastAsia"/>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0B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Ⅱ</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AC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二标段（19-13、20-01-1、20-01-2地块）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78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294,369.49</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DC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83.60</w:t>
            </w:r>
          </w:p>
        </w:tc>
      </w:tr>
      <w:tr w14:paraId="6CA49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767E">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C2F04">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83BBE">
            <w:pPr>
              <w:jc w:val="center"/>
              <w:rPr>
                <w:rFonts w:hint="eastAsia" w:asciiTheme="minorEastAsia" w:hAnsiTheme="minorEastAsia" w:eastAsiaTheme="minorEastAsia" w:cstheme="minorEastAsia"/>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E5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Ⅲ</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B1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三标段（19-01、19-05、19-07地块）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A9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316,833.32</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46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85.40</w:t>
            </w:r>
          </w:p>
        </w:tc>
      </w:tr>
      <w:tr w14:paraId="18205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1779">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54BA9">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2D9B7">
            <w:pPr>
              <w:jc w:val="center"/>
              <w:rPr>
                <w:rFonts w:hint="eastAsia" w:asciiTheme="minorEastAsia" w:hAnsiTheme="minorEastAsia" w:eastAsiaTheme="minorEastAsia" w:cstheme="minorEastAsia"/>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36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Ⅳ</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0B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四标段（17-21、17-23-1、18-18地块）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77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338,414.92</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CB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87.12</w:t>
            </w:r>
          </w:p>
        </w:tc>
      </w:tr>
      <w:tr w14:paraId="1CA1C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D5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65C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施工类</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C86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精装修</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B2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Ⅰ</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06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19-13地块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417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32,588.88</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6F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41.84</w:t>
            </w:r>
          </w:p>
        </w:tc>
      </w:tr>
      <w:tr w14:paraId="353E4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7497">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A3CFD">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02D94">
            <w:pPr>
              <w:jc w:val="center"/>
              <w:rPr>
                <w:rFonts w:hint="eastAsia" w:asciiTheme="minorEastAsia" w:hAnsiTheme="minorEastAsia" w:eastAsiaTheme="minorEastAsia" w:cstheme="minorEastAsia"/>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A7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Ⅱ</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B6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19-07地块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2C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35,596.08</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76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43.35</w:t>
            </w:r>
          </w:p>
        </w:tc>
      </w:tr>
      <w:tr w14:paraId="4DB73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45B8">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20D9D">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9E10D">
            <w:pPr>
              <w:jc w:val="center"/>
              <w:rPr>
                <w:rFonts w:hint="eastAsia" w:asciiTheme="minorEastAsia" w:hAnsiTheme="minorEastAsia" w:eastAsiaTheme="minorEastAsia" w:cstheme="minorEastAsia"/>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B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Ⅲ</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61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19-05地块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84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13,343.72</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D2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32.22</w:t>
            </w:r>
          </w:p>
        </w:tc>
      </w:tr>
      <w:tr w14:paraId="48CB2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97B3">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D3071">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ADFF7">
            <w:pPr>
              <w:jc w:val="center"/>
              <w:rPr>
                <w:rFonts w:hint="eastAsia" w:asciiTheme="minorEastAsia" w:hAnsiTheme="minorEastAsia" w:eastAsiaTheme="minorEastAsia" w:cstheme="minorEastAsia"/>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23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Ⅳ</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74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20-01-2地块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0C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51,858.24</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0D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51.2</w:t>
            </w:r>
          </w:p>
        </w:tc>
      </w:tr>
      <w:tr w14:paraId="49D80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7813">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7ACAA">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025B6">
            <w:pPr>
              <w:jc w:val="center"/>
              <w:rPr>
                <w:rFonts w:hint="eastAsia" w:asciiTheme="minorEastAsia" w:hAnsiTheme="minorEastAsia" w:eastAsiaTheme="minorEastAsia" w:cstheme="minorEastAsia"/>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BD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V</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23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20-01-1地块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73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59,289.24</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A1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53.8</w:t>
            </w:r>
          </w:p>
        </w:tc>
      </w:tr>
      <w:tr w14:paraId="34195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6ADF">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34086">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EAF4B">
            <w:pPr>
              <w:jc w:val="center"/>
              <w:rPr>
                <w:rFonts w:hint="eastAsia" w:asciiTheme="minorEastAsia" w:hAnsiTheme="minorEastAsia" w:eastAsiaTheme="minorEastAsia" w:cstheme="minorEastAsia"/>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F1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VI</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FC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19-01地块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BF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79,513.08</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1E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60.88</w:t>
            </w:r>
          </w:p>
        </w:tc>
      </w:tr>
      <w:tr w14:paraId="005A6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FE9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ECE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施工类</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572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展示区精装修</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FC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Ⅰ</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48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19-01地块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31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1,000.00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15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6.55</w:t>
            </w:r>
          </w:p>
        </w:tc>
      </w:tr>
      <w:tr w14:paraId="55AD6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D8FC4">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46F35">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8FF83">
            <w:pPr>
              <w:jc w:val="center"/>
              <w:rPr>
                <w:rFonts w:hint="eastAsia" w:asciiTheme="minorEastAsia" w:hAnsiTheme="minorEastAsia" w:eastAsiaTheme="minorEastAsia" w:cstheme="minorEastAsia"/>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C5B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Ⅱ</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DD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19-05地块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5C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1,000.00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59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6.55</w:t>
            </w:r>
          </w:p>
        </w:tc>
      </w:tr>
      <w:tr w14:paraId="7388D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5CD1F">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C388E">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603DA">
            <w:pPr>
              <w:jc w:val="center"/>
              <w:rPr>
                <w:rFonts w:hint="eastAsia" w:asciiTheme="minorEastAsia" w:hAnsiTheme="minorEastAsia" w:eastAsiaTheme="minorEastAsia" w:cstheme="minorEastAsia"/>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ED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Ⅲ</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A2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19-13地块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64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1,000.00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1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6.55</w:t>
            </w:r>
          </w:p>
        </w:tc>
      </w:tr>
      <w:tr w14:paraId="5A980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D5036">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4BEFF">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6D350">
            <w:pPr>
              <w:jc w:val="center"/>
              <w:rPr>
                <w:rFonts w:hint="eastAsia" w:asciiTheme="minorEastAsia" w:hAnsiTheme="minorEastAsia" w:eastAsiaTheme="minorEastAsia" w:cstheme="minorEastAsia"/>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AE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Ⅳ</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EB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20-01-1地块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44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1,000.00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E5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6.55</w:t>
            </w:r>
          </w:p>
        </w:tc>
      </w:tr>
      <w:tr w14:paraId="01056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8E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3E9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服务类</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230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勘察费（含公开招标部分）(二~四标段)</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7A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Ⅱ</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8C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19-13、20-01-1、20-01-2地块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EA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202.07</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88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2.32</w:t>
            </w:r>
          </w:p>
        </w:tc>
      </w:tr>
      <w:tr w14:paraId="2603A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B992">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48EA5">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1FB4A">
            <w:pPr>
              <w:jc w:val="center"/>
              <w:rPr>
                <w:rFonts w:hint="eastAsia" w:asciiTheme="minorEastAsia" w:hAnsiTheme="minorEastAsia" w:eastAsiaTheme="minorEastAsia" w:cstheme="minorEastAsia"/>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05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Ⅲ</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13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19-01、19-05、19-07地块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6F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217.26</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A0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2.44</w:t>
            </w:r>
          </w:p>
        </w:tc>
      </w:tr>
      <w:tr w14:paraId="1F3A4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78A1">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A0672">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602AD">
            <w:pPr>
              <w:jc w:val="center"/>
              <w:rPr>
                <w:rFonts w:hint="eastAsia" w:asciiTheme="minorEastAsia" w:hAnsiTheme="minorEastAsia" w:eastAsiaTheme="minorEastAsia" w:cstheme="minorEastAsia"/>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75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Ⅳ</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C4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17-21、17-23-1、18-18地块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1C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251.07</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A6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2.71</w:t>
            </w:r>
          </w:p>
        </w:tc>
      </w:tr>
      <w:tr w14:paraId="61534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3D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1B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服务类</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26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设计费（含园林、营销中心样板房设计），按大包计费</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3D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主体设计Ⅲ</w:t>
            </w:r>
          </w:p>
          <w:p w14:paraId="527A5D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Ⅳ</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10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18-18、17-21、17-23-1、11-17-1地块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4C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5,847.73</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96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17.80</w:t>
            </w:r>
          </w:p>
        </w:tc>
      </w:tr>
      <w:tr w14:paraId="22D99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810E">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2102">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A415C">
            <w:pPr>
              <w:jc w:val="center"/>
              <w:rPr>
                <w:rFonts w:hint="eastAsia" w:asciiTheme="minorEastAsia" w:hAnsiTheme="minorEastAsia" w:eastAsiaTheme="minorEastAsia" w:cstheme="minorEastAsia"/>
                <w:i w:val="0"/>
                <w:iCs w:val="0"/>
                <w:color w:val="000000"/>
                <w:sz w:val="24"/>
                <w:szCs w:val="24"/>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95A1">
            <w:pPr>
              <w:jc w:val="center"/>
              <w:rPr>
                <w:rFonts w:hint="eastAsia" w:asciiTheme="minorEastAsia" w:hAnsiTheme="minorEastAsia" w:eastAsiaTheme="minorEastAsia" w:cstheme="minorEastAsia"/>
                <w:i w:val="0"/>
                <w:iCs w:val="0"/>
                <w:color w:val="000000"/>
                <w:sz w:val="24"/>
                <w:szCs w:val="24"/>
                <w:u w:val="none"/>
              </w:rPr>
            </w:pP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91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19-01、19-05、19-07、19-13、20-01-1、20-01-2地块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6C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12,311.23</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7C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23.11</w:t>
            </w:r>
          </w:p>
        </w:tc>
      </w:tr>
      <w:tr w14:paraId="3B088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89DB">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4BF3">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A197F">
            <w:pPr>
              <w:jc w:val="center"/>
              <w:rPr>
                <w:rFonts w:hint="eastAsia" w:asciiTheme="minorEastAsia" w:hAnsiTheme="minorEastAsia" w:eastAsiaTheme="minorEastAsia" w:cstheme="minorEastAsia"/>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7A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营销样板房</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7C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19-05、19-07、19-13、20-01-1</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66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1,440.00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CD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14.32</w:t>
            </w:r>
          </w:p>
        </w:tc>
      </w:tr>
      <w:tr w14:paraId="5077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4150">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9F33">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3C2B4">
            <w:pPr>
              <w:jc w:val="center"/>
              <w:rPr>
                <w:rFonts w:hint="eastAsia" w:asciiTheme="minorEastAsia" w:hAnsiTheme="minorEastAsia" w:eastAsiaTheme="minorEastAsia" w:cstheme="minorEastAsia"/>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D8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园林景观</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16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19-01、19-05、19-07、19-13、20-01-1、20-01-2地块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14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698.89</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14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5.60</w:t>
            </w:r>
          </w:p>
        </w:tc>
      </w:tr>
      <w:tr w14:paraId="58615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9A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593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服务类</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7F4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监理费（含燃气监理公开招标部分）</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B5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Ⅰ</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09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11-17-1地块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D1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732.68</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5C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5.75</w:t>
            </w:r>
          </w:p>
        </w:tc>
      </w:tr>
      <w:tr w14:paraId="5F5F0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9AD7">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714DF">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2AA02">
            <w:pPr>
              <w:jc w:val="center"/>
              <w:rPr>
                <w:rFonts w:hint="eastAsia" w:asciiTheme="minorEastAsia" w:hAnsiTheme="minorEastAsia" w:eastAsiaTheme="minorEastAsia" w:cstheme="minorEastAsia"/>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CD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Ⅱ</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7D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19-13、20-01-1、20-01-2地块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48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2,994.51</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2E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11.94</w:t>
            </w:r>
          </w:p>
        </w:tc>
      </w:tr>
      <w:tr w14:paraId="1BA5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7A8B">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40B15">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EBFC7">
            <w:pPr>
              <w:jc w:val="center"/>
              <w:rPr>
                <w:rFonts w:hint="eastAsia" w:asciiTheme="minorEastAsia" w:hAnsiTheme="minorEastAsia" w:eastAsiaTheme="minorEastAsia" w:cstheme="minorEastAsia"/>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77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Ⅲ</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67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19-01、19-05、19-07地块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AB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3,232.09</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A9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12.53</w:t>
            </w:r>
          </w:p>
        </w:tc>
      </w:tr>
      <w:tr w14:paraId="72AE8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BF6E">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D0308">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FF3C6">
            <w:pPr>
              <w:jc w:val="center"/>
              <w:rPr>
                <w:rFonts w:hint="eastAsia" w:asciiTheme="minorEastAsia" w:hAnsiTheme="minorEastAsia" w:eastAsiaTheme="minorEastAsia" w:cstheme="minorEastAsia"/>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4A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Ⅳ</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8D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17-21、17-23-1、18-18地块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8B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3,299.13</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C2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12.70</w:t>
            </w:r>
          </w:p>
        </w:tc>
      </w:tr>
      <w:tr w14:paraId="6B15B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E2C9">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8F41E">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678A5">
            <w:pPr>
              <w:jc w:val="center"/>
              <w:rPr>
                <w:rFonts w:hint="eastAsia" w:asciiTheme="minorEastAsia" w:hAnsiTheme="minorEastAsia" w:eastAsiaTheme="minorEastAsia" w:cstheme="minorEastAsia"/>
                <w:i w:val="0"/>
                <w:iCs w:val="0"/>
                <w:color w:val="000000"/>
                <w:sz w:val="24"/>
                <w:szCs w:val="24"/>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AD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燃气监理</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DA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19-13、20-01-1、20-01-2地块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0E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169.79</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4C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2.06</w:t>
            </w:r>
          </w:p>
        </w:tc>
      </w:tr>
      <w:tr w14:paraId="2AA85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C363">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7666D">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0D30E">
            <w:pPr>
              <w:jc w:val="center"/>
              <w:rPr>
                <w:rFonts w:hint="eastAsia" w:asciiTheme="minorEastAsia" w:hAnsiTheme="minorEastAsia" w:eastAsiaTheme="minorEastAsia" w:cstheme="minorEastAsia"/>
                <w:i w:val="0"/>
                <w:iCs w:val="0"/>
                <w:color w:val="000000"/>
                <w:sz w:val="24"/>
                <w:szCs w:val="24"/>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68D7">
            <w:pPr>
              <w:jc w:val="center"/>
              <w:rPr>
                <w:rFonts w:hint="eastAsia" w:asciiTheme="minorEastAsia" w:hAnsiTheme="minorEastAsia" w:eastAsiaTheme="minorEastAsia" w:cstheme="minorEastAsia"/>
                <w:i w:val="0"/>
                <w:iCs w:val="0"/>
                <w:color w:val="000000"/>
                <w:sz w:val="24"/>
                <w:szCs w:val="24"/>
                <w:u w:val="none"/>
              </w:rPr>
            </w:pP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4B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19-01、19-05、19-07地块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9D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183.26</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FB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2.17</w:t>
            </w:r>
          </w:p>
        </w:tc>
      </w:tr>
      <w:tr w14:paraId="58CF6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C429">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83F2B">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56804">
            <w:pPr>
              <w:jc w:val="center"/>
              <w:rPr>
                <w:rFonts w:hint="eastAsia" w:asciiTheme="minorEastAsia" w:hAnsiTheme="minorEastAsia" w:eastAsiaTheme="minorEastAsia" w:cstheme="minorEastAsia"/>
                <w:i w:val="0"/>
                <w:iCs w:val="0"/>
                <w:color w:val="000000"/>
                <w:sz w:val="24"/>
                <w:szCs w:val="24"/>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008CC">
            <w:pPr>
              <w:jc w:val="center"/>
              <w:rPr>
                <w:rFonts w:hint="eastAsia" w:asciiTheme="minorEastAsia" w:hAnsiTheme="minorEastAsia" w:eastAsiaTheme="minorEastAsia" w:cstheme="minorEastAsia"/>
                <w:i w:val="0"/>
                <w:iCs w:val="0"/>
                <w:color w:val="000000"/>
                <w:sz w:val="24"/>
                <w:szCs w:val="24"/>
                <w:u w:val="none"/>
              </w:rPr>
            </w:pP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43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17-21、17-23-1、18-18地块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DC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187.06</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25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2.20</w:t>
            </w:r>
          </w:p>
        </w:tc>
      </w:tr>
      <w:tr w14:paraId="34873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74" w:type="dxa"/>
            <w:vMerge w:val="restart"/>
            <w:tcBorders>
              <w:top w:val="nil"/>
              <w:left w:val="single" w:color="000000" w:sz="4" w:space="0"/>
              <w:bottom w:val="single" w:color="000000" w:sz="4" w:space="0"/>
              <w:right w:val="single" w:color="000000" w:sz="4" w:space="0"/>
            </w:tcBorders>
            <w:shd w:val="clear" w:color="auto" w:fill="auto"/>
            <w:noWrap/>
            <w:vAlign w:val="center"/>
          </w:tcPr>
          <w:p w14:paraId="12B5E3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936" w:type="dxa"/>
            <w:vMerge w:val="restart"/>
            <w:tcBorders>
              <w:top w:val="nil"/>
              <w:left w:val="single" w:color="000000" w:sz="4" w:space="0"/>
              <w:bottom w:val="single" w:color="000000" w:sz="4" w:space="0"/>
              <w:right w:val="single" w:color="000000" w:sz="4" w:space="0"/>
            </w:tcBorders>
            <w:shd w:val="clear" w:color="auto" w:fill="auto"/>
            <w:vAlign w:val="center"/>
          </w:tcPr>
          <w:p w14:paraId="69EC8A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服务类</w:t>
            </w:r>
          </w:p>
        </w:tc>
        <w:tc>
          <w:tcPr>
            <w:tcW w:w="1377" w:type="dxa"/>
            <w:vMerge w:val="restart"/>
            <w:tcBorders>
              <w:top w:val="nil"/>
              <w:left w:val="single" w:color="000000" w:sz="4" w:space="0"/>
              <w:bottom w:val="single" w:color="000000" w:sz="4" w:space="0"/>
              <w:right w:val="single" w:color="000000" w:sz="4" w:space="0"/>
            </w:tcBorders>
            <w:shd w:val="clear" w:color="auto" w:fill="auto"/>
            <w:vAlign w:val="center"/>
          </w:tcPr>
          <w:p w14:paraId="086958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全过程造价咨询</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92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Ⅰ</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3E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11-17-1地块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06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263.62</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BD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2.81</w:t>
            </w:r>
          </w:p>
        </w:tc>
      </w:tr>
      <w:tr w14:paraId="51F7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7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48F4569">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nil"/>
              <w:left w:val="single" w:color="000000" w:sz="4" w:space="0"/>
              <w:bottom w:val="single" w:color="000000" w:sz="4" w:space="0"/>
              <w:right w:val="single" w:color="000000" w:sz="4" w:space="0"/>
            </w:tcBorders>
            <w:shd w:val="clear" w:color="auto" w:fill="auto"/>
            <w:vAlign w:val="center"/>
          </w:tcPr>
          <w:p w14:paraId="3C55B2AB">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nil"/>
              <w:left w:val="single" w:color="000000" w:sz="4" w:space="0"/>
              <w:bottom w:val="single" w:color="000000" w:sz="4" w:space="0"/>
              <w:right w:val="single" w:color="000000" w:sz="4" w:space="0"/>
            </w:tcBorders>
            <w:shd w:val="clear" w:color="auto" w:fill="auto"/>
            <w:vAlign w:val="center"/>
          </w:tcPr>
          <w:p w14:paraId="354DEF53">
            <w:pPr>
              <w:jc w:val="center"/>
              <w:rPr>
                <w:rFonts w:hint="eastAsia" w:asciiTheme="minorEastAsia" w:hAnsiTheme="minorEastAsia" w:eastAsiaTheme="minorEastAsia" w:cstheme="minorEastAsia"/>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FD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Ⅱ</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A5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19-13、20-01-1、20-01-2地块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C4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1,202.00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57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7.46</w:t>
            </w:r>
          </w:p>
        </w:tc>
      </w:tr>
      <w:tr w14:paraId="75CB3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7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0AAFF63">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nil"/>
              <w:left w:val="single" w:color="000000" w:sz="4" w:space="0"/>
              <w:bottom w:val="single" w:color="000000" w:sz="4" w:space="0"/>
              <w:right w:val="single" w:color="000000" w:sz="4" w:space="0"/>
            </w:tcBorders>
            <w:shd w:val="clear" w:color="auto" w:fill="auto"/>
            <w:vAlign w:val="center"/>
          </w:tcPr>
          <w:p w14:paraId="10AA5E20">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nil"/>
              <w:left w:val="single" w:color="000000" w:sz="4" w:space="0"/>
              <w:bottom w:val="single" w:color="000000" w:sz="4" w:space="0"/>
              <w:right w:val="single" w:color="000000" w:sz="4" w:space="0"/>
            </w:tcBorders>
            <w:shd w:val="clear" w:color="auto" w:fill="auto"/>
            <w:vAlign w:val="center"/>
          </w:tcPr>
          <w:p w14:paraId="66193AFB">
            <w:pPr>
              <w:jc w:val="center"/>
              <w:rPr>
                <w:rFonts w:hint="eastAsia" w:asciiTheme="minorEastAsia" w:hAnsiTheme="minorEastAsia" w:eastAsiaTheme="minorEastAsia" w:cstheme="minorEastAsia"/>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6B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Ⅲ</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B9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19-01、19-05、19-07地块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4F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1,297.36</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8B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7.69</w:t>
            </w:r>
          </w:p>
        </w:tc>
      </w:tr>
      <w:tr w14:paraId="59187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7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A3E6D3E">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nil"/>
              <w:left w:val="single" w:color="000000" w:sz="4" w:space="0"/>
              <w:bottom w:val="single" w:color="000000" w:sz="4" w:space="0"/>
              <w:right w:val="single" w:color="000000" w:sz="4" w:space="0"/>
            </w:tcBorders>
            <w:shd w:val="clear" w:color="auto" w:fill="auto"/>
            <w:vAlign w:val="center"/>
          </w:tcPr>
          <w:p w14:paraId="6FC9570D">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nil"/>
              <w:left w:val="single" w:color="000000" w:sz="4" w:space="0"/>
              <w:bottom w:val="single" w:color="000000" w:sz="4" w:space="0"/>
              <w:right w:val="single" w:color="000000" w:sz="4" w:space="0"/>
            </w:tcBorders>
            <w:shd w:val="clear" w:color="auto" w:fill="auto"/>
            <w:vAlign w:val="center"/>
          </w:tcPr>
          <w:p w14:paraId="7BEB7BFD">
            <w:pPr>
              <w:jc w:val="center"/>
              <w:rPr>
                <w:rFonts w:hint="eastAsia" w:asciiTheme="minorEastAsia" w:hAnsiTheme="minorEastAsia" w:eastAsiaTheme="minorEastAsia" w:cstheme="minorEastAsia"/>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83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Ⅳ</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78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17-21、17-23-1、18-18地块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8C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1,187.03</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457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7.42</w:t>
            </w:r>
          </w:p>
        </w:tc>
      </w:tr>
      <w:tr w14:paraId="7E329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74" w:type="dxa"/>
            <w:vMerge w:val="restart"/>
            <w:tcBorders>
              <w:top w:val="nil"/>
              <w:left w:val="single" w:color="000000" w:sz="4" w:space="0"/>
              <w:bottom w:val="single" w:color="000000" w:sz="4" w:space="0"/>
              <w:right w:val="single" w:color="000000" w:sz="4" w:space="0"/>
            </w:tcBorders>
            <w:shd w:val="clear" w:color="auto" w:fill="auto"/>
            <w:noWrap/>
            <w:vAlign w:val="center"/>
          </w:tcPr>
          <w:p w14:paraId="1462AA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936" w:type="dxa"/>
            <w:vMerge w:val="restart"/>
            <w:tcBorders>
              <w:top w:val="nil"/>
              <w:left w:val="single" w:color="000000" w:sz="4" w:space="0"/>
              <w:bottom w:val="single" w:color="000000" w:sz="4" w:space="0"/>
              <w:right w:val="single" w:color="000000" w:sz="4" w:space="0"/>
            </w:tcBorders>
            <w:shd w:val="clear" w:color="auto" w:fill="auto"/>
            <w:vAlign w:val="center"/>
          </w:tcPr>
          <w:p w14:paraId="6C7443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服务类</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F00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造价咨询审核费</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EA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Ⅰ</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3F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11-17-1地块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E6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114.67</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60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1.62</w:t>
            </w:r>
          </w:p>
        </w:tc>
      </w:tr>
      <w:tr w14:paraId="6A95B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7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1CAF105">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nil"/>
              <w:left w:val="single" w:color="000000" w:sz="4" w:space="0"/>
              <w:bottom w:val="single" w:color="000000" w:sz="4" w:space="0"/>
              <w:right w:val="single" w:color="000000" w:sz="4" w:space="0"/>
            </w:tcBorders>
            <w:shd w:val="clear" w:color="auto" w:fill="auto"/>
            <w:vAlign w:val="center"/>
          </w:tcPr>
          <w:p w14:paraId="000B8406">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B1EDD">
            <w:pPr>
              <w:jc w:val="center"/>
              <w:rPr>
                <w:rFonts w:hint="eastAsia" w:asciiTheme="minorEastAsia" w:hAnsiTheme="minorEastAsia" w:eastAsiaTheme="minorEastAsia" w:cstheme="minorEastAsia"/>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EF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Ⅱ</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56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19-13、20-01-1、20-01-2地块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74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441.55</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EC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4.23</w:t>
            </w:r>
          </w:p>
        </w:tc>
      </w:tr>
      <w:tr w14:paraId="2D0C6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7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CD0D6E1">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nil"/>
              <w:left w:val="single" w:color="000000" w:sz="4" w:space="0"/>
              <w:bottom w:val="single" w:color="000000" w:sz="4" w:space="0"/>
              <w:right w:val="single" w:color="000000" w:sz="4" w:space="0"/>
            </w:tcBorders>
            <w:shd w:val="clear" w:color="auto" w:fill="auto"/>
            <w:vAlign w:val="center"/>
          </w:tcPr>
          <w:p w14:paraId="6BB4ED85">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597EA">
            <w:pPr>
              <w:jc w:val="center"/>
              <w:rPr>
                <w:rFonts w:hint="eastAsia" w:asciiTheme="minorEastAsia" w:hAnsiTheme="minorEastAsia" w:eastAsiaTheme="minorEastAsia" w:cstheme="minorEastAsia"/>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B3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Ⅲ</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B8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19-01、19-05、19-07地块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56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475.25</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69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4.50</w:t>
            </w:r>
          </w:p>
        </w:tc>
      </w:tr>
      <w:tr w14:paraId="7557B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7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6EADD58">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nil"/>
              <w:left w:val="single" w:color="000000" w:sz="4" w:space="0"/>
              <w:bottom w:val="single" w:color="000000" w:sz="4" w:space="0"/>
              <w:right w:val="single" w:color="000000" w:sz="4" w:space="0"/>
            </w:tcBorders>
            <w:shd w:val="clear" w:color="auto" w:fill="auto"/>
            <w:vAlign w:val="center"/>
          </w:tcPr>
          <w:p w14:paraId="16EB3C6B">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F57F1">
            <w:pPr>
              <w:jc w:val="center"/>
              <w:rPr>
                <w:rFonts w:hint="eastAsia" w:asciiTheme="minorEastAsia" w:hAnsiTheme="minorEastAsia" w:eastAsiaTheme="minorEastAsia" w:cstheme="minorEastAsia"/>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AC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Ⅳ</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B6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17-21、17-23-1、18-18地块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C6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507.62</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B4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4.73</w:t>
            </w:r>
          </w:p>
        </w:tc>
      </w:tr>
      <w:tr w14:paraId="15C24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74" w:type="dxa"/>
            <w:tcBorders>
              <w:top w:val="nil"/>
              <w:left w:val="single" w:color="000000" w:sz="4" w:space="0"/>
              <w:bottom w:val="single" w:color="000000" w:sz="4" w:space="0"/>
              <w:right w:val="single" w:color="000000" w:sz="4" w:space="0"/>
            </w:tcBorders>
            <w:shd w:val="clear" w:color="auto" w:fill="auto"/>
            <w:noWrap/>
            <w:vAlign w:val="center"/>
          </w:tcPr>
          <w:p w14:paraId="384252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936" w:type="dxa"/>
            <w:tcBorders>
              <w:top w:val="nil"/>
              <w:left w:val="single" w:color="000000" w:sz="4" w:space="0"/>
              <w:bottom w:val="single" w:color="000000" w:sz="4" w:space="0"/>
              <w:right w:val="single" w:color="000000" w:sz="4" w:space="0"/>
            </w:tcBorders>
            <w:shd w:val="clear" w:color="auto" w:fill="auto"/>
            <w:vAlign w:val="center"/>
          </w:tcPr>
          <w:p w14:paraId="673613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服务类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6A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绿建验收评估</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5D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全地块</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BA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全地块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CB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273.80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B5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2.89</w:t>
            </w:r>
          </w:p>
        </w:tc>
      </w:tr>
      <w:tr w14:paraId="71F1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74" w:type="dxa"/>
            <w:vMerge w:val="restart"/>
            <w:tcBorders>
              <w:top w:val="nil"/>
              <w:left w:val="single" w:color="000000" w:sz="4" w:space="0"/>
              <w:bottom w:val="single" w:color="000000" w:sz="4" w:space="0"/>
              <w:right w:val="single" w:color="000000" w:sz="4" w:space="0"/>
            </w:tcBorders>
            <w:shd w:val="clear" w:color="auto" w:fill="auto"/>
            <w:noWrap/>
            <w:vAlign w:val="center"/>
          </w:tcPr>
          <w:p w14:paraId="6146D7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DD9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服务类</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D98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设计咨询服务</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4A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Ⅰ</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F3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18-18、17-21、17-23-1、11-17-1地块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02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1,310.15</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3F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7.73</w:t>
            </w:r>
          </w:p>
        </w:tc>
      </w:tr>
      <w:tr w14:paraId="299C2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7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AD39638">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B5D7C">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3241A">
            <w:pPr>
              <w:jc w:val="center"/>
              <w:rPr>
                <w:rFonts w:hint="eastAsia" w:asciiTheme="minorEastAsia" w:hAnsiTheme="minorEastAsia" w:eastAsiaTheme="minorEastAsia" w:cstheme="minorEastAsia"/>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A9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Ⅱ</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DE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19-01、19-05、19-07、19-13、20-01-1、20-01-2地块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80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1,952.56</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D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9.33</w:t>
            </w:r>
          </w:p>
        </w:tc>
      </w:tr>
      <w:tr w14:paraId="4E56A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74" w:type="dxa"/>
            <w:tcBorders>
              <w:top w:val="nil"/>
              <w:left w:val="single" w:color="000000" w:sz="4" w:space="0"/>
              <w:bottom w:val="single" w:color="000000" w:sz="4" w:space="0"/>
              <w:right w:val="single" w:color="000000" w:sz="4" w:space="0"/>
            </w:tcBorders>
            <w:shd w:val="clear" w:color="auto" w:fill="auto"/>
            <w:noWrap/>
            <w:vAlign w:val="center"/>
          </w:tcPr>
          <w:p w14:paraId="254E80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936" w:type="dxa"/>
            <w:tcBorders>
              <w:top w:val="nil"/>
              <w:left w:val="single" w:color="000000" w:sz="4" w:space="0"/>
              <w:bottom w:val="single" w:color="000000" w:sz="4" w:space="0"/>
              <w:right w:val="single" w:color="000000" w:sz="4" w:space="0"/>
            </w:tcBorders>
            <w:shd w:val="clear" w:color="auto" w:fill="auto"/>
            <w:vAlign w:val="center"/>
          </w:tcPr>
          <w:p w14:paraId="084AA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服务类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285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竣工测绘验收</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D1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全地块</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D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全地块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58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373.41</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0E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3.69</w:t>
            </w:r>
          </w:p>
        </w:tc>
      </w:tr>
      <w:tr w14:paraId="04169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74" w:type="dxa"/>
            <w:vMerge w:val="restart"/>
            <w:tcBorders>
              <w:top w:val="nil"/>
              <w:left w:val="single" w:color="000000" w:sz="4" w:space="0"/>
              <w:bottom w:val="single" w:color="000000" w:sz="4" w:space="0"/>
              <w:right w:val="single" w:color="000000" w:sz="4" w:space="0"/>
            </w:tcBorders>
            <w:shd w:val="clear" w:color="auto" w:fill="auto"/>
            <w:vAlign w:val="center"/>
          </w:tcPr>
          <w:p w14:paraId="61723D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936" w:type="dxa"/>
            <w:vMerge w:val="restart"/>
            <w:tcBorders>
              <w:top w:val="nil"/>
              <w:left w:val="single" w:color="000000" w:sz="4" w:space="0"/>
              <w:bottom w:val="single" w:color="000000" w:sz="4" w:space="0"/>
              <w:right w:val="single" w:color="000000" w:sz="4" w:space="0"/>
            </w:tcBorders>
            <w:shd w:val="clear" w:color="auto" w:fill="auto"/>
            <w:vAlign w:val="center"/>
          </w:tcPr>
          <w:p w14:paraId="26CF0C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服务类</w:t>
            </w:r>
          </w:p>
        </w:tc>
        <w:tc>
          <w:tcPr>
            <w:tcW w:w="1377" w:type="dxa"/>
            <w:vMerge w:val="restart"/>
            <w:tcBorders>
              <w:top w:val="nil"/>
              <w:left w:val="single" w:color="000000" w:sz="4" w:space="0"/>
              <w:bottom w:val="single" w:color="000000" w:sz="4" w:space="0"/>
              <w:right w:val="single" w:color="000000" w:sz="4" w:space="0"/>
            </w:tcBorders>
            <w:shd w:val="clear" w:color="auto" w:fill="auto"/>
            <w:vAlign w:val="center"/>
          </w:tcPr>
          <w:p w14:paraId="37DBB5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第三方检测</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BB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Ⅰ</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CD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11-17-1地块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E1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153.56</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FB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1.93</w:t>
            </w:r>
          </w:p>
        </w:tc>
      </w:tr>
      <w:tr w14:paraId="53B7E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74" w:type="dxa"/>
            <w:vMerge w:val="continue"/>
            <w:tcBorders>
              <w:top w:val="nil"/>
              <w:left w:val="single" w:color="000000" w:sz="4" w:space="0"/>
              <w:bottom w:val="single" w:color="000000" w:sz="4" w:space="0"/>
              <w:right w:val="single" w:color="000000" w:sz="4" w:space="0"/>
            </w:tcBorders>
            <w:shd w:val="clear" w:color="auto" w:fill="auto"/>
            <w:vAlign w:val="center"/>
          </w:tcPr>
          <w:p w14:paraId="0B50B788">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nil"/>
              <w:left w:val="single" w:color="000000" w:sz="4" w:space="0"/>
              <w:bottom w:val="single" w:color="000000" w:sz="4" w:space="0"/>
              <w:right w:val="single" w:color="000000" w:sz="4" w:space="0"/>
            </w:tcBorders>
            <w:shd w:val="clear" w:color="auto" w:fill="auto"/>
            <w:vAlign w:val="center"/>
          </w:tcPr>
          <w:p w14:paraId="4A069F43">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nil"/>
              <w:left w:val="single" w:color="000000" w:sz="4" w:space="0"/>
              <w:bottom w:val="single" w:color="000000" w:sz="4" w:space="0"/>
              <w:right w:val="single" w:color="000000" w:sz="4" w:space="0"/>
            </w:tcBorders>
            <w:shd w:val="clear" w:color="auto" w:fill="auto"/>
            <w:vAlign w:val="center"/>
          </w:tcPr>
          <w:p w14:paraId="4E74CFEB">
            <w:pPr>
              <w:jc w:val="center"/>
              <w:rPr>
                <w:rFonts w:hint="eastAsia" w:asciiTheme="minorEastAsia" w:hAnsiTheme="minorEastAsia" w:eastAsiaTheme="minorEastAsia" w:cstheme="minorEastAsia"/>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35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Ⅱ</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2B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19-13、20-01-1、20-01-2地块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CC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672.39</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BA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5.48</w:t>
            </w:r>
          </w:p>
        </w:tc>
      </w:tr>
      <w:tr w14:paraId="2EFEB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74" w:type="dxa"/>
            <w:vMerge w:val="continue"/>
            <w:tcBorders>
              <w:top w:val="nil"/>
              <w:left w:val="single" w:color="000000" w:sz="4" w:space="0"/>
              <w:bottom w:val="single" w:color="000000" w:sz="4" w:space="0"/>
              <w:right w:val="single" w:color="000000" w:sz="4" w:space="0"/>
            </w:tcBorders>
            <w:shd w:val="clear" w:color="auto" w:fill="auto"/>
            <w:vAlign w:val="center"/>
          </w:tcPr>
          <w:p w14:paraId="0D610078">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nil"/>
              <w:left w:val="single" w:color="000000" w:sz="4" w:space="0"/>
              <w:bottom w:val="single" w:color="000000" w:sz="4" w:space="0"/>
              <w:right w:val="single" w:color="000000" w:sz="4" w:space="0"/>
            </w:tcBorders>
            <w:shd w:val="clear" w:color="auto" w:fill="auto"/>
            <w:vAlign w:val="center"/>
          </w:tcPr>
          <w:p w14:paraId="229C2104">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nil"/>
              <w:left w:val="single" w:color="000000" w:sz="4" w:space="0"/>
              <w:bottom w:val="single" w:color="000000" w:sz="4" w:space="0"/>
              <w:right w:val="single" w:color="000000" w:sz="4" w:space="0"/>
            </w:tcBorders>
            <w:shd w:val="clear" w:color="auto" w:fill="auto"/>
            <w:vAlign w:val="center"/>
          </w:tcPr>
          <w:p w14:paraId="4CC1D20A">
            <w:pPr>
              <w:jc w:val="center"/>
              <w:rPr>
                <w:rFonts w:hint="eastAsia" w:asciiTheme="minorEastAsia" w:hAnsiTheme="minorEastAsia" w:eastAsiaTheme="minorEastAsia" w:cstheme="minorEastAsia"/>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BF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Ⅲ</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CB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19-01、19-05、19-07地块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F3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681.72</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D7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5.52</w:t>
            </w:r>
          </w:p>
        </w:tc>
      </w:tr>
      <w:tr w14:paraId="61585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74" w:type="dxa"/>
            <w:vMerge w:val="continue"/>
            <w:tcBorders>
              <w:top w:val="nil"/>
              <w:left w:val="single" w:color="000000" w:sz="4" w:space="0"/>
              <w:bottom w:val="single" w:color="000000" w:sz="4" w:space="0"/>
              <w:right w:val="single" w:color="000000" w:sz="4" w:space="0"/>
            </w:tcBorders>
            <w:shd w:val="clear" w:color="auto" w:fill="auto"/>
            <w:vAlign w:val="center"/>
          </w:tcPr>
          <w:p w14:paraId="7712C559">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nil"/>
              <w:left w:val="single" w:color="000000" w:sz="4" w:space="0"/>
              <w:bottom w:val="single" w:color="000000" w:sz="4" w:space="0"/>
              <w:right w:val="single" w:color="000000" w:sz="4" w:space="0"/>
            </w:tcBorders>
            <w:shd w:val="clear" w:color="auto" w:fill="auto"/>
            <w:vAlign w:val="center"/>
          </w:tcPr>
          <w:p w14:paraId="6909A1DB">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nil"/>
              <w:left w:val="single" w:color="000000" w:sz="4" w:space="0"/>
              <w:bottom w:val="single" w:color="000000" w:sz="4" w:space="0"/>
              <w:right w:val="single" w:color="000000" w:sz="4" w:space="0"/>
            </w:tcBorders>
            <w:shd w:val="clear" w:color="auto" w:fill="auto"/>
            <w:vAlign w:val="center"/>
          </w:tcPr>
          <w:p w14:paraId="76D0C0A9">
            <w:pPr>
              <w:jc w:val="center"/>
              <w:rPr>
                <w:rFonts w:hint="eastAsia" w:asciiTheme="minorEastAsia" w:hAnsiTheme="minorEastAsia" w:eastAsiaTheme="minorEastAsia" w:cstheme="minorEastAsia"/>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46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Ⅳ</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AA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17-21、17-23-1、18-18地块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847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723.47</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1E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5.71</w:t>
            </w:r>
          </w:p>
        </w:tc>
      </w:tr>
      <w:tr w14:paraId="1BFF5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74" w:type="dxa"/>
            <w:vMerge w:val="restart"/>
            <w:tcBorders>
              <w:top w:val="nil"/>
              <w:left w:val="single" w:color="000000" w:sz="4" w:space="0"/>
              <w:bottom w:val="single" w:color="000000" w:sz="4" w:space="0"/>
              <w:right w:val="single" w:color="000000" w:sz="4" w:space="0"/>
            </w:tcBorders>
            <w:shd w:val="clear" w:color="auto" w:fill="auto"/>
            <w:vAlign w:val="center"/>
          </w:tcPr>
          <w:p w14:paraId="51C960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936" w:type="dxa"/>
            <w:vMerge w:val="restart"/>
            <w:tcBorders>
              <w:top w:val="nil"/>
              <w:left w:val="single" w:color="000000" w:sz="4" w:space="0"/>
              <w:bottom w:val="single" w:color="000000" w:sz="4" w:space="0"/>
              <w:right w:val="single" w:color="000000" w:sz="4" w:space="0"/>
            </w:tcBorders>
            <w:shd w:val="clear" w:color="auto" w:fill="auto"/>
            <w:vAlign w:val="center"/>
          </w:tcPr>
          <w:p w14:paraId="7F1137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服务类</w:t>
            </w:r>
          </w:p>
        </w:tc>
        <w:tc>
          <w:tcPr>
            <w:tcW w:w="1377" w:type="dxa"/>
            <w:vMerge w:val="restart"/>
            <w:tcBorders>
              <w:top w:val="nil"/>
              <w:left w:val="single" w:color="000000" w:sz="4" w:space="0"/>
              <w:bottom w:val="single" w:color="000000" w:sz="4" w:space="0"/>
              <w:right w:val="single" w:color="000000" w:sz="4" w:space="0"/>
            </w:tcBorders>
            <w:shd w:val="clear" w:color="auto" w:fill="auto"/>
            <w:vAlign w:val="center"/>
          </w:tcPr>
          <w:p w14:paraId="719310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第三方监测</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31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Ⅰ</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65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11-17-1地块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C8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180.66</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35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2.15</w:t>
            </w:r>
          </w:p>
        </w:tc>
      </w:tr>
      <w:tr w14:paraId="2FDB2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74" w:type="dxa"/>
            <w:vMerge w:val="continue"/>
            <w:tcBorders>
              <w:top w:val="nil"/>
              <w:left w:val="single" w:color="000000" w:sz="4" w:space="0"/>
              <w:bottom w:val="single" w:color="000000" w:sz="4" w:space="0"/>
              <w:right w:val="single" w:color="000000" w:sz="4" w:space="0"/>
            </w:tcBorders>
            <w:shd w:val="clear" w:color="auto" w:fill="auto"/>
            <w:vAlign w:val="center"/>
          </w:tcPr>
          <w:p w14:paraId="7BAC0A06">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nil"/>
              <w:left w:val="single" w:color="000000" w:sz="4" w:space="0"/>
              <w:bottom w:val="single" w:color="000000" w:sz="4" w:space="0"/>
              <w:right w:val="single" w:color="000000" w:sz="4" w:space="0"/>
            </w:tcBorders>
            <w:shd w:val="clear" w:color="auto" w:fill="auto"/>
            <w:vAlign w:val="center"/>
          </w:tcPr>
          <w:p w14:paraId="26C7D907">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nil"/>
              <w:left w:val="single" w:color="000000" w:sz="4" w:space="0"/>
              <w:bottom w:val="single" w:color="000000" w:sz="4" w:space="0"/>
              <w:right w:val="single" w:color="000000" w:sz="4" w:space="0"/>
            </w:tcBorders>
            <w:shd w:val="clear" w:color="auto" w:fill="auto"/>
            <w:vAlign w:val="center"/>
          </w:tcPr>
          <w:p w14:paraId="74495B39">
            <w:pPr>
              <w:jc w:val="center"/>
              <w:rPr>
                <w:rFonts w:hint="eastAsia" w:asciiTheme="minorEastAsia" w:hAnsiTheme="minorEastAsia" w:eastAsiaTheme="minorEastAsia" w:cstheme="minorEastAsia"/>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AF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Ⅱ</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48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19-13、20-01-1、20-01-2地块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FF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791.05</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B9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6.01</w:t>
            </w:r>
          </w:p>
        </w:tc>
      </w:tr>
      <w:tr w14:paraId="6CEF4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74" w:type="dxa"/>
            <w:vMerge w:val="continue"/>
            <w:tcBorders>
              <w:top w:val="nil"/>
              <w:left w:val="single" w:color="000000" w:sz="4" w:space="0"/>
              <w:bottom w:val="single" w:color="000000" w:sz="4" w:space="0"/>
              <w:right w:val="single" w:color="000000" w:sz="4" w:space="0"/>
            </w:tcBorders>
            <w:shd w:val="clear" w:color="auto" w:fill="auto"/>
            <w:vAlign w:val="center"/>
          </w:tcPr>
          <w:p w14:paraId="01744E5C">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nil"/>
              <w:left w:val="single" w:color="000000" w:sz="4" w:space="0"/>
              <w:bottom w:val="single" w:color="000000" w:sz="4" w:space="0"/>
              <w:right w:val="single" w:color="000000" w:sz="4" w:space="0"/>
            </w:tcBorders>
            <w:shd w:val="clear" w:color="auto" w:fill="auto"/>
            <w:vAlign w:val="center"/>
          </w:tcPr>
          <w:p w14:paraId="257CF0D8">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nil"/>
              <w:left w:val="single" w:color="000000" w:sz="4" w:space="0"/>
              <w:bottom w:val="single" w:color="000000" w:sz="4" w:space="0"/>
              <w:right w:val="single" w:color="000000" w:sz="4" w:space="0"/>
            </w:tcBorders>
            <w:shd w:val="clear" w:color="auto" w:fill="auto"/>
            <w:vAlign w:val="center"/>
          </w:tcPr>
          <w:p w14:paraId="358B6C46">
            <w:pPr>
              <w:jc w:val="center"/>
              <w:rPr>
                <w:rFonts w:hint="eastAsia" w:asciiTheme="minorEastAsia" w:hAnsiTheme="minorEastAsia" w:eastAsiaTheme="minorEastAsia" w:cstheme="minorEastAsia"/>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06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Ⅲ</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A9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19-01、19-05、19-07地块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80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802.02</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76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6.06</w:t>
            </w:r>
          </w:p>
        </w:tc>
      </w:tr>
      <w:tr w14:paraId="46D3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74" w:type="dxa"/>
            <w:vMerge w:val="continue"/>
            <w:tcBorders>
              <w:top w:val="nil"/>
              <w:left w:val="single" w:color="000000" w:sz="4" w:space="0"/>
              <w:bottom w:val="single" w:color="000000" w:sz="4" w:space="0"/>
              <w:right w:val="single" w:color="000000" w:sz="4" w:space="0"/>
            </w:tcBorders>
            <w:shd w:val="clear" w:color="auto" w:fill="auto"/>
            <w:vAlign w:val="center"/>
          </w:tcPr>
          <w:p w14:paraId="300E3420">
            <w:pPr>
              <w:jc w:val="center"/>
              <w:rPr>
                <w:rFonts w:hint="eastAsia" w:asciiTheme="minorEastAsia" w:hAnsiTheme="minorEastAsia" w:eastAsiaTheme="minorEastAsia" w:cstheme="minorEastAsia"/>
                <w:i w:val="0"/>
                <w:iCs w:val="0"/>
                <w:color w:val="000000"/>
                <w:sz w:val="24"/>
                <w:szCs w:val="24"/>
                <w:u w:val="none"/>
              </w:rPr>
            </w:pPr>
          </w:p>
        </w:tc>
        <w:tc>
          <w:tcPr>
            <w:tcW w:w="936" w:type="dxa"/>
            <w:vMerge w:val="continue"/>
            <w:tcBorders>
              <w:top w:val="nil"/>
              <w:left w:val="single" w:color="000000" w:sz="4" w:space="0"/>
              <w:bottom w:val="single" w:color="000000" w:sz="4" w:space="0"/>
              <w:right w:val="single" w:color="000000" w:sz="4" w:space="0"/>
            </w:tcBorders>
            <w:shd w:val="clear" w:color="auto" w:fill="auto"/>
            <w:vAlign w:val="center"/>
          </w:tcPr>
          <w:p w14:paraId="381C901D">
            <w:pPr>
              <w:jc w:val="center"/>
              <w:rPr>
                <w:rFonts w:hint="eastAsia" w:asciiTheme="minorEastAsia" w:hAnsiTheme="minorEastAsia" w:eastAsiaTheme="minorEastAsia" w:cstheme="minorEastAsia"/>
                <w:i w:val="0"/>
                <w:iCs w:val="0"/>
                <w:color w:val="000000"/>
                <w:sz w:val="24"/>
                <w:szCs w:val="24"/>
                <w:u w:val="none"/>
              </w:rPr>
            </w:pPr>
          </w:p>
        </w:tc>
        <w:tc>
          <w:tcPr>
            <w:tcW w:w="1377" w:type="dxa"/>
            <w:vMerge w:val="continue"/>
            <w:tcBorders>
              <w:top w:val="nil"/>
              <w:left w:val="single" w:color="000000" w:sz="4" w:space="0"/>
              <w:bottom w:val="single" w:color="000000" w:sz="4" w:space="0"/>
              <w:right w:val="single" w:color="000000" w:sz="4" w:space="0"/>
            </w:tcBorders>
            <w:shd w:val="clear" w:color="auto" w:fill="auto"/>
            <w:vAlign w:val="center"/>
          </w:tcPr>
          <w:p w14:paraId="4DC10605">
            <w:pPr>
              <w:jc w:val="center"/>
              <w:rPr>
                <w:rFonts w:hint="eastAsia" w:asciiTheme="minorEastAsia" w:hAnsiTheme="minorEastAsia" w:eastAsiaTheme="minorEastAsia" w:cstheme="minorEastAsia"/>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3C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Ⅳ</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02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17-21、17-23-1、18-18地块</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D4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851.14</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60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6.28</w:t>
            </w:r>
          </w:p>
        </w:tc>
      </w:tr>
      <w:tr w14:paraId="02B41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8E9CA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汇总</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7F1C28">
            <w:pPr>
              <w:rPr>
                <w:rFonts w:hint="eastAsia" w:asciiTheme="minorEastAsia" w:hAnsiTheme="minorEastAsia" w:eastAsiaTheme="minorEastAsia" w:cstheme="minorEastAsia"/>
                <w:b/>
                <w:bCs/>
                <w:i w:val="0"/>
                <w:iCs w:val="0"/>
                <w:color w:val="000000"/>
                <w:sz w:val="24"/>
                <w:szCs w:val="24"/>
                <w:highlight w:val="none"/>
                <w:u w:val="none"/>
              </w:rPr>
            </w:pP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8B1E2B">
            <w:pPr>
              <w:rPr>
                <w:rFonts w:hint="eastAsia" w:asciiTheme="minorEastAsia" w:hAnsiTheme="minorEastAsia" w:eastAsiaTheme="minorEastAsia" w:cstheme="minorEastAsia"/>
                <w:b/>
                <w:bCs/>
                <w:i w:val="0"/>
                <w:iCs w:val="0"/>
                <w:color w:val="000000"/>
                <w:sz w:val="24"/>
                <w:szCs w:val="24"/>
                <w:highlight w:val="none"/>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7767">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1,348,274.54</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008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846.31</w:t>
            </w:r>
          </w:p>
        </w:tc>
      </w:tr>
    </w:tbl>
    <w:p w14:paraId="5D2270C2">
      <w:pPr>
        <w:spacing w:line="560" w:lineRule="exact"/>
        <w:ind w:firstLine="480" w:firstLineChars="200"/>
        <w:rPr>
          <w:rFonts w:hint="eastAsia" w:cs="Times New Roman" w:asciiTheme="minorEastAsia" w:hAnsiTheme="minorEastAsia"/>
          <w:sz w:val="24"/>
          <w:szCs w:val="24"/>
          <w:highlight w:val="none"/>
        </w:rPr>
      </w:pPr>
    </w:p>
    <w:p w14:paraId="4F0D8CC2">
      <w:pPr>
        <w:spacing w:line="560" w:lineRule="exact"/>
        <w:ind w:firstLine="480" w:firstLineChars="20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上述招标项目及标段划分为暂定招标方案，</w:t>
      </w:r>
      <w:r>
        <w:rPr>
          <w:rFonts w:hint="eastAsia" w:cs="Times New Roman" w:asciiTheme="minorEastAsia" w:hAnsiTheme="minorEastAsia"/>
          <w:sz w:val="24"/>
          <w:szCs w:val="24"/>
          <w:highlight w:val="none"/>
          <w:lang w:val="en-US" w:eastAsia="zh-CN"/>
        </w:rPr>
        <w:t>计算</w:t>
      </w:r>
      <w:r>
        <w:rPr>
          <w:rFonts w:hint="eastAsia" w:cs="Times New Roman" w:asciiTheme="minorEastAsia" w:hAnsiTheme="minorEastAsia"/>
          <w:sz w:val="24"/>
          <w:szCs w:val="24"/>
          <w:highlight w:val="none"/>
        </w:rPr>
        <w:t>时按实际招标项目发生情况及最终标段划分原则</w:t>
      </w:r>
      <w:r>
        <w:rPr>
          <w:rFonts w:hint="eastAsia" w:cs="Times New Roman" w:asciiTheme="minorEastAsia" w:hAnsiTheme="minorEastAsia"/>
          <w:sz w:val="24"/>
          <w:szCs w:val="24"/>
          <w:highlight w:val="none"/>
          <w:lang w:val="en-US" w:eastAsia="zh-CN"/>
        </w:rPr>
        <w:t>下浮</w:t>
      </w:r>
      <w:r>
        <w:rPr>
          <w:rFonts w:hint="eastAsia" w:cs="Times New Roman" w:asciiTheme="minorEastAsia" w:hAnsiTheme="minorEastAsia"/>
          <w:sz w:val="24"/>
          <w:szCs w:val="24"/>
          <w:highlight w:val="none"/>
          <w:u w:val="single"/>
          <w:lang w:val="en-US" w:eastAsia="zh-CN"/>
        </w:rPr>
        <w:t xml:space="preserve">    </w:t>
      </w:r>
      <w:r>
        <w:rPr>
          <w:rFonts w:hint="eastAsia" w:cs="Times New Roman" w:asciiTheme="minorEastAsia" w:hAnsiTheme="minorEastAsia"/>
          <w:sz w:val="24"/>
          <w:szCs w:val="24"/>
          <w:highlight w:val="none"/>
          <w:lang w:val="en-US" w:eastAsia="zh-CN"/>
        </w:rPr>
        <w:t>%</w:t>
      </w:r>
      <w:r>
        <w:rPr>
          <w:rFonts w:hint="eastAsia" w:cs="Times New Roman" w:asciiTheme="minorEastAsia" w:hAnsiTheme="minorEastAsia"/>
          <w:sz w:val="24"/>
          <w:szCs w:val="24"/>
          <w:highlight w:val="none"/>
        </w:rPr>
        <w:t>计算相关费用</w:t>
      </w:r>
      <w:r>
        <w:rPr>
          <w:rFonts w:hint="eastAsia" w:cs="Times New Roman" w:asciiTheme="minorEastAsia" w:hAnsiTheme="minorEastAsia"/>
          <w:sz w:val="24"/>
          <w:szCs w:val="24"/>
          <w:highlight w:val="none"/>
          <w:lang w:eastAsia="zh-CN"/>
        </w:rPr>
        <w:t>（不另计取专家费等其他一切费用）</w:t>
      </w:r>
      <w:r>
        <w:rPr>
          <w:rFonts w:hint="eastAsia" w:cs="Times New Roman" w:asciiTheme="minorEastAsia" w:hAnsiTheme="minorEastAsia"/>
          <w:sz w:val="24"/>
          <w:szCs w:val="24"/>
          <w:highlight w:val="none"/>
        </w:rPr>
        <w:t>。</w:t>
      </w:r>
    </w:p>
    <w:p w14:paraId="0ED7ABA5">
      <w:pPr>
        <w:pStyle w:val="20"/>
        <w:spacing w:before="249" w:after="249"/>
        <w:ind w:left="483" w:firstLine="480"/>
      </w:pPr>
    </w:p>
    <w:tbl>
      <w:tblPr>
        <w:tblStyle w:val="16"/>
        <w:tblW w:w="9280" w:type="dxa"/>
        <w:tblInd w:w="96" w:type="dxa"/>
        <w:tblLayout w:type="fixed"/>
        <w:tblCellMar>
          <w:top w:w="0" w:type="dxa"/>
          <w:left w:w="108" w:type="dxa"/>
          <w:bottom w:w="0" w:type="dxa"/>
          <w:right w:w="108" w:type="dxa"/>
        </w:tblCellMar>
      </w:tblPr>
      <w:tblGrid>
        <w:gridCol w:w="4690"/>
        <w:gridCol w:w="4590"/>
      </w:tblGrid>
      <w:tr w14:paraId="1B111605">
        <w:tblPrEx>
          <w:tblCellMar>
            <w:top w:w="0" w:type="dxa"/>
            <w:left w:w="108" w:type="dxa"/>
            <w:bottom w:w="0" w:type="dxa"/>
            <w:right w:w="108" w:type="dxa"/>
          </w:tblCellMar>
        </w:tblPrEx>
        <w:trPr>
          <w:trHeight w:val="600" w:hRule="atLeast"/>
        </w:trPr>
        <w:tc>
          <w:tcPr>
            <w:tcW w:w="4690" w:type="dxa"/>
            <w:tcBorders>
              <w:top w:val="nil"/>
              <w:left w:val="nil"/>
              <w:bottom w:val="nil"/>
              <w:right w:val="nil"/>
            </w:tcBorders>
            <w:vAlign w:val="center"/>
          </w:tcPr>
          <w:p w14:paraId="361352DC">
            <w:pPr>
              <w:widowControl/>
              <w:spacing w:line="360" w:lineRule="auto"/>
              <w:jc w:val="left"/>
              <w:rPr>
                <w:rFonts w:hint="eastAsia" w:ascii="宋体" w:hAnsi="宋体" w:cs="Times New Roman" w:eastAsiaTheme="minorEastAsia"/>
                <w:sz w:val="24"/>
                <w:szCs w:val="24"/>
                <w:lang w:eastAsia="zh-CN"/>
              </w:rPr>
            </w:pPr>
            <w:r>
              <w:rPr>
                <w:rFonts w:hint="eastAsia" w:ascii="宋体" w:hAnsi="宋体" w:cs="Times New Roman"/>
                <w:sz w:val="24"/>
                <w:szCs w:val="24"/>
              </w:rPr>
              <w:t>甲方：</w:t>
            </w:r>
            <w:r>
              <w:rPr>
                <w:rFonts w:hint="eastAsia" w:ascii="宋体" w:hAnsi="宋体"/>
                <w:sz w:val="24"/>
                <w:szCs w:val="24"/>
                <w:lang w:eastAsia="zh-CN"/>
              </w:rPr>
              <w:t>深圳市新龙观投资发展有限公司</w:t>
            </w:r>
          </w:p>
        </w:tc>
        <w:tc>
          <w:tcPr>
            <w:tcW w:w="4590" w:type="dxa"/>
            <w:tcBorders>
              <w:top w:val="nil"/>
              <w:left w:val="nil"/>
              <w:bottom w:val="nil"/>
              <w:right w:val="nil"/>
            </w:tcBorders>
            <w:vAlign w:val="center"/>
          </w:tcPr>
          <w:p w14:paraId="6799DA79">
            <w:pPr>
              <w:widowControl/>
              <w:spacing w:line="360" w:lineRule="auto"/>
              <w:jc w:val="left"/>
              <w:rPr>
                <w:rFonts w:hint="eastAsia" w:ascii="宋体" w:hAnsi="宋体" w:cs="Times New Roman" w:eastAsiaTheme="minorEastAsia"/>
                <w:color w:val="000000" w:themeColor="text1"/>
                <w:sz w:val="24"/>
                <w:szCs w:val="24"/>
                <w:lang w:eastAsia="zh-CN"/>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乙方：</w:t>
            </w:r>
            <w:r>
              <w:rPr>
                <w:rFonts w:hint="eastAsia" w:ascii="宋体" w:hAnsi="宋体"/>
                <w:color w:val="000000" w:themeColor="text1"/>
                <w:sz w:val="24"/>
                <w:szCs w:val="24"/>
                <w:lang w:eastAsia="zh-CN"/>
                <w14:textFill>
                  <w14:solidFill>
                    <w14:schemeClr w14:val="tx1"/>
                  </w14:solidFill>
                </w14:textFill>
              </w:rPr>
              <w:t xml:space="preserve">                               </w:t>
            </w:r>
          </w:p>
        </w:tc>
      </w:tr>
      <w:tr w14:paraId="76BB9BE5">
        <w:tblPrEx>
          <w:tblCellMar>
            <w:top w:w="0" w:type="dxa"/>
            <w:left w:w="108" w:type="dxa"/>
            <w:bottom w:w="0" w:type="dxa"/>
            <w:right w:w="108" w:type="dxa"/>
          </w:tblCellMar>
        </w:tblPrEx>
        <w:trPr>
          <w:trHeight w:val="600" w:hRule="atLeast"/>
        </w:trPr>
        <w:tc>
          <w:tcPr>
            <w:tcW w:w="4690" w:type="dxa"/>
            <w:tcBorders>
              <w:top w:val="nil"/>
              <w:left w:val="nil"/>
              <w:bottom w:val="nil"/>
              <w:right w:val="nil"/>
            </w:tcBorders>
            <w:vAlign w:val="center"/>
          </w:tcPr>
          <w:p w14:paraId="552D66FF">
            <w:pPr>
              <w:widowControl/>
              <w:spacing w:line="360" w:lineRule="auto"/>
              <w:jc w:val="left"/>
              <w:rPr>
                <w:rFonts w:ascii="宋体" w:hAnsi="宋体" w:cs="Times New Roman"/>
                <w:sz w:val="24"/>
                <w:szCs w:val="24"/>
              </w:rPr>
            </w:pPr>
            <w:r>
              <w:rPr>
                <w:rFonts w:hint="eastAsia" w:ascii="宋体" w:hAnsi="宋体" w:cs="Times New Roman"/>
                <w:sz w:val="24"/>
                <w:szCs w:val="24"/>
              </w:rPr>
              <w:t>（盖章）</w:t>
            </w:r>
          </w:p>
        </w:tc>
        <w:tc>
          <w:tcPr>
            <w:tcW w:w="4590" w:type="dxa"/>
            <w:tcBorders>
              <w:top w:val="nil"/>
              <w:left w:val="nil"/>
              <w:bottom w:val="nil"/>
              <w:right w:val="nil"/>
            </w:tcBorders>
            <w:vAlign w:val="center"/>
          </w:tcPr>
          <w:p w14:paraId="06E2B1C9">
            <w:pPr>
              <w:widowControl/>
              <w:spacing w:line="360" w:lineRule="auto"/>
              <w:jc w:val="left"/>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（盖章）</w:t>
            </w:r>
          </w:p>
        </w:tc>
      </w:tr>
      <w:tr w14:paraId="4DF07652">
        <w:tblPrEx>
          <w:tblCellMar>
            <w:top w:w="0" w:type="dxa"/>
            <w:left w:w="108" w:type="dxa"/>
            <w:bottom w:w="0" w:type="dxa"/>
            <w:right w:w="108" w:type="dxa"/>
          </w:tblCellMar>
        </w:tblPrEx>
        <w:trPr>
          <w:trHeight w:val="600" w:hRule="atLeast"/>
        </w:trPr>
        <w:tc>
          <w:tcPr>
            <w:tcW w:w="4690" w:type="dxa"/>
            <w:tcBorders>
              <w:top w:val="nil"/>
              <w:left w:val="nil"/>
              <w:bottom w:val="nil"/>
              <w:right w:val="nil"/>
            </w:tcBorders>
            <w:vAlign w:val="center"/>
          </w:tcPr>
          <w:p w14:paraId="1F379EF2">
            <w:pPr>
              <w:widowControl/>
              <w:spacing w:line="360" w:lineRule="auto"/>
              <w:jc w:val="left"/>
              <w:rPr>
                <w:rFonts w:ascii="宋体" w:hAnsi="宋体" w:cs="Times New Roman"/>
                <w:sz w:val="24"/>
                <w:szCs w:val="24"/>
              </w:rPr>
            </w:pPr>
            <w:r>
              <w:rPr>
                <w:rFonts w:hint="eastAsia" w:ascii="宋体" w:hAnsi="宋体" w:cs="Times New Roman"/>
                <w:sz w:val="24"/>
                <w:szCs w:val="24"/>
              </w:rPr>
              <w:t>法定代表人（签名）：</w:t>
            </w:r>
            <w:r>
              <w:rPr>
                <w:rFonts w:hint="eastAsia" w:ascii="宋体" w:hAnsi="宋体" w:cs="Times New Roman"/>
                <w:sz w:val="24"/>
                <w:szCs w:val="24"/>
              </w:rPr>
              <w:br w:type="textWrapping"/>
            </w:r>
            <w:r>
              <w:rPr>
                <w:rFonts w:hint="eastAsia" w:ascii="宋体" w:hAnsi="宋体" w:cs="Times New Roman"/>
                <w:sz w:val="24"/>
                <w:szCs w:val="24"/>
              </w:rPr>
              <w:t>或授权代理人（签名）：</w:t>
            </w:r>
          </w:p>
        </w:tc>
        <w:tc>
          <w:tcPr>
            <w:tcW w:w="4590" w:type="dxa"/>
            <w:tcBorders>
              <w:top w:val="nil"/>
              <w:left w:val="nil"/>
              <w:bottom w:val="nil"/>
              <w:right w:val="nil"/>
            </w:tcBorders>
            <w:vAlign w:val="center"/>
          </w:tcPr>
          <w:p w14:paraId="5C43ECAF">
            <w:pPr>
              <w:widowControl/>
              <w:spacing w:line="360" w:lineRule="auto"/>
              <w:jc w:val="left"/>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法定代表人（签名）：</w:t>
            </w:r>
            <w:r>
              <w:rPr>
                <w:rFonts w:hint="eastAsia" w:ascii="宋体" w:hAnsi="宋体" w:cs="Times New Roman"/>
                <w:color w:val="000000" w:themeColor="text1"/>
                <w:sz w:val="24"/>
                <w:szCs w:val="24"/>
                <w14:textFill>
                  <w14:solidFill>
                    <w14:schemeClr w14:val="tx1"/>
                  </w14:solidFill>
                </w14:textFill>
              </w:rPr>
              <w:br w:type="textWrapping"/>
            </w:r>
            <w:r>
              <w:rPr>
                <w:rFonts w:hint="eastAsia" w:ascii="宋体" w:hAnsi="宋体" w:cs="Times New Roman"/>
                <w:color w:val="000000" w:themeColor="text1"/>
                <w:sz w:val="24"/>
                <w:szCs w:val="24"/>
                <w14:textFill>
                  <w14:solidFill>
                    <w14:schemeClr w14:val="tx1"/>
                  </w14:solidFill>
                </w14:textFill>
              </w:rPr>
              <w:t>或授权代理人（签名）：</w:t>
            </w:r>
          </w:p>
        </w:tc>
      </w:tr>
      <w:tr w14:paraId="36C205B8">
        <w:tblPrEx>
          <w:tblCellMar>
            <w:top w:w="0" w:type="dxa"/>
            <w:left w:w="108" w:type="dxa"/>
            <w:bottom w:w="0" w:type="dxa"/>
            <w:right w:w="108" w:type="dxa"/>
          </w:tblCellMar>
        </w:tblPrEx>
        <w:trPr>
          <w:trHeight w:val="600" w:hRule="atLeast"/>
        </w:trPr>
        <w:tc>
          <w:tcPr>
            <w:tcW w:w="4690" w:type="dxa"/>
            <w:tcBorders>
              <w:top w:val="nil"/>
              <w:left w:val="nil"/>
              <w:bottom w:val="nil"/>
              <w:right w:val="nil"/>
            </w:tcBorders>
            <w:vAlign w:val="center"/>
          </w:tcPr>
          <w:p w14:paraId="4152594D">
            <w:pPr>
              <w:widowControl/>
              <w:spacing w:line="360" w:lineRule="auto"/>
              <w:jc w:val="left"/>
              <w:rPr>
                <w:rFonts w:ascii="宋体" w:hAnsi="宋体" w:cs="Times New Roman"/>
                <w:sz w:val="24"/>
                <w:szCs w:val="24"/>
              </w:rPr>
            </w:pPr>
            <w:r>
              <w:rPr>
                <w:rFonts w:hint="eastAsia" w:ascii="宋体" w:hAnsi="宋体" w:cs="Times New Roman"/>
                <w:sz w:val="24"/>
                <w:szCs w:val="24"/>
              </w:rPr>
              <w:t>纳税识别号：</w:t>
            </w:r>
          </w:p>
        </w:tc>
        <w:tc>
          <w:tcPr>
            <w:tcW w:w="4590" w:type="dxa"/>
            <w:tcBorders>
              <w:top w:val="nil"/>
              <w:left w:val="nil"/>
              <w:bottom w:val="nil"/>
              <w:right w:val="nil"/>
            </w:tcBorders>
            <w:vAlign w:val="center"/>
          </w:tcPr>
          <w:p w14:paraId="6C15B6DC">
            <w:pPr>
              <w:widowControl/>
              <w:spacing w:line="360" w:lineRule="auto"/>
              <w:jc w:val="left"/>
              <w:rPr>
                <w:rFonts w:hint="eastAsia" w:ascii="宋体" w:hAnsi="宋体" w:cs="Times New Roman" w:eastAsiaTheme="minorEastAsia"/>
                <w:color w:val="000000" w:themeColor="text1"/>
                <w:sz w:val="24"/>
                <w:szCs w:val="24"/>
                <w:lang w:val="zh-CN" w:eastAsia="zh-CN"/>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纳税识别号：</w:t>
            </w:r>
          </w:p>
        </w:tc>
      </w:tr>
      <w:tr w14:paraId="7972759D">
        <w:tblPrEx>
          <w:tblCellMar>
            <w:top w:w="0" w:type="dxa"/>
            <w:left w:w="108" w:type="dxa"/>
            <w:bottom w:w="0" w:type="dxa"/>
            <w:right w:w="108" w:type="dxa"/>
          </w:tblCellMar>
        </w:tblPrEx>
        <w:trPr>
          <w:trHeight w:val="600" w:hRule="atLeast"/>
        </w:trPr>
        <w:tc>
          <w:tcPr>
            <w:tcW w:w="4690" w:type="dxa"/>
            <w:tcBorders>
              <w:top w:val="nil"/>
              <w:left w:val="nil"/>
              <w:bottom w:val="nil"/>
              <w:right w:val="nil"/>
            </w:tcBorders>
            <w:vAlign w:val="center"/>
          </w:tcPr>
          <w:p w14:paraId="5803B635">
            <w:pPr>
              <w:widowControl/>
              <w:spacing w:line="360" w:lineRule="auto"/>
              <w:jc w:val="left"/>
              <w:rPr>
                <w:rFonts w:ascii="宋体" w:hAnsi="宋体" w:cs="Times New Roman"/>
                <w:sz w:val="24"/>
                <w:szCs w:val="24"/>
              </w:rPr>
            </w:pPr>
            <w:r>
              <w:rPr>
                <w:rFonts w:hint="eastAsia" w:ascii="宋体" w:hAnsi="宋体" w:cs="Times New Roman"/>
                <w:sz w:val="24"/>
                <w:szCs w:val="24"/>
              </w:rPr>
              <w:t>开户银行：</w:t>
            </w:r>
          </w:p>
        </w:tc>
        <w:tc>
          <w:tcPr>
            <w:tcW w:w="4590" w:type="dxa"/>
            <w:tcBorders>
              <w:top w:val="nil"/>
              <w:left w:val="nil"/>
              <w:bottom w:val="nil"/>
              <w:right w:val="nil"/>
            </w:tcBorders>
            <w:vAlign w:val="center"/>
          </w:tcPr>
          <w:p w14:paraId="5A2106B5">
            <w:pPr>
              <w:widowControl/>
              <w:spacing w:line="360" w:lineRule="auto"/>
              <w:jc w:val="left"/>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开户银行：</w:t>
            </w:r>
          </w:p>
        </w:tc>
      </w:tr>
      <w:tr w14:paraId="12A589AE">
        <w:tblPrEx>
          <w:tblCellMar>
            <w:top w:w="0" w:type="dxa"/>
            <w:left w:w="108" w:type="dxa"/>
            <w:bottom w:w="0" w:type="dxa"/>
            <w:right w:w="108" w:type="dxa"/>
          </w:tblCellMar>
        </w:tblPrEx>
        <w:trPr>
          <w:trHeight w:val="600" w:hRule="atLeast"/>
        </w:trPr>
        <w:tc>
          <w:tcPr>
            <w:tcW w:w="4690" w:type="dxa"/>
            <w:tcBorders>
              <w:top w:val="nil"/>
              <w:left w:val="nil"/>
              <w:bottom w:val="nil"/>
              <w:right w:val="nil"/>
            </w:tcBorders>
            <w:vAlign w:val="center"/>
          </w:tcPr>
          <w:p w14:paraId="10D806F4">
            <w:pPr>
              <w:widowControl/>
              <w:spacing w:line="360" w:lineRule="auto"/>
              <w:jc w:val="left"/>
              <w:rPr>
                <w:rFonts w:ascii="宋体" w:hAnsi="宋体" w:cs="Times New Roman"/>
                <w:sz w:val="24"/>
                <w:szCs w:val="24"/>
              </w:rPr>
            </w:pPr>
            <w:r>
              <w:rPr>
                <w:rFonts w:hint="eastAsia" w:ascii="宋体" w:hAnsi="宋体" w:cs="Times New Roman"/>
                <w:sz w:val="24"/>
                <w:szCs w:val="24"/>
              </w:rPr>
              <w:t>账号：</w:t>
            </w:r>
          </w:p>
        </w:tc>
        <w:tc>
          <w:tcPr>
            <w:tcW w:w="4590" w:type="dxa"/>
            <w:tcBorders>
              <w:top w:val="nil"/>
              <w:left w:val="nil"/>
              <w:bottom w:val="nil"/>
              <w:right w:val="nil"/>
            </w:tcBorders>
            <w:vAlign w:val="center"/>
          </w:tcPr>
          <w:p w14:paraId="6AC6CCAF">
            <w:pPr>
              <w:widowControl/>
              <w:spacing w:line="360" w:lineRule="auto"/>
              <w:jc w:val="left"/>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账号：</w:t>
            </w:r>
          </w:p>
        </w:tc>
      </w:tr>
      <w:tr w14:paraId="300CE8D8">
        <w:tblPrEx>
          <w:tblCellMar>
            <w:top w:w="0" w:type="dxa"/>
            <w:left w:w="108" w:type="dxa"/>
            <w:bottom w:w="0" w:type="dxa"/>
            <w:right w:w="108" w:type="dxa"/>
          </w:tblCellMar>
        </w:tblPrEx>
        <w:trPr>
          <w:trHeight w:val="600" w:hRule="atLeast"/>
        </w:trPr>
        <w:tc>
          <w:tcPr>
            <w:tcW w:w="4690" w:type="dxa"/>
            <w:tcBorders>
              <w:top w:val="nil"/>
              <w:left w:val="nil"/>
              <w:bottom w:val="nil"/>
              <w:right w:val="nil"/>
            </w:tcBorders>
            <w:vAlign w:val="center"/>
          </w:tcPr>
          <w:p w14:paraId="3D745153">
            <w:pPr>
              <w:widowControl/>
              <w:spacing w:line="360" w:lineRule="auto"/>
              <w:jc w:val="left"/>
              <w:rPr>
                <w:rFonts w:ascii="宋体" w:hAnsi="宋体" w:cs="Times New Roman"/>
                <w:sz w:val="24"/>
                <w:szCs w:val="24"/>
              </w:rPr>
            </w:pPr>
            <w:r>
              <w:rPr>
                <w:rFonts w:hint="eastAsia" w:ascii="宋体" w:hAnsi="宋体" w:cs="Times New Roman"/>
                <w:sz w:val="24"/>
                <w:szCs w:val="24"/>
              </w:rPr>
              <w:t>联系人：</w:t>
            </w:r>
          </w:p>
        </w:tc>
        <w:tc>
          <w:tcPr>
            <w:tcW w:w="4590" w:type="dxa"/>
            <w:tcBorders>
              <w:top w:val="nil"/>
              <w:left w:val="nil"/>
              <w:bottom w:val="nil"/>
              <w:right w:val="nil"/>
            </w:tcBorders>
            <w:vAlign w:val="center"/>
          </w:tcPr>
          <w:p w14:paraId="65567F96">
            <w:pPr>
              <w:widowControl/>
              <w:spacing w:line="360" w:lineRule="auto"/>
              <w:jc w:val="left"/>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联系人：</w:t>
            </w:r>
          </w:p>
        </w:tc>
      </w:tr>
      <w:tr w14:paraId="0BF19627">
        <w:tblPrEx>
          <w:tblCellMar>
            <w:top w:w="0" w:type="dxa"/>
            <w:left w:w="108" w:type="dxa"/>
            <w:bottom w:w="0" w:type="dxa"/>
            <w:right w:w="108" w:type="dxa"/>
          </w:tblCellMar>
        </w:tblPrEx>
        <w:trPr>
          <w:trHeight w:val="600" w:hRule="atLeast"/>
        </w:trPr>
        <w:tc>
          <w:tcPr>
            <w:tcW w:w="4690" w:type="dxa"/>
            <w:tcBorders>
              <w:top w:val="nil"/>
              <w:left w:val="nil"/>
              <w:bottom w:val="nil"/>
              <w:right w:val="nil"/>
            </w:tcBorders>
            <w:vAlign w:val="center"/>
          </w:tcPr>
          <w:p w14:paraId="520C47B7">
            <w:pPr>
              <w:widowControl/>
              <w:spacing w:line="360" w:lineRule="auto"/>
              <w:jc w:val="left"/>
              <w:rPr>
                <w:rFonts w:ascii="宋体" w:hAnsi="宋体" w:cs="Times New Roman"/>
                <w:sz w:val="24"/>
                <w:szCs w:val="24"/>
              </w:rPr>
            </w:pPr>
            <w:r>
              <w:rPr>
                <w:rFonts w:hint="eastAsia" w:ascii="宋体" w:hAnsi="宋体" w:cs="Times New Roman"/>
                <w:sz w:val="24"/>
                <w:szCs w:val="24"/>
              </w:rPr>
              <w:t>电话：</w:t>
            </w:r>
          </w:p>
        </w:tc>
        <w:tc>
          <w:tcPr>
            <w:tcW w:w="4590" w:type="dxa"/>
            <w:tcBorders>
              <w:top w:val="nil"/>
              <w:left w:val="nil"/>
              <w:bottom w:val="nil"/>
              <w:right w:val="nil"/>
            </w:tcBorders>
            <w:vAlign w:val="center"/>
          </w:tcPr>
          <w:p w14:paraId="37A769CA">
            <w:pPr>
              <w:widowControl/>
              <w:spacing w:line="360" w:lineRule="auto"/>
              <w:jc w:val="left"/>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电话：</w:t>
            </w:r>
          </w:p>
        </w:tc>
      </w:tr>
      <w:tr w14:paraId="60A4833E">
        <w:tblPrEx>
          <w:tblCellMar>
            <w:top w:w="0" w:type="dxa"/>
            <w:left w:w="108" w:type="dxa"/>
            <w:bottom w:w="0" w:type="dxa"/>
            <w:right w:w="108" w:type="dxa"/>
          </w:tblCellMar>
        </w:tblPrEx>
        <w:trPr>
          <w:trHeight w:val="600" w:hRule="atLeast"/>
        </w:trPr>
        <w:tc>
          <w:tcPr>
            <w:tcW w:w="4690" w:type="dxa"/>
            <w:tcBorders>
              <w:top w:val="nil"/>
              <w:left w:val="nil"/>
              <w:bottom w:val="nil"/>
              <w:right w:val="nil"/>
            </w:tcBorders>
            <w:vAlign w:val="top"/>
          </w:tcPr>
          <w:p w14:paraId="534FEC83">
            <w:pPr>
              <w:widowControl/>
              <w:spacing w:line="360" w:lineRule="auto"/>
              <w:jc w:val="left"/>
              <w:rPr>
                <w:rFonts w:hint="default" w:ascii="宋体" w:hAnsi="宋体" w:cs="Times New Roman" w:eastAsiaTheme="minorEastAsia"/>
                <w:sz w:val="24"/>
                <w:szCs w:val="24"/>
                <w:lang w:val="en-US" w:eastAsia="zh-CN"/>
              </w:rPr>
            </w:pPr>
            <w:r>
              <w:rPr>
                <w:rFonts w:hint="eastAsia" w:ascii="宋体" w:hAnsi="宋体" w:cs="Times New Roman"/>
                <w:sz w:val="24"/>
                <w:szCs w:val="24"/>
              </w:rPr>
              <w:t>送达地址：深圳市龙华区观盛三路龙馨家园A座</w:t>
            </w:r>
            <w:r>
              <w:rPr>
                <w:rFonts w:hint="eastAsia" w:ascii="宋体" w:hAnsi="宋体" w:cs="Times New Roman"/>
                <w:sz w:val="24"/>
                <w:szCs w:val="24"/>
                <w:lang w:val="en-US" w:eastAsia="zh-CN"/>
              </w:rPr>
              <w:t>17楼</w:t>
            </w:r>
          </w:p>
        </w:tc>
        <w:tc>
          <w:tcPr>
            <w:tcW w:w="4590" w:type="dxa"/>
            <w:tcBorders>
              <w:top w:val="nil"/>
              <w:left w:val="nil"/>
              <w:bottom w:val="nil"/>
              <w:right w:val="nil"/>
            </w:tcBorders>
            <w:vAlign w:val="top"/>
          </w:tcPr>
          <w:p w14:paraId="2AD103C6">
            <w:pPr>
              <w:widowControl/>
              <w:spacing w:line="360" w:lineRule="auto"/>
              <w:jc w:val="left"/>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送达地址：</w:t>
            </w:r>
          </w:p>
        </w:tc>
      </w:tr>
      <w:tr w14:paraId="42F1D9B3">
        <w:tblPrEx>
          <w:tblCellMar>
            <w:top w:w="0" w:type="dxa"/>
            <w:left w:w="108" w:type="dxa"/>
            <w:bottom w:w="0" w:type="dxa"/>
            <w:right w:w="108" w:type="dxa"/>
          </w:tblCellMar>
        </w:tblPrEx>
        <w:trPr>
          <w:trHeight w:val="600" w:hRule="atLeast"/>
        </w:trPr>
        <w:tc>
          <w:tcPr>
            <w:tcW w:w="9280" w:type="dxa"/>
            <w:gridSpan w:val="2"/>
            <w:tcBorders>
              <w:top w:val="nil"/>
              <w:left w:val="nil"/>
              <w:bottom w:val="nil"/>
              <w:right w:val="nil"/>
            </w:tcBorders>
            <w:vAlign w:val="center"/>
          </w:tcPr>
          <w:p w14:paraId="79D2D497">
            <w:pPr>
              <w:widowControl/>
              <w:jc w:val="center"/>
              <w:rPr>
                <w:rFonts w:ascii="宋体" w:hAnsi="宋体" w:cs="宋体"/>
                <w:color w:val="FF0000"/>
                <w:kern w:val="0"/>
                <w:szCs w:val="21"/>
              </w:rPr>
            </w:pPr>
          </w:p>
        </w:tc>
      </w:tr>
    </w:tbl>
    <w:p w14:paraId="5A609D12">
      <w:pPr>
        <w:pStyle w:val="20"/>
        <w:spacing w:before="249" w:after="249"/>
        <w:ind w:left="0" w:leftChars="0" w:firstLine="0" w:firstLineChars="0"/>
        <w:rPr>
          <w:rFonts w:asciiTheme="minorEastAsia" w:hAnsiTheme="minorEastAsia"/>
          <w:highlight w:val="yellow"/>
        </w:rPr>
      </w:pPr>
    </w:p>
    <w:p w14:paraId="5E315A62">
      <w:pPr>
        <w:rPr>
          <w:rFonts w:hint="eastAsia" w:ascii="宋体" w:hAnsi="宋体" w:cs="Arial"/>
          <w:b w:val="0"/>
          <w:bCs w:val="0"/>
          <w:kern w:val="2"/>
          <w:sz w:val="24"/>
          <w:szCs w:val="20"/>
        </w:rPr>
      </w:pPr>
      <w:r>
        <w:rPr>
          <w:rFonts w:hint="eastAsia" w:ascii="宋体" w:hAnsi="宋体" w:cs="Arial"/>
          <w:b w:val="0"/>
          <w:bCs w:val="0"/>
          <w:kern w:val="2"/>
          <w:sz w:val="24"/>
          <w:szCs w:val="20"/>
        </w:rPr>
        <w:br w:type="page"/>
      </w:r>
    </w:p>
    <w:p w14:paraId="6DBF8908">
      <w:pPr>
        <w:pStyle w:val="2"/>
        <w:rPr>
          <w:rFonts w:ascii="宋体" w:hAnsi="宋体" w:cs="Arial"/>
          <w:b w:val="0"/>
          <w:bCs w:val="0"/>
          <w:kern w:val="2"/>
          <w:sz w:val="24"/>
          <w:szCs w:val="20"/>
        </w:rPr>
      </w:pPr>
      <w:r>
        <w:rPr>
          <w:rFonts w:hint="eastAsia" w:ascii="宋体" w:hAnsi="宋体" w:cs="Arial"/>
          <w:b w:val="0"/>
          <w:bCs w:val="0"/>
          <w:kern w:val="2"/>
          <w:sz w:val="24"/>
          <w:szCs w:val="20"/>
        </w:rPr>
        <w:t>附件</w:t>
      </w:r>
      <w:r>
        <w:rPr>
          <w:rFonts w:hint="eastAsia" w:cs="Arial" w:asciiTheme="minorEastAsia" w:hAnsiTheme="minorEastAsia" w:eastAsiaTheme="minorEastAsia"/>
          <w:b w:val="0"/>
          <w:bCs w:val="0"/>
          <w:kern w:val="2"/>
          <w:sz w:val="24"/>
          <w:szCs w:val="20"/>
        </w:rPr>
        <w:t>1</w:t>
      </w:r>
      <w:r>
        <w:rPr>
          <w:rFonts w:hint="eastAsia" w:ascii="宋体" w:hAnsi="宋体" w:cs="Arial"/>
          <w:b w:val="0"/>
          <w:bCs w:val="0"/>
          <w:kern w:val="2"/>
          <w:sz w:val="24"/>
          <w:szCs w:val="20"/>
        </w:rPr>
        <w:t>：招标代理机构履约评分表</w:t>
      </w:r>
    </w:p>
    <w:tbl>
      <w:tblPr>
        <w:tblStyle w:val="16"/>
        <w:tblW w:w="10660" w:type="dxa"/>
        <w:jc w:val="center"/>
        <w:tblLayout w:type="fixed"/>
        <w:tblCellMar>
          <w:top w:w="0" w:type="dxa"/>
          <w:left w:w="108" w:type="dxa"/>
          <w:bottom w:w="0" w:type="dxa"/>
          <w:right w:w="108" w:type="dxa"/>
        </w:tblCellMar>
      </w:tblPr>
      <w:tblGrid>
        <w:gridCol w:w="636"/>
        <w:gridCol w:w="1684"/>
        <w:gridCol w:w="1867"/>
        <w:gridCol w:w="3840"/>
        <w:gridCol w:w="2633"/>
      </w:tblGrid>
      <w:tr w14:paraId="2B6DA2D1">
        <w:tblPrEx>
          <w:tblCellMar>
            <w:top w:w="0" w:type="dxa"/>
            <w:left w:w="108" w:type="dxa"/>
            <w:bottom w:w="0" w:type="dxa"/>
            <w:right w:w="108" w:type="dxa"/>
          </w:tblCellMar>
        </w:tblPrEx>
        <w:trPr>
          <w:trHeight w:val="596" w:hRule="atLeast"/>
          <w:jc w:val="center"/>
        </w:trPr>
        <w:tc>
          <w:tcPr>
            <w:tcW w:w="10660" w:type="dxa"/>
            <w:gridSpan w:val="5"/>
            <w:tcBorders>
              <w:top w:val="nil"/>
              <w:left w:val="nil"/>
              <w:bottom w:val="nil"/>
              <w:right w:val="nil"/>
            </w:tcBorders>
            <w:shd w:val="clear" w:color="auto" w:fill="auto"/>
            <w:noWrap/>
            <w:vAlign w:val="center"/>
          </w:tcPr>
          <w:p w14:paraId="7A9A06E9">
            <w:pPr>
              <w:widowControl/>
              <w:jc w:val="center"/>
              <w:textAlignment w:val="center"/>
              <w:rPr>
                <w:rFonts w:hint="eastAsia" w:ascii="黑体" w:hAnsi="宋体" w:eastAsia="黑体" w:cs="黑体"/>
                <w:color w:val="000000"/>
                <w:sz w:val="36"/>
                <w:szCs w:val="36"/>
                <w:lang w:eastAsia="zh-CN"/>
              </w:rPr>
            </w:pPr>
            <w:r>
              <w:rPr>
                <w:rFonts w:hint="eastAsia" w:ascii="黑体" w:hAnsi="宋体" w:eastAsia="黑体" w:cs="黑体"/>
                <w:color w:val="000000"/>
                <w:kern w:val="0"/>
                <w:sz w:val="36"/>
                <w:szCs w:val="36"/>
              </w:rPr>
              <w:t>招标代理机构履约评分表</w:t>
            </w:r>
            <w:r>
              <w:rPr>
                <w:rFonts w:hint="eastAsia" w:ascii="黑体" w:hAnsi="宋体" w:eastAsia="黑体" w:cs="黑体"/>
                <w:color w:val="000000"/>
                <w:kern w:val="0"/>
                <w:sz w:val="36"/>
                <w:szCs w:val="36"/>
                <w:lang w:eastAsia="zh-CN"/>
              </w:rPr>
              <w:t>（</w:t>
            </w:r>
            <w:r>
              <w:rPr>
                <w:rFonts w:hint="eastAsia" w:ascii="黑体" w:hAnsi="宋体" w:eastAsia="黑体" w:cs="黑体"/>
                <w:color w:val="000000"/>
                <w:kern w:val="0"/>
                <w:sz w:val="36"/>
                <w:szCs w:val="36"/>
                <w:lang w:val="en-US" w:eastAsia="zh-CN"/>
              </w:rPr>
              <w:t>参考</w:t>
            </w:r>
            <w:r>
              <w:rPr>
                <w:rFonts w:hint="eastAsia" w:ascii="黑体" w:hAnsi="宋体" w:eastAsia="黑体" w:cs="黑体"/>
                <w:color w:val="000000"/>
                <w:kern w:val="0"/>
                <w:sz w:val="36"/>
                <w:szCs w:val="36"/>
                <w:lang w:eastAsia="zh-CN"/>
              </w:rPr>
              <w:t>）</w:t>
            </w:r>
          </w:p>
        </w:tc>
      </w:tr>
      <w:tr w14:paraId="0CD24816">
        <w:tblPrEx>
          <w:tblCellMar>
            <w:top w:w="0" w:type="dxa"/>
            <w:left w:w="108" w:type="dxa"/>
            <w:bottom w:w="0" w:type="dxa"/>
            <w:right w:w="108" w:type="dxa"/>
          </w:tblCellMar>
        </w:tblPrEx>
        <w:trPr>
          <w:trHeight w:val="595" w:hRule="atLeast"/>
          <w:jc w:val="center"/>
        </w:trPr>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52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工程名称</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2775">
            <w:pPr>
              <w:widowControl/>
              <w:jc w:val="center"/>
              <w:textAlignment w:val="center"/>
              <w:rPr>
                <w:rFonts w:ascii="宋体" w:hAnsi="宋体" w:eastAsia="宋体" w:cs="宋体"/>
                <w:color w:val="000000"/>
                <w:sz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65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招标代理机构名称</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3072">
            <w:pPr>
              <w:widowControl/>
              <w:jc w:val="center"/>
              <w:textAlignment w:val="center"/>
              <w:rPr>
                <w:rFonts w:ascii="宋体" w:hAnsi="宋体" w:eastAsia="宋体" w:cs="宋体"/>
                <w:color w:val="000000"/>
                <w:sz w:val="22"/>
              </w:rPr>
            </w:pPr>
          </w:p>
        </w:tc>
      </w:tr>
      <w:tr w14:paraId="0213D6F0">
        <w:tblPrEx>
          <w:tblCellMar>
            <w:top w:w="0" w:type="dxa"/>
            <w:left w:w="108" w:type="dxa"/>
            <w:bottom w:w="0" w:type="dxa"/>
            <w:right w:w="108" w:type="dxa"/>
          </w:tblCellMar>
        </w:tblPrEx>
        <w:trPr>
          <w:trHeight w:val="308" w:hRule="atLeast"/>
          <w:jc w:val="center"/>
        </w:trPr>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49B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总得分</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2C9A">
            <w:pPr>
              <w:widowControl/>
              <w:jc w:val="center"/>
              <w:textAlignment w:val="center"/>
              <w:rPr>
                <w:rFonts w:ascii="宋体" w:hAnsi="宋体" w:eastAsia="宋体" w:cs="宋体"/>
                <w:color w:val="000000"/>
                <w:sz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F1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评价等级</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32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□优秀 □良好 □合格 □不合格</w:t>
            </w:r>
          </w:p>
        </w:tc>
      </w:tr>
      <w:tr w14:paraId="759BD16A">
        <w:tblPrEx>
          <w:tblCellMar>
            <w:top w:w="0" w:type="dxa"/>
            <w:left w:w="108" w:type="dxa"/>
            <w:bottom w:w="0" w:type="dxa"/>
            <w:right w:w="108" w:type="dxa"/>
          </w:tblCellMar>
        </w:tblPrEx>
        <w:trPr>
          <w:trHeight w:val="606" w:hRule="atLeast"/>
          <w:jc w:val="center"/>
        </w:trPr>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88A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招标人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（评价单位）</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4425">
            <w:pPr>
              <w:widowControl/>
              <w:jc w:val="center"/>
              <w:textAlignment w:val="center"/>
              <w:rPr>
                <w:rFonts w:ascii="宋体" w:hAnsi="宋体" w:eastAsia="宋体" w:cs="宋体"/>
                <w:color w:val="000000"/>
                <w:sz w:val="22"/>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DD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评价时间</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0524">
            <w:pPr>
              <w:widowControl/>
              <w:jc w:val="center"/>
              <w:textAlignment w:val="center"/>
              <w:rPr>
                <w:rFonts w:ascii="宋体" w:hAnsi="宋体" w:eastAsia="宋体" w:cs="宋体"/>
                <w:color w:val="000000"/>
                <w:sz w:val="22"/>
              </w:rPr>
            </w:pPr>
          </w:p>
        </w:tc>
      </w:tr>
      <w:tr w14:paraId="2E07E390">
        <w:tblPrEx>
          <w:tblCellMar>
            <w:top w:w="0" w:type="dxa"/>
            <w:left w:w="108" w:type="dxa"/>
            <w:bottom w:w="0" w:type="dxa"/>
            <w:right w:w="108" w:type="dxa"/>
          </w:tblCellMar>
        </w:tblPrEx>
        <w:trPr>
          <w:trHeight w:val="308"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E7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序号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C2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分项内容</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89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满分值</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9A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评价指标</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78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得分</w:t>
            </w:r>
          </w:p>
        </w:tc>
      </w:tr>
      <w:tr w14:paraId="5B426000">
        <w:tblPrEx>
          <w:tblCellMar>
            <w:top w:w="0" w:type="dxa"/>
            <w:left w:w="108" w:type="dxa"/>
            <w:bottom w:w="0" w:type="dxa"/>
            <w:right w:w="108" w:type="dxa"/>
          </w:tblCellMar>
        </w:tblPrEx>
        <w:trPr>
          <w:trHeight w:val="497"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91C9">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一</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956D">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机构人员配备</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BD4D">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15</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F33B">
            <w:pPr>
              <w:jc w:val="center"/>
              <w:rPr>
                <w:rFonts w:ascii="黑体" w:hAnsi="宋体" w:eastAsia="黑体" w:cs="黑体"/>
                <w:color w:val="000000"/>
                <w:sz w:val="22"/>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3777">
            <w:pPr>
              <w:widowControl/>
              <w:jc w:val="center"/>
              <w:textAlignment w:val="center"/>
              <w:rPr>
                <w:rFonts w:ascii="黑体" w:hAnsi="宋体" w:eastAsia="黑体" w:cs="黑体"/>
                <w:color w:val="000000"/>
                <w:sz w:val="22"/>
              </w:rPr>
            </w:pPr>
          </w:p>
        </w:tc>
      </w:tr>
      <w:tr w14:paraId="264A2D3D">
        <w:tblPrEx>
          <w:tblCellMar>
            <w:top w:w="0" w:type="dxa"/>
            <w:left w:w="108" w:type="dxa"/>
            <w:bottom w:w="0" w:type="dxa"/>
            <w:right w:w="108" w:type="dxa"/>
          </w:tblCellMar>
        </w:tblPrEx>
        <w:trPr>
          <w:trHeight w:val="992"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22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DA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项目负责人</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F3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06C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配备有固定的项目负责人，且项目负责人具有高度责任心、良好的组织协调能力和专业的业务水平</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9771">
            <w:pPr>
              <w:widowControl/>
              <w:jc w:val="center"/>
              <w:textAlignment w:val="center"/>
              <w:rPr>
                <w:rFonts w:ascii="宋体" w:hAnsi="宋体" w:eastAsia="宋体" w:cs="宋体"/>
                <w:color w:val="000000"/>
                <w:sz w:val="22"/>
              </w:rPr>
            </w:pPr>
          </w:p>
        </w:tc>
      </w:tr>
      <w:tr w14:paraId="798727FF">
        <w:tblPrEx>
          <w:tblCellMar>
            <w:top w:w="0" w:type="dxa"/>
            <w:left w:w="108" w:type="dxa"/>
            <w:bottom w:w="0" w:type="dxa"/>
            <w:right w:w="108" w:type="dxa"/>
          </w:tblCellMar>
        </w:tblPrEx>
        <w:trPr>
          <w:trHeight w:val="727"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BD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78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配备人员专业</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6A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3E5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配备人员的专业满足合同要求且各专职人员稳定</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64A8">
            <w:pPr>
              <w:widowControl/>
              <w:jc w:val="center"/>
              <w:textAlignment w:val="center"/>
              <w:rPr>
                <w:rFonts w:ascii="宋体" w:hAnsi="宋体" w:eastAsia="宋体" w:cs="宋体"/>
                <w:color w:val="000000"/>
                <w:sz w:val="22"/>
              </w:rPr>
            </w:pPr>
          </w:p>
        </w:tc>
      </w:tr>
      <w:tr w14:paraId="35B89F20">
        <w:tblPrEx>
          <w:tblCellMar>
            <w:top w:w="0" w:type="dxa"/>
            <w:left w:w="108" w:type="dxa"/>
            <w:bottom w:w="0" w:type="dxa"/>
            <w:right w:w="108" w:type="dxa"/>
          </w:tblCellMar>
        </w:tblPrEx>
        <w:trPr>
          <w:trHeight w:val="96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8D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D5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配备人员数量</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F0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FDD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组织架构合理，配备人员固定，分工明确、工作高效，人员数量满足合同要求并能及时到位</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D4B1">
            <w:pPr>
              <w:widowControl/>
              <w:jc w:val="center"/>
              <w:textAlignment w:val="center"/>
              <w:rPr>
                <w:rFonts w:ascii="宋体" w:hAnsi="宋体" w:eastAsia="宋体" w:cs="宋体"/>
                <w:color w:val="000000"/>
                <w:sz w:val="22"/>
              </w:rPr>
            </w:pPr>
          </w:p>
        </w:tc>
      </w:tr>
      <w:tr w14:paraId="1F3B555F">
        <w:tblPrEx>
          <w:tblCellMar>
            <w:top w:w="0" w:type="dxa"/>
            <w:left w:w="108" w:type="dxa"/>
            <w:bottom w:w="0" w:type="dxa"/>
            <w:right w:w="108" w:type="dxa"/>
          </w:tblCellMar>
        </w:tblPrEx>
        <w:trPr>
          <w:trHeight w:val="422"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DB8A">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二</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5815">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履约质量</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EB7D">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50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CF4C">
            <w:pPr>
              <w:jc w:val="center"/>
              <w:rPr>
                <w:rFonts w:ascii="黑体" w:hAnsi="宋体" w:eastAsia="黑体" w:cs="黑体"/>
                <w:color w:val="000000"/>
                <w:sz w:val="22"/>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83A4">
            <w:pPr>
              <w:widowControl/>
              <w:jc w:val="center"/>
              <w:textAlignment w:val="center"/>
              <w:rPr>
                <w:rFonts w:ascii="黑体" w:hAnsi="宋体" w:eastAsia="黑体" w:cs="黑体"/>
                <w:color w:val="000000"/>
                <w:sz w:val="22"/>
              </w:rPr>
            </w:pPr>
          </w:p>
        </w:tc>
      </w:tr>
      <w:tr w14:paraId="71E0D812">
        <w:tblPrEx>
          <w:tblCellMar>
            <w:top w:w="0" w:type="dxa"/>
            <w:left w:w="108" w:type="dxa"/>
            <w:bottom w:w="0" w:type="dxa"/>
            <w:right w:w="108" w:type="dxa"/>
          </w:tblCellMar>
        </w:tblPrEx>
        <w:trPr>
          <w:trHeight w:val="1062"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87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51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招标方案编制</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041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F0B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能够认真及时地根据招标工程的特点和需要依法编制招标方案，且方案全面、系统、合理、公正</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7153">
            <w:pPr>
              <w:widowControl/>
              <w:jc w:val="center"/>
              <w:textAlignment w:val="center"/>
              <w:rPr>
                <w:rFonts w:ascii="宋体" w:hAnsi="宋体" w:eastAsia="宋体" w:cs="宋体"/>
                <w:color w:val="000000"/>
                <w:sz w:val="22"/>
              </w:rPr>
            </w:pPr>
          </w:p>
        </w:tc>
      </w:tr>
      <w:tr w14:paraId="4D0DA2AF">
        <w:tblPrEx>
          <w:tblCellMar>
            <w:top w:w="0" w:type="dxa"/>
            <w:left w:w="108" w:type="dxa"/>
            <w:bottom w:w="0" w:type="dxa"/>
            <w:right w:w="108" w:type="dxa"/>
          </w:tblCellMar>
        </w:tblPrEx>
        <w:trPr>
          <w:trHeight w:val="131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9D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03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招标文件编制</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06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13A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能够认真充分地根据招标工程的特点和需要，参照示范文本依法编制招标文件，且招标文件详细、具体，满足招标投标要求</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9259">
            <w:pPr>
              <w:widowControl/>
              <w:jc w:val="center"/>
              <w:textAlignment w:val="center"/>
              <w:rPr>
                <w:rFonts w:ascii="宋体" w:hAnsi="宋体" w:eastAsia="宋体" w:cs="宋体"/>
                <w:color w:val="000000"/>
                <w:sz w:val="22"/>
              </w:rPr>
            </w:pPr>
          </w:p>
        </w:tc>
      </w:tr>
      <w:tr w14:paraId="5737EE18">
        <w:tblPrEx>
          <w:tblCellMar>
            <w:top w:w="0" w:type="dxa"/>
            <w:left w:w="108" w:type="dxa"/>
            <w:bottom w:w="0" w:type="dxa"/>
            <w:right w:w="108" w:type="dxa"/>
          </w:tblCellMar>
        </w:tblPrEx>
        <w:trPr>
          <w:trHeight w:val="71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43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43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招投标业务办理</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8D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FC2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能够认真熟练地按照招标投标备案办事流程及时完成相关备案工作</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A0DE">
            <w:pPr>
              <w:widowControl/>
              <w:jc w:val="center"/>
              <w:textAlignment w:val="center"/>
              <w:rPr>
                <w:rFonts w:ascii="宋体" w:hAnsi="宋体" w:eastAsia="宋体" w:cs="宋体"/>
                <w:color w:val="000000"/>
                <w:sz w:val="22"/>
              </w:rPr>
            </w:pPr>
          </w:p>
        </w:tc>
      </w:tr>
      <w:tr w14:paraId="09617DB5">
        <w:tblPrEx>
          <w:tblCellMar>
            <w:top w:w="0" w:type="dxa"/>
            <w:left w:w="108" w:type="dxa"/>
            <w:bottom w:w="0" w:type="dxa"/>
            <w:right w:w="108" w:type="dxa"/>
          </w:tblCellMar>
        </w:tblPrEx>
        <w:trPr>
          <w:trHeight w:val="1022"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35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E5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招投标程序</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95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B55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程序安排严格、合理，过程符合规定，未出现因程序工作疏漏导致招标工作进展迟缓或受到投诉</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795CD">
            <w:pPr>
              <w:widowControl/>
              <w:jc w:val="center"/>
              <w:textAlignment w:val="center"/>
              <w:rPr>
                <w:rFonts w:ascii="宋体" w:hAnsi="宋体" w:eastAsia="宋体" w:cs="宋体"/>
                <w:color w:val="000000"/>
                <w:sz w:val="22"/>
              </w:rPr>
            </w:pPr>
          </w:p>
        </w:tc>
      </w:tr>
      <w:tr w14:paraId="4C466EC2">
        <w:tblPrEx>
          <w:tblCellMar>
            <w:top w:w="0" w:type="dxa"/>
            <w:left w:w="108" w:type="dxa"/>
            <w:bottom w:w="0" w:type="dxa"/>
            <w:right w:w="108" w:type="dxa"/>
          </w:tblCellMar>
        </w:tblPrEx>
        <w:trPr>
          <w:trHeight w:val="73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43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DBD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招投标资料</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84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5B3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能够按照有关规定和合同要求提交完整的招投标资料</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F1C7">
            <w:pPr>
              <w:widowControl/>
              <w:jc w:val="center"/>
              <w:textAlignment w:val="center"/>
              <w:rPr>
                <w:rFonts w:ascii="宋体" w:hAnsi="宋体" w:eastAsia="宋体" w:cs="宋体"/>
                <w:color w:val="000000"/>
                <w:sz w:val="22"/>
              </w:rPr>
            </w:pPr>
          </w:p>
        </w:tc>
      </w:tr>
      <w:tr w14:paraId="6C5A975A">
        <w:tblPrEx>
          <w:tblCellMar>
            <w:top w:w="0" w:type="dxa"/>
            <w:left w:w="108" w:type="dxa"/>
            <w:bottom w:w="0" w:type="dxa"/>
            <w:right w:w="108" w:type="dxa"/>
          </w:tblCellMar>
        </w:tblPrEx>
        <w:trPr>
          <w:trHeight w:val="42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4ACB">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三</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57FE">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履约时限</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3789">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10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A8C5">
            <w:pPr>
              <w:jc w:val="center"/>
              <w:rPr>
                <w:rFonts w:ascii="黑体" w:hAnsi="宋体" w:eastAsia="黑体" w:cs="黑体"/>
                <w:color w:val="000000"/>
                <w:sz w:val="22"/>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5AC7">
            <w:pPr>
              <w:widowControl/>
              <w:jc w:val="center"/>
              <w:textAlignment w:val="center"/>
              <w:rPr>
                <w:rFonts w:ascii="黑体" w:hAnsi="宋体" w:eastAsia="黑体" w:cs="黑体"/>
                <w:color w:val="000000"/>
                <w:sz w:val="22"/>
              </w:rPr>
            </w:pPr>
          </w:p>
        </w:tc>
      </w:tr>
      <w:tr w14:paraId="65461BFD">
        <w:tblPrEx>
          <w:tblCellMar>
            <w:top w:w="0" w:type="dxa"/>
            <w:left w:w="108" w:type="dxa"/>
            <w:bottom w:w="0" w:type="dxa"/>
            <w:right w:w="108" w:type="dxa"/>
          </w:tblCellMar>
        </w:tblPrEx>
        <w:trPr>
          <w:trHeight w:val="106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0A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74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时限要求</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D3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F2A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能够合理的安排工程招投标时间，及时主动地按照合同要求完成各阶段的工作</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7283">
            <w:pPr>
              <w:widowControl/>
              <w:jc w:val="center"/>
              <w:textAlignment w:val="center"/>
              <w:rPr>
                <w:rFonts w:ascii="宋体" w:hAnsi="宋体" w:eastAsia="宋体" w:cs="宋体"/>
                <w:color w:val="000000"/>
                <w:sz w:val="22"/>
              </w:rPr>
            </w:pPr>
          </w:p>
        </w:tc>
      </w:tr>
      <w:tr w14:paraId="23353BBC">
        <w:tblPrEx>
          <w:tblCellMar>
            <w:top w:w="0" w:type="dxa"/>
            <w:left w:w="108" w:type="dxa"/>
            <w:bottom w:w="0" w:type="dxa"/>
            <w:right w:w="108" w:type="dxa"/>
          </w:tblCellMar>
        </w:tblPrEx>
        <w:trPr>
          <w:trHeight w:val="368"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A1B0">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四</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DF00">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配合与服务</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B0DA">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25</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C01E">
            <w:pPr>
              <w:jc w:val="center"/>
              <w:rPr>
                <w:rFonts w:ascii="黑体" w:hAnsi="宋体" w:eastAsia="黑体" w:cs="黑体"/>
                <w:color w:val="000000"/>
                <w:sz w:val="22"/>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BBC9">
            <w:pPr>
              <w:widowControl/>
              <w:jc w:val="center"/>
              <w:textAlignment w:val="center"/>
              <w:rPr>
                <w:rFonts w:ascii="黑体" w:hAnsi="宋体" w:eastAsia="黑体" w:cs="黑体"/>
                <w:color w:val="000000"/>
                <w:sz w:val="22"/>
              </w:rPr>
            </w:pPr>
          </w:p>
        </w:tc>
      </w:tr>
      <w:tr w14:paraId="4E4E2F65">
        <w:tblPrEx>
          <w:tblCellMar>
            <w:top w:w="0" w:type="dxa"/>
            <w:left w:w="108" w:type="dxa"/>
            <w:bottom w:w="0" w:type="dxa"/>
            <w:right w:w="108" w:type="dxa"/>
          </w:tblCellMar>
        </w:tblPrEx>
        <w:trPr>
          <w:trHeight w:val="733"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83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AD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履约准备</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BF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A45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能够及时地按照要求签订合同，并充分地做好履约准备</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6245">
            <w:pPr>
              <w:widowControl/>
              <w:jc w:val="center"/>
              <w:textAlignment w:val="center"/>
              <w:rPr>
                <w:rFonts w:ascii="宋体" w:hAnsi="宋体" w:eastAsia="宋体" w:cs="宋体"/>
                <w:color w:val="000000"/>
                <w:sz w:val="22"/>
              </w:rPr>
            </w:pPr>
          </w:p>
        </w:tc>
      </w:tr>
      <w:tr w14:paraId="5F9480C1">
        <w:tblPrEx>
          <w:tblCellMar>
            <w:top w:w="0" w:type="dxa"/>
            <w:left w:w="108" w:type="dxa"/>
            <w:bottom w:w="0" w:type="dxa"/>
            <w:right w:w="108" w:type="dxa"/>
          </w:tblCellMar>
        </w:tblPrEx>
        <w:trPr>
          <w:trHeight w:val="1013"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BE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64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配合情况</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56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C65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能够认真主动地配合招标人及其他相关部门的工作，积极主动的提供招投标咨询服务</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C713">
            <w:pPr>
              <w:widowControl/>
              <w:jc w:val="center"/>
              <w:textAlignment w:val="center"/>
              <w:rPr>
                <w:rFonts w:ascii="宋体" w:hAnsi="宋体" w:eastAsia="宋体" w:cs="宋体"/>
                <w:color w:val="000000"/>
                <w:sz w:val="22"/>
              </w:rPr>
            </w:pPr>
          </w:p>
        </w:tc>
      </w:tr>
      <w:tr w14:paraId="3208B6CA">
        <w:tblPrEx>
          <w:tblCellMar>
            <w:top w:w="0" w:type="dxa"/>
            <w:left w:w="108" w:type="dxa"/>
            <w:bottom w:w="0" w:type="dxa"/>
            <w:right w:w="108" w:type="dxa"/>
          </w:tblCellMar>
        </w:tblPrEx>
        <w:trPr>
          <w:trHeight w:val="7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A5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8C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保密工作</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91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11D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能够严格保密与招投标活动有关的应当保密的情况和资料</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85F9">
            <w:pPr>
              <w:widowControl/>
              <w:jc w:val="center"/>
              <w:textAlignment w:val="center"/>
              <w:rPr>
                <w:rFonts w:ascii="宋体" w:hAnsi="宋体" w:eastAsia="宋体" w:cs="宋体"/>
                <w:color w:val="000000"/>
                <w:sz w:val="22"/>
              </w:rPr>
            </w:pPr>
          </w:p>
        </w:tc>
      </w:tr>
      <w:tr w14:paraId="24E5E8A8">
        <w:tblPrEx>
          <w:tblCellMar>
            <w:top w:w="0" w:type="dxa"/>
            <w:left w:w="108" w:type="dxa"/>
            <w:bottom w:w="0" w:type="dxa"/>
            <w:right w:w="108" w:type="dxa"/>
          </w:tblCellMar>
        </w:tblPrEx>
        <w:trPr>
          <w:trHeight w:val="727"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D7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B5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诚信情况</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8A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706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无与投标单位及其他单位串通损害招标人利益和他人合法权益的现象</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2BD2">
            <w:pPr>
              <w:widowControl/>
              <w:jc w:val="center"/>
              <w:textAlignment w:val="center"/>
              <w:rPr>
                <w:rFonts w:ascii="宋体" w:hAnsi="宋体" w:eastAsia="宋体" w:cs="宋体"/>
                <w:color w:val="000000"/>
                <w:sz w:val="22"/>
              </w:rPr>
            </w:pPr>
          </w:p>
        </w:tc>
      </w:tr>
      <w:tr w14:paraId="75B9946E">
        <w:tblPrEx>
          <w:tblCellMar>
            <w:top w:w="0" w:type="dxa"/>
            <w:left w:w="108" w:type="dxa"/>
            <w:bottom w:w="0" w:type="dxa"/>
            <w:right w:w="108" w:type="dxa"/>
          </w:tblCellMar>
        </w:tblPrEx>
        <w:trPr>
          <w:trHeight w:val="9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B7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7E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后续服务</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35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1A3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能够积极主动按照要求协助招标人做好合同拟定、澄清、签订等后续服务工作</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85A1">
            <w:pPr>
              <w:widowControl/>
              <w:jc w:val="center"/>
              <w:textAlignment w:val="center"/>
              <w:rPr>
                <w:rFonts w:ascii="宋体" w:hAnsi="宋体" w:eastAsia="宋体" w:cs="宋体"/>
                <w:color w:val="000000"/>
                <w:sz w:val="22"/>
              </w:rPr>
            </w:pPr>
          </w:p>
        </w:tc>
      </w:tr>
      <w:tr w14:paraId="77A6EDA8">
        <w:tblPrEx>
          <w:tblCellMar>
            <w:top w:w="0" w:type="dxa"/>
            <w:left w:w="108" w:type="dxa"/>
            <w:bottom w:w="0" w:type="dxa"/>
            <w:right w:w="108" w:type="dxa"/>
          </w:tblCellMar>
        </w:tblPrEx>
        <w:trPr>
          <w:trHeight w:val="437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61BC">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五</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622A">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直接判定为不合格的情形</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C0FC">
            <w:pPr>
              <w:widowControl/>
              <w:jc w:val="center"/>
              <w:textAlignment w:val="center"/>
              <w:rPr>
                <w:rFonts w:ascii="黑体" w:hAnsi="宋体" w:eastAsia="黑体" w:cs="黑体"/>
                <w:color w:val="000000"/>
                <w:sz w:val="22"/>
              </w:rPr>
            </w:pPr>
            <w:r>
              <w:rPr>
                <w:rFonts w:hint="eastAsia" w:ascii="黑体" w:hAnsi="宋体" w:eastAsia="黑体" w:cs="黑体"/>
                <w:color w:val="000000"/>
                <w:sz w:val="22"/>
              </w:rPr>
              <w:t>/</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141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1、与投标人串通转包、挂靠、非法分包工程的；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2、成果文件存在造假现象的；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3、擅自转让招标代理业务的；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4、泄露应当保密的与招标投标活动有关的情况和资料的；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5、对有关行政监督部门依法责令改正的决定拒不执行或者以弄虑作假行方式隐瞒真相的；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6、擅自修改招标人同意并加盖了招标人公章的工程招标代理成果文件的；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7、法律、法规和规章禁止的其他行为；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8、招标人认为具有的其他可直接判定为不合格的情形。</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6936">
            <w:pPr>
              <w:widowControl/>
              <w:jc w:val="center"/>
              <w:textAlignment w:val="center"/>
              <w:rPr>
                <w:rFonts w:ascii="黑体" w:hAnsi="宋体" w:eastAsia="黑体" w:cs="黑体"/>
                <w:color w:val="000000"/>
                <w:sz w:val="22"/>
              </w:rPr>
            </w:pPr>
          </w:p>
        </w:tc>
      </w:tr>
      <w:tr w14:paraId="59B9CDD2">
        <w:tblPrEx>
          <w:tblCellMar>
            <w:top w:w="0" w:type="dxa"/>
            <w:left w:w="108" w:type="dxa"/>
            <w:bottom w:w="0" w:type="dxa"/>
            <w:right w:w="108" w:type="dxa"/>
          </w:tblCellMar>
        </w:tblPrEx>
        <w:trPr>
          <w:trHeight w:val="606" w:hRule="atLeast"/>
          <w:jc w:val="center"/>
        </w:trPr>
        <w:tc>
          <w:tcPr>
            <w:tcW w:w="10660" w:type="dxa"/>
            <w:gridSpan w:val="5"/>
            <w:tcBorders>
              <w:top w:val="nil"/>
              <w:left w:val="nil"/>
              <w:bottom w:val="nil"/>
              <w:right w:val="nil"/>
            </w:tcBorders>
            <w:shd w:val="clear" w:color="auto" w:fill="auto"/>
            <w:vAlign w:val="center"/>
          </w:tcPr>
          <w:p w14:paraId="3452EBD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注：得分≥90评价等级为“优秀”，80≤得分＜90评价等级为“良好”，60≤得分＜80评价等级为“合格”，得分＜60评价等级为“不合格”。</w:t>
            </w:r>
          </w:p>
        </w:tc>
      </w:tr>
    </w:tbl>
    <w:p w14:paraId="4B6A3E91">
      <w:pPr>
        <w:jc w:val="center"/>
        <w:rPr>
          <w:rFonts w:ascii="黑体" w:hAnsi="黑体" w:eastAsia="黑体" w:cs="宋体"/>
          <w:kern w:val="0"/>
          <w:sz w:val="32"/>
          <w:szCs w:val="32"/>
        </w:rPr>
      </w:pPr>
    </w:p>
    <w:p w14:paraId="4174CD8F">
      <w:pPr>
        <w:rPr>
          <w:rFonts w:ascii="Calibri" w:hAnsi="Calibri" w:eastAsia="宋体" w:cs="Times New Roman"/>
        </w:rPr>
      </w:pPr>
    </w:p>
    <w:p w14:paraId="1D6BE6F4">
      <w:pPr>
        <w:rPr>
          <w:rFonts w:ascii="黑体" w:hAnsi="宋体" w:eastAsia="黑体" w:cs="Times New Roman"/>
          <w:b/>
          <w:sz w:val="32"/>
          <w:szCs w:val="32"/>
        </w:rPr>
      </w:pPr>
      <w:r>
        <w:rPr>
          <w:rFonts w:ascii="黑体" w:hAnsi="宋体" w:eastAsia="黑体" w:cs="Times New Roman"/>
          <w:b/>
          <w:sz w:val="32"/>
          <w:szCs w:val="32"/>
        </w:rPr>
        <w:br w:type="page"/>
      </w:r>
    </w:p>
    <w:p w14:paraId="3A8E515F">
      <w:pPr>
        <w:pStyle w:val="2"/>
        <w:rPr>
          <w:rFonts w:hint="eastAsia" w:ascii="宋体" w:hAnsi="宋体" w:cs="Arial"/>
          <w:b w:val="0"/>
          <w:bCs w:val="0"/>
          <w:kern w:val="2"/>
          <w:sz w:val="24"/>
          <w:szCs w:val="20"/>
        </w:rPr>
      </w:pPr>
      <w:r>
        <w:rPr>
          <w:rFonts w:hint="eastAsia" w:ascii="宋体" w:hAnsi="宋体" w:cs="Arial"/>
          <w:b w:val="0"/>
          <w:bCs w:val="0"/>
          <w:kern w:val="2"/>
          <w:sz w:val="24"/>
          <w:szCs w:val="20"/>
        </w:rPr>
        <w:t>附件</w:t>
      </w:r>
      <w:r>
        <w:rPr>
          <w:rFonts w:hint="eastAsia" w:cs="Arial" w:asciiTheme="minorEastAsia" w:hAnsiTheme="minorEastAsia" w:eastAsiaTheme="minorEastAsia"/>
          <w:b w:val="0"/>
          <w:bCs w:val="0"/>
          <w:kern w:val="2"/>
          <w:sz w:val="24"/>
          <w:szCs w:val="20"/>
          <w:lang w:val="en-US" w:eastAsia="zh-CN"/>
        </w:rPr>
        <w:t>2</w:t>
      </w:r>
      <w:r>
        <w:rPr>
          <w:rFonts w:hint="eastAsia" w:ascii="宋体" w:hAnsi="宋体" w:cs="Arial"/>
          <w:b w:val="0"/>
          <w:bCs w:val="0"/>
          <w:kern w:val="2"/>
          <w:sz w:val="24"/>
          <w:szCs w:val="20"/>
        </w:rPr>
        <w:t>：《深圳市龙华建设发展集团有限公司建设工程合同履约评价管理办法（试行）》</w:t>
      </w:r>
    </w:p>
    <w:p w14:paraId="26779921">
      <w:pPr>
        <w:rPr>
          <w:rFonts w:hint="eastAsia" w:eastAsiaTheme="minorEastAsia"/>
          <w:lang w:eastAsia="zh-CN"/>
        </w:rPr>
      </w:pPr>
      <w:r>
        <w:rPr>
          <w:rFonts w:hint="eastAsia" w:eastAsiaTheme="minorEastAsia"/>
          <w:lang w:eastAsia="zh-CN"/>
        </w:rPr>
        <w:object>
          <v:shape id="_x0000_i1025" o:spt="75" type="#_x0000_t75" style="height:66pt;width:72.75pt;" o:ole="t" filled="f" o:preferrelative="t" stroked="f" coordsize="21600,21600">
            <v:path/>
            <v:fill on="f" focussize="0,0"/>
            <v:stroke on="f"/>
            <v:imagedata r:id="rId7" o:title=""/>
            <o:lock v:ext="edit" aspectratio="t"/>
            <w10:wrap type="none"/>
            <w10:anchorlock/>
          </v:shape>
          <o:OLEObject Type="Embed" ProgID="Acrobat.Document.DC" ShapeID="_x0000_i1025" DrawAspect="Icon" ObjectID="_1468075725" r:id="rId6">
            <o:LockedField>false</o:LockedField>
          </o:OLEObject>
        </w:object>
      </w:r>
    </w:p>
    <w:sectPr>
      <w:footerReference r:id="rId4" w:type="default"/>
      <w:pgSz w:w="11906" w:h="16838"/>
      <w:pgMar w:top="1474" w:right="1474" w:bottom="1474" w:left="1474" w:header="851" w:footer="851"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70BF2">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21652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21652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sdt>
      <w:sdtPr>
        <w:id w:val="18076233"/>
      </w:sdtPr>
      <w:sdtContent>
        <w:sdt>
          <w:sdtPr>
            <w:id w:val="171357217"/>
          </w:sdtPr>
          <w:sdtContent/>
        </w:sdt>
      </w:sdtContent>
    </w:sdt>
  </w:p>
  <w:p w14:paraId="63E2A5EA">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4A54B">
    <w:pPr>
      <w:pStyle w:val="13"/>
      <w:jc w:val="center"/>
      <w:rPr>
        <w:b/>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7F738">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187F738">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p w14:paraId="57A3A242">
    <w:pPr>
      <w:pStyle w:val="13"/>
      <w:tabs>
        <w:tab w:val="left" w:pos="5249"/>
        <w:tab w:val="clear" w:pos="4153"/>
      </w:tabs>
    </w:pP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2AC289"/>
    <w:multiLevelType w:val="singleLevel"/>
    <w:tmpl w:val="312AC28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00791999"/>
    <w:rsid w:val="00001CAB"/>
    <w:rsid w:val="00004AFD"/>
    <w:rsid w:val="00013FB6"/>
    <w:rsid w:val="00016558"/>
    <w:rsid w:val="00016C28"/>
    <w:rsid w:val="000177AE"/>
    <w:rsid w:val="00026AE2"/>
    <w:rsid w:val="00032435"/>
    <w:rsid w:val="000347EF"/>
    <w:rsid w:val="00035781"/>
    <w:rsid w:val="000415AA"/>
    <w:rsid w:val="00042317"/>
    <w:rsid w:val="00044470"/>
    <w:rsid w:val="00044FD8"/>
    <w:rsid w:val="00046475"/>
    <w:rsid w:val="00047A53"/>
    <w:rsid w:val="000567EE"/>
    <w:rsid w:val="00060053"/>
    <w:rsid w:val="00061B05"/>
    <w:rsid w:val="00063010"/>
    <w:rsid w:val="00064328"/>
    <w:rsid w:val="00064365"/>
    <w:rsid w:val="00071DDD"/>
    <w:rsid w:val="00073B70"/>
    <w:rsid w:val="00074F7E"/>
    <w:rsid w:val="0007678B"/>
    <w:rsid w:val="00080321"/>
    <w:rsid w:val="00087EB9"/>
    <w:rsid w:val="000907B1"/>
    <w:rsid w:val="00090871"/>
    <w:rsid w:val="000A21A7"/>
    <w:rsid w:val="000A6ED4"/>
    <w:rsid w:val="000B0F18"/>
    <w:rsid w:val="000C766D"/>
    <w:rsid w:val="000D01B2"/>
    <w:rsid w:val="000D3D9C"/>
    <w:rsid w:val="000D49DC"/>
    <w:rsid w:val="000D4CCB"/>
    <w:rsid w:val="000E0BA6"/>
    <w:rsid w:val="000E28BB"/>
    <w:rsid w:val="000E3BC4"/>
    <w:rsid w:val="000E4317"/>
    <w:rsid w:val="000E572C"/>
    <w:rsid w:val="000F5358"/>
    <w:rsid w:val="000F7A2E"/>
    <w:rsid w:val="00101157"/>
    <w:rsid w:val="00101DB7"/>
    <w:rsid w:val="00105167"/>
    <w:rsid w:val="00120B37"/>
    <w:rsid w:val="001244E0"/>
    <w:rsid w:val="00131321"/>
    <w:rsid w:val="00131B57"/>
    <w:rsid w:val="00132092"/>
    <w:rsid w:val="00135D3D"/>
    <w:rsid w:val="00147B7D"/>
    <w:rsid w:val="00156126"/>
    <w:rsid w:val="00156315"/>
    <w:rsid w:val="00157E63"/>
    <w:rsid w:val="0016123A"/>
    <w:rsid w:val="00161F04"/>
    <w:rsid w:val="001622E6"/>
    <w:rsid w:val="00170105"/>
    <w:rsid w:val="00170544"/>
    <w:rsid w:val="00175EAB"/>
    <w:rsid w:val="00176D7E"/>
    <w:rsid w:val="001773CF"/>
    <w:rsid w:val="00181F5E"/>
    <w:rsid w:val="001838EC"/>
    <w:rsid w:val="0018694C"/>
    <w:rsid w:val="001876BB"/>
    <w:rsid w:val="00192914"/>
    <w:rsid w:val="0019488D"/>
    <w:rsid w:val="00195D13"/>
    <w:rsid w:val="00195E78"/>
    <w:rsid w:val="001A2BFD"/>
    <w:rsid w:val="001A5787"/>
    <w:rsid w:val="001A7629"/>
    <w:rsid w:val="001B01BE"/>
    <w:rsid w:val="001B1AE4"/>
    <w:rsid w:val="001B227C"/>
    <w:rsid w:val="001B6735"/>
    <w:rsid w:val="001C10B4"/>
    <w:rsid w:val="001C50C0"/>
    <w:rsid w:val="001C6037"/>
    <w:rsid w:val="001C7311"/>
    <w:rsid w:val="001D1A26"/>
    <w:rsid w:val="001D3FA1"/>
    <w:rsid w:val="001D6ABA"/>
    <w:rsid w:val="001F390A"/>
    <w:rsid w:val="00203DDE"/>
    <w:rsid w:val="002073CF"/>
    <w:rsid w:val="00210420"/>
    <w:rsid w:val="00213BDA"/>
    <w:rsid w:val="0021693D"/>
    <w:rsid w:val="00216AB3"/>
    <w:rsid w:val="00216C89"/>
    <w:rsid w:val="00216EA4"/>
    <w:rsid w:val="0022518C"/>
    <w:rsid w:val="002254E7"/>
    <w:rsid w:val="002320E9"/>
    <w:rsid w:val="00233CFE"/>
    <w:rsid w:val="00235970"/>
    <w:rsid w:val="00240A7F"/>
    <w:rsid w:val="00242F2E"/>
    <w:rsid w:val="0024314C"/>
    <w:rsid w:val="00244891"/>
    <w:rsid w:val="002451BD"/>
    <w:rsid w:val="00245672"/>
    <w:rsid w:val="0024791E"/>
    <w:rsid w:val="002532F6"/>
    <w:rsid w:val="002667A7"/>
    <w:rsid w:val="002708E5"/>
    <w:rsid w:val="0027276A"/>
    <w:rsid w:val="00273593"/>
    <w:rsid w:val="002745D1"/>
    <w:rsid w:val="00284570"/>
    <w:rsid w:val="00291F5C"/>
    <w:rsid w:val="00291FCB"/>
    <w:rsid w:val="002A0ECA"/>
    <w:rsid w:val="002A18A3"/>
    <w:rsid w:val="002A436E"/>
    <w:rsid w:val="002A5466"/>
    <w:rsid w:val="002A5A45"/>
    <w:rsid w:val="002B1CA1"/>
    <w:rsid w:val="002B2837"/>
    <w:rsid w:val="002B5015"/>
    <w:rsid w:val="002C1B41"/>
    <w:rsid w:val="002C1B8C"/>
    <w:rsid w:val="002C4D9B"/>
    <w:rsid w:val="002D3CEB"/>
    <w:rsid w:val="002D3F27"/>
    <w:rsid w:val="002D6D19"/>
    <w:rsid w:val="002E0865"/>
    <w:rsid w:val="002E297C"/>
    <w:rsid w:val="002E4623"/>
    <w:rsid w:val="002E6E07"/>
    <w:rsid w:val="002F1555"/>
    <w:rsid w:val="002F4DFE"/>
    <w:rsid w:val="002F5F47"/>
    <w:rsid w:val="003018DE"/>
    <w:rsid w:val="00307C9C"/>
    <w:rsid w:val="003173F7"/>
    <w:rsid w:val="0032215C"/>
    <w:rsid w:val="00325EE0"/>
    <w:rsid w:val="00327B01"/>
    <w:rsid w:val="00335778"/>
    <w:rsid w:val="00335F0E"/>
    <w:rsid w:val="003403FA"/>
    <w:rsid w:val="003438E6"/>
    <w:rsid w:val="00343A39"/>
    <w:rsid w:val="003457A5"/>
    <w:rsid w:val="003476C4"/>
    <w:rsid w:val="00350344"/>
    <w:rsid w:val="00352F58"/>
    <w:rsid w:val="0035505A"/>
    <w:rsid w:val="00357562"/>
    <w:rsid w:val="0036280A"/>
    <w:rsid w:val="003745C9"/>
    <w:rsid w:val="00380660"/>
    <w:rsid w:val="003A1EE8"/>
    <w:rsid w:val="003B3FA6"/>
    <w:rsid w:val="003C08AC"/>
    <w:rsid w:val="003C299A"/>
    <w:rsid w:val="003C67F3"/>
    <w:rsid w:val="003D577B"/>
    <w:rsid w:val="003E64F6"/>
    <w:rsid w:val="003E7B69"/>
    <w:rsid w:val="003F1865"/>
    <w:rsid w:val="00401DFB"/>
    <w:rsid w:val="00406B32"/>
    <w:rsid w:val="00406CEA"/>
    <w:rsid w:val="00411413"/>
    <w:rsid w:val="00413227"/>
    <w:rsid w:val="0042395B"/>
    <w:rsid w:val="0042425C"/>
    <w:rsid w:val="00427B84"/>
    <w:rsid w:val="004322A0"/>
    <w:rsid w:val="0043245C"/>
    <w:rsid w:val="00435BAB"/>
    <w:rsid w:val="004407EF"/>
    <w:rsid w:val="00441520"/>
    <w:rsid w:val="00441758"/>
    <w:rsid w:val="004431F5"/>
    <w:rsid w:val="0044366E"/>
    <w:rsid w:val="00444F42"/>
    <w:rsid w:val="00447895"/>
    <w:rsid w:val="00452726"/>
    <w:rsid w:val="004530EE"/>
    <w:rsid w:val="00455FA4"/>
    <w:rsid w:val="004628C0"/>
    <w:rsid w:val="004630B7"/>
    <w:rsid w:val="004661E2"/>
    <w:rsid w:val="00475E69"/>
    <w:rsid w:val="0047796B"/>
    <w:rsid w:val="00477B40"/>
    <w:rsid w:val="00477F6B"/>
    <w:rsid w:val="004809B4"/>
    <w:rsid w:val="004840DD"/>
    <w:rsid w:val="00484D35"/>
    <w:rsid w:val="0048693D"/>
    <w:rsid w:val="00492F38"/>
    <w:rsid w:val="00496124"/>
    <w:rsid w:val="00497246"/>
    <w:rsid w:val="004A0AAC"/>
    <w:rsid w:val="004A1FDA"/>
    <w:rsid w:val="004A27C0"/>
    <w:rsid w:val="004A2E06"/>
    <w:rsid w:val="004A3794"/>
    <w:rsid w:val="004A5C75"/>
    <w:rsid w:val="004A61A7"/>
    <w:rsid w:val="004B293C"/>
    <w:rsid w:val="004B5302"/>
    <w:rsid w:val="004B59F1"/>
    <w:rsid w:val="004B7630"/>
    <w:rsid w:val="004C49BA"/>
    <w:rsid w:val="004C504C"/>
    <w:rsid w:val="004C5D23"/>
    <w:rsid w:val="004D4360"/>
    <w:rsid w:val="004D65CB"/>
    <w:rsid w:val="004E074A"/>
    <w:rsid w:val="004E0DA0"/>
    <w:rsid w:val="004E1B47"/>
    <w:rsid w:val="004E3C49"/>
    <w:rsid w:val="004E4905"/>
    <w:rsid w:val="004F2E92"/>
    <w:rsid w:val="004F6D69"/>
    <w:rsid w:val="005049FC"/>
    <w:rsid w:val="00510081"/>
    <w:rsid w:val="00514B1A"/>
    <w:rsid w:val="00522A48"/>
    <w:rsid w:val="00523231"/>
    <w:rsid w:val="005309BB"/>
    <w:rsid w:val="00531B64"/>
    <w:rsid w:val="005375D9"/>
    <w:rsid w:val="005405A0"/>
    <w:rsid w:val="00541CBD"/>
    <w:rsid w:val="00547D3A"/>
    <w:rsid w:val="005508B9"/>
    <w:rsid w:val="00554073"/>
    <w:rsid w:val="00557BEB"/>
    <w:rsid w:val="00561204"/>
    <w:rsid w:val="005630CE"/>
    <w:rsid w:val="00563A27"/>
    <w:rsid w:val="00567AB4"/>
    <w:rsid w:val="00575629"/>
    <w:rsid w:val="005808C4"/>
    <w:rsid w:val="00582AF6"/>
    <w:rsid w:val="00583436"/>
    <w:rsid w:val="00591D40"/>
    <w:rsid w:val="00592353"/>
    <w:rsid w:val="00597A27"/>
    <w:rsid w:val="005A4181"/>
    <w:rsid w:val="005A6981"/>
    <w:rsid w:val="005A72DD"/>
    <w:rsid w:val="005B27AA"/>
    <w:rsid w:val="005B2C7B"/>
    <w:rsid w:val="005B354C"/>
    <w:rsid w:val="005B4950"/>
    <w:rsid w:val="005C0CA0"/>
    <w:rsid w:val="005C74CD"/>
    <w:rsid w:val="005D23F8"/>
    <w:rsid w:val="005D50E2"/>
    <w:rsid w:val="005D64AF"/>
    <w:rsid w:val="005D6846"/>
    <w:rsid w:val="005D7302"/>
    <w:rsid w:val="005E2344"/>
    <w:rsid w:val="005E4979"/>
    <w:rsid w:val="005F1833"/>
    <w:rsid w:val="005F6672"/>
    <w:rsid w:val="005F69F1"/>
    <w:rsid w:val="0060232B"/>
    <w:rsid w:val="00603C4A"/>
    <w:rsid w:val="006056B7"/>
    <w:rsid w:val="00616FF6"/>
    <w:rsid w:val="00621F67"/>
    <w:rsid w:val="006256E6"/>
    <w:rsid w:val="00630091"/>
    <w:rsid w:val="00631F94"/>
    <w:rsid w:val="00643165"/>
    <w:rsid w:val="00652893"/>
    <w:rsid w:val="00654E1B"/>
    <w:rsid w:val="006559DF"/>
    <w:rsid w:val="006565C5"/>
    <w:rsid w:val="00657D0B"/>
    <w:rsid w:val="006644B4"/>
    <w:rsid w:val="00664A57"/>
    <w:rsid w:val="00676773"/>
    <w:rsid w:val="00681B3D"/>
    <w:rsid w:val="006835A3"/>
    <w:rsid w:val="00685768"/>
    <w:rsid w:val="006872DB"/>
    <w:rsid w:val="006941B8"/>
    <w:rsid w:val="00696A97"/>
    <w:rsid w:val="00696D58"/>
    <w:rsid w:val="006A0E65"/>
    <w:rsid w:val="006A196F"/>
    <w:rsid w:val="006A3C2C"/>
    <w:rsid w:val="006A62F3"/>
    <w:rsid w:val="006B3D8E"/>
    <w:rsid w:val="006B4911"/>
    <w:rsid w:val="006B6393"/>
    <w:rsid w:val="006B74C0"/>
    <w:rsid w:val="006B79E0"/>
    <w:rsid w:val="006D31F8"/>
    <w:rsid w:val="006D44C7"/>
    <w:rsid w:val="006D5327"/>
    <w:rsid w:val="006D6873"/>
    <w:rsid w:val="006D6B92"/>
    <w:rsid w:val="006E03EE"/>
    <w:rsid w:val="006E0CB5"/>
    <w:rsid w:val="006E1FD6"/>
    <w:rsid w:val="006E4B40"/>
    <w:rsid w:val="006E4D7E"/>
    <w:rsid w:val="006E6FFF"/>
    <w:rsid w:val="00707126"/>
    <w:rsid w:val="007114F1"/>
    <w:rsid w:val="0071195B"/>
    <w:rsid w:val="00711C52"/>
    <w:rsid w:val="0072317C"/>
    <w:rsid w:val="007235AB"/>
    <w:rsid w:val="0072360C"/>
    <w:rsid w:val="00734317"/>
    <w:rsid w:val="00735FDC"/>
    <w:rsid w:val="007378E8"/>
    <w:rsid w:val="007446A0"/>
    <w:rsid w:val="00746709"/>
    <w:rsid w:val="00747E29"/>
    <w:rsid w:val="007507B7"/>
    <w:rsid w:val="00753B98"/>
    <w:rsid w:val="0075506D"/>
    <w:rsid w:val="0076252D"/>
    <w:rsid w:val="0076316F"/>
    <w:rsid w:val="007662DE"/>
    <w:rsid w:val="007705F9"/>
    <w:rsid w:val="007716DC"/>
    <w:rsid w:val="007728C9"/>
    <w:rsid w:val="007733E4"/>
    <w:rsid w:val="0077382C"/>
    <w:rsid w:val="00780EA6"/>
    <w:rsid w:val="0078468D"/>
    <w:rsid w:val="00786E73"/>
    <w:rsid w:val="00787BF4"/>
    <w:rsid w:val="00791999"/>
    <w:rsid w:val="007920AF"/>
    <w:rsid w:val="007A08B8"/>
    <w:rsid w:val="007A24CF"/>
    <w:rsid w:val="007A43A7"/>
    <w:rsid w:val="007A556A"/>
    <w:rsid w:val="007A63E7"/>
    <w:rsid w:val="007A7E77"/>
    <w:rsid w:val="007B07CF"/>
    <w:rsid w:val="007B08C3"/>
    <w:rsid w:val="007B238D"/>
    <w:rsid w:val="007B5517"/>
    <w:rsid w:val="007B7757"/>
    <w:rsid w:val="007C0AFA"/>
    <w:rsid w:val="007C44C6"/>
    <w:rsid w:val="007C53B4"/>
    <w:rsid w:val="007C755A"/>
    <w:rsid w:val="007D1355"/>
    <w:rsid w:val="007D45DE"/>
    <w:rsid w:val="007D4F6C"/>
    <w:rsid w:val="007D6EBB"/>
    <w:rsid w:val="007E1487"/>
    <w:rsid w:val="007E2937"/>
    <w:rsid w:val="007E4509"/>
    <w:rsid w:val="007F370D"/>
    <w:rsid w:val="007F410A"/>
    <w:rsid w:val="007F631F"/>
    <w:rsid w:val="00801B7A"/>
    <w:rsid w:val="008043B8"/>
    <w:rsid w:val="00804458"/>
    <w:rsid w:val="00804B08"/>
    <w:rsid w:val="00805174"/>
    <w:rsid w:val="00814E3C"/>
    <w:rsid w:val="0081691F"/>
    <w:rsid w:val="00822C9F"/>
    <w:rsid w:val="0083438E"/>
    <w:rsid w:val="008343AC"/>
    <w:rsid w:val="00851B44"/>
    <w:rsid w:val="00855727"/>
    <w:rsid w:val="00856D59"/>
    <w:rsid w:val="0087102D"/>
    <w:rsid w:val="00881A75"/>
    <w:rsid w:val="00884853"/>
    <w:rsid w:val="00891877"/>
    <w:rsid w:val="00896400"/>
    <w:rsid w:val="00897B7A"/>
    <w:rsid w:val="008A112F"/>
    <w:rsid w:val="008A3C30"/>
    <w:rsid w:val="008A576C"/>
    <w:rsid w:val="008A5786"/>
    <w:rsid w:val="008B6206"/>
    <w:rsid w:val="008C15AB"/>
    <w:rsid w:val="008C6A98"/>
    <w:rsid w:val="008D4F11"/>
    <w:rsid w:val="008D563D"/>
    <w:rsid w:val="008D5E97"/>
    <w:rsid w:val="008F6DB4"/>
    <w:rsid w:val="008F70AA"/>
    <w:rsid w:val="00903783"/>
    <w:rsid w:val="00906A1A"/>
    <w:rsid w:val="00907028"/>
    <w:rsid w:val="009102A3"/>
    <w:rsid w:val="00911C00"/>
    <w:rsid w:val="00923976"/>
    <w:rsid w:val="00932813"/>
    <w:rsid w:val="00934B3A"/>
    <w:rsid w:val="0093620A"/>
    <w:rsid w:val="00944A65"/>
    <w:rsid w:val="009454B8"/>
    <w:rsid w:val="009467AB"/>
    <w:rsid w:val="00946B19"/>
    <w:rsid w:val="00947A3F"/>
    <w:rsid w:val="0095740E"/>
    <w:rsid w:val="009609CF"/>
    <w:rsid w:val="00960B21"/>
    <w:rsid w:val="00965B0D"/>
    <w:rsid w:val="00974B79"/>
    <w:rsid w:val="009760DC"/>
    <w:rsid w:val="0098131D"/>
    <w:rsid w:val="0098724D"/>
    <w:rsid w:val="00987F96"/>
    <w:rsid w:val="00993F5B"/>
    <w:rsid w:val="009971E2"/>
    <w:rsid w:val="009A058E"/>
    <w:rsid w:val="009A2A48"/>
    <w:rsid w:val="009A2EFC"/>
    <w:rsid w:val="009B44CD"/>
    <w:rsid w:val="009B5765"/>
    <w:rsid w:val="009B6786"/>
    <w:rsid w:val="009B71E8"/>
    <w:rsid w:val="009C4570"/>
    <w:rsid w:val="009C5A12"/>
    <w:rsid w:val="009D156D"/>
    <w:rsid w:val="009D631D"/>
    <w:rsid w:val="009D63F2"/>
    <w:rsid w:val="009D79DD"/>
    <w:rsid w:val="009E1F2B"/>
    <w:rsid w:val="009E5EBC"/>
    <w:rsid w:val="009F1F68"/>
    <w:rsid w:val="009F5346"/>
    <w:rsid w:val="00A014FF"/>
    <w:rsid w:val="00A11852"/>
    <w:rsid w:val="00A12958"/>
    <w:rsid w:val="00A13451"/>
    <w:rsid w:val="00A148EA"/>
    <w:rsid w:val="00A151F8"/>
    <w:rsid w:val="00A17E90"/>
    <w:rsid w:val="00A21773"/>
    <w:rsid w:val="00A21D4B"/>
    <w:rsid w:val="00A21F82"/>
    <w:rsid w:val="00A23DB2"/>
    <w:rsid w:val="00A245AD"/>
    <w:rsid w:val="00A35A8A"/>
    <w:rsid w:val="00A5211C"/>
    <w:rsid w:val="00A570F5"/>
    <w:rsid w:val="00A60A4F"/>
    <w:rsid w:val="00A62BF8"/>
    <w:rsid w:val="00A62D93"/>
    <w:rsid w:val="00A63F1A"/>
    <w:rsid w:val="00A65173"/>
    <w:rsid w:val="00A65215"/>
    <w:rsid w:val="00A72477"/>
    <w:rsid w:val="00A72700"/>
    <w:rsid w:val="00A73112"/>
    <w:rsid w:val="00A74658"/>
    <w:rsid w:val="00A74981"/>
    <w:rsid w:val="00A76025"/>
    <w:rsid w:val="00A850DB"/>
    <w:rsid w:val="00A87E01"/>
    <w:rsid w:val="00A90898"/>
    <w:rsid w:val="00A931EE"/>
    <w:rsid w:val="00A95296"/>
    <w:rsid w:val="00A95B00"/>
    <w:rsid w:val="00A96440"/>
    <w:rsid w:val="00A96B2A"/>
    <w:rsid w:val="00AA503E"/>
    <w:rsid w:val="00AB2747"/>
    <w:rsid w:val="00AB59DB"/>
    <w:rsid w:val="00AB6A5D"/>
    <w:rsid w:val="00AB7FB0"/>
    <w:rsid w:val="00AC03A1"/>
    <w:rsid w:val="00AC4234"/>
    <w:rsid w:val="00AC6FB2"/>
    <w:rsid w:val="00AD0379"/>
    <w:rsid w:val="00AD1C8D"/>
    <w:rsid w:val="00AD3B88"/>
    <w:rsid w:val="00AD3CEE"/>
    <w:rsid w:val="00AD627C"/>
    <w:rsid w:val="00AE14D8"/>
    <w:rsid w:val="00AE1958"/>
    <w:rsid w:val="00AE1F36"/>
    <w:rsid w:val="00AE5B4B"/>
    <w:rsid w:val="00AE6888"/>
    <w:rsid w:val="00AF439A"/>
    <w:rsid w:val="00B00A45"/>
    <w:rsid w:val="00B025F5"/>
    <w:rsid w:val="00B042C3"/>
    <w:rsid w:val="00B10D25"/>
    <w:rsid w:val="00B172BE"/>
    <w:rsid w:val="00B249D5"/>
    <w:rsid w:val="00B34A3D"/>
    <w:rsid w:val="00B34C73"/>
    <w:rsid w:val="00B37F6B"/>
    <w:rsid w:val="00B40409"/>
    <w:rsid w:val="00B4102E"/>
    <w:rsid w:val="00B41764"/>
    <w:rsid w:val="00B42547"/>
    <w:rsid w:val="00B454C5"/>
    <w:rsid w:val="00B45E17"/>
    <w:rsid w:val="00B5054C"/>
    <w:rsid w:val="00B521CD"/>
    <w:rsid w:val="00B60936"/>
    <w:rsid w:val="00B61219"/>
    <w:rsid w:val="00B61B5B"/>
    <w:rsid w:val="00B62EA9"/>
    <w:rsid w:val="00B64846"/>
    <w:rsid w:val="00B65DE6"/>
    <w:rsid w:val="00B67D94"/>
    <w:rsid w:val="00B703F2"/>
    <w:rsid w:val="00B72E15"/>
    <w:rsid w:val="00B7367B"/>
    <w:rsid w:val="00B82432"/>
    <w:rsid w:val="00B93319"/>
    <w:rsid w:val="00B94BEC"/>
    <w:rsid w:val="00B97168"/>
    <w:rsid w:val="00BA0B7A"/>
    <w:rsid w:val="00BA154B"/>
    <w:rsid w:val="00BA3E3D"/>
    <w:rsid w:val="00BA601E"/>
    <w:rsid w:val="00BA6927"/>
    <w:rsid w:val="00BB6B78"/>
    <w:rsid w:val="00BC1E02"/>
    <w:rsid w:val="00BC5606"/>
    <w:rsid w:val="00BC5FA9"/>
    <w:rsid w:val="00BD1E9B"/>
    <w:rsid w:val="00BD7633"/>
    <w:rsid w:val="00BE1DA6"/>
    <w:rsid w:val="00BE2912"/>
    <w:rsid w:val="00BE3992"/>
    <w:rsid w:val="00BE49FB"/>
    <w:rsid w:val="00BF24B3"/>
    <w:rsid w:val="00BF3572"/>
    <w:rsid w:val="00BF64E4"/>
    <w:rsid w:val="00C10B14"/>
    <w:rsid w:val="00C2063E"/>
    <w:rsid w:val="00C210EE"/>
    <w:rsid w:val="00C229F6"/>
    <w:rsid w:val="00C2679B"/>
    <w:rsid w:val="00C3215E"/>
    <w:rsid w:val="00C37632"/>
    <w:rsid w:val="00C42232"/>
    <w:rsid w:val="00C47DCF"/>
    <w:rsid w:val="00C55E56"/>
    <w:rsid w:val="00C575CA"/>
    <w:rsid w:val="00C61777"/>
    <w:rsid w:val="00C62044"/>
    <w:rsid w:val="00C637C0"/>
    <w:rsid w:val="00C66204"/>
    <w:rsid w:val="00C71B89"/>
    <w:rsid w:val="00C73B7C"/>
    <w:rsid w:val="00C77E78"/>
    <w:rsid w:val="00C817C2"/>
    <w:rsid w:val="00C81811"/>
    <w:rsid w:val="00C81D91"/>
    <w:rsid w:val="00C829BD"/>
    <w:rsid w:val="00C91215"/>
    <w:rsid w:val="00C917DD"/>
    <w:rsid w:val="00C923F7"/>
    <w:rsid w:val="00C9296D"/>
    <w:rsid w:val="00C95698"/>
    <w:rsid w:val="00C96EF6"/>
    <w:rsid w:val="00CB0052"/>
    <w:rsid w:val="00CB3074"/>
    <w:rsid w:val="00CB3C95"/>
    <w:rsid w:val="00CB5661"/>
    <w:rsid w:val="00CB590A"/>
    <w:rsid w:val="00CC538D"/>
    <w:rsid w:val="00CC61BA"/>
    <w:rsid w:val="00CC6B4E"/>
    <w:rsid w:val="00CD6DBF"/>
    <w:rsid w:val="00CE0F9B"/>
    <w:rsid w:val="00CE2D2A"/>
    <w:rsid w:val="00CE407A"/>
    <w:rsid w:val="00CE56A6"/>
    <w:rsid w:val="00CE7928"/>
    <w:rsid w:val="00CE7A77"/>
    <w:rsid w:val="00CF15E6"/>
    <w:rsid w:val="00CF2EF0"/>
    <w:rsid w:val="00CF2FB5"/>
    <w:rsid w:val="00CF3AAB"/>
    <w:rsid w:val="00CF3DE5"/>
    <w:rsid w:val="00CF6993"/>
    <w:rsid w:val="00D0021F"/>
    <w:rsid w:val="00D018B3"/>
    <w:rsid w:val="00D0206E"/>
    <w:rsid w:val="00D03C84"/>
    <w:rsid w:val="00D12AB2"/>
    <w:rsid w:val="00D12B89"/>
    <w:rsid w:val="00D215AB"/>
    <w:rsid w:val="00D2431F"/>
    <w:rsid w:val="00D25169"/>
    <w:rsid w:val="00D3695C"/>
    <w:rsid w:val="00D40FB6"/>
    <w:rsid w:val="00D41F09"/>
    <w:rsid w:val="00D446E1"/>
    <w:rsid w:val="00D44B46"/>
    <w:rsid w:val="00D464B2"/>
    <w:rsid w:val="00D55815"/>
    <w:rsid w:val="00D55D4A"/>
    <w:rsid w:val="00D61201"/>
    <w:rsid w:val="00D655CD"/>
    <w:rsid w:val="00D6650F"/>
    <w:rsid w:val="00D712BC"/>
    <w:rsid w:val="00D737DD"/>
    <w:rsid w:val="00D766F6"/>
    <w:rsid w:val="00D76D81"/>
    <w:rsid w:val="00D837A9"/>
    <w:rsid w:val="00D84CD0"/>
    <w:rsid w:val="00D86D3B"/>
    <w:rsid w:val="00D872C7"/>
    <w:rsid w:val="00D90C47"/>
    <w:rsid w:val="00D96A8C"/>
    <w:rsid w:val="00DA1438"/>
    <w:rsid w:val="00DA6D00"/>
    <w:rsid w:val="00DB481B"/>
    <w:rsid w:val="00DB6BDE"/>
    <w:rsid w:val="00DC149A"/>
    <w:rsid w:val="00DC66EE"/>
    <w:rsid w:val="00DC6A54"/>
    <w:rsid w:val="00DC72DE"/>
    <w:rsid w:val="00DC797A"/>
    <w:rsid w:val="00DD52FF"/>
    <w:rsid w:val="00DE0EEF"/>
    <w:rsid w:val="00DE11E2"/>
    <w:rsid w:val="00DE3591"/>
    <w:rsid w:val="00E01152"/>
    <w:rsid w:val="00E0241D"/>
    <w:rsid w:val="00E02B00"/>
    <w:rsid w:val="00E03FFF"/>
    <w:rsid w:val="00E04B1A"/>
    <w:rsid w:val="00E16459"/>
    <w:rsid w:val="00E21A5A"/>
    <w:rsid w:val="00E21EC3"/>
    <w:rsid w:val="00E21FEB"/>
    <w:rsid w:val="00E26123"/>
    <w:rsid w:val="00E34CC4"/>
    <w:rsid w:val="00E362D9"/>
    <w:rsid w:val="00E37D7E"/>
    <w:rsid w:val="00E43C97"/>
    <w:rsid w:val="00E472EE"/>
    <w:rsid w:val="00E5502F"/>
    <w:rsid w:val="00E6554A"/>
    <w:rsid w:val="00E6582C"/>
    <w:rsid w:val="00E6588B"/>
    <w:rsid w:val="00E72D23"/>
    <w:rsid w:val="00E81202"/>
    <w:rsid w:val="00E82AF3"/>
    <w:rsid w:val="00E90ED0"/>
    <w:rsid w:val="00E91F50"/>
    <w:rsid w:val="00E962ED"/>
    <w:rsid w:val="00EA4606"/>
    <w:rsid w:val="00EA7A9E"/>
    <w:rsid w:val="00EB2DEB"/>
    <w:rsid w:val="00EB571B"/>
    <w:rsid w:val="00ED707B"/>
    <w:rsid w:val="00EE2617"/>
    <w:rsid w:val="00EE2C04"/>
    <w:rsid w:val="00EE2DEC"/>
    <w:rsid w:val="00EE33E2"/>
    <w:rsid w:val="00EF3A11"/>
    <w:rsid w:val="00EF583C"/>
    <w:rsid w:val="00F00B40"/>
    <w:rsid w:val="00F03D70"/>
    <w:rsid w:val="00F12A33"/>
    <w:rsid w:val="00F1668E"/>
    <w:rsid w:val="00F20743"/>
    <w:rsid w:val="00F21634"/>
    <w:rsid w:val="00F269C4"/>
    <w:rsid w:val="00F31519"/>
    <w:rsid w:val="00F31F8D"/>
    <w:rsid w:val="00F37608"/>
    <w:rsid w:val="00F40B0C"/>
    <w:rsid w:val="00F44A5D"/>
    <w:rsid w:val="00F475E7"/>
    <w:rsid w:val="00F478D4"/>
    <w:rsid w:val="00F501C7"/>
    <w:rsid w:val="00F516FA"/>
    <w:rsid w:val="00F52247"/>
    <w:rsid w:val="00F55D46"/>
    <w:rsid w:val="00F55D4B"/>
    <w:rsid w:val="00F61CFA"/>
    <w:rsid w:val="00F634FC"/>
    <w:rsid w:val="00F64A2A"/>
    <w:rsid w:val="00F66128"/>
    <w:rsid w:val="00F71121"/>
    <w:rsid w:val="00F7415B"/>
    <w:rsid w:val="00F9032F"/>
    <w:rsid w:val="00F9200F"/>
    <w:rsid w:val="00FA3E77"/>
    <w:rsid w:val="00FA42D7"/>
    <w:rsid w:val="00FB11F3"/>
    <w:rsid w:val="00FB26B6"/>
    <w:rsid w:val="00FB2B1B"/>
    <w:rsid w:val="00FB4764"/>
    <w:rsid w:val="00FB737A"/>
    <w:rsid w:val="00FB7F19"/>
    <w:rsid w:val="00FC3A81"/>
    <w:rsid w:val="00FD30E9"/>
    <w:rsid w:val="00FD7F63"/>
    <w:rsid w:val="00FE081E"/>
    <w:rsid w:val="00FE3E28"/>
    <w:rsid w:val="00FE4418"/>
    <w:rsid w:val="00FE4818"/>
    <w:rsid w:val="00FE6068"/>
    <w:rsid w:val="00FE76E9"/>
    <w:rsid w:val="00FF441E"/>
    <w:rsid w:val="00FF58CE"/>
    <w:rsid w:val="00FF5FBA"/>
    <w:rsid w:val="00FF61DA"/>
    <w:rsid w:val="010042FD"/>
    <w:rsid w:val="012E34F5"/>
    <w:rsid w:val="0177082B"/>
    <w:rsid w:val="01781C04"/>
    <w:rsid w:val="01934780"/>
    <w:rsid w:val="020531A4"/>
    <w:rsid w:val="03077649"/>
    <w:rsid w:val="036A0764"/>
    <w:rsid w:val="03710AF1"/>
    <w:rsid w:val="037159A7"/>
    <w:rsid w:val="037652D3"/>
    <w:rsid w:val="0423349D"/>
    <w:rsid w:val="04466DE0"/>
    <w:rsid w:val="04B76FD8"/>
    <w:rsid w:val="04BE2194"/>
    <w:rsid w:val="05692E80"/>
    <w:rsid w:val="057626AE"/>
    <w:rsid w:val="05F12235"/>
    <w:rsid w:val="062C0CFF"/>
    <w:rsid w:val="0689560F"/>
    <w:rsid w:val="0881210C"/>
    <w:rsid w:val="088318BF"/>
    <w:rsid w:val="08FB4B1D"/>
    <w:rsid w:val="090F13FD"/>
    <w:rsid w:val="091E51A1"/>
    <w:rsid w:val="09496BA0"/>
    <w:rsid w:val="09954E0D"/>
    <w:rsid w:val="09C3197A"/>
    <w:rsid w:val="09D0015A"/>
    <w:rsid w:val="09F1610B"/>
    <w:rsid w:val="0A0D7099"/>
    <w:rsid w:val="0A374CD0"/>
    <w:rsid w:val="0A5C3DE3"/>
    <w:rsid w:val="0A8F7AAE"/>
    <w:rsid w:val="0AF76439"/>
    <w:rsid w:val="0B0209B5"/>
    <w:rsid w:val="0B6C2384"/>
    <w:rsid w:val="0B76318F"/>
    <w:rsid w:val="0B9E20B8"/>
    <w:rsid w:val="0C1A784C"/>
    <w:rsid w:val="0C430B50"/>
    <w:rsid w:val="0C5734B3"/>
    <w:rsid w:val="0C611517"/>
    <w:rsid w:val="0CA72EDE"/>
    <w:rsid w:val="0E05748E"/>
    <w:rsid w:val="0E105266"/>
    <w:rsid w:val="0E81221F"/>
    <w:rsid w:val="0EB231EC"/>
    <w:rsid w:val="0EC00B7E"/>
    <w:rsid w:val="0EC20FEF"/>
    <w:rsid w:val="0F4A0448"/>
    <w:rsid w:val="0F707EDA"/>
    <w:rsid w:val="0FE5086A"/>
    <w:rsid w:val="0FE738E4"/>
    <w:rsid w:val="0FEC7092"/>
    <w:rsid w:val="0FF34EAB"/>
    <w:rsid w:val="103269A9"/>
    <w:rsid w:val="10797237"/>
    <w:rsid w:val="10856455"/>
    <w:rsid w:val="111139F5"/>
    <w:rsid w:val="120F040C"/>
    <w:rsid w:val="12372F05"/>
    <w:rsid w:val="133A77D6"/>
    <w:rsid w:val="135C679F"/>
    <w:rsid w:val="137B32C6"/>
    <w:rsid w:val="139A199E"/>
    <w:rsid w:val="13A9165A"/>
    <w:rsid w:val="14085E3A"/>
    <w:rsid w:val="14270D58"/>
    <w:rsid w:val="1442279C"/>
    <w:rsid w:val="147518FF"/>
    <w:rsid w:val="14D827D9"/>
    <w:rsid w:val="155F36BB"/>
    <w:rsid w:val="159A3818"/>
    <w:rsid w:val="164125A5"/>
    <w:rsid w:val="167D1F03"/>
    <w:rsid w:val="169643FB"/>
    <w:rsid w:val="16B03286"/>
    <w:rsid w:val="16CC2036"/>
    <w:rsid w:val="171E32D7"/>
    <w:rsid w:val="17BB0135"/>
    <w:rsid w:val="19F7305C"/>
    <w:rsid w:val="1A2F5FB9"/>
    <w:rsid w:val="1A514D80"/>
    <w:rsid w:val="1AAE16E8"/>
    <w:rsid w:val="1AB02351"/>
    <w:rsid w:val="1AE87DC6"/>
    <w:rsid w:val="1C245AFE"/>
    <w:rsid w:val="1CBA731D"/>
    <w:rsid w:val="1D556936"/>
    <w:rsid w:val="1D807E56"/>
    <w:rsid w:val="1DAC069B"/>
    <w:rsid w:val="1DD059E5"/>
    <w:rsid w:val="1DE71C83"/>
    <w:rsid w:val="1E321D00"/>
    <w:rsid w:val="1E6E5F01"/>
    <w:rsid w:val="1E800FAE"/>
    <w:rsid w:val="1E8A6AB3"/>
    <w:rsid w:val="1EC5360D"/>
    <w:rsid w:val="1EEF658A"/>
    <w:rsid w:val="1F330EF8"/>
    <w:rsid w:val="1F4E5D32"/>
    <w:rsid w:val="1F7C63FB"/>
    <w:rsid w:val="1F83759B"/>
    <w:rsid w:val="1F9934A3"/>
    <w:rsid w:val="1FDB6805"/>
    <w:rsid w:val="20FD0B04"/>
    <w:rsid w:val="211433E3"/>
    <w:rsid w:val="21A3043C"/>
    <w:rsid w:val="234611FA"/>
    <w:rsid w:val="234F75E1"/>
    <w:rsid w:val="23C12875"/>
    <w:rsid w:val="240E0B6E"/>
    <w:rsid w:val="24A84A3F"/>
    <w:rsid w:val="25311A36"/>
    <w:rsid w:val="25FF7D86"/>
    <w:rsid w:val="260A6D35"/>
    <w:rsid w:val="26203464"/>
    <w:rsid w:val="26376E51"/>
    <w:rsid w:val="26571970"/>
    <w:rsid w:val="2677791D"/>
    <w:rsid w:val="26877985"/>
    <w:rsid w:val="27271B68"/>
    <w:rsid w:val="27D33279"/>
    <w:rsid w:val="27DA2FD1"/>
    <w:rsid w:val="27E42007"/>
    <w:rsid w:val="28B77AA5"/>
    <w:rsid w:val="291919CD"/>
    <w:rsid w:val="294206B6"/>
    <w:rsid w:val="2949161A"/>
    <w:rsid w:val="295F6C16"/>
    <w:rsid w:val="297921AC"/>
    <w:rsid w:val="29926190"/>
    <w:rsid w:val="29C14009"/>
    <w:rsid w:val="2A383EB0"/>
    <w:rsid w:val="2A525998"/>
    <w:rsid w:val="2A8A1B05"/>
    <w:rsid w:val="2A917D90"/>
    <w:rsid w:val="2AD30169"/>
    <w:rsid w:val="2AED739A"/>
    <w:rsid w:val="2B277B63"/>
    <w:rsid w:val="2B33257E"/>
    <w:rsid w:val="2B597481"/>
    <w:rsid w:val="2BCC24B9"/>
    <w:rsid w:val="2BE333B2"/>
    <w:rsid w:val="2BFA54AB"/>
    <w:rsid w:val="2C2A43B5"/>
    <w:rsid w:val="2C324A12"/>
    <w:rsid w:val="2C3E1262"/>
    <w:rsid w:val="2CB45730"/>
    <w:rsid w:val="2D1543B0"/>
    <w:rsid w:val="2D164C4C"/>
    <w:rsid w:val="2D80355B"/>
    <w:rsid w:val="2DDC54EF"/>
    <w:rsid w:val="2DED6213"/>
    <w:rsid w:val="2E277E7A"/>
    <w:rsid w:val="2E464D9A"/>
    <w:rsid w:val="2E6E5981"/>
    <w:rsid w:val="2E9F6DD6"/>
    <w:rsid w:val="2EB026CF"/>
    <w:rsid w:val="2F4A3E20"/>
    <w:rsid w:val="2FA945F8"/>
    <w:rsid w:val="2FC0138A"/>
    <w:rsid w:val="303D590D"/>
    <w:rsid w:val="30405223"/>
    <w:rsid w:val="30AF1888"/>
    <w:rsid w:val="31181CFC"/>
    <w:rsid w:val="319364D9"/>
    <w:rsid w:val="32221084"/>
    <w:rsid w:val="32490160"/>
    <w:rsid w:val="32545E2B"/>
    <w:rsid w:val="325B2D5D"/>
    <w:rsid w:val="32B36180"/>
    <w:rsid w:val="32E42133"/>
    <w:rsid w:val="3353526D"/>
    <w:rsid w:val="338B4A07"/>
    <w:rsid w:val="33C00068"/>
    <w:rsid w:val="33FD0143"/>
    <w:rsid w:val="34E56399"/>
    <w:rsid w:val="34EB6204"/>
    <w:rsid w:val="350721BF"/>
    <w:rsid w:val="353F5F1A"/>
    <w:rsid w:val="35585753"/>
    <w:rsid w:val="35603CA0"/>
    <w:rsid w:val="35AE2C2F"/>
    <w:rsid w:val="363635D3"/>
    <w:rsid w:val="365437D6"/>
    <w:rsid w:val="36694216"/>
    <w:rsid w:val="36A4475E"/>
    <w:rsid w:val="36E00FC2"/>
    <w:rsid w:val="36E92171"/>
    <w:rsid w:val="3715292A"/>
    <w:rsid w:val="376135B2"/>
    <w:rsid w:val="3764600F"/>
    <w:rsid w:val="37981BA8"/>
    <w:rsid w:val="37C14E9C"/>
    <w:rsid w:val="385E4653"/>
    <w:rsid w:val="387F18E7"/>
    <w:rsid w:val="38B52235"/>
    <w:rsid w:val="390739FD"/>
    <w:rsid w:val="392D494C"/>
    <w:rsid w:val="39567872"/>
    <w:rsid w:val="397D3044"/>
    <w:rsid w:val="3998745F"/>
    <w:rsid w:val="399C3F4A"/>
    <w:rsid w:val="3A3E6C77"/>
    <w:rsid w:val="3A866326"/>
    <w:rsid w:val="3A8C2A28"/>
    <w:rsid w:val="3ABC4B81"/>
    <w:rsid w:val="3AFE1F63"/>
    <w:rsid w:val="3B7F12F6"/>
    <w:rsid w:val="3BB54D17"/>
    <w:rsid w:val="3BBD671F"/>
    <w:rsid w:val="3C3B131E"/>
    <w:rsid w:val="3C6A3D54"/>
    <w:rsid w:val="3CA12B23"/>
    <w:rsid w:val="3CAA05F4"/>
    <w:rsid w:val="3CF1490A"/>
    <w:rsid w:val="3D1E56A5"/>
    <w:rsid w:val="3D32761D"/>
    <w:rsid w:val="3D595233"/>
    <w:rsid w:val="3DD65A73"/>
    <w:rsid w:val="3E27138C"/>
    <w:rsid w:val="3E7964D0"/>
    <w:rsid w:val="3EA06227"/>
    <w:rsid w:val="3ED74FA5"/>
    <w:rsid w:val="3EEF27EE"/>
    <w:rsid w:val="3EF364AC"/>
    <w:rsid w:val="3EF82DB4"/>
    <w:rsid w:val="402B6735"/>
    <w:rsid w:val="40754A75"/>
    <w:rsid w:val="412C5A7C"/>
    <w:rsid w:val="4134424C"/>
    <w:rsid w:val="41DB4146"/>
    <w:rsid w:val="428253D0"/>
    <w:rsid w:val="429D02B3"/>
    <w:rsid w:val="42CC1559"/>
    <w:rsid w:val="43646835"/>
    <w:rsid w:val="43B87A84"/>
    <w:rsid w:val="43FE4D82"/>
    <w:rsid w:val="4407632C"/>
    <w:rsid w:val="444C25D2"/>
    <w:rsid w:val="44685DA5"/>
    <w:rsid w:val="44690608"/>
    <w:rsid w:val="44B81706"/>
    <w:rsid w:val="44E4041B"/>
    <w:rsid w:val="45ED68FD"/>
    <w:rsid w:val="46032282"/>
    <w:rsid w:val="463A00FC"/>
    <w:rsid w:val="464A4AB3"/>
    <w:rsid w:val="467D0245"/>
    <w:rsid w:val="469E7D05"/>
    <w:rsid w:val="46B46BF6"/>
    <w:rsid w:val="46B52C8D"/>
    <w:rsid w:val="46BC6803"/>
    <w:rsid w:val="46D12115"/>
    <w:rsid w:val="47F92430"/>
    <w:rsid w:val="482374AD"/>
    <w:rsid w:val="484F02A2"/>
    <w:rsid w:val="486024AF"/>
    <w:rsid w:val="4872401D"/>
    <w:rsid w:val="48BB7AB7"/>
    <w:rsid w:val="48CE53C0"/>
    <w:rsid w:val="48D15B7F"/>
    <w:rsid w:val="49D56585"/>
    <w:rsid w:val="4AB946C6"/>
    <w:rsid w:val="4ACD7945"/>
    <w:rsid w:val="4B7425EF"/>
    <w:rsid w:val="4BC316E9"/>
    <w:rsid w:val="4BD81D84"/>
    <w:rsid w:val="4CAD2236"/>
    <w:rsid w:val="4D1E3DEE"/>
    <w:rsid w:val="4D5E1F85"/>
    <w:rsid w:val="4D6A7DFA"/>
    <w:rsid w:val="4D8A781A"/>
    <w:rsid w:val="4DC218A0"/>
    <w:rsid w:val="4DD059E1"/>
    <w:rsid w:val="4E226070"/>
    <w:rsid w:val="4E7234AB"/>
    <w:rsid w:val="4EAA4484"/>
    <w:rsid w:val="4ECA2430"/>
    <w:rsid w:val="4ED41B62"/>
    <w:rsid w:val="4F200FDA"/>
    <w:rsid w:val="4FCF6F26"/>
    <w:rsid w:val="4FDF1D52"/>
    <w:rsid w:val="50186971"/>
    <w:rsid w:val="502635C9"/>
    <w:rsid w:val="506E12BE"/>
    <w:rsid w:val="50AE136F"/>
    <w:rsid w:val="50B60EBE"/>
    <w:rsid w:val="50CE26AB"/>
    <w:rsid w:val="50EB6F9B"/>
    <w:rsid w:val="50F74F1E"/>
    <w:rsid w:val="510A76B3"/>
    <w:rsid w:val="512429EA"/>
    <w:rsid w:val="5196501C"/>
    <w:rsid w:val="522116E1"/>
    <w:rsid w:val="532A13A5"/>
    <w:rsid w:val="53A40EC4"/>
    <w:rsid w:val="53C438F2"/>
    <w:rsid w:val="54696C10"/>
    <w:rsid w:val="547A6054"/>
    <w:rsid w:val="54970756"/>
    <w:rsid w:val="55104CE0"/>
    <w:rsid w:val="55654C60"/>
    <w:rsid w:val="55836AA8"/>
    <w:rsid w:val="55FD093A"/>
    <w:rsid w:val="5624698A"/>
    <w:rsid w:val="579F6971"/>
    <w:rsid w:val="58245E77"/>
    <w:rsid w:val="588E44CE"/>
    <w:rsid w:val="59487EB4"/>
    <w:rsid w:val="598E1424"/>
    <w:rsid w:val="59C7413C"/>
    <w:rsid w:val="59C84938"/>
    <w:rsid w:val="59D16D68"/>
    <w:rsid w:val="59E32B54"/>
    <w:rsid w:val="59EB5626"/>
    <w:rsid w:val="59F1740B"/>
    <w:rsid w:val="5A9421F5"/>
    <w:rsid w:val="5A97668E"/>
    <w:rsid w:val="5AA11179"/>
    <w:rsid w:val="5B034FFB"/>
    <w:rsid w:val="5B1908E4"/>
    <w:rsid w:val="5B6563A1"/>
    <w:rsid w:val="5BAF6C35"/>
    <w:rsid w:val="5BB64872"/>
    <w:rsid w:val="5BC36B85"/>
    <w:rsid w:val="5BD065B8"/>
    <w:rsid w:val="5CB55033"/>
    <w:rsid w:val="5CC03369"/>
    <w:rsid w:val="5CE36840"/>
    <w:rsid w:val="5CEE390C"/>
    <w:rsid w:val="5CFB7023"/>
    <w:rsid w:val="5DC523D5"/>
    <w:rsid w:val="5DFD2108"/>
    <w:rsid w:val="5E187953"/>
    <w:rsid w:val="5E6A2EB8"/>
    <w:rsid w:val="5E776FDB"/>
    <w:rsid w:val="5E7F6CE6"/>
    <w:rsid w:val="5E862BFC"/>
    <w:rsid w:val="5EE37F64"/>
    <w:rsid w:val="5F375EFD"/>
    <w:rsid w:val="5F3A0C59"/>
    <w:rsid w:val="5FB213EA"/>
    <w:rsid w:val="604F4E8B"/>
    <w:rsid w:val="611D4641"/>
    <w:rsid w:val="61403016"/>
    <w:rsid w:val="618947EE"/>
    <w:rsid w:val="625E7607"/>
    <w:rsid w:val="628D6DAD"/>
    <w:rsid w:val="62B93E08"/>
    <w:rsid w:val="62BB3051"/>
    <w:rsid w:val="62C06FB6"/>
    <w:rsid w:val="63077C66"/>
    <w:rsid w:val="63512CC8"/>
    <w:rsid w:val="63B96DF4"/>
    <w:rsid w:val="63D53B69"/>
    <w:rsid w:val="63D87E33"/>
    <w:rsid w:val="63F94742"/>
    <w:rsid w:val="64123AF6"/>
    <w:rsid w:val="643A2E3D"/>
    <w:rsid w:val="643A5259"/>
    <w:rsid w:val="64661FEE"/>
    <w:rsid w:val="64744EC0"/>
    <w:rsid w:val="65337C38"/>
    <w:rsid w:val="6578001C"/>
    <w:rsid w:val="659540A0"/>
    <w:rsid w:val="668E13D7"/>
    <w:rsid w:val="670211FD"/>
    <w:rsid w:val="672A6B54"/>
    <w:rsid w:val="67307A92"/>
    <w:rsid w:val="67655B0E"/>
    <w:rsid w:val="67CB3E10"/>
    <w:rsid w:val="67FC60D1"/>
    <w:rsid w:val="68191F30"/>
    <w:rsid w:val="681E43F1"/>
    <w:rsid w:val="683D6A0E"/>
    <w:rsid w:val="689002B3"/>
    <w:rsid w:val="689045F9"/>
    <w:rsid w:val="698536CB"/>
    <w:rsid w:val="698931BC"/>
    <w:rsid w:val="69D4152E"/>
    <w:rsid w:val="69F85C4B"/>
    <w:rsid w:val="69FB573C"/>
    <w:rsid w:val="6A102F95"/>
    <w:rsid w:val="6A1A72C4"/>
    <w:rsid w:val="6A4D1322"/>
    <w:rsid w:val="6AA07A14"/>
    <w:rsid w:val="6AF3536C"/>
    <w:rsid w:val="6B7B35EA"/>
    <w:rsid w:val="6B841B20"/>
    <w:rsid w:val="6B8F0775"/>
    <w:rsid w:val="6BA551D4"/>
    <w:rsid w:val="6C603B6D"/>
    <w:rsid w:val="6D087FF3"/>
    <w:rsid w:val="6D194857"/>
    <w:rsid w:val="6D1B02B0"/>
    <w:rsid w:val="6D6F091A"/>
    <w:rsid w:val="6D894103"/>
    <w:rsid w:val="6DC252CE"/>
    <w:rsid w:val="6E274D51"/>
    <w:rsid w:val="6E611736"/>
    <w:rsid w:val="6E7D7C73"/>
    <w:rsid w:val="6ED22CEE"/>
    <w:rsid w:val="6F3C2A7E"/>
    <w:rsid w:val="6F5B47D6"/>
    <w:rsid w:val="6F7F4719"/>
    <w:rsid w:val="6F9262EB"/>
    <w:rsid w:val="70174907"/>
    <w:rsid w:val="710308A4"/>
    <w:rsid w:val="717619C3"/>
    <w:rsid w:val="71941EBC"/>
    <w:rsid w:val="71D55A81"/>
    <w:rsid w:val="71FC4E59"/>
    <w:rsid w:val="71FF5A16"/>
    <w:rsid w:val="722421AE"/>
    <w:rsid w:val="72B35C19"/>
    <w:rsid w:val="72D27981"/>
    <w:rsid w:val="73C94CAB"/>
    <w:rsid w:val="73CD1EF7"/>
    <w:rsid w:val="74273CFD"/>
    <w:rsid w:val="7460142D"/>
    <w:rsid w:val="74A04972"/>
    <w:rsid w:val="74F95533"/>
    <w:rsid w:val="75022554"/>
    <w:rsid w:val="75A1188D"/>
    <w:rsid w:val="75D92924"/>
    <w:rsid w:val="75F40D6E"/>
    <w:rsid w:val="760F4A49"/>
    <w:rsid w:val="76CA4E14"/>
    <w:rsid w:val="7750212E"/>
    <w:rsid w:val="77764653"/>
    <w:rsid w:val="778C12A1"/>
    <w:rsid w:val="77FA5AEC"/>
    <w:rsid w:val="785A08A6"/>
    <w:rsid w:val="789C633C"/>
    <w:rsid w:val="797A667D"/>
    <w:rsid w:val="799D6EBF"/>
    <w:rsid w:val="7A2D36EF"/>
    <w:rsid w:val="7AAA79C7"/>
    <w:rsid w:val="7AED3957"/>
    <w:rsid w:val="7BB35E76"/>
    <w:rsid w:val="7C841C63"/>
    <w:rsid w:val="7D131646"/>
    <w:rsid w:val="7D280A2A"/>
    <w:rsid w:val="7D3B4375"/>
    <w:rsid w:val="7D5D253D"/>
    <w:rsid w:val="7D7958E6"/>
    <w:rsid w:val="7DA210D7"/>
    <w:rsid w:val="7DCE51E9"/>
    <w:rsid w:val="7DD00F61"/>
    <w:rsid w:val="7E936BB7"/>
    <w:rsid w:val="7E9D6A13"/>
    <w:rsid w:val="7EC46650"/>
    <w:rsid w:val="7EDF6A32"/>
    <w:rsid w:val="7F552EC5"/>
    <w:rsid w:val="7F6F30A2"/>
    <w:rsid w:val="7FAD5C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33"/>
    <w:qFormat/>
    <w:uiPriority w:val="0"/>
    <w:pPr>
      <w:keepNext/>
      <w:keepLines/>
      <w:spacing w:before="340" w:after="330" w:line="578" w:lineRule="auto"/>
      <w:outlineLvl w:val="0"/>
    </w:pPr>
    <w:rPr>
      <w:rFonts w:ascii="Times New Roman" w:hAnsi="Times New Roman" w:eastAsia="宋体" w:cs="Times New Roman"/>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qFormat/>
    <w:uiPriority w:val="0"/>
    <w:pPr>
      <w:spacing w:before="240" w:after="240"/>
      <w:ind w:left="720" w:hanging="432"/>
      <w:outlineLvl w:val="2"/>
    </w:pPr>
    <w:rPr>
      <w:b/>
      <w:kern w:val="0"/>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ind w:left="2520" w:leftChars="1200"/>
      <w:jc w:val="left"/>
    </w:pPr>
    <w:rPr>
      <w:rFonts w:ascii="Times New Roman" w:hAnsi="Times New Roman" w:eastAsia="仿宋_GB2312" w:cs="Calibri"/>
      <w:sz w:val="24"/>
      <w:szCs w:val="24"/>
    </w:rPr>
  </w:style>
  <w:style w:type="paragraph" w:styleId="6">
    <w:name w:val="annotation text"/>
    <w:basedOn w:val="1"/>
    <w:link w:val="24"/>
    <w:qFormat/>
    <w:uiPriority w:val="0"/>
    <w:pPr>
      <w:widowControl/>
      <w:jc w:val="left"/>
    </w:pPr>
    <w:rPr>
      <w:rFonts w:ascii="Times New Roman" w:hAnsi="Times New Roman" w:eastAsia="宋体" w:cs="Times New Roman"/>
      <w:kern w:val="0"/>
      <w:sz w:val="24"/>
      <w:szCs w:val="24"/>
    </w:rPr>
  </w:style>
  <w:style w:type="paragraph" w:styleId="7">
    <w:name w:val="Body Text"/>
    <w:basedOn w:val="1"/>
    <w:next w:val="8"/>
    <w:qFormat/>
    <w:uiPriority w:val="1"/>
    <w:pPr>
      <w:spacing w:before="4"/>
      <w:ind w:left="118" w:firstLine="679"/>
    </w:pPr>
    <w:rPr>
      <w:sz w:val="34"/>
      <w:szCs w:val="34"/>
    </w:rPr>
  </w:style>
  <w:style w:type="paragraph" w:styleId="8">
    <w:name w:val="Body Text First Indent"/>
    <w:basedOn w:val="7"/>
    <w:qFormat/>
    <w:uiPriority w:val="0"/>
    <w:pPr>
      <w:spacing w:after="120"/>
      <w:ind w:firstLine="420" w:firstLineChars="100"/>
    </w:pPr>
    <w:rPr>
      <w:kern w:val="0"/>
      <w:sz w:val="20"/>
    </w:rPr>
  </w:style>
  <w:style w:type="paragraph" w:styleId="9">
    <w:name w:val="Body Text Indent"/>
    <w:basedOn w:val="1"/>
    <w:link w:val="26"/>
    <w:qFormat/>
    <w:uiPriority w:val="0"/>
    <w:pPr>
      <w:spacing w:beforeLines="80" w:afterLines="80" w:line="400" w:lineRule="exact"/>
      <w:ind w:left="230" w:leftChars="230" w:firstLine="480" w:firstLineChars="200"/>
    </w:pPr>
    <w:rPr>
      <w:rFonts w:ascii="Times New Roman" w:hAnsi="Times New Roman" w:eastAsia="宋体" w:cs="Times New Roman"/>
      <w:sz w:val="24"/>
      <w:szCs w:val="24"/>
    </w:rPr>
  </w:style>
  <w:style w:type="paragraph" w:styleId="10">
    <w:name w:val="Plain Text"/>
    <w:basedOn w:val="1"/>
    <w:link w:val="32"/>
    <w:qFormat/>
    <w:uiPriority w:val="0"/>
    <w:rPr>
      <w:rFonts w:ascii="宋体" w:hAnsi="Courier New" w:eastAsia="宋体" w:cs="Courier New"/>
      <w:szCs w:val="21"/>
    </w:rPr>
  </w:style>
  <w:style w:type="paragraph" w:styleId="11">
    <w:name w:val="Date"/>
    <w:basedOn w:val="1"/>
    <w:next w:val="1"/>
    <w:link w:val="29"/>
    <w:unhideWhenUsed/>
    <w:qFormat/>
    <w:uiPriority w:val="99"/>
    <w:pPr>
      <w:ind w:left="100" w:leftChars="2500"/>
    </w:pPr>
  </w:style>
  <w:style w:type="paragraph" w:styleId="12">
    <w:name w:val="Balloon Text"/>
    <w:basedOn w:val="1"/>
    <w:link w:val="25"/>
    <w:unhideWhenUsed/>
    <w:qFormat/>
    <w:uiPriority w:val="99"/>
    <w:rPr>
      <w:sz w:val="18"/>
      <w:szCs w:val="18"/>
    </w:rPr>
  </w:style>
  <w:style w:type="paragraph" w:styleId="13">
    <w:name w:val="footer"/>
    <w:basedOn w:val="1"/>
    <w:link w:val="22"/>
    <w:unhideWhenUsed/>
    <w:qFormat/>
    <w:uiPriority w:val="99"/>
    <w:pPr>
      <w:tabs>
        <w:tab w:val="center" w:pos="4153"/>
        <w:tab w:val="right" w:pos="8306"/>
      </w:tabs>
      <w:snapToGrid w:val="0"/>
      <w:jc w:val="left"/>
    </w:pPr>
    <w:rPr>
      <w:sz w:val="18"/>
      <w:szCs w:val="18"/>
    </w:rPr>
  </w:style>
  <w:style w:type="paragraph" w:styleId="14">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annotation subject"/>
    <w:basedOn w:val="6"/>
    <w:next w:val="6"/>
    <w:link w:val="35"/>
    <w:semiHidden/>
    <w:unhideWhenUsed/>
    <w:qFormat/>
    <w:uiPriority w:val="99"/>
    <w:pPr>
      <w:widowControl w:val="0"/>
    </w:pPr>
    <w:rPr>
      <w:rFonts w:asciiTheme="minorHAnsi" w:hAnsiTheme="minorHAnsi" w:eastAsiaTheme="minorEastAsia" w:cstheme="minorBidi"/>
      <w:b/>
      <w:bCs/>
      <w:kern w:val="2"/>
      <w:sz w:val="21"/>
      <w:szCs w:val="22"/>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annotation reference"/>
    <w:basedOn w:val="18"/>
    <w:qFormat/>
    <w:uiPriority w:val="0"/>
    <w:rPr>
      <w:sz w:val="21"/>
      <w:szCs w:val="21"/>
    </w:rPr>
  </w:style>
  <w:style w:type="paragraph" w:customStyle="1" w:styleId="20">
    <w:name w:val="正文首行缩进 21"/>
    <w:basedOn w:val="9"/>
    <w:qFormat/>
    <w:uiPriority w:val="0"/>
    <w:pPr>
      <w:spacing w:before="100" w:beforeAutospacing="1"/>
      <w:ind w:firstLine="420"/>
    </w:pPr>
  </w:style>
  <w:style w:type="character" w:customStyle="1" w:styleId="21">
    <w:name w:val="页眉 Char"/>
    <w:basedOn w:val="18"/>
    <w:link w:val="14"/>
    <w:semiHidden/>
    <w:qFormat/>
    <w:uiPriority w:val="99"/>
    <w:rPr>
      <w:sz w:val="18"/>
      <w:szCs w:val="18"/>
    </w:rPr>
  </w:style>
  <w:style w:type="character" w:customStyle="1" w:styleId="22">
    <w:name w:val="页脚 Char"/>
    <w:basedOn w:val="18"/>
    <w:link w:val="13"/>
    <w:qFormat/>
    <w:uiPriority w:val="99"/>
    <w:rPr>
      <w:sz w:val="18"/>
      <w:szCs w:val="18"/>
    </w:rPr>
  </w:style>
  <w:style w:type="paragraph" w:customStyle="1" w:styleId="23">
    <w:name w:val="Char1 Char Char Char"/>
    <w:basedOn w:val="1"/>
    <w:qFormat/>
    <w:uiPriority w:val="0"/>
    <w:pPr>
      <w:spacing w:line="360" w:lineRule="auto"/>
      <w:ind w:left="230" w:leftChars="230"/>
    </w:pPr>
    <w:rPr>
      <w:rFonts w:ascii="Arial" w:hAnsi="Arial" w:eastAsia="宋体" w:cs="Arial"/>
      <w:sz w:val="20"/>
      <w:szCs w:val="20"/>
    </w:rPr>
  </w:style>
  <w:style w:type="character" w:customStyle="1" w:styleId="24">
    <w:name w:val="批注文字 Char"/>
    <w:basedOn w:val="18"/>
    <w:link w:val="6"/>
    <w:qFormat/>
    <w:uiPriority w:val="0"/>
    <w:rPr>
      <w:rFonts w:ascii="Times New Roman" w:hAnsi="Times New Roman" w:eastAsia="宋体" w:cs="Times New Roman"/>
      <w:kern w:val="0"/>
      <w:sz w:val="24"/>
      <w:szCs w:val="24"/>
    </w:rPr>
  </w:style>
  <w:style w:type="character" w:customStyle="1" w:styleId="25">
    <w:name w:val="批注框文本 Char"/>
    <w:basedOn w:val="18"/>
    <w:link w:val="12"/>
    <w:semiHidden/>
    <w:qFormat/>
    <w:uiPriority w:val="99"/>
    <w:rPr>
      <w:sz w:val="18"/>
      <w:szCs w:val="18"/>
    </w:rPr>
  </w:style>
  <w:style w:type="character" w:customStyle="1" w:styleId="26">
    <w:name w:val="正文文本缩进 Char"/>
    <w:basedOn w:val="18"/>
    <w:link w:val="9"/>
    <w:qFormat/>
    <w:uiPriority w:val="0"/>
    <w:rPr>
      <w:rFonts w:ascii="Times New Roman" w:hAnsi="Times New Roman" w:eastAsia="宋体" w:cs="Times New Roman"/>
      <w:sz w:val="24"/>
      <w:szCs w:val="24"/>
    </w:rPr>
  </w:style>
  <w:style w:type="paragraph" w:customStyle="1" w:styleId="27">
    <w:name w:val="列出段落1"/>
    <w:basedOn w:val="1"/>
    <w:qFormat/>
    <w:uiPriority w:val="34"/>
    <w:pPr>
      <w:spacing w:line="360" w:lineRule="auto"/>
      <w:ind w:left="230" w:leftChars="230" w:firstLine="420" w:firstLineChars="200"/>
    </w:pPr>
    <w:rPr>
      <w:rFonts w:ascii="Times New Roman" w:hAnsi="Times New Roman" w:eastAsia="宋体" w:cs="Times New Roman"/>
      <w:szCs w:val="24"/>
    </w:rPr>
  </w:style>
  <w:style w:type="paragraph" w:customStyle="1" w:styleId="28">
    <w:name w:val="Char1 Char Char Char3"/>
    <w:basedOn w:val="1"/>
    <w:qFormat/>
    <w:uiPriority w:val="0"/>
    <w:rPr>
      <w:rFonts w:ascii="Arial" w:hAnsi="Arial" w:eastAsia="宋体" w:cs="Arial"/>
      <w:sz w:val="20"/>
      <w:szCs w:val="20"/>
    </w:rPr>
  </w:style>
  <w:style w:type="character" w:customStyle="1" w:styleId="29">
    <w:name w:val="日期 Char"/>
    <w:basedOn w:val="18"/>
    <w:link w:val="11"/>
    <w:semiHidden/>
    <w:qFormat/>
    <w:uiPriority w:val="99"/>
  </w:style>
  <w:style w:type="paragraph" w:customStyle="1" w:styleId="30">
    <w:name w:val="Char"/>
    <w:basedOn w:val="1"/>
    <w:qFormat/>
    <w:uiPriority w:val="0"/>
    <w:rPr>
      <w:rFonts w:ascii="Times New Roman" w:hAnsi="Times New Roman" w:eastAsia="宋体" w:cs="Times New Roman"/>
      <w:szCs w:val="24"/>
    </w:rPr>
  </w:style>
  <w:style w:type="character" w:customStyle="1" w:styleId="31">
    <w:name w:val="标题 2 Char"/>
    <w:basedOn w:val="18"/>
    <w:link w:val="4"/>
    <w:qFormat/>
    <w:uiPriority w:val="9"/>
    <w:rPr>
      <w:rFonts w:asciiTheme="majorHAnsi" w:hAnsiTheme="majorHAnsi" w:eastAsiaTheme="majorEastAsia" w:cstheme="majorBidi"/>
      <w:b/>
      <w:bCs/>
      <w:sz w:val="32"/>
      <w:szCs w:val="32"/>
    </w:rPr>
  </w:style>
  <w:style w:type="character" w:customStyle="1" w:styleId="32">
    <w:name w:val="纯文本 Char"/>
    <w:basedOn w:val="18"/>
    <w:link w:val="10"/>
    <w:qFormat/>
    <w:uiPriority w:val="0"/>
    <w:rPr>
      <w:rFonts w:ascii="宋体" w:hAnsi="Courier New" w:cs="Courier New"/>
      <w:kern w:val="2"/>
      <w:sz w:val="21"/>
      <w:szCs w:val="21"/>
    </w:rPr>
  </w:style>
  <w:style w:type="character" w:customStyle="1" w:styleId="33">
    <w:name w:val="标题 1 Char"/>
    <w:basedOn w:val="18"/>
    <w:link w:val="2"/>
    <w:qFormat/>
    <w:uiPriority w:val="0"/>
    <w:rPr>
      <w:rFonts w:ascii="Times New Roman" w:hAnsi="Times New Roman"/>
      <w:b/>
      <w:bCs/>
      <w:kern w:val="44"/>
      <w:sz w:val="44"/>
      <w:szCs w:val="44"/>
    </w:rPr>
  </w:style>
  <w:style w:type="paragraph" w:customStyle="1" w:styleId="3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5">
    <w:name w:val="批注主题 Char"/>
    <w:basedOn w:val="24"/>
    <w:link w:val="15"/>
    <w:semiHidden/>
    <w:qFormat/>
    <w:uiPriority w:val="99"/>
    <w:rPr>
      <w:rFonts w:asciiTheme="minorHAnsi" w:hAnsiTheme="minorHAnsi" w:eastAsiaTheme="minorEastAsia" w:cstheme="minorBidi"/>
      <w:b/>
      <w:bCs/>
      <w:kern w:val="2"/>
      <w:sz w:val="21"/>
      <w:szCs w:val="22"/>
    </w:rPr>
  </w:style>
  <w:style w:type="paragraph" w:customStyle="1" w:styleId="36">
    <w:name w:val="正文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章节正文"/>
    <w:basedOn w:val="1"/>
    <w:autoRedefine/>
    <w:qFormat/>
    <w:uiPriority w:val="0"/>
    <w:pPr>
      <w:spacing w:line="360" w:lineRule="auto"/>
      <w:ind w:firstLine="200" w:firstLineChars="200"/>
    </w:pPr>
    <w:rPr>
      <w:rFonts w:ascii="仿宋" w:hAnsi="仿宋" w:eastAsia="仿宋" w:cs="Times New Roman"/>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8DE000-356C-44BE-9B5D-B27793ED1AB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13109</Words>
  <Characters>14659</Characters>
  <Lines>104</Lines>
  <Paragraphs>29</Paragraphs>
  <TotalTime>0</TotalTime>
  <ScaleCrop>false</ScaleCrop>
  <LinksUpToDate>false</LinksUpToDate>
  <CharactersWithSpaces>15234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2022-10-08T03:27:00Z</dcterms:created>
  <dc:creator>lenovo</dc:creator>
  <cp:lastModifiedBy>高于堡</cp:lastModifiedBy>
  <cp:lastPrinted>2023-03-31T12:11:00Z</cp:lastPrinted>
  <dcterms:modified xsi:type="dcterms:W3CDTF">2024-09-23T09:29:08Z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C3CE39578A00465DB7C05C1A3CC836A2_13</vt:lpwstr>
  </property>
</Properties>
</file>