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_GB2312" w:eastAsia="方正小标宋简体" w:cs="仿宋_GB2312"/>
          <w:b w:val="0"/>
          <w:bCs w:val="0"/>
          <w:sz w:val="44"/>
          <w:szCs w:val="44"/>
          <w:highlight w:val="none"/>
        </w:rPr>
      </w:pP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b/>
          <w:bCs/>
          <w:color w:val="000000" w:themeColor="text1"/>
          <w:kern w:val="0"/>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 w:val="0"/>
          <w:bCs w:val="0"/>
          <w:snapToGrid w:val="0"/>
          <w:color w:val="000000" w:themeColor="text1"/>
          <w:sz w:val="44"/>
          <w:szCs w:val="44"/>
          <w:highlight w:val="none"/>
          <w:lang w:eastAsia="zh-CN"/>
          <w14:textFill>
            <w14:solidFill>
              <w14:schemeClr w14:val="tx1"/>
            </w14:solidFill>
          </w14:textFill>
        </w:rPr>
        <w:t>大浪街道城市管家项目</w:t>
      </w:r>
      <w:r>
        <w:rPr>
          <w:rFonts w:hint="eastAsia" w:ascii="方正小标宋简体" w:hAnsi="仿宋_GB2312" w:eastAsia="方正小标宋简体" w:cs="仿宋_GB2312"/>
          <w:b w:val="0"/>
          <w:bCs w:val="0"/>
          <w:sz w:val="44"/>
          <w:szCs w:val="44"/>
          <w:highlight w:val="none"/>
        </w:rPr>
        <w:t>维修管养材料</w:t>
      </w:r>
    </w:p>
    <w:p>
      <w:pPr>
        <w:jc w:val="center"/>
        <w:rPr>
          <w:rFonts w:ascii="方正小标宋简体" w:hAnsi="仿宋_GB2312" w:eastAsia="方正小标宋简体" w:cs="仿宋_GB2312"/>
          <w:b w:val="0"/>
          <w:bCs w:val="0"/>
          <w:sz w:val="44"/>
          <w:szCs w:val="44"/>
          <w:highlight w:val="none"/>
        </w:rPr>
      </w:pPr>
      <w:r>
        <w:rPr>
          <w:rFonts w:hint="eastAsia" w:ascii="方正小标宋简体" w:hAnsi="仿宋_GB2312" w:eastAsia="方正小标宋简体" w:cs="仿宋_GB2312"/>
          <w:b w:val="0"/>
          <w:bCs w:val="0"/>
          <w:sz w:val="44"/>
          <w:szCs w:val="44"/>
          <w:highlight w:val="none"/>
        </w:rPr>
        <w:t>供应商遴选招标文件</w:t>
      </w:r>
    </w:p>
    <w:tbl>
      <w:tblPr>
        <w:tblStyle w:val="12"/>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0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95" w:type="dxa"/>
            <w:tcBorders>
              <w:tl2br w:val="nil"/>
              <w:tr2bl w:val="nil"/>
            </w:tcBorders>
            <w:vAlign w:val="center"/>
          </w:tcPr>
          <w:p>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序号</w:t>
            </w:r>
          </w:p>
        </w:tc>
        <w:tc>
          <w:tcPr>
            <w:tcW w:w="1500" w:type="dxa"/>
            <w:tcBorders>
              <w:tl2br w:val="nil"/>
              <w:tr2bl w:val="nil"/>
            </w:tcBorders>
            <w:vAlign w:val="center"/>
          </w:tcPr>
          <w:p>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项目</w:t>
            </w:r>
          </w:p>
        </w:tc>
        <w:tc>
          <w:tcPr>
            <w:tcW w:w="7200" w:type="dxa"/>
            <w:tcBorders>
              <w:tl2br w:val="nil"/>
              <w:tr2bl w:val="nil"/>
            </w:tcBorders>
            <w:vAlign w:val="center"/>
          </w:tcPr>
          <w:p>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内容摘要说明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项目名称</w:t>
            </w:r>
          </w:p>
        </w:tc>
        <w:tc>
          <w:tcPr>
            <w:tcW w:w="7200" w:type="dxa"/>
            <w:tcBorders>
              <w:tl2br w:val="nil"/>
              <w:tr2bl w:val="nil"/>
            </w:tcBorders>
            <w:vAlign w:val="center"/>
          </w:tcPr>
          <w:p>
            <w:pPr>
              <w:spacing w:line="4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highlight w:val="none"/>
                <w:lang w:eastAsia="zh-CN"/>
                <w14:textFill>
                  <w14:solidFill>
                    <w14:schemeClr w14:val="tx1"/>
                  </w14:solidFill>
                </w14:textFill>
              </w:rPr>
              <w:t>大浪街道城市管家</w:t>
            </w:r>
            <w:r>
              <w:rPr>
                <w:rFonts w:hint="eastAsia" w:ascii="仿宋_GB2312" w:hAnsi="仿宋_GB2312" w:eastAsia="仿宋_GB2312" w:cs="仿宋_GB2312"/>
                <w:snapToGrid w:val="0"/>
                <w:color w:val="000000" w:themeColor="text1"/>
                <w:sz w:val="24"/>
                <w:highlight w:val="none"/>
                <w:lang w:val="en-US" w:eastAsia="zh-CN"/>
                <w14:textFill>
                  <w14:solidFill>
                    <w14:schemeClr w14:val="tx1"/>
                  </w14:solidFill>
                </w14:textFill>
              </w:rPr>
              <w:t>项目</w:t>
            </w:r>
            <w:r>
              <w:rPr>
                <w:rFonts w:hint="eastAsia" w:ascii="仿宋_GB2312" w:hAnsi="仿宋_GB2312" w:eastAsia="仿宋_GB2312" w:cs="仿宋_GB2312"/>
                <w:snapToGrid w:val="0"/>
                <w:color w:val="000000" w:themeColor="text1"/>
                <w:sz w:val="24"/>
                <w:highlight w:val="none"/>
                <w14:textFill>
                  <w14:solidFill>
                    <w14:schemeClr w14:val="tx1"/>
                  </w14:solidFill>
                </w14:textFill>
              </w:rPr>
              <w:t>维修管养材料供应商</w:t>
            </w:r>
            <w:r>
              <w:rPr>
                <w:rFonts w:hint="eastAsia" w:ascii="仿宋_GB2312" w:hAnsi="仿宋_GB2312" w:eastAsia="仿宋_GB2312" w:cs="仿宋_GB2312"/>
                <w:snapToGrid w:val="0"/>
                <w:color w:val="000000" w:themeColor="text1"/>
                <w:sz w:val="24"/>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2</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项目概况</w:t>
            </w:r>
          </w:p>
        </w:tc>
        <w:tc>
          <w:tcPr>
            <w:tcW w:w="7200" w:type="dxa"/>
            <w:tcBorders>
              <w:tl2br w:val="nil"/>
              <w:tr2bl w:val="nil"/>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 w:val="left" w:pos="8820"/>
                <w:tab w:val="left" w:pos="9240"/>
              </w:tabs>
              <w:spacing w:line="400" w:lineRule="exact"/>
              <w:ind w:firstLine="480" w:firstLineChars="200"/>
              <w:rPr>
                <w:rFonts w:ascii="仿宋_GB2312" w:hAnsi="仿宋_GB2312" w:eastAsia="仿宋_GB2312" w:cs="仿宋_GB2312"/>
                <w:snapToGrid w:val="0"/>
                <w:color w:val="000000" w:themeColor="text1"/>
                <w:sz w:val="24"/>
                <w:highlight w:val="none"/>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深圳市龙华环境有限公司（以下简称环境公司）主要经营城市道路清扫、保洁、垃圾收集分类、运输、处理及固体废物的治理；绿地养护、污水处理、环境监测及治理等环卫业务。根据</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公司相关业务</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要求，环境公司拟</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确定两家大浪街道城市管家项目</w:t>
            </w:r>
            <w:r>
              <w:rPr>
                <w:rFonts w:hint="eastAsia" w:ascii="仿宋_GB2312" w:hAnsi="仿宋_GB2312" w:eastAsia="仿宋_GB2312" w:cs="仿宋_GB2312"/>
                <w:snapToGrid w:val="0"/>
                <w:color w:val="000000" w:themeColor="text1"/>
                <w:sz w:val="24"/>
                <w:highlight w:val="none"/>
                <w14:textFill>
                  <w14:solidFill>
                    <w14:schemeClr w14:val="tx1"/>
                  </w14:solidFill>
                </w14:textFill>
              </w:rPr>
              <w:t>维修管养材料供应商</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3</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招标内容</w:t>
            </w:r>
          </w:p>
        </w:tc>
        <w:tc>
          <w:tcPr>
            <w:tcW w:w="7200" w:type="dxa"/>
            <w:tcBorders>
              <w:tl2br w:val="nil"/>
              <w:tr2bl w:val="nil"/>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 w:val="left" w:pos="8820"/>
                <w:tab w:val="left" w:pos="9240"/>
              </w:tabs>
              <w:spacing w:line="400" w:lineRule="exact"/>
              <w:ind w:firstLine="480" w:firstLineChars="200"/>
              <w:rPr>
                <w:rFonts w:hint="eastAsia" w:ascii="仿宋_GB2312" w:hAnsi="仿宋_GB2312" w:eastAsia="仿宋_GB2312" w:cs="仿宋_GB2312"/>
                <w:bCs/>
                <w:snapToGrid w:val="0"/>
                <w:sz w:val="24"/>
                <w:highlight w:val="none"/>
              </w:rPr>
            </w:pPr>
            <w:r>
              <w:rPr>
                <w:rFonts w:hint="eastAsia" w:ascii="仿宋_GB2312" w:hAnsi="仿宋_GB2312" w:eastAsia="仿宋_GB2312" w:cs="仿宋_GB2312"/>
                <w:bCs/>
                <w:snapToGrid w:val="0"/>
                <w:sz w:val="24"/>
                <w:highlight w:val="none"/>
              </w:rPr>
              <w:t>拟确定</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两</w:t>
            </w:r>
            <w:r>
              <w:rPr>
                <w:rFonts w:hint="eastAsia" w:ascii="仿宋_GB2312" w:hAnsi="仿宋_GB2312" w:eastAsia="仿宋_GB2312" w:cs="仿宋_GB2312"/>
                <w:bCs/>
                <w:snapToGrid w:val="0"/>
                <w:sz w:val="24"/>
                <w:highlight w:val="none"/>
              </w:rPr>
              <w:t>家满足条件的供应商，提供维修管养材料；招标完成后，与中标单位签订采购合同，中标人按合同要求履约。</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pP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自合同签订之日起一年。第一年为本次招标的中标服务期限，采购单位可根据项目需要和中标供应商的履约情况确定合同期限是否延长。合同一年一签，一年合同期满后，</w:t>
            </w:r>
            <w:r>
              <w:rPr>
                <w:rFonts w:hint="eastAsia" w:ascii="仿宋_GB2312" w:hAnsi="仿宋_GB2312" w:eastAsia="仿宋_GB2312" w:cs="仿宋_GB2312"/>
                <w:b w:val="0"/>
                <w:bCs/>
                <w:snapToGrid w:val="0"/>
                <w:color w:val="000000" w:themeColor="text1"/>
                <w:kern w:val="2"/>
                <w:sz w:val="24"/>
                <w:szCs w:val="24"/>
                <w:lang w:val="en-US" w:eastAsia="zh-CN"/>
                <w14:textFill>
                  <w14:solidFill>
                    <w14:schemeClr w14:val="tx1"/>
                  </w14:solidFill>
                </w14:textFill>
              </w:rPr>
              <w:t>经履约考核评价为优秀的，可以续约，</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但最长不超过三年。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4</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计价方式</w:t>
            </w:r>
          </w:p>
        </w:tc>
        <w:tc>
          <w:tcPr>
            <w:tcW w:w="7200" w:type="dxa"/>
            <w:tcBorders>
              <w:tl2br w:val="nil"/>
              <w:tr2bl w:val="nil"/>
            </w:tcBorders>
            <w:vAlign w:val="center"/>
          </w:tcPr>
          <w:p>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z w:val="24"/>
                <w:highlight w:val="none"/>
              </w:rPr>
              <w:t>据实结算，但支付总价不高于合同价。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5</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招标控制价</w:t>
            </w:r>
          </w:p>
        </w:tc>
        <w:tc>
          <w:tcPr>
            <w:tcW w:w="7200" w:type="dxa"/>
            <w:tcBorders>
              <w:tl2br w:val="nil"/>
              <w:tr2bl w:val="nil"/>
            </w:tcBorders>
            <w:vAlign w:val="center"/>
          </w:tcPr>
          <w:p>
            <w:pPr>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招标控制价为</w:t>
            </w:r>
            <w:r>
              <w:rPr>
                <w:rFonts w:hint="eastAsia" w:ascii="仿宋_GB2312" w:hAnsi="仿宋_GB2312" w:eastAsia="仿宋_GB2312" w:cs="仿宋_GB2312"/>
                <w:sz w:val="24"/>
                <w:highlight w:val="none"/>
                <w:lang w:val="en-US" w:eastAsia="zh-CN"/>
              </w:rPr>
              <w:t>84万</w:t>
            </w:r>
            <w:r>
              <w:rPr>
                <w:rFonts w:hint="eastAsia" w:ascii="仿宋_GB2312" w:hAnsi="仿宋_GB2312" w:eastAsia="仿宋_GB2312" w:cs="仿宋_GB2312"/>
                <w:sz w:val="24"/>
                <w:highlight w:val="none"/>
              </w:rPr>
              <w:t>元</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24"/>
                <w:highlight w:val="none"/>
                <w14:textFill>
                  <w14:solidFill>
                    <w14:schemeClr w14:val="tx1"/>
                  </w14:solidFill>
                </w14:textFill>
              </w:rPr>
              <w:t>。</w:t>
            </w:r>
          </w:p>
          <w:p>
            <w:pPr>
              <w:spacing w:line="400" w:lineRule="exact"/>
              <w:rPr>
                <w:rFonts w:ascii="仿宋_GB2312" w:hAnsi="仿宋_GB2312" w:eastAsia="仿宋_GB2312" w:cs="仿宋_GB2312"/>
                <w:sz w:val="24"/>
                <w:highlight w:val="none"/>
              </w:rPr>
            </w:pPr>
            <w:r>
              <w:rPr>
                <w:rFonts w:hint="eastAsia" w:ascii="仿宋_GB2312" w:hAnsi="仿宋_GB2312" w:eastAsia="仿宋_GB2312" w:cs="仿宋_GB2312"/>
                <w:b w:val="0"/>
                <w:bCs/>
                <w:snapToGrid w:val="0"/>
                <w:color w:val="auto"/>
                <w:kern w:val="2"/>
                <w:sz w:val="24"/>
                <w:szCs w:val="24"/>
                <w:lang w:val="en-US" w:eastAsia="zh-CN"/>
              </w:rPr>
              <w:t>标段一招标控制价</w:t>
            </w:r>
            <w:r>
              <w:rPr>
                <w:rFonts w:hint="eastAsia" w:ascii="仿宋_GB2312" w:hAnsi="仿宋_GB2312" w:eastAsia="仿宋_GB2312" w:cs="仿宋_GB2312"/>
                <w:b w:val="0"/>
                <w:bCs/>
                <w:snapToGrid w:val="0"/>
                <w:color w:val="000000" w:themeColor="text1"/>
                <w:kern w:val="2"/>
                <w:sz w:val="24"/>
                <w:szCs w:val="24"/>
                <w:lang w:val="en-US" w:eastAsia="zh-CN"/>
                <w14:textFill>
                  <w14:solidFill>
                    <w14:schemeClr w14:val="tx1"/>
                  </w14:solidFill>
                </w14:textFill>
              </w:rPr>
              <w:t>暂为42万元、标段二招标控制价暂为42万元，取综合评分前两名为中标供应商。</w:t>
            </w:r>
            <w:r>
              <w:rPr>
                <w:rFonts w:hint="eastAsia" w:ascii="仿宋_GB2312" w:hAnsi="仿宋_GB2312" w:eastAsia="仿宋_GB2312" w:cs="仿宋_GB2312"/>
                <w:sz w:val="24"/>
                <w:highlight w:val="none"/>
              </w:rPr>
              <w:t>总价超出投标控制价将导致投标无效。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6</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招标方式</w:t>
            </w:r>
          </w:p>
        </w:tc>
        <w:tc>
          <w:tcPr>
            <w:tcW w:w="7200" w:type="dxa"/>
            <w:tcBorders>
              <w:tl2br w:val="nil"/>
              <w:tr2bl w:val="nil"/>
            </w:tcBorders>
            <w:vAlign w:val="center"/>
          </w:tcPr>
          <w:p>
            <w:pPr>
              <w:pStyle w:val="10"/>
              <w:widowControl/>
              <w:spacing w:line="400" w:lineRule="exact"/>
              <w:rPr>
                <w:rFonts w:ascii="仿宋_GB2312" w:hAnsi="仿宋_GB2312" w:eastAsia="仿宋_GB2312" w:cs="仿宋_GB2312"/>
                <w:snapToGrid w:val="0"/>
                <w:kern w:val="2"/>
                <w:szCs w:val="24"/>
                <w:highlight w:val="none"/>
              </w:rPr>
            </w:pPr>
            <w:r>
              <w:rPr>
                <w:rFonts w:hint="eastAsia" w:ascii="仿宋_GB2312" w:hAnsi="仿宋_GB2312" w:eastAsia="仿宋_GB2312" w:cs="仿宋_GB2312"/>
                <w:snapToGrid w:val="0"/>
                <w:kern w:val="2"/>
                <w:szCs w:val="24"/>
                <w:highlight w:val="none"/>
              </w:rPr>
              <w:t>公开招标</w:t>
            </w:r>
            <w:r>
              <w:rPr>
                <w:rFonts w:hint="eastAsia" w:ascii="仿宋_GB2312" w:hAnsi="仿宋_GB2312" w:eastAsia="仿宋_GB2312" w:cs="仿宋_GB2312"/>
                <w:kern w:val="2"/>
                <w:szCs w:val="24"/>
                <w:highlight w:val="none"/>
              </w:rPr>
              <w:t>（深圳市龙华建设发展集团有限公司</w:t>
            </w:r>
            <w:r>
              <w:rPr>
                <w:rFonts w:hint="eastAsia" w:ascii="仿宋_GB2312" w:hAnsi="仿宋_GB2312" w:eastAsia="仿宋_GB2312" w:cs="仿宋_GB2312"/>
                <w:kern w:val="2"/>
                <w:szCs w:val="24"/>
                <w:highlight w:val="none"/>
                <w:lang w:val="en-US" w:eastAsia="zh-CN"/>
              </w:rPr>
              <w:t>官网挂招标公告，有深圳市龙华环境有限公司招标小组公开遴选完成</w:t>
            </w:r>
            <w:r>
              <w:rPr>
                <w:rFonts w:hint="eastAsia" w:ascii="仿宋_GB2312" w:hAnsi="仿宋_GB2312" w:eastAsia="仿宋_GB2312" w:cs="仿宋_GB2312"/>
                <w:kern w:val="2"/>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7</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资格审查方式</w:t>
            </w:r>
          </w:p>
        </w:tc>
        <w:tc>
          <w:tcPr>
            <w:tcW w:w="7200" w:type="dxa"/>
            <w:tcBorders>
              <w:tl2br w:val="nil"/>
              <w:tr2bl w:val="nil"/>
            </w:tcBorders>
            <w:vAlign w:val="center"/>
          </w:tcPr>
          <w:p>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sym w:font="Wingdings 2" w:char="00A3"/>
            </w:r>
            <w:r>
              <w:rPr>
                <w:rFonts w:hint="eastAsia" w:ascii="仿宋_GB2312" w:hAnsi="仿宋_GB2312" w:eastAsia="仿宋_GB2312" w:cs="仿宋_GB2312"/>
                <w:snapToGrid w:val="0"/>
                <w:sz w:val="24"/>
                <w:highlight w:val="none"/>
              </w:rPr>
              <w:t xml:space="preserve">投标报名    </w:t>
            </w:r>
            <w:r>
              <w:rPr>
                <w:rFonts w:hint="eastAsia" w:ascii="仿宋_GB2312" w:hAnsi="仿宋_GB2312" w:eastAsia="仿宋_GB2312" w:cs="仿宋_GB2312"/>
                <w:snapToGrid w:val="0"/>
                <w:sz w:val="24"/>
                <w:highlight w:val="none"/>
              </w:rPr>
              <w:sym w:font="Wingdings 2" w:char="00A3"/>
            </w:r>
            <w:r>
              <w:rPr>
                <w:rFonts w:hint="eastAsia" w:ascii="仿宋_GB2312" w:hAnsi="仿宋_GB2312" w:eastAsia="仿宋_GB2312" w:cs="仿宋_GB2312"/>
                <w:snapToGrid w:val="0"/>
                <w:sz w:val="24"/>
                <w:highlight w:val="none"/>
              </w:rPr>
              <w:t xml:space="preserve">资格预审     </w:t>
            </w:r>
            <w:r>
              <w:rPr>
                <w:rFonts w:hint="eastAsia" w:ascii="仿宋_GB2312" w:hAnsi="仿宋_GB2312" w:eastAsia="仿宋_GB2312" w:cs="仿宋_GB2312"/>
                <w:snapToGrid w:val="0"/>
                <w:sz w:val="24"/>
                <w:highlight w:val="none"/>
              </w:rPr>
              <w:sym w:font="Wingdings 2" w:char="0052"/>
            </w:r>
            <w:r>
              <w:rPr>
                <w:rFonts w:hint="eastAsia" w:ascii="仿宋_GB2312" w:hAnsi="仿宋_GB2312" w:eastAsia="仿宋_GB2312" w:cs="仿宋_GB2312"/>
                <w:snapToGrid w:val="0"/>
                <w:sz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8</w:t>
            </w:r>
          </w:p>
        </w:tc>
        <w:tc>
          <w:tcPr>
            <w:tcW w:w="1500" w:type="dxa"/>
            <w:tcBorders>
              <w:tl2br w:val="nil"/>
              <w:tr2bl w:val="nil"/>
            </w:tcBorders>
            <w:vAlign w:val="center"/>
          </w:tcPr>
          <w:p>
            <w:pPr>
              <w:spacing w:line="400" w:lineRule="exact"/>
              <w:jc w:val="center"/>
              <w:rPr>
                <w:rFonts w:hint="eastAsia" w:ascii="仿宋_GB2312" w:hAnsi="仿宋_GB2312" w:eastAsia="仿宋_GB2312" w:cs="仿宋_GB2312"/>
                <w:bCs/>
                <w:snapToGrid w:val="0"/>
                <w:kern w:val="2"/>
                <w:sz w:val="24"/>
                <w:szCs w:val="24"/>
                <w:highlight w:val="none"/>
                <w:lang w:val="en-US" w:eastAsia="zh-CN" w:bidi="ar-SA"/>
              </w:rPr>
            </w:pPr>
            <w:r>
              <w:rPr>
                <w:rFonts w:hint="eastAsia" w:ascii="仿宋_GB2312" w:hAnsi="仿宋_GB2312" w:eastAsia="仿宋_GB2312" w:cs="仿宋_GB2312"/>
                <w:bCs/>
                <w:snapToGrid w:val="0"/>
                <w:kern w:val="2"/>
                <w:sz w:val="24"/>
                <w:szCs w:val="24"/>
                <w:highlight w:val="none"/>
                <w:lang w:val="en-US" w:eastAsia="zh-CN" w:bidi="ar-SA"/>
              </w:rPr>
              <w:t>投标人资格要求</w:t>
            </w:r>
          </w:p>
        </w:tc>
        <w:tc>
          <w:tcPr>
            <w:tcW w:w="7200" w:type="dxa"/>
            <w:tcBorders>
              <w:tl2br w:val="nil"/>
              <w:tr2bl w:val="nil"/>
            </w:tcBorders>
            <w:vAlign w:val="center"/>
          </w:tcPr>
          <w:p>
            <w:pPr>
              <w:pStyle w:val="6"/>
              <w:rPr>
                <w:rFonts w:hint="eastAsia" w:ascii="仿宋_GB2312" w:hAnsi="仿宋_GB2312" w:eastAsia="仿宋_GB2312" w:cs="仿宋_GB2312"/>
                <w:bCs/>
                <w:snapToGrid w:val="0"/>
                <w:kern w:val="2"/>
                <w:sz w:val="24"/>
                <w:szCs w:val="24"/>
                <w:highlight w:val="none"/>
                <w:lang w:val="en-US" w:eastAsia="zh-CN" w:bidi="ar-SA"/>
              </w:rPr>
            </w:pPr>
            <w:r>
              <w:rPr>
                <w:rFonts w:hint="eastAsia" w:ascii="仿宋_GB2312" w:hAnsi="仿宋_GB2312" w:eastAsia="仿宋_GB2312" w:cs="仿宋_GB2312"/>
                <w:bCs/>
                <w:snapToGrid w:val="0"/>
                <w:kern w:val="2"/>
                <w:sz w:val="24"/>
                <w:szCs w:val="24"/>
                <w:highlight w:val="none"/>
                <w:lang w:val="en-US" w:eastAsia="zh-CN" w:bidi="ar-SA"/>
              </w:rPr>
              <w:t>1、投标人必须是中华人民共和国境内注册的法人或从事工商经营活动的自然人，需提供《营业执照》复印件。</w:t>
            </w:r>
          </w:p>
          <w:p>
            <w:pPr>
              <w:numPr>
                <w:numId w:val="0"/>
              </w:numPr>
              <w:spacing w:line="400" w:lineRule="exact"/>
              <w:jc w:val="left"/>
              <w:rPr>
                <w:rFonts w:hint="eastAsia" w:ascii="仿宋_GB2312" w:hAnsi="仿宋_GB2312" w:eastAsia="仿宋_GB2312" w:cs="仿宋_GB2312"/>
                <w:bCs/>
                <w:snapToGrid w:val="0"/>
                <w:kern w:val="2"/>
                <w:sz w:val="24"/>
                <w:szCs w:val="24"/>
                <w:highlight w:val="none"/>
                <w:lang w:val="en-US" w:eastAsia="zh-CN" w:bidi="ar-SA"/>
              </w:rPr>
            </w:pPr>
            <w:r>
              <w:rPr>
                <w:rFonts w:hint="eastAsia" w:ascii="仿宋_GB2312" w:hAnsi="仿宋_GB2312" w:eastAsia="仿宋_GB2312" w:cs="仿宋_GB2312"/>
                <w:bCs/>
                <w:snapToGrid w:val="0"/>
                <w:kern w:val="2"/>
                <w:sz w:val="24"/>
                <w:szCs w:val="24"/>
                <w:highlight w:val="none"/>
                <w:lang w:val="en-US" w:eastAsia="zh-CN" w:bidi="ar-SA"/>
              </w:rPr>
              <w:t>2、本项目不接受联合体投标，不接受转包分包。</w:t>
            </w:r>
          </w:p>
          <w:p>
            <w:pPr>
              <w:pStyle w:val="2"/>
              <w:numPr>
                <w:ilvl w:val="-1"/>
                <w:numId w:val="0"/>
              </w:numPr>
              <w:rPr>
                <w:rFonts w:hint="default" w:ascii="仿宋_GB2312" w:hAnsi="仿宋_GB2312" w:eastAsia="仿宋_GB2312" w:cs="仿宋_GB2312"/>
                <w:bCs/>
                <w:snapToGrid w:val="0"/>
                <w:kern w:val="2"/>
                <w:sz w:val="24"/>
                <w:szCs w:val="24"/>
                <w:highlight w:val="none"/>
                <w:lang w:val="en-US" w:eastAsia="zh-CN" w:bidi="ar-SA"/>
              </w:rPr>
            </w:pPr>
            <w:r>
              <w:rPr>
                <w:rFonts w:hint="eastAsia" w:ascii="仿宋_GB2312" w:hAnsi="仿宋_GB2312" w:eastAsia="仿宋_GB2312" w:cs="仿宋_GB2312"/>
                <w:bCs/>
                <w:snapToGrid w:val="0"/>
                <w:kern w:val="2"/>
                <w:sz w:val="24"/>
                <w:szCs w:val="24"/>
                <w:highlight w:val="none"/>
                <w:lang w:val="en-US" w:eastAsia="zh-CN" w:bidi="ar-SA"/>
              </w:rPr>
              <w:t>3、投标人在参与政府采购活动中出现诚信相关问题且在相关主管部门处理措施期限内的不得参与投标。投标人须提供相关证明材料扫描件并加盖投标人公章。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9</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p>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资格后审方式</w:t>
            </w:r>
          </w:p>
        </w:tc>
        <w:tc>
          <w:tcPr>
            <w:tcW w:w="7200" w:type="dxa"/>
            <w:tcBorders>
              <w:tl2br w:val="nil"/>
              <w:tr2bl w:val="nil"/>
            </w:tcBorders>
            <w:vAlign w:val="center"/>
          </w:tcPr>
          <w:p>
            <w:pPr>
              <w:pStyle w:val="10"/>
              <w:widowControl/>
              <w:spacing w:line="400" w:lineRule="exact"/>
              <w:rPr>
                <w:rFonts w:ascii="仿宋_GB2312" w:hAnsi="仿宋_GB2312" w:eastAsia="仿宋_GB2312" w:cs="仿宋_GB2312"/>
                <w:b/>
                <w:snapToGrid w:val="0"/>
                <w:kern w:val="2"/>
                <w:szCs w:val="24"/>
                <w:highlight w:val="none"/>
              </w:rPr>
            </w:pPr>
            <w:r>
              <w:rPr>
                <w:rFonts w:hint="eastAsia" w:ascii="仿宋_GB2312" w:hAnsi="仿宋_GB2312" w:eastAsia="仿宋_GB2312" w:cs="仿宋_GB2312"/>
                <w:bCs/>
                <w:snapToGrid w:val="0"/>
                <w:kern w:val="2"/>
                <w:szCs w:val="24"/>
                <w:highlight w:val="none"/>
              </w:rPr>
              <w:t>组建评审委员会对投标单位按照《资格审查表》和《符合性审查表》部分进行审查，评审委员会对投标单位打√为通过审查，打×为未通过审查。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10</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评定标方式</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评标方法为综合评分法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95" w:type="dxa"/>
            <w:tcBorders>
              <w:tl2br w:val="nil"/>
              <w:tr2bl w:val="nil"/>
            </w:tcBorders>
            <w:vAlign w:val="center"/>
          </w:tcPr>
          <w:p>
            <w:pPr>
              <w:spacing w:line="400" w:lineRule="exact"/>
              <w:ind w:firstLine="120" w:firstLineChars="50"/>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11</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投标担保</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12</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履约担保</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13</w:t>
            </w:r>
          </w:p>
        </w:tc>
        <w:tc>
          <w:tcPr>
            <w:tcW w:w="1500" w:type="dxa"/>
            <w:tcBorders>
              <w:tl2br w:val="nil"/>
              <w:tr2bl w:val="nil"/>
            </w:tcBorders>
            <w:vAlign w:val="center"/>
          </w:tcPr>
          <w:p>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合同款支付</w:t>
            </w:r>
          </w:p>
        </w:tc>
        <w:tc>
          <w:tcPr>
            <w:tcW w:w="7200" w:type="dxa"/>
            <w:tcBorders>
              <w:tl2br w:val="nil"/>
              <w:tr2bl w:val="nil"/>
            </w:tcBorders>
            <w:vAlign w:val="center"/>
          </w:tcPr>
          <w:p>
            <w:pPr>
              <w:spacing w:line="400" w:lineRule="exact"/>
              <w:jc w:val="left"/>
              <w:rPr>
                <w:rFonts w:hint="default" w:ascii="仿宋_GB2312" w:hAnsi="仿宋_GB2312" w:eastAsia="仿宋_GB2312" w:cs="仿宋_GB2312"/>
                <w:snapToGrid w:val="0"/>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合同签订生效后，</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次月对上月领取的材料双方核对无误后进行支付。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14</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评标细则</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详见下表（评分细则）</w:t>
            </w:r>
          </w:p>
        </w:tc>
      </w:tr>
    </w:tbl>
    <w:p>
      <w:pPr>
        <w:rPr>
          <w:highlight w:val="none"/>
        </w:rPr>
      </w:pPr>
    </w:p>
    <w:tbl>
      <w:tblPr>
        <w:tblStyle w:val="12"/>
        <w:tblpPr w:leftFromText="180" w:rightFromText="180" w:vertAnchor="text" w:horzAnchor="page" w:tblpXSpec="center" w:tblpY="301"/>
        <w:tblOverlap w:val="never"/>
        <w:tblW w:w="951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404"/>
        <w:gridCol w:w="757"/>
        <w:gridCol w:w="5035"/>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tblCellSpacing w:w="0" w:type="dxa"/>
          <w:jc w:val="center"/>
        </w:trPr>
        <w:tc>
          <w:tcPr>
            <w:tcW w:w="7783" w:type="dxa"/>
            <w:gridSpan w:val="4"/>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
                <w:snapToGrid w:val="0"/>
                <w:color w:val="auto"/>
                <w:sz w:val="24"/>
                <w:highlight w:val="none"/>
                <w:lang w:val="zh-CN"/>
              </w:rPr>
              <w:t>评分项及评分规则</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
                <w:snapToGrid w:val="0"/>
                <w:color w:val="auto"/>
                <w:sz w:val="24"/>
                <w:highlight w:val="none"/>
                <w:lang w:val="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CellSpacing w:w="0" w:type="dxa"/>
          <w:jc w:val="center"/>
        </w:trPr>
        <w:tc>
          <w:tcPr>
            <w:tcW w:w="7783" w:type="dxa"/>
            <w:gridSpan w:val="4"/>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
                <w:snapToGrid w:val="0"/>
                <w:color w:val="auto"/>
                <w:sz w:val="24"/>
                <w:highlight w:val="none"/>
                <w:lang w:val="zh-CN"/>
              </w:rPr>
              <w:t>一、价格部分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000000" w:themeColor="text1"/>
                <w:sz w:val="24"/>
                <w:highlight w:val="none"/>
                <w:lang w:val="en-US" w:eastAsia="zh-CN"/>
                <w14:textFill>
                  <w14:solidFill>
                    <w14:schemeClr w14:val="tx1"/>
                  </w14:solidFill>
                </w14:textFill>
              </w:rPr>
              <w:t>40</w:t>
            </w:r>
            <w:r>
              <w:rPr>
                <w:rFonts w:hint="eastAsia" w:ascii="仿宋_GB2312" w:hAnsi="仿宋_GB2312" w:eastAsia="仿宋_GB2312" w:cs="仿宋_GB2312"/>
                <w:b/>
                <w:snapToGrid w:val="0"/>
                <w:color w:val="000000" w:themeColor="text1"/>
                <w:sz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blCellSpacing w:w="0" w:type="dxa"/>
          <w:jc w:val="center"/>
        </w:trPr>
        <w:tc>
          <w:tcPr>
            <w:tcW w:w="7783" w:type="dxa"/>
            <w:gridSpan w:val="4"/>
            <w:vAlign w:val="center"/>
          </w:tcPr>
          <w:p>
            <w:pPr>
              <w:spacing w:line="400" w:lineRule="exact"/>
              <w:jc w:val="left"/>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 xml:space="preserve">    根据各供应商对附件中管线材的汇总报价进行评比。</w:t>
            </w:r>
          </w:p>
          <w:p>
            <w:pPr>
              <w:spacing w:line="400" w:lineRule="exact"/>
              <w:ind w:firstLine="480" w:firstLineChars="20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采用低价优先法计算,即满足招标文件要求且投标价格最低的有效投标报价为评标基准价,其价格分为满分。其他投标人的价格分统一按照下列公式计算：</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价格分=[1-（投标报价-最低价）/最低价]×价格权重×100，当价格分＜0 时，取 0。</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CellSpacing w:w="0" w:type="dxa"/>
          <w:jc w:val="center"/>
        </w:trPr>
        <w:tc>
          <w:tcPr>
            <w:tcW w:w="7783" w:type="dxa"/>
            <w:gridSpan w:val="4"/>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auto"/>
                <w:sz w:val="24"/>
                <w:highlight w:val="none"/>
                <w:lang w:val="zh-CN"/>
              </w:rPr>
              <w:t>二、</w:t>
            </w:r>
            <w:r>
              <w:rPr>
                <w:rFonts w:hint="eastAsia" w:ascii="仿宋_GB2312" w:hAnsi="仿宋_GB2312" w:eastAsia="仿宋_GB2312" w:cs="仿宋_GB2312"/>
                <w:b/>
                <w:snapToGrid w:val="0"/>
                <w:color w:val="auto"/>
                <w:sz w:val="24"/>
                <w:highlight w:val="none"/>
              </w:rPr>
              <w:t>商务</w:t>
            </w:r>
            <w:r>
              <w:rPr>
                <w:rFonts w:hint="eastAsia" w:ascii="仿宋_GB2312" w:hAnsi="仿宋_GB2312" w:eastAsia="仿宋_GB2312" w:cs="仿宋_GB2312"/>
                <w:b/>
                <w:snapToGrid w:val="0"/>
                <w:color w:val="auto"/>
                <w:sz w:val="24"/>
                <w:highlight w:val="none"/>
                <w:lang w:val="zh-CN"/>
              </w:rPr>
              <w:t>部分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b/>
                <w:snapToGrid w:val="0"/>
                <w:color w:val="000000" w:themeColor="text1"/>
                <w:sz w:val="24"/>
                <w:highlight w:val="none"/>
                <w:lang w:val="en-US" w:eastAsia="zh-CN"/>
                <w14:textFill>
                  <w14:solidFill>
                    <w14:schemeClr w14:val="tx1"/>
                  </w14:solidFill>
                </w14:textFill>
              </w:rPr>
              <w:t>30</w:t>
            </w:r>
            <w:r>
              <w:rPr>
                <w:rFonts w:hint="eastAsia" w:ascii="仿宋_GB2312" w:hAnsi="仿宋_GB2312" w:eastAsia="仿宋_GB2312" w:cs="仿宋_GB2312"/>
                <w:b/>
                <w:snapToGrid w:val="0"/>
                <w:color w:val="000000" w:themeColor="text1"/>
                <w:sz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序号</w:t>
            </w:r>
          </w:p>
        </w:tc>
        <w:tc>
          <w:tcPr>
            <w:tcW w:w="1404"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内容</w:t>
            </w:r>
          </w:p>
        </w:tc>
        <w:tc>
          <w:tcPr>
            <w:tcW w:w="75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权重</w:t>
            </w:r>
          </w:p>
        </w:tc>
        <w:tc>
          <w:tcPr>
            <w:tcW w:w="5035"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评分规则</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blCellSpacing w:w="0" w:type="dxa"/>
          <w:jc w:val="center"/>
        </w:trPr>
        <w:tc>
          <w:tcPr>
            <w:tcW w:w="587" w:type="dxa"/>
            <w:vAlign w:val="center"/>
          </w:tcPr>
          <w:p>
            <w:pPr>
              <w:spacing w:line="400" w:lineRule="exact"/>
              <w:jc w:val="center"/>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val="en-US" w:eastAsia="zh-CN"/>
              </w:rPr>
              <w:t>1</w:t>
            </w:r>
          </w:p>
        </w:tc>
        <w:tc>
          <w:tcPr>
            <w:tcW w:w="1404"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同类</w:t>
            </w:r>
            <w:r>
              <w:rPr>
                <w:rFonts w:hint="eastAsia" w:ascii="仿宋_GB2312" w:hAnsi="仿宋_GB2312" w:eastAsia="仿宋_GB2312" w:cs="仿宋_GB2312"/>
                <w:bCs/>
                <w:snapToGrid w:val="0"/>
                <w:color w:val="auto"/>
                <w:sz w:val="24"/>
                <w:highlight w:val="none"/>
              </w:rPr>
              <w:t>业绩</w:t>
            </w:r>
          </w:p>
        </w:tc>
        <w:tc>
          <w:tcPr>
            <w:tcW w:w="757" w:type="dxa"/>
            <w:vAlign w:val="center"/>
          </w:tcPr>
          <w:p>
            <w:pPr>
              <w:spacing w:line="400" w:lineRule="exact"/>
              <w:jc w:val="center"/>
              <w:rPr>
                <w:rFonts w:ascii="仿宋_GB2312" w:hAnsi="仿宋_GB2312" w:eastAsia="仿宋_GB2312" w:cs="仿宋_GB2312"/>
                <w:bCs/>
                <w:snapToGrid w:val="0"/>
                <w:color w:val="000000" w:themeColor="text1"/>
                <w:sz w:val="24"/>
                <w:highlight w:val="none"/>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1</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0</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分</w:t>
            </w:r>
          </w:p>
        </w:tc>
        <w:tc>
          <w:tcPr>
            <w:tcW w:w="5035" w:type="dxa"/>
          </w:tcPr>
          <w:p>
            <w:pPr>
              <w:spacing w:line="400" w:lineRule="exact"/>
              <w:rPr>
                <w:rFonts w:hint="eastAsia" w:ascii="仿宋_GB2312" w:hAnsi="仿宋_GB2312" w:eastAsia="仿宋_GB2312" w:cs="仿宋_GB2312"/>
                <w:bCs/>
                <w:snapToGrid w:val="0"/>
                <w:color w:val="000000" w:themeColor="text1"/>
                <w:sz w:val="24"/>
                <w:highlight w:val="none"/>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每提供一项同类项目（同类项目是指合同内容至少包含</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供货维修材料或</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 xml:space="preserve">五金配件服务）得 </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分，本项最高得</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分。</w:t>
            </w:r>
          </w:p>
          <w:p>
            <w:pPr>
              <w:spacing w:line="400" w:lineRule="exact"/>
              <w:rPr>
                <w:rFonts w:ascii="仿宋_GB2312" w:hAnsi="仿宋_GB2312" w:eastAsia="仿宋_GB2312" w:cs="仿宋_GB2312"/>
                <w:bCs/>
                <w:snapToGrid w:val="0"/>
                <w:color w:val="000000" w:themeColor="text1"/>
                <w:sz w:val="24"/>
                <w:highlight w:val="none"/>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 xml:space="preserve"> 注：提供合同关键页（含签订合同双方的单位名称、合同项目名称、合同内容、签订合同双方的落款盖章、签订日期的关键页）复印件并加盖投标人公章作为同类业绩评价证明资料，不提供或提供不齐全不得分</w:t>
            </w:r>
            <w:r>
              <w:rPr>
                <w:color w:val="000000" w:themeColor="text1"/>
                <w14:textFill>
                  <w14:solidFill>
                    <w14:schemeClr w14:val="tx1"/>
                  </w14:solidFill>
                </w14:textFill>
              </w:rPr>
              <w:t>。</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2</w:t>
            </w:r>
          </w:p>
        </w:tc>
        <w:tc>
          <w:tcPr>
            <w:tcW w:w="1404" w:type="dxa"/>
            <w:vAlign w:val="center"/>
          </w:tcPr>
          <w:p>
            <w:pPr>
              <w:spacing w:line="400" w:lineRule="exact"/>
              <w:jc w:val="center"/>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eastAsia="zh-CN"/>
              </w:rPr>
              <w:t>营业店面情况</w:t>
            </w:r>
          </w:p>
        </w:tc>
        <w:tc>
          <w:tcPr>
            <w:tcW w:w="75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10</w:t>
            </w:r>
            <w:r>
              <w:rPr>
                <w:rFonts w:hint="eastAsia" w:ascii="仿宋_GB2312" w:hAnsi="仿宋_GB2312" w:eastAsia="仿宋_GB2312" w:cs="仿宋_GB2312"/>
                <w:bCs/>
                <w:snapToGrid w:val="0"/>
                <w:color w:val="auto"/>
                <w:sz w:val="24"/>
                <w:highlight w:val="none"/>
              </w:rPr>
              <w:t>分</w:t>
            </w:r>
          </w:p>
        </w:tc>
        <w:tc>
          <w:tcPr>
            <w:tcW w:w="5035" w:type="dxa"/>
          </w:tcPr>
          <w:p>
            <w:pPr>
              <w:spacing w:line="400" w:lineRule="exact"/>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投标人</w:t>
            </w:r>
            <w:r>
              <w:rPr>
                <w:rFonts w:hint="eastAsia" w:ascii="仿宋_GB2312" w:hAnsi="仿宋_GB2312" w:eastAsia="仿宋_GB2312" w:cs="仿宋_GB2312"/>
                <w:bCs/>
                <w:snapToGrid w:val="0"/>
                <w:color w:val="auto"/>
                <w:sz w:val="24"/>
                <w:highlight w:val="none"/>
                <w:lang w:eastAsia="zh-CN"/>
              </w:rPr>
              <w:t>营业店面</w:t>
            </w:r>
            <w:r>
              <w:rPr>
                <w:rFonts w:hint="eastAsia" w:ascii="仿宋_GB2312" w:hAnsi="仿宋_GB2312" w:eastAsia="仿宋_GB2312" w:cs="仿宋_GB2312"/>
                <w:bCs/>
                <w:snapToGrid w:val="0"/>
                <w:color w:val="auto"/>
                <w:sz w:val="24"/>
                <w:highlight w:val="none"/>
              </w:rPr>
              <w:t>情况：</w:t>
            </w:r>
          </w:p>
          <w:p>
            <w:pPr>
              <w:numPr>
                <w:ilvl w:val="0"/>
                <w:numId w:val="0"/>
              </w:numPr>
              <w:spacing w:line="400" w:lineRule="exact"/>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1、</w:t>
            </w:r>
            <w:r>
              <w:rPr>
                <w:rFonts w:hint="eastAsia" w:ascii="仿宋_GB2312" w:hAnsi="仿宋_GB2312" w:eastAsia="仿宋_GB2312" w:cs="仿宋_GB2312"/>
                <w:bCs/>
                <w:snapToGrid w:val="0"/>
                <w:color w:val="auto"/>
                <w:sz w:val="24"/>
                <w:highlight w:val="none"/>
              </w:rPr>
              <w:t>若投标人</w:t>
            </w:r>
            <w:r>
              <w:rPr>
                <w:rFonts w:hint="eastAsia" w:ascii="仿宋_GB2312" w:hAnsi="仿宋_GB2312" w:eastAsia="仿宋_GB2312" w:cs="仿宋_GB2312"/>
                <w:bCs/>
                <w:snapToGrid w:val="0"/>
                <w:color w:val="auto"/>
                <w:sz w:val="24"/>
                <w:highlight w:val="none"/>
                <w:lang w:eastAsia="zh-CN"/>
              </w:rPr>
              <w:t>在大浪街道范围内</w:t>
            </w:r>
            <w:r>
              <w:rPr>
                <w:rFonts w:hint="eastAsia" w:ascii="仿宋_GB2312" w:hAnsi="仿宋_GB2312" w:eastAsia="仿宋_GB2312" w:cs="仿宋_GB2312"/>
                <w:bCs/>
                <w:snapToGrid w:val="0"/>
                <w:color w:val="auto"/>
                <w:sz w:val="24"/>
                <w:highlight w:val="none"/>
              </w:rPr>
              <w:t>有可用</w:t>
            </w:r>
            <w:r>
              <w:rPr>
                <w:rFonts w:hint="eastAsia" w:ascii="仿宋_GB2312" w:hAnsi="仿宋_GB2312" w:eastAsia="仿宋_GB2312" w:cs="仿宋_GB2312"/>
                <w:bCs/>
                <w:snapToGrid w:val="0"/>
                <w:color w:val="auto"/>
                <w:sz w:val="24"/>
                <w:highlight w:val="none"/>
                <w:lang w:eastAsia="zh-CN"/>
              </w:rPr>
              <w:t>营业店面</w:t>
            </w:r>
            <w:r>
              <w:rPr>
                <w:rFonts w:hint="eastAsia" w:ascii="仿宋_GB2312" w:hAnsi="仿宋_GB2312" w:eastAsia="仿宋_GB2312" w:cs="仿宋_GB2312"/>
                <w:bCs/>
                <w:snapToGrid w:val="0"/>
                <w:color w:val="auto"/>
                <w:sz w:val="24"/>
                <w:highlight w:val="none"/>
              </w:rPr>
              <w:t>的，提供证明</w:t>
            </w:r>
            <w:r>
              <w:rPr>
                <w:rFonts w:hint="eastAsia" w:ascii="仿宋_GB2312" w:hAnsi="仿宋_GB2312" w:eastAsia="仿宋_GB2312" w:cs="仿宋_GB2312"/>
                <w:bCs/>
                <w:snapToGrid w:val="0"/>
                <w:color w:val="auto"/>
                <w:sz w:val="24"/>
                <w:highlight w:val="none"/>
                <w:lang w:eastAsia="zh-CN"/>
              </w:rPr>
              <w:t>图片</w:t>
            </w:r>
            <w:r>
              <w:rPr>
                <w:rFonts w:hint="eastAsia" w:ascii="仿宋_GB2312" w:hAnsi="仿宋_GB2312" w:eastAsia="仿宋_GB2312" w:cs="仿宋_GB2312"/>
                <w:bCs/>
                <w:snapToGrid w:val="0"/>
                <w:color w:val="auto"/>
                <w:sz w:val="24"/>
                <w:highlight w:val="none"/>
              </w:rPr>
              <w:t>，得</w:t>
            </w:r>
            <w:r>
              <w:rPr>
                <w:rFonts w:hint="eastAsia" w:ascii="仿宋_GB2312" w:hAnsi="仿宋_GB2312" w:eastAsia="仿宋_GB2312" w:cs="仿宋_GB2312"/>
                <w:bCs/>
                <w:snapToGrid w:val="0"/>
                <w:color w:val="auto"/>
                <w:sz w:val="24"/>
                <w:highlight w:val="none"/>
                <w:lang w:val="en-US" w:eastAsia="zh-CN"/>
              </w:rPr>
              <w:t>10</w:t>
            </w:r>
            <w:r>
              <w:rPr>
                <w:rFonts w:hint="eastAsia" w:ascii="仿宋_GB2312" w:hAnsi="仿宋_GB2312" w:eastAsia="仿宋_GB2312" w:cs="仿宋_GB2312"/>
                <w:bCs/>
                <w:snapToGrid w:val="0"/>
                <w:color w:val="auto"/>
                <w:sz w:val="24"/>
                <w:highlight w:val="none"/>
              </w:rPr>
              <w:t>分； 若投标人</w:t>
            </w:r>
            <w:r>
              <w:rPr>
                <w:rFonts w:hint="eastAsia" w:ascii="仿宋_GB2312" w:hAnsi="仿宋_GB2312" w:eastAsia="仿宋_GB2312" w:cs="仿宋_GB2312"/>
                <w:bCs/>
                <w:snapToGrid w:val="0"/>
                <w:color w:val="auto"/>
                <w:sz w:val="24"/>
                <w:highlight w:val="none"/>
                <w:lang w:eastAsia="zh-CN"/>
              </w:rPr>
              <w:t>在龙华区范围内</w:t>
            </w:r>
            <w:r>
              <w:rPr>
                <w:rFonts w:hint="eastAsia" w:ascii="仿宋_GB2312" w:hAnsi="仿宋_GB2312" w:eastAsia="仿宋_GB2312" w:cs="仿宋_GB2312"/>
                <w:bCs/>
                <w:snapToGrid w:val="0"/>
                <w:color w:val="auto"/>
                <w:sz w:val="24"/>
                <w:highlight w:val="none"/>
              </w:rPr>
              <w:t>有可用</w:t>
            </w:r>
            <w:r>
              <w:rPr>
                <w:rFonts w:hint="eastAsia" w:ascii="仿宋_GB2312" w:hAnsi="仿宋_GB2312" w:eastAsia="仿宋_GB2312" w:cs="仿宋_GB2312"/>
                <w:bCs/>
                <w:snapToGrid w:val="0"/>
                <w:color w:val="auto"/>
                <w:sz w:val="24"/>
                <w:highlight w:val="none"/>
                <w:lang w:eastAsia="zh-CN"/>
              </w:rPr>
              <w:t>营业店面</w:t>
            </w:r>
            <w:r>
              <w:rPr>
                <w:rFonts w:hint="eastAsia" w:ascii="仿宋_GB2312" w:hAnsi="仿宋_GB2312" w:eastAsia="仿宋_GB2312" w:cs="仿宋_GB2312"/>
                <w:bCs/>
                <w:snapToGrid w:val="0"/>
                <w:color w:val="auto"/>
                <w:sz w:val="24"/>
                <w:highlight w:val="none"/>
              </w:rPr>
              <w:t>的，提供证明文件，得</w:t>
            </w:r>
            <w:r>
              <w:rPr>
                <w:rFonts w:hint="eastAsia" w:ascii="仿宋_GB2312" w:hAnsi="仿宋_GB2312" w:eastAsia="仿宋_GB2312" w:cs="仿宋_GB2312"/>
                <w:bCs/>
                <w:snapToGrid w:val="0"/>
                <w:color w:val="auto"/>
                <w:sz w:val="24"/>
                <w:highlight w:val="none"/>
                <w:lang w:val="en-US" w:eastAsia="zh-CN"/>
              </w:rPr>
              <w:t>5</w:t>
            </w:r>
            <w:r>
              <w:rPr>
                <w:rFonts w:hint="eastAsia" w:ascii="仿宋_GB2312" w:hAnsi="仿宋_GB2312" w:eastAsia="仿宋_GB2312" w:cs="仿宋_GB2312"/>
                <w:bCs/>
                <w:snapToGrid w:val="0"/>
                <w:color w:val="auto"/>
                <w:sz w:val="24"/>
                <w:highlight w:val="none"/>
              </w:rPr>
              <w:t>分</w:t>
            </w:r>
            <w:r>
              <w:rPr>
                <w:rFonts w:hint="eastAsia" w:ascii="仿宋_GB2312" w:hAnsi="仿宋_GB2312" w:eastAsia="仿宋_GB2312" w:cs="仿宋_GB2312"/>
                <w:bCs/>
                <w:snapToGrid w:val="0"/>
                <w:color w:val="auto"/>
                <w:sz w:val="24"/>
                <w:highlight w:val="none"/>
                <w:lang w:eastAsia="zh-CN"/>
              </w:rPr>
              <w:t>；</w:t>
            </w:r>
          </w:p>
          <w:p>
            <w:pPr>
              <w:numPr>
                <w:ilvl w:val="0"/>
                <w:numId w:val="0"/>
              </w:numPr>
              <w:spacing w:line="400" w:lineRule="exact"/>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rPr>
              <w:t xml:space="preserve">其他情况不得分。 </w:t>
            </w:r>
          </w:p>
          <w:p>
            <w:pPr>
              <w:spacing w:line="400" w:lineRule="exact"/>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rPr>
              <w:t>注：提供</w:t>
            </w:r>
            <w:r>
              <w:rPr>
                <w:rFonts w:hint="eastAsia" w:ascii="仿宋_GB2312" w:hAnsi="仿宋_GB2312" w:eastAsia="仿宋_GB2312" w:cs="仿宋_GB2312"/>
                <w:bCs/>
                <w:snapToGrid w:val="0"/>
                <w:color w:val="auto"/>
                <w:sz w:val="24"/>
                <w:highlight w:val="none"/>
                <w:lang w:eastAsia="zh-CN"/>
              </w:rPr>
              <w:t>租赁合同或营业店面照片</w:t>
            </w:r>
            <w:r>
              <w:rPr>
                <w:rFonts w:hint="eastAsia" w:ascii="仿宋_GB2312" w:hAnsi="仿宋_GB2312" w:eastAsia="仿宋_GB2312" w:cs="仿宋_GB2312"/>
                <w:bCs/>
                <w:snapToGrid w:val="0"/>
                <w:color w:val="auto"/>
                <w:sz w:val="24"/>
                <w:highlight w:val="none"/>
              </w:rPr>
              <w:t>等相关证明文件，不提供证明或不满足要求的或评审专家无法认定的不得分。</w:t>
            </w:r>
            <w:r>
              <w:rPr>
                <w:rFonts w:hint="eastAsia" w:ascii="仿宋_GB2312" w:hAnsi="仿宋_GB2312" w:eastAsia="仿宋_GB2312" w:cs="仿宋_GB2312"/>
                <w:bCs/>
                <w:snapToGrid w:val="0"/>
                <w:color w:val="auto"/>
                <w:sz w:val="24"/>
                <w:highlight w:val="none"/>
                <w:lang w:eastAsia="zh-CN"/>
              </w:rPr>
              <w:t>招标人保留现场核实的权利，如投标单位提供虚假信息应标，将取消投标单位的中标资格，并且一切责任由投标单位承担。</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3</w:t>
            </w:r>
          </w:p>
        </w:tc>
        <w:tc>
          <w:tcPr>
            <w:tcW w:w="1404"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eastAsia="zh-CN"/>
              </w:rPr>
              <w:t>供货人员的配备</w:t>
            </w:r>
            <w:r>
              <w:rPr>
                <w:rFonts w:ascii="仿宋_GB2312" w:hAnsi="仿宋_GB2312" w:eastAsia="仿宋_GB2312" w:cs="仿宋_GB2312"/>
                <w:bCs/>
                <w:snapToGrid w:val="0"/>
                <w:color w:val="auto"/>
                <w:sz w:val="24"/>
                <w:highlight w:val="none"/>
              </w:rPr>
              <w:t>情况</w:t>
            </w:r>
          </w:p>
        </w:tc>
        <w:tc>
          <w:tcPr>
            <w:tcW w:w="757" w:type="dxa"/>
            <w:vAlign w:val="center"/>
          </w:tcPr>
          <w:p>
            <w:pPr>
              <w:spacing w:line="400" w:lineRule="exact"/>
              <w:jc w:val="center"/>
              <w:rPr>
                <w:rFonts w:ascii="仿宋_GB2312" w:hAnsi="仿宋_GB2312" w:eastAsia="仿宋_GB2312" w:cs="仿宋_GB2312"/>
                <w:bCs/>
                <w:snapToGrid w:val="0"/>
                <w:color w:val="000000" w:themeColor="text1"/>
                <w:sz w:val="24"/>
                <w:highlight w:val="none"/>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分</w:t>
            </w:r>
          </w:p>
        </w:tc>
        <w:tc>
          <w:tcPr>
            <w:tcW w:w="5035" w:type="dxa"/>
          </w:tcPr>
          <w:p>
            <w:pPr>
              <w:spacing w:line="400" w:lineRule="exact"/>
              <w:jc w:val="left"/>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根据各供应商拟投入本项目的</w:t>
            </w:r>
            <w:r>
              <w:rPr>
                <w:rFonts w:hint="eastAsia" w:ascii="仿宋_GB2312" w:hAnsi="仿宋_GB2312" w:eastAsia="仿宋_GB2312" w:cs="仿宋_GB2312"/>
                <w:bCs/>
                <w:snapToGrid w:val="0"/>
                <w:color w:val="auto"/>
                <w:sz w:val="24"/>
                <w:highlight w:val="none"/>
                <w:lang w:eastAsia="zh-CN"/>
              </w:rPr>
              <w:t>供货</w:t>
            </w:r>
            <w:r>
              <w:rPr>
                <w:rFonts w:hint="eastAsia" w:ascii="仿宋_GB2312" w:hAnsi="仿宋_GB2312" w:eastAsia="仿宋_GB2312" w:cs="仿宋_GB2312"/>
                <w:bCs/>
                <w:snapToGrid w:val="0"/>
                <w:color w:val="auto"/>
                <w:sz w:val="24"/>
                <w:highlight w:val="none"/>
              </w:rPr>
              <w:t>人员及其对五金配件供应经验等进行评审：</w:t>
            </w:r>
          </w:p>
          <w:p>
            <w:pPr>
              <w:numPr>
                <w:ilvl w:val="0"/>
                <w:numId w:val="1"/>
              </w:numPr>
              <w:spacing w:line="400" w:lineRule="exact"/>
              <w:ind w:left="120" w:leftChars="0" w:firstLine="0" w:firstLineChars="0"/>
              <w:jc w:val="left"/>
              <w:rPr>
                <w:rFonts w:hint="eastAsia" w:ascii="仿宋_GB2312" w:hAnsi="仿宋_GB2312" w:eastAsia="仿宋_GB2312" w:cs="仿宋_GB2312"/>
                <w:bCs/>
                <w:snapToGrid w:val="0"/>
                <w:color w:val="000000" w:themeColor="text1"/>
                <w:sz w:val="24"/>
                <w:highlight w:val="none"/>
                <w14:textFill>
                  <w14:solidFill>
                    <w14:schemeClr w14:val="tx1"/>
                  </w14:solidFill>
                </w14:textFill>
              </w:rPr>
            </w:pPr>
            <w:r>
              <w:rPr>
                <w:rFonts w:hint="eastAsia" w:ascii="仿宋_GB2312" w:hAnsi="仿宋_GB2312" w:eastAsia="仿宋_GB2312" w:cs="仿宋_GB2312"/>
                <w:bCs/>
                <w:snapToGrid w:val="0"/>
                <w:color w:val="auto"/>
                <w:sz w:val="24"/>
                <w:highlight w:val="none"/>
              </w:rPr>
              <w:t>投入本项目</w:t>
            </w:r>
            <w:r>
              <w:rPr>
                <w:rFonts w:hint="eastAsia" w:ascii="仿宋_GB2312" w:hAnsi="仿宋_GB2312" w:eastAsia="仿宋_GB2312" w:cs="仿宋_GB2312"/>
                <w:bCs/>
                <w:snapToGrid w:val="0"/>
                <w:color w:val="auto"/>
                <w:sz w:val="24"/>
                <w:highlight w:val="none"/>
                <w:lang w:eastAsia="zh-CN"/>
              </w:rPr>
              <w:t>供货</w:t>
            </w:r>
            <w:r>
              <w:rPr>
                <w:rFonts w:hint="eastAsia" w:ascii="仿宋_GB2312" w:hAnsi="仿宋_GB2312" w:eastAsia="仿宋_GB2312" w:cs="仿宋_GB2312"/>
                <w:bCs/>
                <w:snapToGrid w:val="0"/>
                <w:color w:val="auto"/>
                <w:sz w:val="24"/>
                <w:highlight w:val="none"/>
              </w:rPr>
              <w:t>人员达到</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3</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人或以上、</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供货</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人员从事</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维修材料或</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五金配件供应经验丰富，得</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分；</w:t>
            </w:r>
          </w:p>
          <w:p>
            <w:pPr>
              <w:numPr>
                <w:ilvl w:val="0"/>
                <w:numId w:val="1"/>
              </w:numPr>
              <w:spacing w:line="400" w:lineRule="exact"/>
              <w:ind w:left="120" w:leftChars="0" w:firstLine="0" w:firstLineChars="0"/>
              <w:jc w:val="left"/>
              <w:rPr>
                <w:rFonts w:hint="eastAsia" w:ascii="仿宋_GB2312" w:hAnsi="仿宋_GB2312" w:eastAsia="仿宋_GB2312" w:cs="仿宋_GB2312"/>
                <w:bCs/>
                <w:snapToGrid w:val="0"/>
                <w:color w:val="000000" w:themeColor="text1"/>
                <w:sz w:val="24"/>
                <w:highlight w:val="none"/>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投入本项目</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供货</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人员为</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人；配置人员具有从事</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维修材料或</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五金配件供应经验，得</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6</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 xml:space="preserve">分； </w:t>
            </w:r>
          </w:p>
          <w:p>
            <w:pPr>
              <w:numPr>
                <w:ilvl w:val="0"/>
                <w:numId w:val="1"/>
              </w:numPr>
              <w:spacing w:line="400" w:lineRule="exact"/>
              <w:ind w:left="120" w:leftChars="0" w:firstLine="0" w:firstLineChars="0"/>
              <w:jc w:val="left"/>
              <w:rPr>
                <w:rFonts w:hint="eastAsia" w:ascii="仿宋_GB2312" w:hAnsi="仿宋_GB2312" w:eastAsia="仿宋_GB2312" w:cs="仿宋_GB2312"/>
                <w:bCs/>
                <w:snapToGrid w:val="0"/>
                <w:color w:val="000000" w:themeColor="text1"/>
                <w:sz w:val="24"/>
                <w:highlight w:val="none"/>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投入本项目</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供货</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人员为</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1</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人；配置人员具有从事</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维修材料或</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五金配件供应经验，得</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 xml:space="preserve">分。 </w:t>
            </w:r>
          </w:p>
          <w:p>
            <w:pPr>
              <w:numPr>
                <w:ilvl w:val="0"/>
                <w:numId w:val="1"/>
              </w:numPr>
              <w:spacing w:line="400" w:lineRule="exact"/>
              <w:ind w:left="120" w:leftChars="0" w:firstLine="0" w:firstLineChars="0"/>
              <w:jc w:val="left"/>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 xml:space="preserve">其余情况不得分。 </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注：提供上述人员投标截止日前</w:t>
            </w:r>
            <w:r>
              <w:rPr>
                <w:rFonts w:hint="eastAsia" w:ascii="仿宋_GB2312" w:hAnsi="仿宋_GB2312" w:eastAsia="仿宋_GB2312" w:cs="仿宋_GB2312"/>
                <w:bCs/>
                <w:snapToGrid w:val="0"/>
                <w:color w:val="auto"/>
                <w:sz w:val="24"/>
                <w:highlight w:val="none"/>
                <w:lang w:eastAsia="zh-CN"/>
              </w:rPr>
              <w:t>三</w:t>
            </w:r>
            <w:r>
              <w:rPr>
                <w:rFonts w:hint="eastAsia" w:ascii="仿宋_GB2312" w:hAnsi="仿宋_GB2312" w:eastAsia="仿宋_GB2312" w:cs="仿宋_GB2312"/>
                <w:bCs/>
                <w:snapToGrid w:val="0"/>
                <w:color w:val="auto"/>
                <w:sz w:val="24"/>
                <w:highlight w:val="none"/>
              </w:rPr>
              <w:t>个月内任意一个月载有社保部门公章的社保缴交证明材料，并需同时提供</w:t>
            </w:r>
            <w:r>
              <w:rPr>
                <w:rFonts w:hint="eastAsia" w:ascii="仿宋_GB2312" w:hAnsi="仿宋_GB2312" w:eastAsia="仿宋_GB2312" w:cs="仿宋_GB2312"/>
                <w:bCs/>
                <w:snapToGrid w:val="0"/>
                <w:color w:val="auto"/>
                <w:sz w:val="24"/>
                <w:highlight w:val="none"/>
                <w:lang w:eastAsia="zh-CN"/>
              </w:rPr>
              <w:t>供货</w:t>
            </w:r>
            <w:r>
              <w:rPr>
                <w:rFonts w:hint="eastAsia" w:ascii="仿宋_GB2312" w:hAnsi="仿宋_GB2312" w:eastAsia="仿宋_GB2312" w:cs="仿宋_GB2312"/>
                <w:bCs/>
                <w:snapToGrid w:val="0"/>
                <w:color w:val="auto"/>
                <w:sz w:val="24"/>
                <w:highlight w:val="none"/>
              </w:rPr>
              <w:t>人员个人履历表（履历表上需注明</w:t>
            </w:r>
            <w:r>
              <w:rPr>
                <w:rFonts w:hint="eastAsia" w:ascii="仿宋_GB2312" w:hAnsi="仿宋_GB2312" w:eastAsia="仿宋_GB2312" w:cs="仿宋_GB2312"/>
                <w:bCs/>
                <w:snapToGrid w:val="0"/>
                <w:color w:val="auto"/>
                <w:sz w:val="24"/>
                <w:highlight w:val="none"/>
                <w:lang w:eastAsia="zh-CN"/>
              </w:rPr>
              <w:t>供货</w:t>
            </w:r>
            <w:r>
              <w:rPr>
                <w:rFonts w:hint="eastAsia" w:ascii="仿宋_GB2312" w:hAnsi="仿宋_GB2312" w:eastAsia="仿宋_GB2312" w:cs="仿宋_GB2312"/>
                <w:bCs/>
                <w:snapToGrid w:val="0"/>
                <w:color w:val="auto"/>
                <w:sz w:val="24"/>
                <w:highlight w:val="none"/>
              </w:rPr>
              <w:t>人员供应经验）并加盖投标人公章。</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CellSpacing w:w="0" w:type="dxa"/>
          <w:jc w:val="center"/>
        </w:trPr>
        <w:tc>
          <w:tcPr>
            <w:tcW w:w="7783" w:type="dxa"/>
            <w:gridSpan w:val="4"/>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auto"/>
                <w:sz w:val="24"/>
                <w:highlight w:val="none"/>
                <w:lang w:val="zh-CN"/>
              </w:rPr>
              <w:t>三、</w:t>
            </w:r>
            <w:r>
              <w:rPr>
                <w:rFonts w:hint="eastAsia" w:ascii="仿宋_GB2312" w:hAnsi="仿宋_GB2312" w:eastAsia="仿宋_GB2312" w:cs="仿宋_GB2312"/>
                <w:b/>
                <w:snapToGrid w:val="0"/>
                <w:color w:val="auto"/>
                <w:sz w:val="24"/>
                <w:highlight w:val="none"/>
              </w:rPr>
              <w:t>技术</w:t>
            </w:r>
            <w:r>
              <w:rPr>
                <w:rFonts w:hint="eastAsia" w:ascii="仿宋_GB2312" w:hAnsi="仿宋_GB2312" w:eastAsia="仿宋_GB2312" w:cs="仿宋_GB2312"/>
                <w:b/>
                <w:snapToGrid w:val="0"/>
                <w:color w:val="auto"/>
                <w:sz w:val="24"/>
                <w:highlight w:val="none"/>
                <w:lang w:val="zh-CN"/>
              </w:rPr>
              <w:t>部分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000000" w:themeColor="text1"/>
                <w:sz w:val="24"/>
                <w:highlight w:val="none"/>
                <w:lang w:val="en-US" w:eastAsia="zh-CN"/>
                <w14:textFill>
                  <w14:solidFill>
                    <w14:schemeClr w14:val="tx1"/>
                  </w14:solidFill>
                </w14:textFill>
              </w:rPr>
              <w:t>30</w:t>
            </w:r>
            <w:r>
              <w:rPr>
                <w:rFonts w:hint="eastAsia" w:ascii="仿宋_GB2312" w:hAnsi="仿宋_GB2312" w:eastAsia="仿宋_GB2312" w:cs="仿宋_GB2312"/>
                <w:b/>
                <w:snapToGrid w:val="0"/>
                <w:color w:val="000000" w:themeColor="text1"/>
                <w:sz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1</w:t>
            </w:r>
          </w:p>
        </w:tc>
        <w:tc>
          <w:tcPr>
            <w:tcW w:w="1404"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eastAsia="zh-CN"/>
              </w:rPr>
              <w:t>供货</w:t>
            </w:r>
            <w:r>
              <w:rPr>
                <w:rFonts w:hint="eastAsia" w:ascii="仿宋_GB2312" w:hAnsi="仿宋_GB2312" w:eastAsia="仿宋_GB2312" w:cs="仿宋_GB2312"/>
                <w:bCs/>
                <w:snapToGrid w:val="0"/>
                <w:color w:val="auto"/>
                <w:sz w:val="24"/>
                <w:highlight w:val="none"/>
              </w:rPr>
              <w:t>服务方案</w:t>
            </w:r>
          </w:p>
        </w:tc>
        <w:tc>
          <w:tcPr>
            <w:tcW w:w="75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分</w:t>
            </w:r>
          </w:p>
        </w:tc>
        <w:tc>
          <w:tcPr>
            <w:tcW w:w="5035" w:type="dxa"/>
            <w:vAlign w:val="center"/>
          </w:tcPr>
          <w:p>
            <w:pPr>
              <w:spacing w:line="400" w:lineRule="exact"/>
              <w:jc w:val="left"/>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根据供应商拟为本项目提供的供货服务方案（包括但不限于：人员岗位职责、时间安排、供货保障方案）进行评分：</w:t>
            </w:r>
          </w:p>
          <w:p>
            <w:pPr>
              <w:numPr>
                <w:ilvl w:val="0"/>
                <w:numId w:val="2"/>
              </w:numPr>
              <w:spacing w:line="400" w:lineRule="exact"/>
              <w:ind w:left="120" w:leftChars="0" w:firstLine="0" w:firstLineChars="0"/>
              <w:jc w:val="left"/>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 xml:space="preserve">供货服务方案具体、可行、全面，人员安排及车辆投入合理，供货流程便利快捷的，得10分； </w:t>
            </w:r>
          </w:p>
          <w:p>
            <w:pPr>
              <w:numPr>
                <w:ilvl w:val="0"/>
                <w:numId w:val="2"/>
              </w:numPr>
              <w:spacing w:line="400" w:lineRule="exact"/>
              <w:ind w:left="120" w:leftChars="0" w:firstLine="0" w:firstLineChars="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供货服务方案基本具体、具有一定的可行性、基本全面，</w:t>
            </w:r>
            <w:r>
              <w:rPr>
                <w:rFonts w:hint="eastAsia" w:ascii="仿宋_GB2312" w:hAnsi="仿宋_GB2312" w:eastAsia="仿宋_GB2312" w:cs="仿宋_GB2312"/>
                <w:b w:val="0"/>
                <w:bCs/>
                <w:snapToGrid w:val="0"/>
                <w:color w:val="000000" w:themeColor="text1"/>
                <w:sz w:val="24"/>
                <w:highlight w:val="none"/>
                <w:lang w:val="en-US" w:eastAsia="zh-CN"/>
                <w14:textFill>
                  <w14:solidFill>
                    <w14:schemeClr w14:val="tx1"/>
                  </w14:solidFill>
                </w14:textFill>
              </w:rPr>
              <w:t>有人员安排及车辆投入情况，供货流程缺乏便利性的，</w:t>
            </w:r>
            <w:r>
              <w:rPr>
                <w:rFonts w:hint="eastAsia" w:ascii="仿宋_GB2312" w:hAnsi="仿宋_GB2312" w:eastAsia="仿宋_GB2312" w:cs="仿宋_GB2312"/>
                <w:bCs/>
                <w:snapToGrid w:val="0"/>
                <w:color w:val="auto"/>
                <w:sz w:val="24"/>
                <w:highlight w:val="none"/>
                <w:lang w:val="en-US" w:eastAsia="zh-CN"/>
              </w:rPr>
              <w:t xml:space="preserve">得6分； </w:t>
            </w:r>
          </w:p>
          <w:p>
            <w:pPr>
              <w:numPr>
                <w:ilvl w:val="0"/>
                <w:numId w:val="2"/>
              </w:numPr>
              <w:spacing w:line="400" w:lineRule="exact"/>
              <w:ind w:left="120" w:leftChars="0" w:firstLine="0" w:firstLineChars="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 xml:space="preserve">供货服务方案不具体、不具备可行性、不全面，人员安排及车辆投入不合理，供货流程不完善的，得2分。 </w:t>
            </w:r>
          </w:p>
          <w:p>
            <w:pPr>
              <w:numPr>
                <w:ilvl w:val="0"/>
                <w:numId w:val="2"/>
              </w:numPr>
              <w:spacing w:line="400" w:lineRule="exact"/>
              <w:ind w:left="120" w:leftChars="0" w:firstLine="0" w:firstLineChars="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未提供相关方案的，得 0</w:t>
            </w:r>
            <w:r>
              <w:t xml:space="preserve"> 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2</w:t>
            </w:r>
          </w:p>
        </w:tc>
        <w:tc>
          <w:tcPr>
            <w:tcW w:w="1404" w:type="dxa"/>
            <w:vAlign w:val="center"/>
          </w:tcPr>
          <w:p>
            <w:pPr>
              <w:jc w:val="center"/>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eastAsia="zh-CN"/>
              </w:rPr>
              <w:t>应急响应能力</w:t>
            </w:r>
          </w:p>
        </w:tc>
        <w:tc>
          <w:tcPr>
            <w:tcW w:w="757" w:type="dxa"/>
            <w:vAlign w:val="center"/>
          </w:tcPr>
          <w:p>
            <w:pPr>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5</w:t>
            </w:r>
            <w:r>
              <w:rPr>
                <w:rFonts w:hint="eastAsia" w:ascii="仿宋_GB2312" w:hAnsi="仿宋_GB2312" w:eastAsia="仿宋_GB2312" w:cs="仿宋_GB2312"/>
                <w:bCs/>
                <w:snapToGrid w:val="0"/>
                <w:color w:val="auto"/>
                <w:sz w:val="24"/>
                <w:highlight w:val="none"/>
              </w:rPr>
              <w:t>分</w:t>
            </w:r>
          </w:p>
        </w:tc>
        <w:tc>
          <w:tcPr>
            <w:tcW w:w="5035" w:type="dxa"/>
            <w:vAlign w:val="center"/>
          </w:tcPr>
          <w:p>
            <w:pPr>
              <w:spacing w:line="400" w:lineRule="exact"/>
              <w:jc w:val="left"/>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根据供应商对紧急供货货物的响应速度、完成供货承诺时间等因素进行评审：</w:t>
            </w:r>
          </w:p>
          <w:p>
            <w:pPr>
              <w:numPr>
                <w:ilvl w:val="0"/>
                <w:numId w:val="3"/>
              </w:numPr>
              <w:spacing w:line="400" w:lineRule="exact"/>
              <w:ind w:left="120" w:leftChars="0" w:firstLine="0" w:firstLineChars="0"/>
              <w:jc w:val="left"/>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 xml:space="preserve">对紧急供货货物的响应迅速，完成供货承诺时间≤0.5小时，得5分； </w:t>
            </w:r>
          </w:p>
          <w:p>
            <w:pPr>
              <w:numPr>
                <w:ilvl w:val="0"/>
                <w:numId w:val="3"/>
              </w:numPr>
              <w:spacing w:line="400" w:lineRule="exact"/>
              <w:ind w:left="120" w:leftChars="0" w:firstLine="0" w:firstLineChars="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 xml:space="preserve">对紧急供货货物的响应及时，0.5小时＜完成供货承诺时间≤1小时，得3分； </w:t>
            </w:r>
          </w:p>
          <w:p>
            <w:pPr>
              <w:numPr>
                <w:ilvl w:val="0"/>
                <w:numId w:val="3"/>
              </w:numPr>
              <w:spacing w:line="400" w:lineRule="exact"/>
              <w:ind w:left="120" w:leftChars="0" w:firstLine="0" w:firstLineChars="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对紧急供货货物的响应较及时，1小时＜完成供货承诺时间≤1.5小时，得1分；</w:t>
            </w:r>
          </w:p>
          <w:p>
            <w:pPr>
              <w:numPr>
                <w:ilvl w:val="0"/>
                <w:numId w:val="3"/>
              </w:numPr>
              <w:spacing w:line="400" w:lineRule="exact"/>
              <w:ind w:left="120" w:leftChars="0" w:firstLine="0" w:firstLineChars="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对紧急供货货物的响应基本及时，1.5小时＜完成供货承诺时间，得0分。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3</w:t>
            </w:r>
          </w:p>
        </w:tc>
        <w:tc>
          <w:tcPr>
            <w:tcW w:w="1404" w:type="dxa"/>
            <w:vAlign w:val="center"/>
          </w:tcPr>
          <w:p>
            <w:pPr>
              <w:spacing w:line="400" w:lineRule="exact"/>
              <w:jc w:val="center"/>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供货速度</w:t>
            </w:r>
          </w:p>
        </w:tc>
        <w:tc>
          <w:tcPr>
            <w:tcW w:w="75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5</w:t>
            </w:r>
            <w:r>
              <w:rPr>
                <w:rFonts w:hint="eastAsia" w:ascii="仿宋_GB2312" w:hAnsi="仿宋_GB2312" w:eastAsia="仿宋_GB2312" w:cs="仿宋_GB2312"/>
                <w:bCs/>
                <w:snapToGrid w:val="0"/>
                <w:color w:val="auto"/>
                <w:sz w:val="24"/>
                <w:highlight w:val="none"/>
              </w:rPr>
              <w:t>分</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根据供应商对常规供货货物的响应速度、完成供货承诺时间等因素进行评审：</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120" w:leftChars="0" w:firstLine="0" w:firstLineChars="0"/>
              <w:jc w:val="left"/>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供应商收到采购人常规供货服务通知后，完成供货承诺时间≤6小时，得5分；</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120" w:leftChars="0" w:firstLine="0" w:firstLineChars="0"/>
              <w:jc w:val="left"/>
              <w:textAlignment w:val="auto"/>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供应商收到采购人常规供货服务通知后，6小时＜完成供货承诺时间≤12小时，得3分；</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120" w:leftChars="0" w:firstLine="0" w:firstLineChars="0"/>
              <w:jc w:val="left"/>
              <w:textAlignment w:val="auto"/>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 xml:space="preserve"> 供应商收到采购人常规供货服务通知后，12小时＜完成供货承诺时间≤18小时，得1分；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120" w:leftChars="0" w:firstLine="0" w:firstLineChars="0"/>
              <w:jc w:val="left"/>
              <w:textAlignment w:val="auto"/>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供应商收到采购人常规供货服务通知后，18小时＜完成供货承诺时间，得0分。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7" w:hRule="atLeast"/>
          <w:tblCellSpacing w:w="0" w:type="dxa"/>
          <w:jc w:val="center"/>
        </w:trPr>
        <w:tc>
          <w:tcPr>
            <w:tcW w:w="587" w:type="dxa"/>
            <w:vAlign w:val="center"/>
          </w:tcPr>
          <w:p>
            <w:pPr>
              <w:spacing w:line="400" w:lineRule="exact"/>
              <w:jc w:val="center"/>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4</w:t>
            </w:r>
          </w:p>
        </w:tc>
        <w:tc>
          <w:tcPr>
            <w:tcW w:w="1404" w:type="dxa"/>
            <w:vAlign w:val="center"/>
          </w:tcPr>
          <w:p>
            <w:pPr>
              <w:spacing w:line="400" w:lineRule="exact"/>
              <w:jc w:val="center"/>
              <w:rPr>
                <w:rFonts w:hint="eastAsia" w:ascii="仿宋_GB2312" w:hAnsi="仿宋_GB2312" w:eastAsia="仿宋_GB2312" w:cs="仿宋_GB2312"/>
                <w:bCs/>
                <w:snapToGrid w:val="0"/>
                <w:color w:val="auto"/>
                <w:sz w:val="24"/>
                <w:highlight w:val="green"/>
                <w:lang w:val="en-US" w:eastAsia="zh-CN"/>
              </w:rPr>
            </w:pPr>
            <w:r>
              <w:rPr>
                <w:rFonts w:hint="eastAsia" w:ascii="仿宋_GB2312" w:hAnsi="仿宋_GB2312" w:eastAsia="仿宋_GB2312" w:cs="仿宋_GB2312"/>
                <w:bCs/>
                <w:snapToGrid w:val="0"/>
                <w:color w:val="auto"/>
                <w:sz w:val="24"/>
                <w:highlight w:val="none"/>
                <w:lang w:val="en-US" w:eastAsia="zh-CN"/>
              </w:rPr>
              <w:t>服务保障</w:t>
            </w:r>
          </w:p>
        </w:tc>
        <w:tc>
          <w:tcPr>
            <w:tcW w:w="757" w:type="dxa"/>
            <w:vAlign w:val="center"/>
          </w:tcPr>
          <w:p>
            <w:pPr>
              <w:spacing w:line="400" w:lineRule="exact"/>
              <w:jc w:val="center"/>
              <w:rPr>
                <w:rFonts w:hint="default" w:ascii="仿宋_GB2312" w:hAnsi="仿宋_GB2312" w:eastAsia="仿宋_GB2312" w:cs="仿宋_GB2312"/>
                <w:bCs/>
                <w:snapToGrid w:val="0"/>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10分</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针对本项目提供的售后服务方案（包括但不限于售后服务保障措施、质保期、出现质量问题承诺更换时间）进行评审：</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leftChars="0" w:firstLine="0" w:firstLineChars="0"/>
              <w:jc w:val="left"/>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具有完善具体的售后服务方案，各阶段服务方案详尽，售后便捷，满足采购人需求，得10分；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leftChars="0" w:firstLine="0" w:firstLineChars="0"/>
              <w:jc w:val="left"/>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售后服务方案具备可行性，服务基本便捷，具备可操作性，售后服务内容及各阶段服务计划完整，得6分；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leftChars="0" w:firstLine="0" w:firstLineChars="0"/>
              <w:jc w:val="left"/>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 xml:space="preserve">有提供售后服务方案，可操作性一般，售后服务内容及各阶段服务计划完整性一般，得2分； </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leftChars="0" w:firstLine="0" w:firstLineChars="0"/>
              <w:jc w:val="left"/>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无或其他情况不得分。</w:t>
            </w:r>
          </w:p>
        </w:tc>
        <w:tc>
          <w:tcPr>
            <w:tcW w:w="1736" w:type="dxa"/>
            <w:vAlign w:val="center"/>
          </w:tcPr>
          <w:p>
            <w:pPr>
              <w:spacing w:line="400" w:lineRule="exact"/>
              <w:jc w:val="center"/>
              <w:rPr>
                <w:rFonts w:hint="eastAsia"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bl>
    <w:p>
      <w:pPr>
        <w:rPr>
          <w:rFonts w:ascii="方正小标宋简体" w:hAnsi="仿宋_GB2312" w:eastAsia="方正小标宋简体" w:cs="仿宋_GB2312"/>
          <w:sz w:val="44"/>
          <w:szCs w:val="44"/>
          <w:highlight w:val="none"/>
        </w:rPr>
      </w:pPr>
      <w:r>
        <w:rPr>
          <w:rFonts w:ascii="方正小标宋简体" w:hAnsi="仿宋_GB2312" w:eastAsia="方正小标宋简体" w:cs="仿宋_GB2312"/>
          <w:sz w:val="44"/>
          <w:szCs w:val="44"/>
          <w:highlight w:val="none"/>
        </w:rPr>
        <w:br w:type="page"/>
      </w:r>
    </w:p>
    <w:p>
      <w:pPr>
        <w:pStyle w:val="2"/>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bCs/>
          <w:snapToGrid w:val="0"/>
          <w:color w:val="auto"/>
          <w:sz w:val="24"/>
          <w:highlight w:val="none"/>
          <w:lang w:val="en-US" w:eastAsia="zh-CN"/>
        </w:rPr>
        <w:t>附件：</w:t>
      </w:r>
      <w:r>
        <w:rPr>
          <w:rFonts w:hint="eastAsia" w:ascii="仿宋_GB2312" w:hAnsi="仿宋_GB2312" w:eastAsia="仿宋_GB2312" w:cs="仿宋_GB2312"/>
          <w:bCs/>
          <w:snapToGrid w:val="0"/>
          <w:color w:val="auto"/>
          <w:sz w:val="24"/>
          <w:highlight w:val="none"/>
          <w:lang w:eastAsia="zh-CN"/>
        </w:rPr>
        <w:t>维修材料或</w:t>
      </w:r>
      <w:r>
        <w:rPr>
          <w:rFonts w:hint="eastAsia" w:ascii="仿宋_GB2312" w:hAnsi="仿宋_GB2312" w:eastAsia="仿宋_GB2312" w:cs="仿宋_GB2312"/>
          <w:bCs/>
          <w:snapToGrid w:val="0"/>
          <w:color w:val="auto"/>
          <w:sz w:val="24"/>
          <w:highlight w:val="none"/>
          <w:lang w:val="en-US" w:eastAsia="zh-CN"/>
        </w:rPr>
        <w:t>五金配件采购清单，</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在本次采购清单中有未列明的物品，供应商应不得高于市场价作为供货价格。</w:t>
      </w:r>
    </w:p>
    <w:tbl>
      <w:tblPr>
        <w:tblStyle w:val="12"/>
        <w:tblW w:w="7523" w:type="dxa"/>
        <w:tblInd w:w="3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2141"/>
        <w:gridCol w:w="1744"/>
        <w:gridCol w:w="1514"/>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人民水泵</w:t>
            </w:r>
            <w:r>
              <w:rPr>
                <w:rStyle w:val="22"/>
                <w:rFonts w:eastAsia="宋体"/>
                <w:lang w:val="en-US" w:eastAsia="zh-CN" w:bidi="ar"/>
              </w:rPr>
              <w:t>220v</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220v</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人民水泵</w:t>
            </w:r>
            <w:r>
              <w:rPr>
                <w:rStyle w:val="22"/>
                <w:rFonts w:eastAsia="宋体"/>
                <w:lang w:val="en-US" w:eastAsia="zh-CN" w:bidi="ar"/>
              </w:rPr>
              <w:t>380v</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380v</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联塑排水管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w:t>
            </w:r>
            <w:r>
              <w:rPr>
                <w:rStyle w:val="22"/>
                <w:rFonts w:eastAsia="宋体"/>
                <w:lang w:val="en-US" w:eastAsia="zh-CN" w:bidi="ar"/>
              </w:rPr>
              <w:t>110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勤俭干粉灭火器</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w:t>
            </w:r>
            <w:r>
              <w:rPr>
                <w:rStyle w:val="23"/>
                <w:lang w:val="en-US" w:eastAsia="zh-CN" w:bidi="ar"/>
              </w:rPr>
              <w:t>公斤</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罐</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联塑排水管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联塑排水管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金牛国际安全带</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w:t>
            </w:r>
            <w:r>
              <w:rPr>
                <w:rStyle w:val="23"/>
                <w:lang w:val="en-US" w:eastAsia="zh-CN" w:bidi="ar"/>
              </w:rPr>
              <w:t>米</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安业电箱</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100A</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大西洋电焊条</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3.2cm</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名丰铁红防锈漆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大桶</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金其泰电缆线</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3*2.5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国标国际镀锌角铁</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国标爆炸螺丝</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8*80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小切片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w:t>
            </w:r>
            <w:r>
              <w:rPr>
                <w:rStyle w:val="23"/>
                <w:lang w:val="en-US" w:eastAsia="zh-CN" w:bidi="ar"/>
              </w:rPr>
              <w:t>寸</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联塑线管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联塑给水管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Pvc50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联塑给水管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Pvc20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铁易宝水性漆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黄色</w:t>
            </w:r>
            <w:r>
              <w:rPr>
                <w:rStyle w:val="22"/>
                <w:rFonts w:eastAsia="宋体"/>
                <w:lang w:val="en-US" w:eastAsia="zh-CN" w:bidi="ar"/>
              </w:rPr>
              <w:t>8</w:t>
            </w:r>
            <w:r>
              <w:rPr>
                <w:rStyle w:val="23"/>
                <w:lang w:val="en-US" w:eastAsia="zh-CN" w:bidi="ar"/>
              </w:rPr>
              <w:t>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联塑直通</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联塑弯头</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珠江市政电胶布</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14</w:t>
            </w:r>
            <w:r>
              <w:rPr>
                <w:rStyle w:val="23"/>
                <w:lang w:val="en-US" w:eastAsia="zh-CN" w:bidi="ar"/>
              </w:rPr>
              <w:t>米</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w:t>
            </w:r>
            <w:r>
              <w:rPr>
                <w:rStyle w:val="22"/>
                <w:rFonts w:eastAsia="宋体"/>
                <w:lang w:val="en-US" w:eastAsia="zh-CN" w:bidi="ar"/>
              </w:rPr>
              <w:t>6</w:t>
            </w:r>
            <w:r>
              <w:rPr>
                <w:rStyle w:val="23"/>
                <w:lang w:val="en-US" w:eastAsia="zh-CN" w:bidi="ar"/>
              </w:rPr>
              <w:t>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w:t>
            </w:r>
            <w:r>
              <w:rPr>
                <w:rStyle w:val="23"/>
                <w:lang w:val="en-US" w:eastAsia="zh-CN" w:bidi="ar"/>
              </w:rPr>
              <w:t>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卷</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w:t>
            </w:r>
            <w:r>
              <w:rPr>
                <w:rStyle w:val="22"/>
                <w:rFonts w:eastAsia="宋体"/>
                <w:lang w:val="en-US" w:eastAsia="zh-CN" w:bidi="ar"/>
              </w:rPr>
              <w:t>1.5</w:t>
            </w:r>
            <w:r>
              <w:rPr>
                <w:rStyle w:val="23"/>
                <w:lang w:val="en-US" w:eastAsia="zh-CN" w:bidi="ar"/>
              </w:rPr>
              <w:t>寸</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1.5</w:t>
            </w:r>
            <w:r>
              <w:rPr>
                <w:rStyle w:val="23"/>
                <w:lang w:val="en-US" w:eastAsia="zh-CN" w:bidi="ar"/>
              </w:rPr>
              <w:t>寸</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卷</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w:t>
            </w:r>
            <w:r>
              <w:rPr>
                <w:rStyle w:val="22"/>
                <w:rFonts w:eastAsia="宋体"/>
                <w:lang w:val="en-US" w:eastAsia="zh-CN" w:bidi="ar"/>
              </w:rPr>
              <w:t>2</w:t>
            </w:r>
            <w:r>
              <w:rPr>
                <w:rStyle w:val="23"/>
                <w:lang w:val="en-US" w:eastAsia="zh-CN" w:bidi="ar"/>
              </w:rPr>
              <w:t>寸</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w:t>
            </w:r>
            <w:r>
              <w:rPr>
                <w:rStyle w:val="23"/>
                <w:lang w:val="en-US" w:eastAsia="zh-CN" w:bidi="ar"/>
              </w:rPr>
              <w:t>寸</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卷</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铁易宝水性漆红色</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红色10KG</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联塑直通</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联塑弯头</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联塑直通</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32#</w:t>
            </w:r>
            <w:r>
              <w:rPr>
                <w:rStyle w:val="23"/>
                <w:lang w:val="en-US" w:eastAsia="zh-CN" w:bidi="ar"/>
              </w:rPr>
              <w:t>×</w:t>
            </w:r>
            <w:r>
              <w:rPr>
                <w:rStyle w:val="22"/>
                <w:rFonts w:eastAsia="宋体"/>
                <w:lang w:val="en-US" w:eastAsia="zh-CN" w:bidi="ar"/>
              </w:rPr>
              <w:t>20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联塑三通</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联塑直通</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25#</w:t>
            </w:r>
            <w:r>
              <w:rPr>
                <w:rStyle w:val="23"/>
                <w:lang w:val="en-US" w:eastAsia="zh-CN" w:bidi="ar"/>
              </w:rPr>
              <w:t>×</w:t>
            </w:r>
            <w:r>
              <w:rPr>
                <w:rStyle w:val="22"/>
                <w:rFonts w:eastAsia="宋体"/>
                <w:lang w:val="en-US" w:eastAsia="zh-CN" w:bidi="ar"/>
              </w:rPr>
              <w:t>20#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联塑三通</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75#</w:t>
            </w:r>
            <w:r>
              <w:rPr>
                <w:rStyle w:val="23"/>
                <w:lang w:val="en-US" w:eastAsia="zh-CN" w:bidi="ar"/>
              </w:rPr>
              <w:t>×</w:t>
            </w:r>
            <w:r>
              <w:rPr>
                <w:rStyle w:val="22"/>
                <w:rFonts w:eastAsia="宋体"/>
                <w:lang w:val="en-US" w:eastAsia="zh-CN" w:bidi="ar"/>
              </w:rPr>
              <w:t>50#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联塑三通</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联塑线管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w:t>
            </w:r>
            <w:r>
              <w:rPr>
                <w:rStyle w:val="23"/>
                <w:lang w:val="en-US" w:eastAsia="zh-CN" w:bidi="ar"/>
              </w:rPr>
              <w:t>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联塑三通</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w:t>
            </w:r>
            <w:r>
              <w:rPr>
                <w:rStyle w:val="23"/>
                <w:lang w:val="en-US" w:eastAsia="zh-CN" w:bidi="ar"/>
              </w:rPr>
              <w:t>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联塑直通</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w:t>
            </w:r>
            <w:r>
              <w:rPr>
                <w:rStyle w:val="23"/>
                <w:lang w:val="en-US" w:eastAsia="zh-CN" w:bidi="ar"/>
              </w:rPr>
              <w:t>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警戒带</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新料大卷</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立邦墙漆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18</w:t>
            </w:r>
            <w:r>
              <w:rPr>
                <w:rStyle w:val="23"/>
                <w:lang w:val="en-US" w:eastAsia="zh-CN" w:bidi="ar"/>
              </w:rPr>
              <w:t>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防锈油</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400毫升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佐田醇酸黑漆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1O</w:t>
            </w:r>
            <w:r>
              <w:rPr>
                <w:rStyle w:val="23"/>
                <w:lang w:val="en-US" w:eastAsia="zh-CN" w:bidi="ar"/>
              </w:rPr>
              <w:t>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r>
              <w:rPr>
                <w:rStyle w:val="23"/>
                <w:lang w:val="en-US" w:eastAsia="zh-CN" w:bidi="ar"/>
              </w:rPr>
              <w:t>卡防腐漆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r>
              <w:rPr>
                <w:rStyle w:val="23"/>
                <w:lang w:val="en-US" w:eastAsia="zh-CN" w:bidi="ar"/>
              </w:rPr>
              <w:t>卡水性</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天花板</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600*600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升发结构胶</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600</w:t>
            </w:r>
            <w:r>
              <w:rPr>
                <w:rStyle w:val="23"/>
                <w:lang w:val="en-US" w:eastAsia="zh-CN" w:bidi="ar"/>
              </w:rPr>
              <w:t>克</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国标拉爆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10*10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升发玻璃胶</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升发</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联塑底盒</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欧极光一体灯</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欧极光</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火嘴</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D8T</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嵩山防水锁</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40mm</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联塑胶塞</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盒</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南孚</w:t>
            </w:r>
            <w:r>
              <w:rPr>
                <w:rStyle w:val="22"/>
                <w:rFonts w:eastAsia="宋体"/>
                <w:lang w:val="en-US" w:eastAsia="zh-CN" w:bidi="ar"/>
              </w:rPr>
              <w:t>5</w:t>
            </w:r>
            <w:r>
              <w:rPr>
                <w:rStyle w:val="23"/>
                <w:lang w:val="en-US" w:eastAsia="zh-CN" w:bidi="ar"/>
              </w:rPr>
              <w:t>号电池</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w:t>
            </w:r>
            <w:r>
              <w:rPr>
                <w:rStyle w:val="23"/>
                <w:lang w:val="en-US" w:eastAsia="zh-CN" w:bidi="ar"/>
              </w:rPr>
              <w:t>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干切片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4寸</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指示灯</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佛山</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下水器</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联塑</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机头水</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20公斤</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大铁勺</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490克</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成天泰电线</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卷</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成天泰电线</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卷</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成天泰电线</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卷</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扎带</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3*2.5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美纹纸</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2公分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雪花桶反光套</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15cm</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气壶下水器防臭堵</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当心触电指示牌</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50cm</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30.50.100A</w:t>
            </w:r>
            <w:r>
              <w:rPr>
                <w:rStyle w:val="23"/>
                <w:lang w:val="en-US" w:eastAsia="zh-CN" w:bidi="ar"/>
              </w:rPr>
              <w:t>断路</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100A</w:t>
            </w:r>
            <w:r>
              <w:rPr>
                <w:rStyle w:val="23"/>
                <w:lang w:val="en-US" w:eastAsia="zh-CN" w:bidi="ar"/>
              </w:rPr>
              <w:t>的</w:t>
            </w:r>
            <w:r>
              <w:rPr>
                <w:rStyle w:val="22"/>
                <w:rFonts w:eastAsia="宋体"/>
                <w:lang w:val="en-US" w:eastAsia="zh-CN" w:bidi="ar"/>
              </w:rPr>
              <w:t>4300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腻子粉</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20kg</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乳胶漆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透明电箱</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18-20</w:t>
            </w:r>
            <w:r>
              <w:rPr>
                <w:rStyle w:val="23"/>
                <w:lang w:val="en-US" w:eastAsia="zh-CN" w:bidi="ar"/>
              </w:rPr>
              <w:t>位</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麻花钻</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w:t>
            </w:r>
            <w:r>
              <w:rPr>
                <w:rStyle w:val="23"/>
                <w:lang w:val="en-US" w:eastAsia="zh-CN" w:bidi="ar"/>
              </w:rPr>
              <w:t>厘</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69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高档镜两用扳手</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27厘</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高档镜两用扳手</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30厘</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高档镜两用扳手</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32厘</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72</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螺丝内六角</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8厘</w:t>
            </w:r>
          </w:p>
        </w:tc>
        <w:tc>
          <w:tcPr>
            <w:tcW w:w="1514"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斤</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73</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螺丝刀</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6寸</w:t>
            </w:r>
          </w:p>
        </w:tc>
        <w:tc>
          <w:tcPr>
            <w:tcW w:w="1514"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74</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电焊条</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422*φ3.2mm</w:t>
            </w:r>
          </w:p>
        </w:tc>
        <w:tc>
          <w:tcPr>
            <w:tcW w:w="1514"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502胶水</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5g</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不锈钢转轴</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0.38*0.65</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小便斗感应器</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30*48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喉箍</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19-25</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79</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焊镜片</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20*15</w:t>
            </w:r>
          </w:p>
        </w:tc>
        <w:tc>
          <w:tcPr>
            <w:tcW w:w="1514"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付</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80</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螺丝</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8*60</w:t>
            </w:r>
          </w:p>
        </w:tc>
        <w:tc>
          <w:tcPr>
            <w:tcW w:w="1514"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81</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螺丝</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10*60</w:t>
            </w:r>
          </w:p>
        </w:tc>
        <w:tc>
          <w:tcPr>
            <w:tcW w:w="1514"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82</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螺丝</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12*60</w:t>
            </w:r>
          </w:p>
        </w:tc>
        <w:tc>
          <w:tcPr>
            <w:tcW w:w="1514"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垫片</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20厘</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斤</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PE板</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90*120</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85</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脚轮</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4.5寸</w:t>
            </w:r>
          </w:p>
        </w:tc>
        <w:tc>
          <w:tcPr>
            <w:tcW w:w="1514"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86</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圆钢</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1514"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高级滑油</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mp-3</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罐</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灯膜</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72w</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89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滚心</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5寸</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90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滚筒</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12寸</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91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一卡水性调色</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92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5卡油性黄色</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93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拖把池下水器</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20mm</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94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加厚白胶桶</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10L</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95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螺丝刀</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两用</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96</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胶手套加厚</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600g</w:t>
            </w:r>
          </w:p>
        </w:tc>
        <w:tc>
          <w:tcPr>
            <w:tcW w:w="1514"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97</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梅花扳手</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24厘</w:t>
            </w:r>
          </w:p>
        </w:tc>
        <w:tc>
          <w:tcPr>
            <w:tcW w:w="1514"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98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螺杆</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10*120</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99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螺丝</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6厘</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丙稀酸地板漆</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佐田12L</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筒灯</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4寸</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102</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彩条布</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4米</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扎</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尖嘴钳</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常规</w:t>
            </w:r>
          </w:p>
        </w:tc>
        <w:tc>
          <w:tcPr>
            <w:tcW w:w="1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104</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梯子</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6级</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105</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梯子</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8级</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106</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铲子</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尖铲</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107</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铲子</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平铲</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108</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钩子</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20型电缆s钩</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109</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电缆钩</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68矿用电缆钩</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110</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太阳灯</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50w</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111</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太阳灯</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112</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太阳灯</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200w</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113</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搅拌杆</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加粗螺纹钢水钻</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114</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石头漆喷枪</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三木</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115</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瓷砖调节器</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116</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洗衣机进水管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1.5m</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117</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洗衣机进水管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2m</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118</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洗衣机进水管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3m</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119</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洗衣机进水管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5m</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120</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玻璃清洁刀</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短款</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121</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玻璃清洁刀</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长款</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0"/>
                <w:szCs w:val="20"/>
                <w:u w:val="none"/>
              </w:rPr>
            </w:pPr>
            <w:r>
              <w:rPr>
                <w:rFonts w:hint="default" w:ascii="Calibri" w:hAnsi="Calibri" w:eastAsia="宋体" w:cs="Calibri"/>
                <w:b/>
                <w:bCs/>
                <w:i w:val="0"/>
                <w:iCs w:val="0"/>
                <w:color w:val="000000"/>
                <w:kern w:val="0"/>
                <w:sz w:val="20"/>
                <w:szCs w:val="20"/>
                <w:u w:val="none"/>
                <w:lang w:val="en-US" w:eastAsia="zh-CN" w:bidi="ar"/>
              </w:rPr>
              <w:t>122</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防水插</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五孔</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bl>
    <w:p>
      <w:pPr>
        <w:pStyle w:val="2"/>
        <w:rPr>
          <w:rFonts w:hint="eastAsia" w:ascii="仿宋_GB2312" w:hAnsi="仿宋_GB2312" w:eastAsia="仿宋_GB2312" w:cs="仿宋_GB2312"/>
          <w:bCs/>
          <w:snapToGrid w:val="0"/>
          <w:color w:val="000000" w:themeColor="text1"/>
          <w:sz w:val="24"/>
          <w:highlight w:val="yellow"/>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3CA08"/>
    <w:multiLevelType w:val="singleLevel"/>
    <w:tmpl w:val="B813CA08"/>
    <w:lvl w:ilvl="0" w:tentative="0">
      <w:start w:val="1"/>
      <w:numFmt w:val="decimal"/>
      <w:lvlText w:val="%1."/>
      <w:lvlJc w:val="left"/>
      <w:pPr>
        <w:tabs>
          <w:tab w:val="left" w:pos="312"/>
        </w:tabs>
        <w:ind w:left="120" w:leftChars="0" w:firstLine="0" w:firstLineChars="0"/>
      </w:pPr>
    </w:lvl>
  </w:abstractNum>
  <w:abstractNum w:abstractNumId="1">
    <w:nsid w:val="CD6ABE01"/>
    <w:multiLevelType w:val="singleLevel"/>
    <w:tmpl w:val="CD6ABE01"/>
    <w:lvl w:ilvl="0" w:tentative="0">
      <w:start w:val="1"/>
      <w:numFmt w:val="decimal"/>
      <w:lvlText w:val="%1."/>
      <w:lvlJc w:val="left"/>
      <w:pPr>
        <w:tabs>
          <w:tab w:val="left" w:pos="312"/>
        </w:tabs>
        <w:ind w:left="120" w:leftChars="0" w:firstLine="0" w:firstLineChars="0"/>
      </w:pPr>
    </w:lvl>
  </w:abstractNum>
  <w:abstractNum w:abstractNumId="2">
    <w:nsid w:val="D9FF3CB4"/>
    <w:multiLevelType w:val="singleLevel"/>
    <w:tmpl w:val="D9FF3CB4"/>
    <w:lvl w:ilvl="0" w:tentative="0">
      <w:start w:val="1"/>
      <w:numFmt w:val="decimal"/>
      <w:lvlText w:val="%1."/>
      <w:lvlJc w:val="left"/>
      <w:pPr>
        <w:tabs>
          <w:tab w:val="left" w:pos="312"/>
        </w:tabs>
        <w:ind w:left="120" w:leftChars="0" w:firstLine="0" w:firstLineChars="0"/>
      </w:pPr>
    </w:lvl>
  </w:abstractNum>
  <w:abstractNum w:abstractNumId="3">
    <w:nsid w:val="E3F81F4D"/>
    <w:multiLevelType w:val="singleLevel"/>
    <w:tmpl w:val="E3F81F4D"/>
    <w:lvl w:ilvl="0" w:tentative="0">
      <w:start w:val="1"/>
      <w:numFmt w:val="decimal"/>
      <w:suff w:val="nothing"/>
      <w:lvlText w:val="%1、"/>
      <w:lvlJc w:val="left"/>
      <w:pPr>
        <w:ind w:left="120" w:leftChars="0" w:firstLine="0" w:firstLineChars="0"/>
      </w:pPr>
    </w:lvl>
  </w:abstractNum>
  <w:abstractNum w:abstractNumId="4">
    <w:nsid w:val="26A8DFE4"/>
    <w:multiLevelType w:val="singleLevel"/>
    <w:tmpl w:val="26A8DFE4"/>
    <w:lvl w:ilvl="0" w:tentative="0">
      <w:start w:val="1"/>
      <w:numFmt w:val="decimal"/>
      <w:lvlText w:val="%1."/>
      <w:lvlJc w:val="left"/>
      <w:pPr>
        <w:tabs>
          <w:tab w:val="left" w:pos="312"/>
        </w:tabs>
        <w:ind w:left="120" w:leftChars="0" w:firstLine="0" w:firstLineChars="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4OTIxZDhjNzdkODA0NjcyNGE0NDM1ZDM1YzIwMTMifQ=="/>
  </w:docVars>
  <w:rsids>
    <w:rsidRoot w:val="03DA5FD8"/>
    <w:rsid w:val="00065A75"/>
    <w:rsid w:val="000816E2"/>
    <w:rsid w:val="00122C85"/>
    <w:rsid w:val="001C3B62"/>
    <w:rsid w:val="002A735A"/>
    <w:rsid w:val="003239A9"/>
    <w:rsid w:val="006038F2"/>
    <w:rsid w:val="007C02E4"/>
    <w:rsid w:val="00B26E33"/>
    <w:rsid w:val="00CE4013"/>
    <w:rsid w:val="00EB507E"/>
    <w:rsid w:val="00F3728A"/>
    <w:rsid w:val="00FE3D39"/>
    <w:rsid w:val="03DA5FD8"/>
    <w:rsid w:val="05BC0E3E"/>
    <w:rsid w:val="05C807C9"/>
    <w:rsid w:val="06936826"/>
    <w:rsid w:val="07BD753F"/>
    <w:rsid w:val="07FB4E2D"/>
    <w:rsid w:val="0A182CB4"/>
    <w:rsid w:val="0C656BC6"/>
    <w:rsid w:val="16B94831"/>
    <w:rsid w:val="18291936"/>
    <w:rsid w:val="195B397D"/>
    <w:rsid w:val="19A94DBA"/>
    <w:rsid w:val="19E46CA3"/>
    <w:rsid w:val="19F50CA1"/>
    <w:rsid w:val="1D017D52"/>
    <w:rsid w:val="1D73355D"/>
    <w:rsid w:val="1F3E4310"/>
    <w:rsid w:val="2161256D"/>
    <w:rsid w:val="264013F8"/>
    <w:rsid w:val="269B6219"/>
    <w:rsid w:val="285E0D94"/>
    <w:rsid w:val="292F72C5"/>
    <w:rsid w:val="2AC450FA"/>
    <w:rsid w:val="2C0C6D59"/>
    <w:rsid w:val="2CD30697"/>
    <w:rsid w:val="2FFC7808"/>
    <w:rsid w:val="333C0031"/>
    <w:rsid w:val="39455658"/>
    <w:rsid w:val="3BA1109C"/>
    <w:rsid w:val="3C284C42"/>
    <w:rsid w:val="3D0A38AF"/>
    <w:rsid w:val="411B1238"/>
    <w:rsid w:val="411C3143"/>
    <w:rsid w:val="435F0E5C"/>
    <w:rsid w:val="48930C2F"/>
    <w:rsid w:val="49D50008"/>
    <w:rsid w:val="4B1A6391"/>
    <w:rsid w:val="4CF130C1"/>
    <w:rsid w:val="4D453A21"/>
    <w:rsid w:val="4D4D4DDF"/>
    <w:rsid w:val="4D9C5D37"/>
    <w:rsid w:val="4E0B752F"/>
    <w:rsid w:val="4EA27C16"/>
    <w:rsid w:val="4FA34ADF"/>
    <w:rsid w:val="505C355C"/>
    <w:rsid w:val="532D2ADB"/>
    <w:rsid w:val="556F6555"/>
    <w:rsid w:val="5A2215A8"/>
    <w:rsid w:val="5BBB3EA3"/>
    <w:rsid w:val="5DBB2822"/>
    <w:rsid w:val="5E132C94"/>
    <w:rsid w:val="5E3727A3"/>
    <w:rsid w:val="60306656"/>
    <w:rsid w:val="63C93DC8"/>
    <w:rsid w:val="65BD731E"/>
    <w:rsid w:val="66DE7273"/>
    <w:rsid w:val="6CE34991"/>
    <w:rsid w:val="6E2A65EF"/>
    <w:rsid w:val="6EEB4734"/>
    <w:rsid w:val="72EF7716"/>
    <w:rsid w:val="785328F5"/>
    <w:rsid w:val="786646C8"/>
    <w:rsid w:val="7CA85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jc w:val="center"/>
      <w:outlineLvl w:val="0"/>
    </w:pPr>
    <w:rPr>
      <w:rFonts w:eastAsia="黑体"/>
      <w:bCs/>
      <w:kern w:val="44"/>
      <w:sz w:val="36"/>
      <w:szCs w:val="36"/>
    </w:rPr>
  </w:style>
  <w:style w:type="paragraph" w:styleId="4">
    <w:name w:val="heading 3"/>
    <w:basedOn w:val="5"/>
    <w:next w:val="1"/>
    <w:unhideWhenUsed/>
    <w:qFormat/>
    <w:uiPriority w:val="0"/>
    <w:pPr>
      <w:outlineLvl w:val="2"/>
    </w:pPr>
    <w:rPr>
      <w:rFonts w:ascii="Calibri" w:hAnsi="Calibri" w:eastAsia="宋体"/>
      <w:sz w:val="32"/>
    </w:rPr>
  </w:style>
  <w:style w:type="paragraph" w:styleId="5">
    <w:name w:val="heading 4"/>
    <w:basedOn w:val="1"/>
    <w:next w:val="1"/>
    <w:unhideWhenUsed/>
    <w:qFormat/>
    <w:uiPriority w:val="0"/>
    <w:pPr>
      <w:keepNext/>
      <w:keepLines/>
      <w:outlineLvl w:val="3"/>
    </w:pPr>
    <w:rPr>
      <w:rFonts w:ascii="Arial" w:hAnsi="Arial" w:eastAsia="黑体" w:cs="Times New Roman"/>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link w:val="18"/>
    <w:qFormat/>
    <w:uiPriority w:val="0"/>
    <w:pPr>
      <w:jc w:val="left"/>
    </w:pPr>
  </w:style>
  <w:style w:type="paragraph" w:styleId="7">
    <w:name w:val="Balloon Text"/>
    <w:basedOn w:val="1"/>
    <w:semiHidden/>
    <w:qFormat/>
    <w:uiPriority w:val="99"/>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kern w:val="0"/>
      <w:sz w:val="24"/>
      <w:szCs w:val="20"/>
    </w:rPr>
  </w:style>
  <w:style w:type="paragraph" w:styleId="11">
    <w:name w:val="annotation subject"/>
    <w:basedOn w:val="6"/>
    <w:next w:val="6"/>
    <w:link w:val="19"/>
    <w:qFormat/>
    <w:uiPriority w:val="0"/>
    <w:rPr>
      <w:b/>
      <w:bCs/>
    </w:rPr>
  </w:style>
  <w:style w:type="character" w:styleId="14">
    <w:name w:val="annotation reference"/>
    <w:basedOn w:val="13"/>
    <w:qFormat/>
    <w:uiPriority w:val="0"/>
    <w:rPr>
      <w:sz w:val="21"/>
      <w:szCs w:val="21"/>
    </w:rPr>
  </w:style>
  <w:style w:type="character" w:customStyle="1" w:styleId="15">
    <w:name w:val="页眉 字符"/>
    <w:basedOn w:val="13"/>
    <w:link w:val="9"/>
    <w:qFormat/>
    <w:uiPriority w:val="0"/>
    <w:rPr>
      <w:kern w:val="2"/>
      <w:sz w:val="18"/>
      <w:szCs w:val="18"/>
    </w:rPr>
  </w:style>
  <w:style w:type="character" w:customStyle="1" w:styleId="16">
    <w:name w:val="页脚 字符"/>
    <w:basedOn w:val="13"/>
    <w:link w:val="8"/>
    <w:qFormat/>
    <w:uiPriority w:val="0"/>
    <w:rPr>
      <w:kern w:val="2"/>
      <w:sz w:val="18"/>
      <w:szCs w:val="18"/>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3"/>
    <w:link w:val="6"/>
    <w:qFormat/>
    <w:uiPriority w:val="0"/>
    <w:rPr>
      <w:kern w:val="2"/>
      <w:sz w:val="21"/>
      <w:szCs w:val="24"/>
    </w:rPr>
  </w:style>
  <w:style w:type="character" w:customStyle="1" w:styleId="19">
    <w:name w:val="批注主题 字符"/>
    <w:basedOn w:val="18"/>
    <w:link w:val="11"/>
    <w:qFormat/>
    <w:uiPriority w:val="0"/>
    <w:rPr>
      <w:b/>
      <w:bCs/>
      <w:kern w:val="2"/>
      <w:sz w:val="21"/>
      <w:szCs w:val="24"/>
    </w:rPr>
  </w:style>
  <w:style w:type="character" w:customStyle="1" w:styleId="20">
    <w:name w:val="font61"/>
    <w:basedOn w:val="13"/>
    <w:qFormat/>
    <w:uiPriority w:val="0"/>
    <w:rPr>
      <w:rFonts w:hint="eastAsia" w:ascii="宋体" w:hAnsi="宋体" w:eastAsia="宋体" w:cs="宋体"/>
      <w:b/>
      <w:bCs/>
      <w:color w:val="000000"/>
      <w:sz w:val="32"/>
      <w:szCs w:val="32"/>
      <w:u w:val="none"/>
    </w:rPr>
  </w:style>
  <w:style w:type="character" w:customStyle="1" w:styleId="21">
    <w:name w:val="font41"/>
    <w:basedOn w:val="13"/>
    <w:qFormat/>
    <w:uiPriority w:val="0"/>
    <w:rPr>
      <w:rFonts w:hint="default" w:ascii="Calibri" w:hAnsi="Calibri" w:cs="Calibri"/>
      <w:b/>
      <w:bCs/>
      <w:color w:val="000000"/>
      <w:sz w:val="32"/>
      <w:szCs w:val="32"/>
      <w:u w:val="none"/>
    </w:rPr>
  </w:style>
  <w:style w:type="character" w:customStyle="1" w:styleId="22">
    <w:name w:val="font51"/>
    <w:basedOn w:val="13"/>
    <w:qFormat/>
    <w:uiPriority w:val="0"/>
    <w:rPr>
      <w:rFonts w:hint="default" w:ascii="Calibri" w:hAnsi="Calibri" w:cs="Calibri"/>
      <w:b/>
      <w:bCs/>
      <w:color w:val="000000"/>
      <w:sz w:val="20"/>
      <w:szCs w:val="20"/>
      <w:u w:val="none"/>
    </w:rPr>
  </w:style>
  <w:style w:type="character" w:customStyle="1" w:styleId="23">
    <w:name w:val="font11"/>
    <w:basedOn w:val="1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72C59-E33A-4B8B-B79B-7AD280F9DB2E}">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395</Words>
  <Characters>2257</Characters>
  <Lines>18</Lines>
  <Paragraphs>5</Paragraphs>
  <TotalTime>0</TotalTime>
  <ScaleCrop>false</ScaleCrop>
  <LinksUpToDate>false</LinksUpToDate>
  <CharactersWithSpaces>2647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2023-12-25T02:57:00Z</dcterms:created>
  <cp:lastPrinted>2024-09-19T01:13:00Z</cp:lastPrinted>
  <dcterms:modified xsi:type="dcterms:W3CDTF">2024-09-24T07:39:26Z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1CCB2E3BD1064494B0AD9AA347BC1163</vt:lpwstr>
  </property>
</Properties>
</file>