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8931B">
      <w:pPr>
        <w:jc w:val="center"/>
        <w:rPr>
          <w:rFonts w:ascii="方正小标宋简体" w:hAnsi="仿宋_GB2312" w:eastAsia="方正小标宋简体" w:cs="仿宋_GB2312"/>
          <w:b w:val="0"/>
          <w:bCs w:val="0"/>
          <w:sz w:val="44"/>
          <w:szCs w:val="44"/>
          <w:highlight w:val="none"/>
        </w:rPr>
      </w:pPr>
      <w:r>
        <w:rPr>
          <w:rFonts w:hint="eastAsia" w:ascii="方正小标宋简体" w:hAnsi="仿宋_GB2312" w:eastAsia="方正小标宋简体" w:cs="仿宋_GB2312"/>
          <w:b w:val="0"/>
          <w:bCs w:val="0"/>
          <w:sz w:val="44"/>
          <w:szCs w:val="44"/>
          <w:highlight w:val="none"/>
          <w:lang w:eastAsia="zh-CN"/>
        </w:rPr>
        <w:t xml:space="preserve"> 采购</w:t>
      </w:r>
      <w:r>
        <w:rPr>
          <w:rFonts w:hint="eastAsia" w:ascii="方正小标宋简体" w:hAnsi="仿宋_GB2312" w:eastAsia="方正小标宋简体" w:cs="仿宋_GB2312"/>
          <w:b w:val="0"/>
          <w:bCs w:val="0"/>
          <w:sz w:val="44"/>
          <w:szCs w:val="44"/>
          <w:highlight w:val="none"/>
          <w:lang w:val="en-US" w:eastAsia="zh-CN"/>
        </w:rPr>
        <w:t>作业</w:t>
      </w:r>
      <w:r>
        <w:rPr>
          <w:rFonts w:hint="eastAsia" w:ascii="方正小标宋简体" w:hAnsi="仿宋_GB2312" w:eastAsia="方正小标宋简体" w:cs="仿宋_GB2312"/>
          <w:b w:val="0"/>
          <w:bCs w:val="0"/>
          <w:sz w:val="44"/>
          <w:szCs w:val="44"/>
          <w:highlight w:val="none"/>
          <w:lang w:eastAsia="zh-CN"/>
        </w:rPr>
        <w:t>人员与</w:t>
      </w:r>
      <w:r>
        <w:rPr>
          <w:rFonts w:hint="eastAsia" w:ascii="方正小标宋简体" w:hAnsi="仿宋_GB2312" w:eastAsia="方正小标宋简体" w:cs="仿宋_GB2312"/>
          <w:b w:val="0"/>
          <w:bCs w:val="0"/>
          <w:sz w:val="44"/>
          <w:szCs w:val="44"/>
          <w:highlight w:val="none"/>
          <w:lang w:val="en-US" w:eastAsia="zh-CN"/>
        </w:rPr>
        <w:t>作业</w:t>
      </w:r>
      <w:r>
        <w:rPr>
          <w:rFonts w:hint="eastAsia" w:ascii="方正小标宋简体" w:hAnsi="仿宋_GB2312" w:eastAsia="方正小标宋简体" w:cs="仿宋_GB2312"/>
          <w:b w:val="0"/>
          <w:bCs w:val="0"/>
          <w:sz w:val="44"/>
          <w:szCs w:val="44"/>
          <w:highlight w:val="none"/>
          <w:lang w:eastAsia="zh-CN"/>
        </w:rPr>
        <w:t>车辆精细化管理服务</w:t>
      </w:r>
      <w:r>
        <w:rPr>
          <w:rFonts w:hint="eastAsia" w:ascii="方正小标宋简体" w:hAnsi="仿宋_GB2312" w:eastAsia="方正小标宋简体" w:cs="仿宋_GB2312"/>
          <w:b w:val="0"/>
          <w:bCs w:val="0"/>
          <w:sz w:val="44"/>
          <w:szCs w:val="44"/>
          <w:highlight w:val="none"/>
        </w:rPr>
        <w:t>遴选招标文件</w:t>
      </w:r>
    </w:p>
    <w:tbl>
      <w:tblPr>
        <w:tblStyle w:val="12"/>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00"/>
        <w:gridCol w:w="7200"/>
      </w:tblGrid>
      <w:tr w14:paraId="6719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95" w:type="dxa"/>
            <w:tcBorders>
              <w:tl2br w:val="nil"/>
              <w:tr2bl w:val="nil"/>
            </w:tcBorders>
            <w:vAlign w:val="center"/>
          </w:tcPr>
          <w:p w14:paraId="204666FF">
            <w:pPr>
              <w:spacing w:line="400" w:lineRule="exact"/>
              <w:jc w:val="center"/>
              <w:rPr>
                <w:rFonts w:ascii="仿宋_GB2312" w:hAnsi="仿宋_GB2312" w:eastAsia="仿宋_GB2312" w:cs="仿宋_GB2312"/>
                <w:b/>
                <w:snapToGrid w:val="0"/>
                <w:sz w:val="24"/>
                <w:highlight w:val="none"/>
              </w:rPr>
            </w:pPr>
            <w:r>
              <w:rPr>
                <w:rFonts w:hint="eastAsia" w:ascii="仿宋_GB2312" w:hAnsi="仿宋_GB2312" w:eastAsia="仿宋_GB2312" w:cs="仿宋_GB2312"/>
                <w:b/>
                <w:snapToGrid w:val="0"/>
                <w:sz w:val="24"/>
                <w:highlight w:val="none"/>
              </w:rPr>
              <w:t>序号</w:t>
            </w:r>
          </w:p>
        </w:tc>
        <w:tc>
          <w:tcPr>
            <w:tcW w:w="1500" w:type="dxa"/>
            <w:tcBorders>
              <w:tl2br w:val="nil"/>
              <w:tr2bl w:val="nil"/>
            </w:tcBorders>
            <w:vAlign w:val="center"/>
          </w:tcPr>
          <w:p w14:paraId="4FE6125A">
            <w:pPr>
              <w:spacing w:line="400" w:lineRule="exact"/>
              <w:jc w:val="center"/>
              <w:rPr>
                <w:rFonts w:ascii="仿宋_GB2312" w:hAnsi="仿宋_GB2312" w:eastAsia="仿宋_GB2312" w:cs="仿宋_GB2312"/>
                <w:b/>
                <w:snapToGrid w:val="0"/>
                <w:sz w:val="24"/>
                <w:highlight w:val="none"/>
              </w:rPr>
            </w:pPr>
            <w:r>
              <w:rPr>
                <w:rFonts w:hint="eastAsia" w:ascii="仿宋_GB2312" w:hAnsi="仿宋_GB2312" w:eastAsia="仿宋_GB2312" w:cs="仿宋_GB2312"/>
                <w:b/>
                <w:snapToGrid w:val="0"/>
                <w:sz w:val="24"/>
                <w:highlight w:val="none"/>
              </w:rPr>
              <w:t>项目</w:t>
            </w:r>
          </w:p>
        </w:tc>
        <w:tc>
          <w:tcPr>
            <w:tcW w:w="7200" w:type="dxa"/>
            <w:tcBorders>
              <w:tl2br w:val="nil"/>
              <w:tr2bl w:val="nil"/>
            </w:tcBorders>
            <w:vAlign w:val="center"/>
          </w:tcPr>
          <w:p w14:paraId="616B9692">
            <w:pPr>
              <w:spacing w:line="400" w:lineRule="exact"/>
              <w:jc w:val="center"/>
              <w:rPr>
                <w:rFonts w:ascii="仿宋_GB2312" w:hAnsi="仿宋_GB2312" w:eastAsia="仿宋_GB2312" w:cs="仿宋_GB2312"/>
                <w:b/>
                <w:snapToGrid w:val="0"/>
                <w:sz w:val="24"/>
                <w:highlight w:val="none"/>
              </w:rPr>
            </w:pPr>
            <w:r>
              <w:rPr>
                <w:rFonts w:hint="eastAsia" w:ascii="仿宋_GB2312" w:hAnsi="仿宋_GB2312" w:eastAsia="仿宋_GB2312" w:cs="仿宋_GB2312"/>
                <w:b/>
                <w:snapToGrid w:val="0"/>
                <w:sz w:val="24"/>
                <w:highlight w:val="none"/>
              </w:rPr>
              <w:t>内容摘要说明</w:t>
            </w:r>
          </w:p>
        </w:tc>
      </w:tr>
      <w:tr w14:paraId="75C0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95" w:type="dxa"/>
            <w:tcBorders>
              <w:tl2br w:val="nil"/>
              <w:tr2bl w:val="nil"/>
            </w:tcBorders>
            <w:vAlign w:val="center"/>
          </w:tcPr>
          <w:p w14:paraId="1E49A239">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w:t>
            </w:r>
          </w:p>
        </w:tc>
        <w:tc>
          <w:tcPr>
            <w:tcW w:w="1500" w:type="dxa"/>
            <w:tcBorders>
              <w:tl2br w:val="nil"/>
              <w:tr2bl w:val="nil"/>
            </w:tcBorders>
            <w:vAlign w:val="center"/>
          </w:tcPr>
          <w:p w14:paraId="05D8A4DE">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项目名称</w:t>
            </w:r>
          </w:p>
        </w:tc>
        <w:tc>
          <w:tcPr>
            <w:tcW w:w="7200" w:type="dxa"/>
            <w:tcBorders>
              <w:tl2br w:val="nil"/>
              <w:tr2bl w:val="nil"/>
            </w:tcBorders>
            <w:vAlign w:val="center"/>
          </w:tcPr>
          <w:p w14:paraId="2B97CE41">
            <w:pPr>
              <w:spacing w:line="4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采购</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作业</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人员与</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作业</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车辆精细化管理服务</w:t>
            </w:r>
          </w:p>
        </w:tc>
      </w:tr>
      <w:tr w14:paraId="3E6D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795" w:type="dxa"/>
            <w:tcBorders>
              <w:tl2br w:val="nil"/>
              <w:tr2bl w:val="nil"/>
            </w:tcBorders>
            <w:vAlign w:val="center"/>
          </w:tcPr>
          <w:p w14:paraId="0C31A37A">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2</w:t>
            </w:r>
          </w:p>
        </w:tc>
        <w:tc>
          <w:tcPr>
            <w:tcW w:w="1500" w:type="dxa"/>
            <w:tcBorders>
              <w:tl2br w:val="nil"/>
              <w:tr2bl w:val="nil"/>
            </w:tcBorders>
            <w:vAlign w:val="center"/>
          </w:tcPr>
          <w:p w14:paraId="26D247B4">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项目概况</w:t>
            </w:r>
          </w:p>
        </w:tc>
        <w:tc>
          <w:tcPr>
            <w:tcW w:w="7200" w:type="dxa"/>
            <w:tcBorders>
              <w:tl2br w:val="nil"/>
              <w:tr2bl w:val="nil"/>
            </w:tcBorders>
            <w:vAlign w:val="center"/>
          </w:tcPr>
          <w:p w14:paraId="4B1DB81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 w:val="left" w:pos="8820"/>
                <w:tab w:val="left" w:pos="9240"/>
              </w:tabs>
              <w:spacing w:line="400" w:lineRule="exact"/>
              <w:ind w:firstLine="480" w:firstLineChars="200"/>
              <w:rPr>
                <w:rFonts w:ascii="仿宋_GB2312" w:hAnsi="仿宋_GB2312" w:eastAsia="仿宋_GB2312" w:cs="仿宋_GB2312"/>
                <w:snapToGrid w:val="0"/>
                <w:color w:val="000000" w:themeColor="text1"/>
                <w:sz w:val="24"/>
                <w:highlight w:val="none"/>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深圳市龙华环境有限公司（以下简称环境公司）主要经营城市道路清扫、保洁、垃圾收集分类、运输、处理及固体废物的治理；绿地养护、污水处理、环境监测及治理等环卫业务。根据</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公司相关业务</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要求，环境公司拟</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确定一家供应商采购人员与车辆精细化管理服务</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w:t>
            </w:r>
          </w:p>
        </w:tc>
      </w:tr>
      <w:tr w14:paraId="5AA2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95" w:type="dxa"/>
            <w:tcBorders>
              <w:tl2br w:val="nil"/>
              <w:tr2bl w:val="nil"/>
            </w:tcBorders>
            <w:vAlign w:val="center"/>
          </w:tcPr>
          <w:p w14:paraId="14F75036">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3</w:t>
            </w:r>
          </w:p>
        </w:tc>
        <w:tc>
          <w:tcPr>
            <w:tcW w:w="1500" w:type="dxa"/>
            <w:tcBorders>
              <w:tl2br w:val="nil"/>
              <w:tr2bl w:val="nil"/>
            </w:tcBorders>
            <w:vAlign w:val="center"/>
          </w:tcPr>
          <w:p w14:paraId="3C5BBF1E">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招标内容</w:t>
            </w:r>
          </w:p>
        </w:tc>
        <w:tc>
          <w:tcPr>
            <w:tcW w:w="7200" w:type="dxa"/>
            <w:tcBorders>
              <w:tl2br w:val="nil"/>
              <w:tr2bl w:val="nil"/>
            </w:tcBorders>
            <w:vAlign w:val="center"/>
          </w:tcPr>
          <w:p w14:paraId="49B0204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 w:val="left" w:pos="8820"/>
                <w:tab w:val="left" w:pos="9240"/>
              </w:tabs>
              <w:spacing w:line="400" w:lineRule="exact"/>
              <w:ind w:firstLine="480" w:firstLineChars="200"/>
              <w:rPr>
                <w:rFonts w:hint="eastAsia" w:ascii="仿宋_GB2312" w:hAnsi="仿宋_GB2312" w:eastAsia="仿宋_GB2312" w:cs="仿宋_GB2312"/>
                <w:bCs/>
                <w:snapToGrid w:val="0"/>
                <w:color w:val="000000" w:themeColor="text1"/>
                <w:sz w:val="24"/>
                <w:highlight w:val="none"/>
                <w14:textFill>
                  <w14:solidFill>
                    <w14:schemeClr w14:val="tx1"/>
                  </w14:solidFill>
                </w14:textFill>
              </w:rPr>
            </w:pPr>
            <w:r>
              <w:rPr>
                <w:rFonts w:hint="eastAsia" w:ascii="仿宋_GB2312" w:hAnsi="仿宋_GB2312" w:eastAsia="仿宋_GB2312" w:cs="仿宋_GB2312"/>
                <w:bCs/>
                <w:snapToGrid w:val="0"/>
                <w:sz w:val="24"/>
                <w:highlight w:val="none"/>
              </w:rPr>
              <w:t>拟确定</w:t>
            </w:r>
            <w:r>
              <w:rPr>
                <w:rFonts w:hint="eastAsia" w:ascii="仿宋_GB2312" w:hAnsi="仿宋_GB2312" w:eastAsia="仿宋_GB2312" w:cs="仿宋_GB2312"/>
                <w:bCs/>
                <w:snapToGrid w:val="0"/>
                <w:sz w:val="24"/>
                <w:highlight w:val="none"/>
                <w:lang w:eastAsia="zh-CN"/>
              </w:rPr>
              <w:t>一</w:t>
            </w:r>
            <w:r>
              <w:rPr>
                <w:rFonts w:hint="eastAsia" w:ascii="仿宋_GB2312" w:hAnsi="仿宋_GB2312" w:eastAsia="仿宋_GB2312" w:cs="仿宋_GB2312"/>
                <w:bCs/>
                <w:snapToGrid w:val="0"/>
                <w:sz w:val="24"/>
                <w:highlight w:val="none"/>
              </w:rPr>
              <w:t>家满足条件的供应商</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，提供</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人员与车辆精细化管理服务</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；招标完成后，与中标单位签订采购合同，中标人按合同要求履约。</w:t>
            </w:r>
          </w:p>
          <w:p w14:paraId="52E2922F">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pP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自合同签订之日起一年。第一年为本次招标的中标服务期限，采购单位可根据项目需要和中标供应商的履约情况确定合同期限是否延长。合同一年一签，一年合同期满后，</w:t>
            </w:r>
            <w:r>
              <w:rPr>
                <w:rFonts w:hint="eastAsia" w:ascii="仿宋_GB2312" w:hAnsi="仿宋_GB2312" w:eastAsia="仿宋_GB2312" w:cs="仿宋_GB2312"/>
                <w:b w:val="0"/>
                <w:bCs/>
                <w:snapToGrid w:val="0"/>
                <w:color w:val="000000" w:themeColor="text1"/>
                <w:kern w:val="2"/>
                <w:sz w:val="24"/>
                <w:szCs w:val="24"/>
                <w:lang w:val="en-US" w:eastAsia="zh-CN"/>
                <w14:textFill>
                  <w14:solidFill>
                    <w14:schemeClr w14:val="tx1"/>
                  </w14:solidFill>
                </w14:textFill>
              </w:rPr>
              <w:t>经履约考核评价为优秀的，可以续约，</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但最长不超过三年。</w:t>
            </w:r>
          </w:p>
        </w:tc>
      </w:tr>
      <w:tr w14:paraId="56E6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95" w:type="dxa"/>
            <w:tcBorders>
              <w:tl2br w:val="nil"/>
              <w:tr2bl w:val="nil"/>
            </w:tcBorders>
            <w:vAlign w:val="center"/>
          </w:tcPr>
          <w:p w14:paraId="62D3D0C2">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4</w:t>
            </w:r>
          </w:p>
        </w:tc>
        <w:tc>
          <w:tcPr>
            <w:tcW w:w="1500" w:type="dxa"/>
            <w:tcBorders>
              <w:tl2br w:val="nil"/>
              <w:tr2bl w:val="nil"/>
            </w:tcBorders>
            <w:vAlign w:val="center"/>
          </w:tcPr>
          <w:p w14:paraId="10E393ED">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计价方式</w:t>
            </w:r>
          </w:p>
        </w:tc>
        <w:tc>
          <w:tcPr>
            <w:tcW w:w="7200" w:type="dxa"/>
            <w:tcBorders>
              <w:tl2br w:val="nil"/>
              <w:tr2bl w:val="nil"/>
            </w:tcBorders>
            <w:vAlign w:val="center"/>
          </w:tcPr>
          <w:p w14:paraId="63FFE950">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sz w:val="24"/>
                <w:highlight w:val="none"/>
              </w:rPr>
              <w:t>据实结算，但支付总价不高于合同价。</w:t>
            </w:r>
          </w:p>
        </w:tc>
      </w:tr>
      <w:tr w14:paraId="66E0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95" w:type="dxa"/>
            <w:tcBorders>
              <w:tl2br w:val="nil"/>
              <w:tr2bl w:val="nil"/>
            </w:tcBorders>
            <w:vAlign w:val="center"/>
          </w:tcPr>
          <w:p w14:paraId="049524A8">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5</w:t>
            </w:r>
          </w:p>
        </w:tc>
        <w:tc>
          <w:tcPr>
            <w:tcW w:w="1500" w:type="dxa"/>
            <w:tcBorders>
              <w:tl2br w:val="nil"/>
              <w:tr2bl w:val="nil"/>
            </w:tcBorders>
            <w:vAlign w:val="center"/>
          </w:tcPr>
          <w:p w14:paraId="14F7992D">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招标控制价</w:t>
            </w:r>
          </w:p>
        </w:tc>
        <w:tc>
          <w:tcPr>
            <w:tcW w:w="7200" w:type="dxa"/>
            <w:tcBorders>
              <w:tl2br w:val="nil"/>
              <w:tr2bl w:val="nil"/>
            </w:tcBorders>
            <w:vAlign w:val="center"/>
          </w:tcPr>
          <w:p w14:paraId="7C71D9AE">
            <w:pPr>
              <w:spacing w:line="40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招标控制价为</w:t>
            </w:r>
            <w:r>
              <w:rPr>
                <w:rFonts w:hint="eastAsia" w:ascii="仿宋_GB2312" w:hAnsi="仿宋_GB2312" w:eastAsia="仿宋_GB2312" w:cs="仿宋_GB2312"/>
                <w:sz w:val="24"/>
                <w:highlight w:val="none"/>
                <w:lang w:val="en-US" w:eastAsia="zh-CN"/>
              </w:rPr>
              <w:t>54万</w:t>
            </w:r>
            <w:r>
              <w:rPr>
                <w:rFonts w:hint="eastAsia" w:ascii="仿宋_GB2312" w:hAnsi="仿宋_GB2312" w:eastAsia="仿宋_GB2312" w:cs="仿宋_GB2312"/>
                <w:sz w:val="24"/>
                <w:highlight w:val="none"/>
              </w:rPr>
              <w:t>元</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24"/>
                <w:highlight w:val="none"/>
                <w14:textFill>
                  <w14:solidFill>
                    <w14:schemeClr w14:val="tx1"/>
                  </w14:solidFill>
                </w14:textFill>
              </w:rPr>
              <w:t>。</w:t>
            </w:r>
          </w:p>
        </w:tc>
      </w:tr>
      <w:tr w14:paraId="6A33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5" w:type="dxa"/>
            <w:tcBorders>
              <w:tl2br w:val="nil"/>
              <w:tr2bl w:val="nil"/>
            </w:tcBorders>
            <w:vAlign w:val="center"/>
          </w:tcPr>
          <w:p w14:paraId="22A6120E">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6</w:t>
            </w:r>
          </w:p>
        </w:tc>
        <w:tc>
          <w:tcPr>
            <w:tcW w:w="1500" w:type="dxa"/>
            <w:tcBorders>
              <w:tl2br w:val="nil"/>
              <w:tr2bl w:val="nil"/>
            </w:tcBorders>
            <w:vAlign w:val="center"/>
          </w:tcPr>
          <w:p w14:paraId="05A1C3AA">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招标方式</w:t>
            </w:r>
          </w:p>
        </w:tc>
        <w:tc>
          <w:tcPr>
            <w:tcW w:w="7200" w:type="dxa"/>
            <w:tcBorders>
              <w:tl2br w:val="nil"/>
              <w:tr2bl w:val="nil"/>
            </w:tcBorders>
            <w:vAlign w:val="center"/>
          </w:tcPr>
          <w:p w14:paraId="0D9A3E34">
            <w:pPr>
              <w:pStyle w:val="10"/>
              <w:widowControl/>
              <w:spacing w:line="400" w:lineRule="exact"/>
              <w:rPr>
                <w:rFonts w:ascii="仿宋_GB2312" w:hAnsi="仿宋_GB2312" w:eastAsia="仿宋_GB2312" w:cs="仿宋_GB2312"/>
                <w:snapToGrid w:val="0"/>
                <w:kern w:val="2"/>
                <w:szCs w:val="24"/>
                <w:highlight w:val="none"/>
              </w:rPr>
            </w:pPr>
            <w:r>
              <w:rPr>
                <w:rFonts w:hint="eastAsia" w:ascii="仿宋_GB2312" w:hAnsi="仿宋_GB2312" w:eastAsia="仿宋_GB2312" w:cs="仿宋_GB2312"/>
                <w:snapToGrid w:val="0"/>
                <w:kern w:val="2"/>
                <w:szCs w:val="24"/>
                <w:highlight w:val="none"/>
              </w:rPr>
              <w:t>公开招标</w:t>
            </w:r>
            <w:r>
              <w:rPr>
                <w:rFonts w:hint="eastAsia" w:ascii="仿宋_GB2312" w:hAnsi="仿宋_GB2312" w:eastAsia="仿宋_GB2312" w:cs="仿宋_GB2312"/>
                <w:kern w:val="2"/>
                <w:szCs w:val="24"/>
                <w:highlight w:val="none"/>
              </w:rPr>
              <w:t>（深圳市龙华建设发展集团有限公司</w:t>
            </w:r>
            <w:r>
              <w:rPr>
                <w:rFonts w:hint="eastAsia" w:ascii="仿宋_GB2312" w:hAnsi="仿宋_GB2312" w:eastAsia="仿宋_GB2312" w:cs="仿宋_GB2312"/>
                <w:kern w:val="2"/>
                <w:szCs w:val="24"/>
                <w:highlight w:val="none"/>
                <w:lang w:val="en-US" w:eastAsia="zh-CN"/>
              </w:rPr>
              <w:t>官网挂招标公告，由深圳市龙华环境有限公司招标小组公开遴选完成</w:t>
            </w:r>
            <w:r>
              <w:rPr>
                <w:rFonts w:hint="eastAsia" w:ascii="仿宋_GB2312" w:hAnsi="仿宋_GB2312" w:eastAsia="仿宋_GB2312" w:cs="仿宋_GB2312"/>
                <w:kern w:val="2"/>
                <w:szCs w:val="24"/>
                <w:highlight w:val="none"/>
              </w:rPr>
              <w:t>）</w:t>
            </w:r>
          </w:p>
        </w:tc>
      </w:tr>
      <w:tr w14:paraId="6A5A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5" w:type="dxa"/>
            <w:tcBorders>
              <w:tl2br w:val="nil"/>
              <w:tr2bl w:val="nil"/>
            </w:tcBorders>
            <w:vAlign w:val="center"/>
          </w:tcPr>
          <w:p w14:paraId="3C89236D">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7</w:t>
            </w:r>
          </w:p>
        </w:tc>
        <w:tc>
          <w:tcPr>
            <w:tcW w:w="1500" w:type="dxa"/>
            <w:tcBorders>
              <w:tl2br w:val="nil"/>
              <w:tr2bl w:val="nil"/>
            </w:tcBorders>
            <w:vAlign w:val="center"/>
          </w:tcPr>
          <w:p w14:paraId="259F83CC">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资格审查方式</w:t>
            </w:r>
          </w:p>
        </w:tc>
        <w:tc>
          <w:tcPr>
            <w:tcW w:w="7200" w:type="dxa"/>
            <w:tcBorders>
              <w:tl2br w:val="nil"/>
              <w:tr2bl w:val="nil"/>
            </w:tcBorders>
            <w:vAlign w:val="center"/>
          </w:tcPr>
          <w:p w14:paraId="44D99B4E">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sym w:font="Wingdings 2" w:char="00A3"/>
            </w:r>
            <w:r>
              <w:rPr>
                <w:rFonts w:hint="eastAsia" w:ascii="仿宋_GB2312" w:hAnsi="仿宋_GB2312" w:eastAsia="仿宋_GB2312" w:cs="仿宋_GB2312"/>
                <w:snapToGrid w:val="0"/>
                <w:sz w:val="24"/>
                <w:highlight w:val="none"/>
              </w:rPr>
              <w:t xml:space="preserve">投标报名    </w:t>
            </w:r>
            <w:r>
              <w:rPr>
                <w:rFonts w:hint="eastAsia" w:ascii="仿宋_GB2312" w:hAnsi="仿宋_GB2312" w:eastAsia="仿宋_GB2312" w:cs="仿宋_GB2312"/>
                <w:snapToGrid w:val="0"/>
                <w:sz w:val="24"/>
                <w:highlight w:val="none"/>
              </w:rPr>
              <w:sym w:font="Wingdings 2" w:char="00A3"/>
            </w:r>
            <w:r>
              <w:rPr>
                <w:rFonts w:hint="eastAsia" w:ascii="仿宋_GB2312" w:hAnsi="仿宋_GB2312" w:eastAsia="仿宋_GB2312" w:cs="仿宋_GB2312"/>
                <w:snapToGrid w:val="0"/>
                <w:sz w:val="24"/>
                <w:highlight w:val="none"/>
              </w:rPr>
              <w:t xml:space="preserve">资格预审     </w:t>
            </w:r>
            <w:r>
              <w:rPr>
                <w:rFonts w:hint="eastAsia" w:ascii="仿宋_GB2312" w:hAnsi="仿宋_GB2312" w:eastAsia="仿宋_GB2312" w:cs="仿宋_GB2312"/>
                <w:snapToGrid w:val="0"/>
                <w:sz w:val="24"/>
                <w:highlight w:val="none"/>
              </w:rPr>
              <w:sym w:font="Wingdings 2" w:char="0052"/>
            </w:r>
            <w:r>
              <w:rPr>
                <w:rFonts w:hint="eastAsia" w:ascii="仿宋_GB2312" w:hAnsi="仿宋_GB2312" w:eastAsia="仿宋_GB2312" w:cs="仿宋_GB2312"/>
                <w:snapToGrid w:val="0"/>
                <w:sz w:val="24"/>
                <w:highlight w:val="none"/>
              </w:rPr>
              <w:t>资格后审</w:t>
            </w:r>
          </w:p>
        </w:tc>
      </w:tr>
      <w:tr w14:paraId="7B05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95" w:type="dxa"/>
            <w:tcBorders>
              <w:tl2br w:val="nil"/>
              <w:tr2bl w:val="nil"/>
            </w:tcBorders>
            <w:vAlign w:val="center"/>
          </w:tcPr>
          <w:p w14:paraId="12526E47">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8</w:t>
            </w:r>
          </w:p>
        </w:tc>
        <w:tc>
          <w:tcPr>
            <w:tcW w:w="1500" w:type="dxa"/>
            <w:tcBorders>
              <w:tl2br w:val="nil"/>
              <w:tr2bl w:val="nil"/>
            </w:tcBorders>
            <w:vAlign w:val="center"/>
          </w:tcPr>
          <w:p w14:paraId="3E0811E5">
            <w:pPr>
              <w:spacing w:line="400" w:lineRule="exact"/>
              <w:jc w:val="center"/>
              <w:rPr>
                <w:rFonts w:hint="eastAsia" w:ascii="仿宋_GB2312" w:hAnsi="仿宋_GB2312" w:eastAsia="仿宋_GB2312" w:cs="仿宋_GB2312"/>
                <w:bCs/>
                <w:snapToGrid w:val="0"/>
                <w:kern w:val="2"/>
                <w:sz w:val="24"/>
                <w:szCs w:val="24"/>
                <w:highlight w:val="none"/>
                <w:lang w:val="en-US" w:eastAsia="zh-CN" w:bidi="ar-SA"/>
              </w:rPr>
            </w:pPr>
            <w:r>
              <w:rPr>
                <w:rFonts w:hint="eastAsia" w:ascii="仿宋_GB2312" w:hAnsi="仿宋_GB2312" w:eastAsia="仿宋_GB2312" w:cs="仿宋_GB2312"/>
                <w:bCs/>
                <w:snapToGrid w:val="0"/>
                <w:kern w:val="2"/>
                <w:sz w:val="24"/>
                <w:szCs w:val="24"/>
                <w:highlight w:val="none"/>
                <w:lang w:val="en-US" w:eastAsia="zh-CN" w:bidi="ar-SA"/>
              </w:rPr>
              <w:t>投标人资格要求</w:t>
            </w:r>
          </w:p>
        </w:tc>
        <w:tc>
          <w:tcPr>
            <w:tcW w:w="7200" w:type="dxa"/>
            <w:tcBorders>
              <w:tl2br w:val="nil"/>
              <w:tr2bl w:val="nil"/>
            </w:tcBorders>
            <w:vAlign w:val="center"/>
          </w:tcPr>
          <w:p w14:paraId="59E85EED">
            <w:pPr>
              <w:pStyle w:val="6"/>
              <w:rPr>
                <w:rFonts w:hint="eastAsia" w:ascii="仿宋_GB2312" w:hAnsi="仿宋_GB2312" w:eastAsia="仿宋_GB2312" w:cs="仿宋_GB2312"/>
                <w:bCs/>
                <w:snapToGrid w:val="0"/>
                <w:kern w:val="2"/>
                <w:sz w:val="24"/>
                <w:szCs w:val="24"/>
                <w:highlight w:val="none"/>
                <w:lang w:val="en-US" w:eastAsia="zh-CN" w:bidi="ar-SA"/>
              </w:rPr>
            </w:pPr>
            <w:r>
              <w:rPr>
                <w:rFonts w:hint="eastAsia" w:ascii="仿宋_GB2312" w:hAnsi="仿宋_GB2312" w:eastAsia="仿宋_GB2312" w:cs="仿宋_GB2312"/>
                <w:bCs/>
                <w:snapToGrid w:val="0"/>
                <w:kern w:val="2"/>
                <w:sz w:val="24"/>
                <w:szCs w:val="24"/>
                <w:highlight w:val="none"/>
                <w:lang w:val="en-US" w:eastAsia="zh-CN" w:bidi="ar-SA"/>
              </w:rPr>
              <w:t>1、投标人必须是中华人民共和国境内注册的法人或从事工商经营活动的自然人，需提供《营业执照》复印件。</w:t>
            </w:r>
          </w:p>
          <w:p w14:paraId="0C33EDA2">
            <w:pPr>
              <w:numPr>
                <w:ilvl w:val="0"/>
                <w:numId w:val="0"/>
              </w:numPr>
              <w:spacing w:line="400" w:lineRule="exact"/>
              <w:jc w:val="left"/>
              <w:rPr>
                <w:rFonts w:hint="eastAsia" w:ascii="仿宋_GB2312" w:hAnsi="仿宋_GB2312" w:eastAsia="仿宋_GB2312" w:cs="仿宋_GB2312"/>
                <w:bCs/>
                <w:snapToGrid w:val="0"/>
                <w:kern w:val="2"/>
                <w:sz w:val="24"/>
                <w:szCs w:val="24"/>
                <w:highlight w:val="none"/>
                <w:lang w:val="en-US" w:eastAsia="zh-CN" w:bidi="ar-SA"/>
              </w:rPr>
            </w:pPr>
            <w:r>
              <w:rPr>
                <w:rFonts w:hint="eastAsia" w:ascii="仿宋_GB2312" w:hAnsi="仿宋_GB2312" w:eastAsia="仿宋_GB2312" w:cs="仿宋_GB2312"/>
                <w:bCs/>
                <w:snapToGrid w:val="0"/>
                <w:kern w:val="2"/>
                <w:sz w:val="24"/>
                <w:szCs w:val="24"/>
                <w:highlight w:val="none"/>
                <w:lang w:val="en-US" w:eastAsia="zh-CN" w:bidi="ar-SA"/>
              </w:rPr>
              <w:t>2、本项目不接受联合体投标，不接受转包分包。</w:t>
            </w:r>
          </w:p>
          <w:p w14:paraId="1EF8E2EE">
            <w:pPr>
              <w:pStyle w:val="2"/>
              <w:numPr>
                <w:ilvl w:val="-1"/>
                <w:numId w:val="0"/>
              </w:numPr>
              <w:rPr>
                <w:rFonts w:hint="default" w:ascii="仿宋_GB2312" w:hAnsi="仿宋_GB2312" w:eastAsia="仿宋_GB2312" w:cs="仿宋_GB2312"/>
                <w:bCs/>
                <w:snapToGrid w:val="0"/>
                <w:kern w:val="2"/>
                <w:sz w:val="24"/>
                <w:szCs w:val="24"/>
                <w:highlight w:val="none"/>
                <w:lang w:val="en-US" w:eastAsia="zh-CN" w:bidi="ar-SA"/>
              </w:rPr>
            </w:pPr>
            <w:r>
              <w:rPr>
                <w:rFonts w:hint="eastAsia" w:ascii="仿宋_GB2312" w:hAnsi="仿宋_GB2312" w:eastAsia="仿宋_GB2312" w:cs="仿宋_GB2312"/>
                <w:bCs/>
                <w:snapToGrid w:val="0"/>
                <w:kern w:val="2"/>
                <w:sz w:val="24"/>
                <w:szCs w:val="24"/>
                <w:highlight w:val="none"/>
                <w:lang w:val="en-US" w:eastAsia="zh-CN" w:bidi="ar-SA"/>
              </w:rPr>
              <w:t>3、投标人在参与政府采购活动中出现诚信相关问题且在相关主管部门处理措施期限内的不得参与投标。投标人须提供相关证明材料扫描件并加盖投标人公章。</w:t>
            </w:r>
          </w:p>
        </w:tc>
      </w:tr>
      <w:tr w14:paraId="7FC0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795" w:type="dxa"/>
            <w:tcBorders>
              <w:tl2br w:val="nil"/>
              <w:tr2bl w:val="nil"/>
            </w:tcBorders>
            <w:vAlign w:val="center"/>
          </w:tcPr>
          <w:p w14:paraId="4B1534DF">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9</w:t>
            </w:r>
          </w:p>
        </w:tc>
        <w:tc>
          <w:tcPr>
            <w:tcW w:w="1500" w:type="dxa"/>
            <w:tcBorders>
              <w:tl2br w:val="nil"/>
              <w:tr2bl w:val="nil"/>
            </w:tcBorders>
            <w:vAlign w:val="center"/>
          </w:tcPr>
          <w:p w14:paraId="12F0A5B8">
            <w:pPr>
              <w:spacing w:line="400" w:lineRule="exact"/>
              <w:jc w:val="center"/>
              <w:rPr>
                <w:rFonts w:ascii="仿宋_GB2312" w:hAnsi="仿宋_GB2312" w:eastAsia="仿宋_GB2312" w:cs="仿宋_GB2312"/>
                <w:snapToGrid w:val="0"/>
                <w:sz w:val="24"/>
                <w:highlight w:val="none"/>
              </w:rPr>
            </w:pPr>
          </w:p>
          <w:p w14:paraId="1420CFA7">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资格后审方式</w:t>
            </w:r>
          </w:p>
        </w:tc>
        <w:tc>
          <w:tcPr>
            <w:tcW w:w="7200" w:type="dxa"/>
            <w:tcBorders>
              <w:tl2br w:val="nil"/>
              <w:tr2bl w:val="nil"/>
            </w:tcBorders>
            <w:vAlign w:val="center"/>
          </w:tcPr>
          <w:p w14:paraId="3359E241">
            <w:pPr>
              <w:pStyle w:val="10"/>
              <w:widowControl/>
              <w:spacing w:line="400" w:lineRule="exact"/>
              <w:rPr>
                <w:rFonts w:ascii="仿宋_GB2312" w:hAnsi="仿宋_GB2312" w:eastAsia="仿宋_GB2312" w:cs="仿宋_GB2312"/>
                <w:b/>
                <w:snapToGrid w:val="0"/>
                <w:kern w:val="2"/>
                <w:szCs w:val="24"/>
                <w:highlight w:val="none"/>
              </w:rPr>
            </w:pPr>
            <w:r>
              <w:rPr>
                <w:rFonts w:hint="eastAsia" w:ascii="仿宋_GB2312" w:hAnsi="仿宋_GB2312" w:eastAsia="仿宋_GB2312" w:cs="仿宋_GB2312"/>
                <w:bCs/>
                <w:snapToGrid w:val="0"/>
                <w:kern w:val="2"/>
                <w:szCs w:val="24"/>
                <w:highlight w:val="none"/>
              </w:rPr>
              <w:t>组建评审委员会对投标单位按照《资格审查表》和《符合性审查表》部分进行审查，评审委员会对投标单位打√为通过审查，打×为未通过审查。</w:t>
            </w:r>
          </w:p>
        </w:tc>
      </w:tr>
      <w:tr w14:paraId="74EB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95" w:type="dxa"/>
            <w:tcBorders>
              <w:tl2br w:val="nil"/>
              <w:tr2bl w:val="nil"/>
            </w:tcBorders>
            <w:vAlign w:val="center"/>
          </w:tcPr>
          <w:p w14:paraId="15817907">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10</w:t>
            </w:r>
          </w:p>
        </w:tc>
        <w:tc>
          <w:tcPr>
            <w:tcW w:w="1500" w:type="dxa"/>
            <w:tcBorders>
              <w:tl2br w:val="nil"/>
              <w:tr2bl w:val="nil"/>
            </w:tcBorders>
            <w:vAlign w:val="center"/>
          </w:tcPr>
          <w:p w14:paraId="1E7EF48D">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评定标方式</w:t>
            </w:r>
          </w:p>
        </w:tc>
        <w:tc>
          <w:tcPr>
            <w:tcW w:w="7200" w:type="dxa"/>
            <w:tcBorders>
              <w:tl2br w:val="nil"/>
              <w:tr2bl w:val="nil"/>
            </w:tcBorders>
            <w:vAlign w:val="center"/>
          </w:tcPr>
          <w:p w14:paraId="2F994579">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评标方法为综合评分法</w:t>
            </w:r>
          </w:p>
        </w:tc>
      </w:tr>
      <w:tr w14:paraId="70CB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95" w:type="dxa"/>
            <w:tcBorders>
              <w:tl2br w:val="nil"/>
              <w:tr2bl w:val="nil"/>
            </w:tcBorders>
            <w:vAlign w:val="center"/>
          </w:tcPr>
          <w:p w14:paraId="43516FB3">
            <w:pPr>
              <w:spacing w:line="400" w:lineRule="exact"/>
              <w:ind w:firstLine="120" w:firstLineChars="50"/>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11</w:t>
            </w:r>
          </w:p>
        </w:tc>
        <w:tc>
          <w:tcPr>
            <w:tcW w:w="1500" w:type="dxa"/>
            <w:tcBorders>
              <w:tl2br w:val="nil"/>
              <w:tr2bl w:val="nil"/>
            </w:tcBorders>
            <w:vAlign w:val="center"/>
          </w:tcPr>
          <w:p w14:paraId="12708B5C">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投标担保</w:t>
            </w:r>
          </w:p>
        </w:tc>
        <w:tc>
          <w:tcPr>
            <w:tcW w:w="7200" w:type="dxa"/>
            <w:tcBorders>
              <w:tl2br w:val="nil"/>
              <w:tr2bl w:val="nil"/>
            </w:tcBorders>
            <w:vAlign w:val="center"/>
          </w:tcPr>
          <w:p w14:paraId="60892D25">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不提供</w:t>
            </w:r>
          </w:p>
        </w:tc>
      </w:tr>
      <w:tr w14:paraId="138F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5" w:type="dxa"/>
            <w:tcBorders>
              <w:tl2br w:val="nil"/>
              <w:tr2bl w:val="nil"/>
            </w:tcBorders>
            <w:vAlign w:val="center"/>
          </w:tcPr>
          <w:p w14:paraId="78832620">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12</w:t>
            </w:r>
          </w:p>
        </w:tc>
        <w:tc>
          <w:tcPr>
            <w:tcW w:w="1500" w:type="dxa"/>
            <w:tcBorders>
              <w:tl2br w:val="nil"/>
              <w:tr2bl w:val="nil"/>
            </w:tcBorders>
            <w:vAlign w:val="center"/>
          </w:tcPr>
          <w:p w14:paraId="6851AB86">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履约担保</w:t>
            </w:r>
          </w:p>
        </w:tc>
        <w:tc>
          <w:tcPr>
            <w:tcW w:w="7200" w:type="dxa"/>
            <w:tcBorders>
              <w:tl2br w:val="nil"/>
              <w:tr2bl w:val="nil"/>
            </w:tcBorders>
            <w:vAlign w:val="center"/>
          </w:tcPr>
          <w:p w14:paraId="57726DB8">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不提供</w:t>
            </w:r>
          </w:p>
        </w:tc>
      </w:tr>
      <w:tr w14:paraId="5139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5" w:type="dxa"/>
            <w:tcBorders>
              <w:tl2br w:val="nil"/>
              <w:tr2bl w:val="nil"/>
            </w:tcBorders>
            <w:vAlign w:val="center"/>
          </w:tcPr>
          <w:p w14:paraId="69A788F2">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13</w:t>
            </w:r>
          </w:p>
        </w:tc>
        <w:tc>
          <w:tcPr>
            <w:tcW w:w="1500" w:type="dxa"/>
            <w:tcBorders>
              <w:tl2br w:val="nil"/>
              <w:tr2bl w:val="nil"/>
            </w:tcBorders>
            <w:vAlign w:val="center"/>
          </w:tcPr>
          <w:p w14:paraId="5915B8EF">
            <w:pPr>
              <w:spacing w:line="400" w:lineRule="exact"/>
              <w:jc w:val="lef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合同款支付</w:t>
            </w:r>
          </w:p>
        </w:tc>
        <w:tc>
          <w:tcPr>
            <w:tcW w:w="7200" w:type="dxa"/>
            <w:tcBorders>
              <w:tl2br w:val="nil"/>
              <w:tr2bl w:val="nil"/>
            </w:tcBorders>
            <w:vAlign w:val="center"/>
          </w:tcPr>
          <w:p w14:paraId="3CB37770">
            <w:pPr>
              <w:spacing w:line="400" w:lineRule="exact"/>
              <w:jc w:val="left"/>
              <w:rPr>
                <w:rFonts w:hint="default" w:ascii="仿宋_GB2312" w:hAnsi="仿宋_GB2312" w:eastAsia="仿宋_GB2312" w:cs="仿宋_GB2312"/>
                <w:snapToGrid w:val="0"/>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合同签订生效后，</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按实际发生的服务量并经双方核对无误后进行支付。</w:t>
            </w:r>
          </w:p>
        </w:tc>
      </w:tr>
      <w:tr w14:paraId="408D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95" w:type="dxa"/>
            <w:tcBorders>
              <w:tl2br w:val="nil"/>
              <w:tr2bl w:val="nil"/>
            </w:tcBorders>
            <w:vAlign w:val="center"/>
          </w:tcPr>
          <w:p w14:paraId="6F30FC9B">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14</w:t>
            </w:r>
          </w:p>
        </w:tc>
        <w:tc>
          <w:tcPr>
            <w:tcW w:w="1500" w:type="dxa"/>
            <w:tcBorders>
              <w:tl2br w:val="nil"/>
              <w:tr2bl w:val="nil"/>
            </w:tcBorders>
            <w:vAlign w:val="center"/>
          </w:tcPr>
          <w:p w14:paraId="76AB54F9">
            <w:pPr>
              <w:spacing w:line="400" w:lineRule="exact"/>
              <w:jc w:val="center"/>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评标细则</w:t>
            </w:r>
          </w:p>
        </w:tc>
        <w:tc>
          <w:tcPr>
            <w:tcW w:w="7200" w:type="dxa"/>
            <w:tcBorders>
              <w:tl2br w:val="nil"/>
              <w:tr2bl w:val="nil"/>
            </w:tcBorders>
            <w:vAlign w:val="center"/>
          </w:tcPr>
          <w:p w14:paraId="6A58D730">
            <w:pPr>
              <w:spacing w:line="400" w:lineRule="exact"/>
              <w:rPr>
                <w:rFonts w:ascii="仿宋_GB2312" w:hAnsi="仿宋_GB2312" w:eastAsia="仿宋_GB2312" w:cs="仿宋_GB2312"/>
                <w:snapToGrid w:val="0"/>
                <w:sz w:val="24"/>
                <w:highlight w:val="none"/>
              </w:rPr>
            </w:pPr>
            <w:r>
              <w:rPr>
                <w:rFonts w:hint="eastAsia" w:ascii="仿宋_GB2312" w:hAnsi="仿宋_GB2312" w:eastAsia="仿宋_GB2312" w:cs="仿宋_GB2312"/>
                <w:snapToGrid w:val="0"/>
                <w:sz w:val="24"/>
                <w:highlight w:val="none"/>
              </w:rPr>
              <w:t>详见下表（评分细则）</w:t>
            </w:r>
          </w:p>
        </w:tc>
      </w:tr>
    </w:tbl>
    <w:p w14:paraId="4F805E78">
      <w:pPr>
        <w:rPr>
          <w:highlight w:val="none"/>
        </w:rPr>
      </w:pPr>
    </w:p>
    <w:tbl>
      <w:tblPr>
        <w:tblStyle w:val="12"/>
        <w:tblpPr w:leftFromText="180" w:rightFromText="180" w:vertAnchor="text" w:horzAnchor="page" w:tblpXSpec="center" w:tblpY="301"/>
        <w:tblOverlap w:val="never"/>
        <w:tblW w:w="951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404"/>
        <w:gridCol w:w="757"/>
        <w:gridCol w:w="5035"/>
        <w:gridCol w:w="1736"/>
      </w:tblGrid>
      <w:tr w14:paraId="4591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tblCellSpacing w:w="0" w:type="dxa"/>
          <w:jc w:val="center"/>
        </w:trPr>
        <w:tc>
          <w:tcPr>
            <w:tcW w:w="7783" w:type="dxa"/>
            <w:gridSpan w:val="4"/>
            <w:vAlign w:val="center"/>
          </w:tcPr>
          <w:p w14:paraId="759E981C">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
                <w:snapToGrid w:val="0"/>
                <w:color w:val="auto"/>
                <w:sz w:val="24"/>
                <w:highlight w:val="none"/>
                <w:lang w:val="zh-CN"/>
              </w:rPr>
              <w:t>评分项及评分规则</w:t>
            </w:r>
          </w:p>
        </w:tc>
        <w:tc>
          <w:tcPr>
            <w:tcW w:w="1736" w:type="dxa"/>
            <w:vAlign w:val="center"/>
          </w:tcPr>
          <w:p w14:paraId="70FC9BC3">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
                <w:snapToGrid w:val="0"/>
                <w:color w:val="auto"/>
                <w:sz w:val="24"/>
                <w:highlight w:val="none"/>
                <w:lang w:val="zh-CN"/>
              </w:rPr>
              <w:t>权重</w:t>
            </w:r>
          </w:p>
        </w:tc>
      </w:tr>
      <w:tr w14:paraId="17C9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CellSpacing w:w="0" w:type="dxa"/>
          <w:jc w:val="center"/>
        </w:trPr>
        <w:tc>
          <w:tcPr>
            <w:tcW w:w="7783" w:type="dxa"/>
            <w:gridSpan w:val="4"/>
            <w:vAlign w:val="center"/>
          </w:tcPr>
          <w:p w14:paraId="49350F00">
            <w:pPr>
              <w:spacing w:line="400" w:lineRule="exact"/>
              <w:jc w:val="center"/>
              <w:rPr>
                <w:rFonts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
                <w:snapToGrid w:val="0"/>
                <w:color w:val="auto"/>
                <w:sz w:val="24"/>
                <w:highlight w:val="none"/>
                <w:lang w:val="zh-CN"/>
              </w:rPr>
              <w:t>一、价格部分</w:t>
            </w:r>
          </w:p>
        </w:tc>
        <w:tc>
          <w:tcPr>
            <w:tcW w:w="1736" w:type="dxa"/>
            <w:vAlign w:val="center"/>
          </w:tcPr>
          <w:p w14:paraId="33C733A8">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000000" w:themeColor="text1"/>
                <w:sz w:val="24"/>
                <w:highlight w:val="none"/>
                <w:lang w:val="en-US" w:eastAsia="zh-CN"/>
                <w14:textFill>
                  <w14:solidFill>
                    <w14:schemeClr w14:val="tx1"/>
                  </w14:solidFill>
                </w14:textFill>
              </w:rPr>
              <w:t>30</w:t>
            </w:r>
            <w:r>
              <w:rPr>
                <w:rFonts w:hint="eastAsia" w:ascii="仿宋_GB2312" w:hAnsi="仿宋_GB2312" w:eastAsia="仿宋_GB2312" w:cs="仿宋_GB2312"/>
                <w:b/>
                <w:snapToGrid w:val="0"/>
                <w:color w:val="000000" w:themeColor="text1"/>
                <w:sz w:val="24"/>
                <w:highlight w:val="none"/>
                <w14:textFill>
                  <w14:solidFill>
                    <w14:schemeClr w14:val="tx1"/>
                  </w14:solidFill>
                </w14:textFill>
              </w:rPr>
              <w:t>分</w:t>
            </w:r>
          </w:p>
        </w:tc>
      </w:tr>
      <w:tr w14:paraId="0F28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blCellSpacing w:w="0" w:type="dxa"/>
          <w:jc w:val="center"/>
        </w:trPr>
        <w:tc>
          <w:tcPr>
            <w:tcW w:w="7783" w:type="dxa"/>
            <w:gridSpan w:val="4"/>
            <w:vAlign w:val="center"/>
          </w:tcPr>
          <w:p w14:paraId="435FCAA9">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 xml:space="preserve">    </w:t>
            </w:r>
            <w:r>
              <w:rPr>
                <w:rFonts w:hint="eastAsia" w:ascii="仿宋_GB2312" w:hAnsi="仿宋_GB2312" w:eastAsia="仿宋_GB2312" w:cs="仿宋_GB2312"/>
                <w:bCs/>
                <w:snapToGrid w:val="0"/>
                <w:color w:val="auto"/>
                <w:sz w:val="24"/>
                <w:highlight w:val="none"/>
              </w:rPr>
              <w:t>采用低价优先法计算,即满足招标文件要求且投标价格最低的有效投标报价为评标基准价,其价格分为满分。其他投标人的价格分统一按照下列公式计算：</w:t>
            </w:r>
          </w:p>
          <w:p w14:paraId="7B64F855">
            <w:pPr>
              <w:spacing w:line="400" w:lineRule="exact"/>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价格分=[1-（投标报价-最低价）/最低价]×价格权重×100，当价格分＜0 时，取 0。</w:t>
            </w:r>
          </w:p>
        </w:tc>
        <w:tc>
          <w:tcPr>
            <w:tcW w:w="1736" w:type="dxa"/>
            <w:vAlign w:val="center"/>
          </w:tcPr>
          <w:p w14:paraId="56BDCBBA">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按公式计算</w:t>
            </w:r>
          </w:p>
        </w:tc>
      </w:tr>
      <w:tr w14:paraId="3E45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CellSpacing w:w="0" w:type="dxa"/>
          <w:jc w:val="center"/>
        </w:trPr>
        <w:tc>
          <w:tcPr>
            <w:tcW w:w="7783" w:type="dxa"/>
            <w:gridSpan w:val="4"/>
            <w:vAlign w:val="center"/>
          </w:tcPr>
          <w:p w14:paraId="57FAE52E">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auto"/>
                <w:sz w:val="24"/>
                <w:highlight w:val="none"/>
                <w:lang w:val="zh-CN"/>
              </w:rPr>
              <w:t>二、</w:t>
            </w:r>
            <w:r>
              <w:rPr>
                <w:rFonts w:hint="eastAsia" w:ascii="仿宋_GB2312" w:hAnsi="仿宋_GB2312" w:eastAsia="仿宋_GB2312" w:cs="仿宋_GB2312"/>
                <w:b/>
                <w:snapToGrid w:val="0"/>
                <w:color w:val="auto"/>
                <w:sz w:val="24"/>
                <w:highlight w:val="none"/>
              </w:rPr>
              <w:t>商务</w:t>
            </w:r>
            <w:r>
              <w:rPr>
                <w:rFonts w:hint="eastAsia" w:ascii="仿宋_GB2312" w:hAnsi="仿宋_GB2312" w:eastAsia="仿宋_GB2312" w:cs="仿宋_GB2312"/>
                <w:b/>
                <w:snapToGrid w:val="0"/>
                <w:color w:val="auto"/>
                <w:sz w:val="24"/>
                <w:highlight w:val="none"/>
                <w:lang w:val="zh-CN"/>
              </w:rPr>
              <w:t>部分</w:t>
            </w:r>
          </w:p>
        </w:tc>
        <w:tc>
          <w:tcPr>
            <w:tcW w:w="1736" w:type="dxa"/>
            <w:vAlign w:val="center"/>
          </w:tcPr>
          <w:p w14:paraId="174B5182">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b/>
                <w:snapToGrid w:val="0"/>
                <w:color w:val="000000" w:themeColor="text1"/>
                <w:sz w:val="24"/>
                <w:highlight w:val="none"/>
                <w:lang w:val="en-US" w:eastAsia="zh-CN"/>
                <w14:textFill>
                  <w14:solidFill>
                    <w14:schemeClr w14:val="tx1"/>
                  </w14:solidFill>
                </w14:textFill>
              </w:rPr>
              <w:t>35</w:t>
            </w:r>
            <w:r>
              <w:rPr>
                <w:rFonts w:hint="eastAsia" w:ascii="仿宋_GB2312" w:hAnsi="仿宋_GB2312" w:eastAsia="仿宋_GB2312" w:cs="仿宋_GB2312"/>
                <w:b/>
                <w:snapToGrid w:val="0"/>
                <w:color w:val="000000" w:themeColor="text1"/>
                <w:sz w:val="24"/>
                <w:highlight w:val="none"/>
                <w14:textFill>
                  <w14:solidFill>
                    <w14:schemeClr w14:val="tx1"/>
                  </w14:solidFill>
                </w14:textFill>
              </w:rPr>
              <w:t>分</w:t>
            </w:r>
          </w:p>
        </w:tc>
      </w:tr>
      <w:tr w14:paraId="0A87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CellSpacing w:w="0" w:type="dxa"/>
          <w:jc w:val="center"/>
        </w:trPr>
        <w:tc>
          <w:tcPr>
            <w:tcW w:w="587" w:type="dxa"/>
            <w:vAlign w:val="center"/>
          </w:tcPr>
          <w:p w14:paraId="6955C779">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序号</w:t>
            </w:r>
          </w:p>
        </w:tc>
        <w:tc>
          <w:tcPr>
            <w:tcW w:w="1404" w:type="dxa"/>
            <w:vAlign w:val="center"/>
          </w:tcPr>
          <w:p w14:paraId="6E0953C8">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内容</w:t>
            </w:r>
          </w:p>
        </w:tc>
        <w:tc>
          <w:tcPr>
            <w:tcW w:w="757" w:type="dxa"/>
            <w:vAlign w:val="center"/>
          </w:tcPr>
          <w:p w14:paraId="201C1EEB">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权重</w:t>
            </w:r>
          </w:p>
        </w:tc>
        <w:tc>
          <w:tcPr>
            <w:tcW w:w="5035" w:type="dxa"/>
            <w:vAlign w:val="center"/>
          </w:tcPr>
          <w:p w14:paraId="6F9CBB12">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zh-CN"/>
              </w:rPr>
              <w:t>评分规则</w:t>
            </w:r>
          </w:p>
        </w:tc>
        <w:tc>
          <w:tcPr>
            <w:tcW w:w="1736" w:type="dxa"/>
            <w:vAlign w:val="center"/>
          </w:tcPr>
          <w:p w14:paraId="2FC320D4">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综合评分法</w:t>
            </w:r>
          </w:p>
        </w:tc>
      </w:tr>
      <w:tr w14:paraId="6E9B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CellSpacing w:w="0" w:type="dxa"/>
          <w:jc w:val="center"/>
        </w:trPr>
        <w:tc>
          <w:tcPr>
            <w:tcW w:w="587" w:type="dxa"/>
            <w:vAlign w:val="center"/>
          </w:tcPr>
          <w:p w14:paraId="5E49A654">
            <w:pPr>
              <w:spacing w:line="400" w:lineRule="exact"/>
              <w:jc w:val="center"/>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val="en-US" w:eastAsia="zh-CN"/>
              </w:rPr>
              <w:t>1</w:t>
            </w:r>
          </w:p>
        </w:tc>
        <w:tc>
          <w:tcPr>
            <w:tcW w:w="1404" w:type="dxa"/>
            <w:shd w:val="clear" w:color="auto" w:fill="auto"/>
            <w:vAlign w:val="center"/>
          </w:tcPr>
          <w:p w14:paraId="593A1A16">
            <w:pPr>
              <w:spacing w:line="400" w:lineRule="exact"/>
              <w:jc w:val="center"/>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sz w:val="24"/>
                <w:highlight w:val="none"/>
                <w:lang w:val="en-US" w:eastAsia="zh-CN"/>
              </w:rPr>
              <w:t>公司优势</w:t>
            </w:r>
          </w:p>
        </w:tc>
        <w:tc>
          <w:tcPr>
            <w:tcW w:w="757" w:type="dxa"/>
            <w:shd w:val="clear" w:color="auto" w:fill="auto"/>
            <w:vAlign w:val="center"/>
          </w:tcPr>
          <w:p w14:paraId="2268129A">
            <w:pPr>
              <w:spacing w:line="400" w:lineRule="exact"/>
              <w:jc w:val="center"/>
              <w:rPr>
                <w:rFonts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sz w:val="24"/>
                <w:highlight w:val="none"/>
                <w:lang w:val="en-US" w:eastAsia="zh-CN"/>
              </w:rPr>
              <w:t>8</w:t>
            </w:r>
            <w:r>
              <w:rPr>
                <w:rFonts w:hint="eastAsia" w:ascii="仿宋_GB2312" w:hAnsi="仿宋_GB2312" w:eastAsia="仿宋_GB2312" w:cs="仿宋_GB2312"/>
                <w:bCs/>
                <w:snapToGrid w:val="0"/>
                <w:color w:val="auto"/>
                <w:sz w:val="24"/>
                <w:highlight w:val="none"/>
              </w:rPr>
              <w:t>分</w:t>
            </w:r>
          </w:p>
        </w:tc>
        <w:tc>
          <w:tcPr>
            <w:tcW w:w="5035" w:type="dxa"/>
            <w:shd w:val="clear" w:color="auto" w:fill="auto"/>
            <w:vAlign w:val="top"/>
          </w:tcPr>
          <w:p w14:paraId="2C4A875D">
            <w:pPr>
              <w:spacing w:line="400" w:lineRule="exact"/>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sz w:val="24"/>
                <w:highlight w:val="none"/>
              </w:rPr>
              <w:t>根据投标人所具备的资质能力情况进行评定：（1）投标人具有国家高新技术企业认定证书得</w:t>
            </w:r>
            <w:r>
              <w:rPr>
                <w:rFonts w:hint="eastAsia" w:ascii="仿宋_GB2312" w:hAnsi="仿宋_GB2312" w:eastAsia="仿宋_GB2312" w:cs="仿宋_GB2312"/>
                <w:bCs/>
                <w:snapToGrid w:val="0"/>
                <w:color w:val="auto"/>
                <w:sz w:val="24"/>
                <w:highlight w:val="none"/>
                <w:lang w:val="en-US" w:eastAsia="zh-CN"/>
              </w:rPr>
              <w:t>1</w:t>
            </w:r>
            <w:r>
              <w:rPr>
                <w:rFonts w:hint="eastAsia" w:ascii="仿宋_GB2312" w:hAnsi="仿宋_GB2312" w:eastAsia="仿宋_GB2312" w:cs="仿宋_GB2312"/>
                <w:bCs/>
                <w:snapToGrid w:val="0"/>
                <w:color w:val="auto"/>
                <w:sz w:val="24"/>
                <w:highlight w:val="none"/>
              </w:rPr>
              <w:t>分，无不得分；（2）投标人具有CMMI3（或以上标准）认证证书得</w:t>
            </w:r>
            <w:r>
              <w:rPr>
                <w:rFonts w:hint="eastAsia" w:ascii="仿宋_GB2312" w:hAnsi="仿宋_GB2312" w:eastAsia="仿宋_GB2312" w:cs="仿宋_GB2312"/>
                <w:bCs/>
                <w:snapToGrid w:val="0"/>
                <w:color w:val="auto"/>
                <w:sz w:val="24"/>
                <w:highlight w:val="none"/>
                <w:lang w:val="en-US" w:eastAsia="zh-CN"/>
              </w:rPr>
              <w:t>1</w:t>
            </w:r>
            <w:r>
              <w:rPr>
                <w:rFonts w:hint="eastAsia" w:ascii="仿宋_GB2312" w:hAnsi="仿宋_GB2312" w:eastAsia="仿宋_GB2312" w:cs="仿宋_GB2312"/>
                <w:bCs/>
                <w:snapToGrid w:val="0"/>
                <w:color w:val="auto"/>
                <w:sz w:val="24"/>
                <w:highlight w:val="none"/>
              </w:rPr>
              <w:t>分，无不得分；（3）投标人具有省级诚信示范企业证书得</w:t>
            </w:r>
            <w:r>
              <w:rPr>
                <w:rFonts w:hint="eastAsia" w:ascii="仿宋_GB2312" w:hAnsi="仿宋_GB2312" w:eastAsia="仿宋_GB2312" w:cs="仿宋_GB2312"/>
                <w:bCs/>
                <w:snapToGrid w:val="0"/>
                <w:color w:val="auto"/>
                <w:sz w:val="24"/>
                <w:highlight w:val="none"/>
                <w:lang w:val="en-US" w:eastAsia="zh-CN"/>
              </w:rPr>
              <w:t>1</w:t>
            </w:r>
            <w:r>
              <w:rPr>
                <w:rFonts w:hint="eastAsia" w:ascii="仿宋_GB2312" w:hAnsi="仿宋_GB2312" w:eastAsia="仿宋_GB2312" w:cs="仿宋_GB2312"/>
                <w:bCs/>
                <w:snapToGrid w:val="0"/>
                <w:color w:val="auto"/>
                <w:sz w:val="24"/>
                <w:highlight w:val="none"/>
              </w:rPr>
              <w:t>分，无不得分；（4）投标人具有ITSS信息技术服务运行维护标准符合性证书得</w:t>
            </w:r>
            <w:r>
              <w:rPr>
                <w:rFonts w:hint="eastAsia" w:ascii="仿宋_GB2312" w:hAnsi="仿宋_GB2312" w:eastAsia="仿宋_GB2312" w:cs="仿宋_GB2312"/>
                <w:bCs/>
                <w:snapToGrid w:val="0"/>
                <w:color w:val="auto"/>
                <w:sz w:val="24"/>
                <w:highlight w:val="none"/>
                <w:lang w:val="en-US" w:eastAsia="zh-CN"/>
              </w:rPr>
              <w:t>1</w:t>
            </w:r>
            <w:r>
              <w:rPr>
                <w:rFonts w:hint="eastAsia" w:ascii="仿宋_GB2312" w:hAnsi="仿宋_GB2312" w:eastAsia="仿宋_GB2312" w:cs="仿宋_GB2312"/>
                <w:bCs/>
                <w:snapToGrid w:val="0"/>
                <w:color w:val="auto"/>
                <w:sz w:val="24"/>
                <w:highlight w:val="none"/>
              </w:rPr>
              <w:t>分；（5）投标人具有售后服务认证证书得</w:t>
            </w: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rPr>
              <w:t>分；（6）投标人</w:t>
            </w:r>
            <w:r>
              <w:rPr>
                <w:rFonts w:hint="eastAsia" w:ascii="仿宋_GB2312" w:hAnsi="仿宋_GB2312" w:eastAsia="仿宋_GB2312" w:cs="仿宋_GB2312"/>
                <w:bCs/>
                <w:snapToGrid w:val="0"/>
                <w:color w:val="auto"/>
                <w:sz w:val="24"/>
                <w:highlight w:val="none"/>
                <w:lang w:val="en-US" w:eastAsia="zh-CN"/>
              </w:rPr>
              <w:t>具有</w:t>
            </w:r>
            <w:r>
              <w:rPr>
                <w:rFonts w:hint="eastAsia" w:ascii="仿宋_GB2312" w:hAnsi="仿宋_GB2312" w:eastAsia="仿宋_GB2312" w:cs="仿宋_GB2312"/>
                <w:bCs/>
                <w:snapToGrid w:val="0"/>
                <w:color w:val="auto"/>
                <w:sz w:val="24"/>
                <w:highlight w:val="none"/>
              </w:rPr>
              <w:t>信息系统建设和服务能力等级证书得</w:t>
            </w: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rPr>
              <w:t>分；（以上均须提供证书扫描件或复印件，原件备查，否则不得分）</w:t>
            </w:r>
          </w:p>
        </w:tc>
        <w:tc>
          <w:tcPr>
            <w:tcW w:w="1736" w:type="dxa"/>
            <w:shd w:val="clear" w:color="auto" w:fill="auto"/>
            <w:vAlign w:val="center"/>
          </w:tcPr>
          <w:p w14:paraId="0D61DE22">
            <w:pPr>
              <w:spacing w:line="400" w:lineRule="exact"/>
              <w:jc w:val="center"/>
              <w:rPr>
                <w:rFonts w:ascii="仿宋_GB2312" w:hAnsi="仿宋_GB2312" w:eastAsia="仿宋_GB2312" w:cs="仿宋_GB2312"/>
                <w:bCs/>
                <w:snapToGrid w:val="0"/>
                <w:color w:val="auto"/>
                <w:kern w:val="2"/>
                <w:sz w:val="24"/>
                <w:szCs w:val="24"/>
                <w:highlight w:val="none"/>
                <w:lang w:val="zh-CN" w:eastAsia="zh-CN" w:bidi="ar-SA"/>
              </w:rPr>
            </w:pPr>
            <w:r>
              <w:rPr>
                <w:rFonts w:hint="eastAsia" w:ascii="仿宋_GB2312" w:hAnsi="仿宋_GB2312" w:eastAsia="仿宋_GB2312" w:cs="仿宋_GB2312"/>
                <w:bCs/>
                <w:snapToGrid w:val="0"/>
                <w:color w:val="auto"/>
                <w:sz w:val="24"/>
                <w:highlight w:val="none"/>
                <w:lang w:val="zh-CN"/>
              </w:rPr>
              <w:t>评委打分</w:t>
            </w:r>
          </w:p>
        </w:tc>
      </w:tr>
      <w:tr w14:paraId="5FC0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blCellSpacing w:w="0" w:type="dxa"/>
          <w:jc w:val="center"/>
        </w:trPr>
        <w:tc>
          <w:tcPr>
            <w:tcW w:w="587" w:type="dxa"/>
            <w:vAlign w:val="center"/>
          </w:tcPr>
          <w:p w14:paraId="7A9F2A19">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2</w:t>
            </w:r>
          </w:p>
        </w:tc>
        <w:tc>
          <w:tcPr>
            <w:tcW w:w="1404" w:type="dxa"/>
            <w:shd w:val="clear" w:color="auto" w:fill="auto"/>
            <w:vAlign w:val="center"/>
          </w:tcPr>
          <w:p w14:paraId="528D4F0E">
            <w:pPr>
              <w:spacing w:line="400" w:lineRule="exact"/>
              <w:jc w:val="center"/>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sz w:val="24"/>
                <w:highlight w:val="none"/>
                <w:lang w:val="en-US" w:eastAsia="zh-CN"/>
              </w:rPr>
              <w:t>同类</w:t>
            </w:r>
            <w:r>
              <w:rPr>
                <w:rFonts w:hint="eastAsia" w:ascii="仿宋_GB2312" w:hAnsi="仿宋_GB2312" w:eastAsia="仿宋_GB2312" w:cs="仿宋_GB2312"/>
                <w:bCs/>
                <w:snapToGrid w:val="0"/>
                <w:color w:val="auto"/>
                <w:sz w:val="24"/>
                <w:highlight w:val="none"/>
              </w:rPr>
              <w:t>业绩</w:t>
            </w:r>
          </w:p>
        </w:tc>
        <w:tc>
          <w:tcPr>
            <w:tcW w:w="757" w:type="dxa"/>
            <w:shd w:val="clear" w:color="auto" w:fill="auto"/>
            <w:vAlign w:val="center"/>
          </w:tcPr>
          <w:p w14:paraId="7A0A80FA">
            <w:pPr>
              <w:spacing w:line="400" w:lineRule="exact"/>
              <w:jc w:val="center"/>
              <w:rPr>
                <w:rFonts w:hint="eastAsia" w:ascii="仿宋_GB2312" w:hAnsi="仿宋_GB2312" w:eastAsia="仿宋_GB2312" w:cs="仿宋_GB2312"/>
                <w:bCs/>
                <w:snapToGrid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10</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分</w:t>
            </w:r>
          </w:p>
        </w:tc>
        <w:tc>
          <w:tcPr>
            <w:tcW w:w="5035" w:type="dxa"/>
            <w:shd w:val="clear" w:color="auto" w:fill="auto"/>
            <w:vAlign w:val="top"/>
          </w:tcPr>
          <w:p w14:paraId="02BCDCA1">
            <w:pPr>
              <w:spacing w:line="400" w:lineRule="exact"/>
              <w:rPr>
                <w:rFonts w:hint="eastAsia" w:ascii="仿宋_GB2312" w:hAnsi="仿宋_GB2312" w:eastAsia="仿宋_GB2312" w:cs="仿宋_GB2312"/>
                <w:bCs/>
                <w:snapToGrid w:val="0"/>
                <w:color w:val="000000" w:themeColor="text1"/>
                <w:sz w:val="24"/>
                <w:highlight w:val="none"/>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每提供一项同类项目（同类项目是指</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本项目相关的</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智能终端设备</w:t>
            </w:r>
            <w:r>
              <w:rPr>
                <w:rFonts w:hint="eastAsia" w:ascii="仿宋_GB2312" w:hAnsi="仿宋_GB2312" w:eastAsia="仿宋_GB2312" w:cs="仿宋_GB2312"/>
                <w:bCs/>
                <w:snapToGrid w:val="0"/>
                <w:color w:val="000000" w:themeColor="text1"/>
                <w:sz w:val="24"/>
                <w:highlight w:val="none"/>
                <w:lang w:eastAsia="zh-CN"/>
                <w14:textFill>
                  <w14:solidFill>
                    <w14:schemeClr w14:val="tx1"/>
                  </w14:solidFill>
                </w14:textFill>
              </w:rPr>
              <w:t>销售或服务合同</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）得</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2</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分，本项最高得</w:t>
            </w: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10</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分。</w:t>
            </w:r>
          </w:p>
          <w:p w14:paraId="4B537D45">
            <w:pPr>
              <w:spacing w:line="400" w:lineRule="exact"/>
              <w:rPr>
                <w:rFonts w:hint="eastAsia" w:ascii="仿宋_GB2312" w:hAnsi="仿宋_GB2312" w:eastAsia="仿宋_GB2312" w:cs="仿宋_GB2312"/>
                <w:bCs/>
                <w:snapToGrid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 xml:space="preserve"> 注：提供合同关键页（含签订合同双方的单位名称、合同项目名称、合同内容、签订合同双方的落款盖章、签订日期的关键页）复印件并加盖投标人公章作为同类业绩评价证明资料，不提供或提供不齐全不得分</w:t>
            </w:r>
            <w:r>
              <w:rPr>
                <w:color w:val="000000" w:themeColor="text1"/>
                <w14:textFill>
                  <w14:solidFill>
                    <w14:schemeClr w14:val="tx1"/>
                  </w14:solidFill>
                </w14:textFill>
              </w:rPr>
              <w:t>。</w:t>
            </w:r>
          </w:p>
        </w:tc>
        <w:tc>
          <w:tcPr>
            <w:tcW w:w="1736" w:type="dxa"/>
            <w:shd w:val="clear" w:color="auto" w:fill="auto"/>
            <w:vAlign w:val="center"/>
          </w:tcPr>
          <w:p w14:paraId="36242652">
            <w:pPr>
              <w:spacing w:line="400" w:lineRule="exact"/>
              <w:jc w:val="center"/>
              <w:rPr>
                <w:rFonts w:hint="eastAsia" w:ascii="仿宋_GB2312" w:hAnsi="仿宋_GB2312" w:eastAsia="仿宋_GB2312" w:cs="仿宋_GB2312"/>
                <w:bCs/>
                <w:snapToGrid w:val="0"/>
                <w:color w:val="auto"/>
                <w:kern w:val="2"/>
                <w:sz w:val="24"/>
                <w:szCs w:val="24"/>
                <w:highlight w:val="none"/>
                <w:lang w:val="zh-CN" w:eastAsia="zh-CN" w:bidi="ar-SA"/>
              </w:rPr>
            </w:pPr>
            <w:r>
              <w:rPr>
                <w:rFonts w:hint="eastAsia" w:ascii="仿宋_GB2312" w:hAnsi="仿宋_GB2312" w:eastAsia="仿宋_GB2312" w:cs="仿宋_GB2312"/>
                <w:bCs/>
                <w:snapToGrid w:val="0"/>
                <w:color w:val="auto"/>
                <w:sz w:val="24"/>
                <w:highlight w:val="none"/>
                <w:lang w:val="zh-CN"/>
              </w:rPr>
              <w:t>评委打分</w:t>
            </w:r>
          </w:p>
        </w:tc>
      </w:tr>
      <w:tr w14:paraId="4D54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blCellSpacing w:w="0" w:type="dxa"/>
          <w:jc w:val="center"/>
        </w:trPr>
        <w:tc>
          <w:tcPr>
            <w:tcW w:w="587" w:type="dxa"/>
            <w:vAlign w:val="center"/>
          </w:tcPr>
          <w:p w14:paraId="5AFA210F">
            <w:pPr>
              <w:spacing w:line="400" w:lineRule="exact"/>
              <w:jc w:val="center"/>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3</w:t>
            </w:r>
          </w:p>
        </w:tc>
        <w:tc>
          <w:tcPr>
            <w:tcW w:w="1404" w:type="dxa"/>
            <w:shd w:val="clear" w:color="auto" w:fill="auto"/>
            <w:vAlign w:val="center"/>
          </w:tcPr>
          <w:p w14:paraId="604E7064">
            <w:pPr>
              <w:spacing w:line="400" w:lineRule="exact"/>
              <w:jc w:val="center"/>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kern w:val="2"/>
                <w:sz w:val="24"/>
                <w:szCs w:val="24"/>
                <w:highlight w:val="none"/>
                <w:lang w:val="en-US" w:eastAsia="zh-CN" w:bidi="ar-SA"/>
              </w:rPr>
              <w:t>精细化管理人员配备情况</w:t>
            </w:r>
          </w:p>
        </w:tc>
        <w:tc>
          <w:tcPr>
            <w:tcW w:w="757" w:type="dxa"/>
            <w:shd w:val="clear" w:color="auto" w:fill="auto"/>
            <w:vAlign w:val="center"/>
          </w:tcPr>
          <w:p w14:paraId="67A28705">
            <w:pPr>
              <w:spacing w:line="400" w:lineRule="exact"/>
              <w:jc w:val="center"/>
              <w:rPr>
                <w:rFonts w:hint="default" w:ascii="仿宋_GB2312" w:hAnsi="仿宋_GB2312" w:eastAsia="仿宋_GB2312" w:cs="仿宋_GB2312"/>
                <w:bCs/>
                <w:snapToGrid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snapToGrid w:val="0"/>
                <w:color w:val="000000" w:themeColor="text1"/>
                <w:kern w:val="2"/>
                <w:sz w:val="24"/>
                <w:szCs w:val="24"/>
                <w:highlight w:val="none"/>
                <w:lang w:val="en-US" w:eastAsia="zh-CN" w:bidi="ar-SA"/>
                <w14:textFill>
                  <w14:solidFill>
                    <w14:schemeClr w14:val="tx1"/>
                  </w14:solidFill>
                </w14:textFill>
              </w:rPr>
              <w:t>14分</w:t>
            </w:r>
          </w:p>
        </w:tc>
        <w:tc>
          <w:tcPr>
            <w:tcW w:w="5035" w:type="dxa"/>
            <w:shd w:val="clear" w:color="auto" w:fill="auto"/>
            <w:vAlign w:val="top"/>
          </w:tcPr>
          <w:p w14:paraId="1BBE5E5D">
            <w:pPr>
              <w:spacing w:line="400" w:lineRule="exact"/>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根据各供应商拟投入本项目的</w:t>
            </w:r>
            <w:r>
              <w:rPr>
                <w:rFonts w:hint="eastAsia" w:ascii="仿宋_GB2312" w:hAnsi="仿宋_GB2312" w:eastAsia="仿宋_GB2312" w:cs="仿宋_GB2312"/>
                <w:bCs/>
                <w:snapToGrid w:val="0"/>
                <w:color w:val="auto"/>
                <w:kern w:val="2"/>
                <w:sz w:val="24"/>
                <w:szCs w:val="24"/>
                <w:highlight w:val="none"/>
                <w:lang w:val="en-US" w:eastAsia="zh-CN" w:bidi="ar-SA"/>
              </w:rPr>
              <w:t>精细化管理人员</w:t>
            </w:r>
            <w:r>
              <w:rPr>
                <w:rFonts w:hint="eastAsia" w:ascii="仿宋_GB2312" w:hAnsi="仿宋_GB2312" w:eastAsia="仿宋_GB2312" w:cs="仿宋_GB2312"/>
                <w:bCs/>
                <w:snapToGrid w:val="0"/>
                <w:color w:val="auto"/>
                <w:sz w:val="24"/>
                <w:highlight w:val="none"/>
              </w:rPr>
              <w:t>进行评审：</w:t>
            </w:r>
          </w:p>
          <w:p w14:paraId="3CACB4C4">
            <w:pPr>
              <w:numPr>
                <w:ilvl w:val="0"/>
                <w:numId w:val="1"/>
              </w:numPr>
              <w:spacing w:line="400" w:lineRule="exact"/>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项目负责人要求：</w:t>
            </w:r>
          </w:p>
          <w:p w14:paraId="07C30536">
            <w:pPr>
              <w:numPr>
                <w:ilvl w:val="0"/>
                <w:numId w:val="2"/>
              </w:numPr>
              <w:spacing w:line="400" w:lineRule="exact"/>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rPr>
              <w:t>项目负责人具有</w:t>
            </w:r>
            <w:r>
              <w:rPr>
                <w:rFonts w:hint="eastAsia" w:ascii="仿宋_GB2312" w:hAnsi="仿宋_GB2312" w:eastAsia="仿宋_GB2312" w:cs="仿宋_GB2312"/>
                <w:bCs/>
                <w:snapToGrid w:val="0"/>
                <w:color w:val="auto"/>
                <w:sz w:val="24"/>
                <w:highlight w:val="none"/>
                <w:lang w:val="en-US" w:eastAsia="zh-CN"/>
              </w:rPr>
              <w:t>本科及以上学历，得3分；专科学历的，得1分；其它学历，不得分。本项满分3分；</w:t>
            </w:r>
          </w:p>
          <w:p w14:paraId="6A93E722">
            <w:pPr>
              <w:numPr>
                <w:ilvl w:val="0"/>
                <w:numId w:val="2"/>
              </w:numPr>
              <w:spacing w:line="400" w:lineRule="exact"/>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项目负责人</w:t>
            </w:r>
            <w:r>
              <w:rPr>
                <w:rFonts w:hint="eastAsia" w:ascii="仿宋_GB2312" w:hAnsi="仿宋_GB2312" w:eastAsia="仿宋_GB2312" w:cs="仿宋_GB2312"/>
                <w:bCs/>
                <w:snapToGrid w:val="0"/>
                <w:color w:val="auto"/>
                <w:sz w:val="24"/>
                <w:highlight w:val="none"/>
                <w:lang w:val="en-US" w:eastAsia="zh-CN"/>
              </w:rPr>
              <w:t>具备</w:t>
            </w:r>
            <w:r>
              <w:rPr>
                <w:rFonts w:hint="eastAsia" w:ascii="仿宋_GB2312" w:hAnsi="仿宋_GB2312" w:eastAsia="仿宋_GB2312" w:cs="仿宋_GB2312"/>
                <w:bCs/>
                <w:snapToGrid w:val="0"/>
                <w:color w:val="auto"/>
                <w:sz w:val="24"/>
                <w:highlight w:val="none"/>
                <w:lang w:eastAsia="zh-CN"/>
              </w:rPr>
              <w:t>资质类高级职称</w:t>
            </w:r>
            <w:r>
              <w:rPr>
                <w:rFonts w:hint="eastAsia" w:ascii="仿宋_GB2312" w:hAnsi="仿宋_GB2312" w:eastAsia="仿宋_GB2312" w:cs="仿宋_GB2312"/>
                <w:bCs/>
                <w:snapToGrid w:val="0"/>
                <w:color w:val="auto"/>
                <w:sz w:val="24"/>
                <w:highlight w:val="none"/>
                <w:lang w:val="en-US" w:eastAsia="zh-CN"/>
              </w:rPr>
              <w:t>的</w:t>
            </w:r>
            <w:bookmarkStart w:id="0" w:name="_GoBack"/>
            <w:bookmarkEnd w:id="0"/>
            <w:r>
              <w:rPr>
                <w:rFonts w:hint="eastAsia" w:ascii="仿宋_GB2312" w:hAnsi="仿宋_GB2312" w:eastAsia="仿宋_GB2312" w:cs="仿宋_GB2312"/>
                <w:bCs/>
                <w:snapToGrid w:val="0"/>
                <w:color w:val="auto"/>
                <w:sz w:val="24"/>
                <w:highlight w:val="none"/>
                <w:lang w:val="en-US" w:eastAsia="zh-CN"/>
              </w:rPr>
              <w:t>，得3分；具备</w:t>
            </w:r>
            <w:r>
              <w:rPr>
                <w:rFonts w:hint="eastAsia" w:ascii="仿宋_GB2312" w:hAnsi="仿宋_GB2312" w:eastAsia="仿宋_GB2312" w:cs="仿宋_GB2312"/>
                <w:bCs/>
                <w:snapToGrid w:val="0"/>
                <w:color w:val="auto"/>
                <w:sz w:val="24"/>
                <w:highlight w:val="none"/>
                <w:lang w:eastAsia="zh-CN"/>
              </w:rPr>
              <w:t>资质类中级职称</w:t>
            </w:r>
            <w:r>
              <w:rPr>
                <w:rFonts w:hint="eastAsia" w:ascii="仿宋_GB2312" w:hAnsi="仿宋_GB2312" w:eastAsia="仿宋_GB2312" w:cs="仿宋_GB2312"/>
                <w:bCs/>
                <w:snapToGrid w:val="0"/>
                <w:color w:val="auto"/>
                <w:sz w:val="24"/>
                <w:highlight w:val="none"/>
                <w:lang w:val="en-US" w:eastAsia="zh-CN"/>
              </w:rPr>
              <w:t>，得1分；其它不得分。满分3分。</w:t>
            </w:r>
          </w:p>
          <w:p w14:paraId="69D14B2C">
            <w:pPr>
              <w:numPr>
                <w:ilvl w:val="0"/>
                <w:numId w:val="2"/>
              </w:numPr>
              <w:spacing w:line="400" w:lineRule="exact"/>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项目负责人参与过不少于3个信息化</w:t>
            </w:r>
            <w:r>
              <w:rPr>
                <w:rFonts w:hint="eastAsia" w:ascii="仿宋_GB2312" w:hAnsi="仿宋_GB2312" w:eastAsia="仿宋_GB2312" w:cs="仿宋_GB2312"/>
                <w:bCs/>
                <w:snapToGrid w:val="0"/>
                <w:color w:val="auto"/>
                <w:sz w:val="24"/>
                <w:highlight w:val="none"/>
                <w:lang w:val="en-US" w:eastAsia="zh-CN"/>
              </w:rPr>
              <w:t>类</w:t>
            </w:r>
            <w:r>
              <w:rPr>
                <w:rFonts w:hint="eastAsia" w:ascii="仿宋_GB2312" w:hAnsi="仿宋_GB2312" w:eastAsia="仿宋_GB2312" w:cs="仿宋_GB2312"/>
                <w:bCs/>
                <w:snapToGrid w:val="0"/>
                <w:color w:val="auto"/>
                <w:sz w:val="24"/>
                <w:highlight w:val="none"/>
              </w:rPr>
              <w:t>项目案例经验</w:t>
            </w:r>
            <w:r>
              <w:rPr>
                <w:rFonts w:hint="eastAsia" w:ascii="仿宋_GB2312" w:hAnsi="仿宋_GB2312" w:eastAsia="仿宋_GB2312" w:cs="仿宋_GB2312"/>
                <w:bCs/>
                <w:snapToGrid w:val="0"/>
                <w:color w:val="auto"/>
                <w:sz w:val="24"/>
                <w:highlight w:val="none"/>
                <w:lang w:eastAsia="zh-CN"/>
              </w:rPr>
              <w:t>的，</w:t>
            </w:r>
            <w:r>
              <w:rPr>
                <w:rFonts w:hint="eastAsia" w:ascii="仿宋_GB2312" w:hAnsi="仿宋_GB2312" w:eastAsia="仿宋_GB2312" w:cs="仿宋_GB2312"/>
                <w:bCs/>
                <w:snapToGrid w:val="0"/>
                <w:color w:val="auto"/>
                <w:sz w:val="24"/>
                <w:highlight w:val="none"/>
                <w:lang w:val="en-US" w:eastAsia="zh-CN"/>
              </w:rPr>
              <w:t>得2分；</w:t>
            </w:r>
            <w:r>
              <w:rPr>
                <w:rFonts w:hint="eastAsia" w:ascii="仿宋_GB2312" w:hAnsi="仿宋_GB2312" w:eastAsia="仿宋_GB2312" w:cs="仿宋_GB2312"/>
                <w:bCs/>
                <w:snapToGrid w:val="0"/>
                <w:color w:val="auto"/>
                <w:sz w:val="24"/>
                <w:highlight w:val="none"/>
              </w:rPr>
              <w:t>参与过</w:t>
            </w:r>
            <w:r>
              <w:rPr>
                <w:rFonts w:hint="eastAsia" w:ascii="仿宋_GB2312" w:hAnsi="仿宋_GB2312" w:eastAsia="仿宋_GB2312" w:cs="仿宋_GB2312"/>
                <w:bCs/>
                <w:snapToGrid w:val="0"/>
                <w:color w:val="auto"/>
                <w:sz w:val="24"/>
                <w:highlight w:val="none"/>
                <w:lang w:val="en-US" w:eastAsia="zh-CN"/>
              </w:rPr>
              <w:t>1-2</w:t>
            </w:r>
            <w:r>
              <w:rPr>
                <w:rFonts w:hint="eastAsia" w:ascii="仿宋_GB2312" w:hAnsi="仿宋_GB2312" w:eastAsia="仿宋_GB2312" w:cs="仿宋_GB2312"/>
                <w:bCs/>
                <w:snapToGrid w:val="0"/>
                <w:color w:val="auto"/>
                <w:sz w:val="24"/>
                <w:highlight w:val="none"/>
              </w:rPr>
              <w:t>个信息化</w:t>
            </w:r>
            <w:r>
              <w:rPr>
                <w:rFonts w:hint="eastAsia" w:ascii="仿宋_GB2312" w:hAnsi="仿宋_GB2312" w:eastAsia="仿宋_GB2312" w:cs="仿宋_GB2312"/>
                <w:bCs/>
                <w:snapToGrid w:val="0"/>
                <w:color w:val="auto"/>
                <w:sz w:val="24"/>
                <w:highlight w:val="none"/>
                <w:lang w:val="en-US" w:eastAsia="zh-CN"/>
              </w:rPr>
              <w:t>类</w:t>
            </w:r>
            <w:r>
              <w:rPr>
                <w:rFonts w:hint="eastAsia" w:ascii="仿宋_GB2312" w:hAnsi="仿宋_GB2312" w:eastAsia="仿宋_GB2312" w:cs="仿宋_GB2312"/>
                <w:bCs/>
                <w:snapToGrid w:val="0"/>
                <w:color w:val="auto"/>
                <w:sz w:val="24"/>
                <w:highlight w:val="none"/>
              </w:rPr>
              <w:t>项目案例经验</w:t>
            </w:r>
            <w:r>
              <w:rPr>
                <w:rFonts w:hint="eastAsia" w:ascii="仿宋_GB2312" w:hAnsi="仿宋_GB2312" w:eastAsia="仿宋_GB2312" w:cs="仿宋_GB2312"/>
                <w:bCs/>
                <w:snapToGrid w:val="0"/>
                <w:color w:val="auto"/>
                <w:sz w:val="24"/>
                <w:highlight w:val="none"/>
                <w:lang w:eastAsia="zh-CN"/>
              </w:rPr>
              <w:t>的，得</w:t>
            </w:r>
            <w:r>
              <w:rPr>
                <w:rFonts w:hint="eastAsia" w:ascii="仿宋_GB2312" w:hAnsi="仿宋_GB2312" w:eastAsia="仿宋_GB2312" w:cs="仿宋_GB2312"/>
                <w:bCs/>
                <w:snapToGrid w:val="0"/>
                <w:color w:val="auto"/>
                <w:sz w:val="24"/>
                <w:highlight w:val="none"/>
                <w:lang w:val="en-US" w:eastAsia="zh-CN"/>
              </w:rPr>
              <w:t>1分；其它不得分</w:t>
            </w:r>
            <w:r>
              <w:rPr>
                <w:rFonts w:hint="eastAsia" w:ascii="仿宋_GB2312" w:hAnsi="仿宋_GB2312" w:eastAsia="仿宋_GB2312" w:cs="仿宋_GB2312"/>
                <w:bCs/>
                <w:snapToGrid w:val="0"/>
                <w:color w:val="auto"/>
                <w:sz w:val="24"/>
                <w:highlight w:val="none"/>
              </w:rPr>
              <w:t>。</w:t>
            </w:r>
            <w:r>
              <w:rPr>
                <w:rFonts w:hint="eastAsia" w:ascii="仿宋_GB2312" w:hAnsi="仿宋_GB2312" w:eastAsia="仿宋_GB2312" w:cs="仿宋_GB2312"/>
                <w:bCs/>
                <w:snapToGrid w:val="0"/>
                <w:color w:val="auto"/>
                <w:sz w:val="24"/>
                <w:highlight w:val="none"/>
                <w:lang w:eastAsia="zh-CN"/>
              </w:rPr>
              <w:t>满分</w:t>
            </w:r>
            <w:r>
              <w:rPr>
                <w:rFonts w:hint="eastAsia" w:ascii="仿宋_GB2312" w:hAnsi="仿宋_GB2312" w:eastAsia="仿宋_GB2312" w:cs="仿宋_GB2312"/>
                <w:bCs/>
                <w:snapToGrid w:val="0"/>
                <w:color w:val="auto"/>
                <w:sz w:val="24"/>
                <w:highlight w:val="none"/>
                <w:lang w:val="en-US" w:eastAsia="zh-CN"/>
              </w:rPr>
              <w:t>2分。</w:t>
            </w:r>
          </w:p>
          <w:p w14:paraId="69B0A46D">
            <w:pPr>
              <w:spacing w:line="400" w:lineRule="exact"/>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提供该项目负责人在本单位近3个月社保证明及证书扫描件；案例经验须提供合同文件关键页（项目名称、承揽内容，签订双方盖章页）扫描件。合同证明材料需体现本次拟任项目负责人姓名。否则认定为无效的该项目负责人业绩。</w:t>
            </w:r>
          </w:p>
          <w:p w14:paraId="56755F98">
            <w:pPr>
              <w:numPr>
                <w:ilvl w:val="0"/>
                <w:numId w:val="1"/>
              </w:numPr>
              <w:spacing w:line="400" w:lineRule="exact"/>
              <w:ind w:left="0" w:leftChars="0" w:firstLine="0" w:firstLineChars="0"/>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项目团队要求：</w:t>
            </w:r>
          </w:p>
          <w:p w14:paraId="0F75085A">
            <w:pPr>
              <w:spacing w:line="400" w:lineRule="exact"/>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rPr>
              <w:t>项目团队人员中含有取得认证系统集成项目管理师、认证ITSS IT服务</w:t>
            </w:r>
            <w:r>
              <w:rPr>
                <w:rFonts w:hint="eastAsia" w:ascii="仿宋_GB2312" w:hAnsi="仿宋_GB2312" w:eastAsia="仿宋_GB2312" w:cs="仿宋_GB2312"/>
                <w:bCs/>
                <w:snapToGrid w:val="0"/>
                <w:color w:val="auto"/>
                <w:sz w:val="24"/>
                <w:highlight w:val="none"/>
                <w:lang w:val="en-US" w:eastAsia="zh-CN"/>
              </w:rPr>
              <w:t>项目经理</w:t>
            </w:r>
            <w:r>
              <w:rPr>
                <w:rFonts w:hint="eastAsia" w:ascii="仿宋_GB2312" w:hAnsi="仿宋_GB2312" w:eastAsia="仿宋_GB2312" w:cs="仿宋_GB2312"/>
                <w:bCs/>
                <w:snapToGrid w:val="0"/>
                <w:color w:val="auto"/>
                <w:sz w:val="24"/>
                <w:highlight w:val="none"/>
              </w:rPr>
              <w:t>、软件设计师资格证书认定，每具有一个证书得</w:t>
            </w: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rPr>
              <w:t>分，</w:t>
            </w:r>
            <w:r>
              <w:rPr>
                <w:rFonts w:hint="eastAsia" w:ascii="仿宋_GB2312" w:hAnsi="仿宋_GB2312" w:eastAsia="仿宋_GB2312" w:cs="仿宋_GB2312"/>
                <w:bCs/>
                <w:snapToGrid w:val="0"/>
                <w:color w:val="auto"/>
                <w:sz w:val="24"/>
                <w:highlight w:val="none"/>
                <w:lang w:eastAsia="zh-CN"/>
              </w:rPr>
              <w:t>多人同一</w:t>
            </w:r>
            <w:r>
              <w:rPr>
                <w:rFonts w:hint="eastAsia" w:ascii="仿宋_GB2312" w:hAnsi="仿宋_GB2312" w:eastAsia="仿宋_GB2312" w:cs="仿宋_GB2312"/>
                <w:bCs/>
                <w:snapToGrid w:val="0"/>
                <w:color w:val="auto"/>
                <w:sz w:val="24"/>
                <w:highlight w:val="none"/>
              </w:rPr>
              <w:t>个证书及单人多个证书不重复计分，最多得</w:t>
            </w:r>
            <w:r>
              <w:rPr>
                <w:rFonts w:hint="eastAsia" w:ascii="仿宋_GB2312" w:hAnsi="仿宋_GB2312" w:eastAsia="仿宋_GB2312" w:cs="仿宋_GB2312"/>
                <w:bCs/>
                <w:snapToGrid w:val="0"/>
                <w:color w:val="auto"/>
                <w:sz w:val="24"/>
                <w:highlight w:val="none"/>
                <w:lang w:val="en-US" w:eastAsia="zh-CN"/>
              </w:rPr>
              <w:t>6</w:t>
            </w:r>
            <w:r>
              <w:rPr>
                <w:rFonts w:hint="eastAsia" w:ascii="仿宋_GB2312" w:hAnsi="仿宋_GB2312" w:eastAsia="仿宋_GB2312" w:cs="仿宋_GB2312"/>
                <w:bCs/>
                <w:snapToGrid w:val="0"/>
                <w:color w:val="auto"/>
                <w:sz w:val="24"/>
                <w:highlight w:val="none"/>
              </w:rPr>
              <w:t>分，没有不得分。需提供上述人员在本单位近3个月社保证明及证书扫描件。</w:t>
            </w:r>
          </w:p>
        </w:tc>
        <w:tc>
          <w:tcPr>
            <w:tcW w:w="1736" w:type="dxa"/>
            <w:shd w:val="clear" w:color="auto" w:fill="auto"/>
            <w:vAlign w:val="center"/>
          </w:tcPr>
          <w:p w14:paraId="2E6814D9">
            <w:pPr>
              <w:spacing w:line="400" w:lineRule="exact"/>
              <w:jc w:val="center"/>
              <w:rPr>
                <w:rFonts w:hint="eastAsia" w:ascii="仿宋_GB2312" w:hAnsi="仿宋_GB2312" w:eastAsia="仿宋_GB2312" w:cs="仿宋_GB2312"/>
                <w:bCs/>
                <w:snapToGrid w:val="0"/>
                <w:color w:val="auto"/>
                <w:kern w:val="2"/>
                <w:sz w:val="24"/>
                <w:szCs w:val="24"/>
                <w:highlight w:val="none"/>
                <w:lang w:val="zh-CN" w:eastAsia="zh-CN" w:bidi="ar-SA"/>
              </w:rPr>
            </w:pPr>
            <w:r>
              <w:rPr>
                <w:rFonts w:hint="eastAsia" w:ascii="仿宋_GB2312" w:hAnsi="仿宋_GB2312" w:eastAsia="仿宋_GB2312" w:cs="仿宋_GB2312"/>
                <w:b w:val="0"/>
                <w:bCs/>
                <w:snapToGrid w:val="0"/>
                <w:color w:val="auto"/>
                <w:kern w:val="2"/>
                <w:sz w:val="24"/>
                <w:szCs w:val="24"/>
                <w:lang w:val="zh-CN"/>
              </w:rPr>
              <w:t>评委打分</w:t>
            </w:r>
          </w:p>
        </w:tc>
      </w:tr>
      <w:tr w14:paraId="2B5C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CellSpacing w:w="0" w:type="dxa"/>
          <w:jc w:val="center"/>
        </w:trPr>
        <w:tc>
          <w:tcPr>
            <w:tcW w:w="587" w:type="dxa"/>
            <w:vAlign w:val="center"/>
          </w:tcPr>
          <w:p w14:paraId="443B5A5E">
            <w:pPr>
              <w:spacing w:line="400" w:lineRule="exact"/>
              <w:jc w:val="center"/>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4</w:t>
            </w:r>
          </w:p>
        </w:tc>
        <w:tc>
          <w:tcPr>
            <w:tcW w:w="1404" w:type="dxa"/>
            <w:shd w:val="clear" w:color="auto" w:fill="auto"/>
            <w:vAlign w:val="center"/>
          </w:tcPr>
          <w:p w14:paraId="2E9F0FFB">
            <w:pPr>
              <w:spacing w:line="360" w:lineRule="auto"/>
              <w:jc w:val="center"/>
              <w:rPr>
                <w:rFonts w:hint="eastAsia" w:ascii="仿宋_GB2312" w:hAnsi="仿宋_GB2312" w:eastAsia="仿宋_GB2312" w:cs="仿宋_GB2312"/>
                <w:b w:val="0"/>
                <w:bCs/>
                <w:snapToGrid w:val="0"/>
                <w:color w:val="auto"/>
                <w:kern w:val="2"/>
                <w:sz w:val="24"/>
                <w:szCs w:val="24"/>
                <w:lang w:val="en-US" w:eastAsia="zh-CN" w:bidi="ar-SA"/>
              </w:rPr>
            </w:pPr>
            <w:r>
              <w:rPr>
                <w:rFonts w:hint="eastAsia" w:ascii="仿宋_GB2312" w:hAnsi="仿宋_GB2312" w:eastAsia="仿宋_GB2312" w:cs="仿宋_GB2312"/>
                <w:b w:val="0"/>
                <w:bCs/>
                <w:snapToGrid w:val="0"/>
                <w:color w:val="auto"/>
                <w:kern w:val="2"/>
                <w:sz w:val="24"/>
                <w:szCs w:val="24"/>
                <w:lang w:val="en-US" w:eastAsia="zh-CN"/>
              </w:rPr>
              <w:t>企业诚信</w:t>
            </w:r>
          </w:p>
        </w:tc>
        <w:tc>
          <w:tcPr>
            <w:tcW w:w="757" w:type="dxa"/>
            <w:shd w:val="clear" w:color="auto" w:fill="auto"/>
            <w:vAlign w:val="center"/>
          </w:tcPr>
          <w:p w14:paraId="31F89EC1">
            <w:pPr>
              <w:spacing w:line="400" w:lineRule="exact"/>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3</w:t>
            </w:r>
          </w:p>
        </w:tc>
        <w:tc>
          <w:tcPr>
            <w:tcW w:w="5035" w:type="dxa"/>
            <w:shd w:val="clear" w:color="auto" w:fill="auto"/>
            <w:vAlign w:val="top"/>
          </w:tcPr>
          <w:p w14:paraId="4E1BF041">
            <w:pPr>
              <w:spacing w:line="400" w:lineRule="exact"/>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供应商在参与政府采购活动中出现诚信相关问题且在相关主管部门处理措施实施期限内的本项不得分，否则得满分。</w:t>
            </w:r>
          </w:p>
          <w:p w14:paraId="252993DD">
            <w:pPr>
              <w:spacing w:line="400" w:lineRule="exact"/>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提供《诚信承诺函》原件加盖供应商公章，格式自拟，不提供不得分。如被认定提供的陈述与事实不符的，依法追究其责任。</w:t>
            </w:r>
          </w:p>
        </w:tc>
        <w:tc>
          <w:tcPr>
            <w:tcW w:w="1736" w:type="dxa"/>
            <w:shd w:val="clear" w:color="auto" w:fill="auto"/>
            <w:vAlign w:val="center"/>
          </w:tcPr>
          <w:p w14:paraId="1B9A5345">
            <w:pPr>
              <w:spacing w:line="360" w:lineRule="auto"/>
              <w:jc w:val="center"/>
              <w:rPr>
                <w:rFonts w:hint="eastAsia" w:ascii="仿宋_GB2312" w:hAnsi="仿宋_GB2312" w:eastAsia="仿宋_GB2312" w:cs="仿宋_GB2312"/>
                <w:b w:val="0"/>
                <w:bCs/>
                <w:snapToGrid w:val="0"/>
                <w:color w:val="auto"/>
                <w:kern w:val="2"/>
                <w:sz w:val="24"/>
                <w:szCs w:val="24"/>
                <w:lang w:val="zh-CN" w:eastAsia="zh-CN" w:bidi="ar-SA"/>
              </w:rPr>
            </w:pPr>
            <w:r>
              <w:rPr>
                <w:rFonts w:hint="eastAsia" w:ascii="仿宋_GB2312" w:hAnsi="仿宋_GB2312" w:eastAsia="仿宋_GB2312" w:cs="仿宋_GB2312"/>
                <w:b w:val="0"/>
                <w:bCs/>
                <w:snapToGrid w:val="0"/>
                <w:color w:val="auto"/>
                <w:kern w:val="2"/>
                <w:sz w:val="24"/>
                <w:szCs w:val="24"/>
                <w:lang w:val="zh-CN"/>
              </w:rPr>
              <w:t>评委打分</w:t>
            </w:r>
          </w:p>
        </w:tc>
      </w:tr>
      <w:tr w14:paraId="4C21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CellSpacing w:w="0" w:type="dxa"/>
          <w:jc w:val="center"/>
        </w:trPr>
        <w:tc>
          <w:tcPr>
            <w:tcW w:w="7783" w:type="dxa"/>
            <w:gridSpan w:val="4"/>
            <w:vAlign w:val="center"/>
          </w:tcPr>
          <w:p w14:paraId="10056CF4">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auto"/>
                <w:sz w:val="24"/>
                <w:highlight w:val="none"/>
                <w:lang w:val="zh-CN"/>
              </w:rPr>
              <w:t>三、</w:t>
            </w:r>
            <w:r>
              <w:rPr>
                <w:rFonts w:hint="eastAsia" w:ascii="仿宋_GB2312" w:hAnsi="仿宋_GB2312" w:eastAsia="仿宋_GB2312" w:cs="仿宋_GB2312"/>
                <w:b/>
                <w:snapToGrid w:val="0"/>
                <w:color w:val="auto"/>
                <w:sz w:val="24"/>
                <w:highlight w:val="none"/>
              </w:rPr>
              <w:t>技术</w:t>
            </w:r>
            <w:r>
              <w:rPr>
                <w:rFonts w:hint="eastAsia" w:ascii="仿宋_GB2312" w:hAnsi="仿宋_GB2312" w:eastAsia="仿宋_GB2312" w:cs="仿宋_GB2312"/>
                <w:b/>
                <w:snapToGrid w:val="0"/>
                <w:color w:val="auto"/>
                <w:sz w:val="24"/>
                <w:highlight w:val="none"/>
                <w:lang w:val="zh-CN"/>
              </w:rPr>
              <w:t>部分</w:t>
            </w:r>
          </w:p>
        </w:tc>
        <w:tc>
          <w:tcPr>
            <w:tcW w:w="1736" w:type="dxa"/>
            <w:vAlign w:val="center"/>
          </w:tcPr>
          <w:p w14:paraId="3D4D681E">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snapToGrid w:val="0"/>
                <w:color w:val="000000" w:themeColor="text1"/>
                <w:sz w:val="24"/>
                <w:highlight w:val="none"/>
                <w:lang w:val="en-US" w:eastAsia="zh-CN"/>
                <w14:textFill>
                  <w14:solidFill>
                    <w14:schemeClr w14:val="tx1"/>
                  </w14:solidFill>
                </w14:textFill>
              </w:rPr>
              <w:t>35</w:t>
            </w:r>
            <w:r>
              <w:rPr>
                <w:rFonts w:hint="eastAsia" w:ascii="仿宋_GB2312" w:hAnsi="仿宋_GB2312" w:eastAsia="仿宋_GB2312" w:cs="仿宋_GB2312"/>
                <w:b/>
                <w:snapToGrid w:val="0"/>
                <w:color w:val="000000" w:themeColor="text1"/>
                <w:sz w:val="24"/>
                <w:highlight w:val="none"/>
                <w14:textFill>
                  <w14:solidFill>
                    <w14:schemeClr w14:val="tx1"/>
                  </w14:solidFill>
                </w14:textFill>
              </w:rPr>
              <w:t>分</w:t>
            </w:r>
          </w:p>
        </w:tc>
      </w:tr>
      <w:tr w14:paraId="629E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blCellSpacing w:w="0" w:type="dxa"/>
          <w:jc w:val="center"/>
        </w:trPr>
        <w:tc>
          <w:tcPr>
            <w:tcW w:w="587" w:type="dxa"/>
            <w:vAlign w:val="center"/>
          </w:tcPr>
          <w:p w14:paraId="1EA1DF00">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lang w:val="en-US" w:eastAsia="zh-CN"/>
              </w:rPr>
              <w:t>1</w:t>
            </w:r>
          </w:p>
        </w:tc>
        <w:tc>
          <w:tcPr>
            <w:tcW w:w="1404" w:type="dxa"/>
            <w:vAlign w:val="center"/>
          </w:tcPr>
          <w:p w14:paraId="7303EEC0">
            <w:pPr>
              <w:spacing w:line="400" w:lineRule="exact"/>
              <w:jc w:val="center"/>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eastAsia="zh-CN"/>
              </w:rPr>
              <w:t>精细化管理</w:t>
            </w:r>
            <w:r>
              <w:rPr>
                <w:rFonts w:hint="eastAsia" w:ascii="仿宋_GB2312" w:hAnsi="仿宋_GB2312" w:eastAsia="仿宋_GB2312" w:cs="仿宋_GB2312"/>
                <w:bCs/>
                <w:snapToGrid w:val="0"/>
                <w:color w:val="auto"/>
                <w:sz w:val="24"/>
                <w:highlight w:val="none"/>
              </w:rPr>
              <w:t>服务</w:t>
            </w:r>
            <w:r>
              <w:rPr>
                <w:rFonts w:hint="eastAsia" w:ascii="仿宋_GB2312" w:hAnsi="仿宋_GB2312" w:eastAsia="仿宋_GB2312" w:cs="仿宋_GB2312"/>
                <w:bCs/>
                <w:snapToGrid w:val="0"/>
                <w:color w:val="auto"/>
                <w:sz w:val="24"/>
                <w:highlight w:val="none"/>
                <w:lang w:val="en-US" w:eastAsia="zh-CN"/>
              </w:rPr>
              <w:t>能力</w:t>
            </w:r>
          </w:p>
        </w:tc>
        <w:tc>
          <w:tcPr>
            <w:tcW w:w="757" w:type="dxa"/>
            <w:vAlign w:val="center"/>
          </w:tcPr>
          <w:p w14:paraId="557B9771">
            <w:pPr>
              <w:spacing w:line="400" w:lineRule="exact"/>
              <w:jc w:val="center"/>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10</w:t>
            </w:r>
            <w:r>
              <w:rPr>
                <w:rFonts w:hint="eastAsia" w:ascii="仿宋_GB2312" w:hAnsi="仿宋_GB2312" w:eastAsia="仿宋_GB2312" w:cs="仿宋_GB2312"/>
                <w:bCs/>
                <w:snapToGrid w:val="0"/>
                <w:color w:val="000000" w:themeColor="text1"/>
                <w:sz w:val="24"/>
                <w:highlight w:val="none"/>
                <w14:textFill>
                  <w14:solidFill>
                    <w14:schemeClr w14:val="tx1"/>
                  </w14:solidFill>
                </w14:textFill>
              </w:rPr>
              <w:t>分</w:t>
            </w:r>
          </w:p>
        </w:tc>
        <w:tc>
          <w:tcPr>
            <w:tcW w:w="5035" w:type="dxa"/>
            <w:shd w:val="clear" w:color="auto" w:fill="auto"/>
            <w:vAlign w:val="center"/>
          </w:tcPr>
          <w:p w14:paraId="7BFEDE36">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针对本项目作出准确、有效、完整的运维服务方案，组织架构完善、组织保障充分、实施计划科学合理、进度安排详实有效，质量控制措施到位。情况进行评定。</w:t>
            </w:r>
          </w:p>
          <w:p w14:paraId="557BAC74">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sz w:val="24"/>
                <w:highlight w:val="none"/>
                <w:lang w:val="en-US" w:eastAsia="zh-CN"/>
              </w:rPr>
              <w:t>方案详实，可行性高，评价为优得10分；方案较详实，可行性较高，评价为良得7分；方案一般详实，基本可性，评价为中得3分；方案不详实，不具有可性行，评价为差不得分。</w:t>
            </w:r>
          </w:p>
        </w:tc>
        <w:tc>
          <w:tcPr>
            <w:tcW w:w="1736" w:type="dxa"/>
            <w:shd w:val="clear" w:color="auto" w:fill="auto"/>
            <w:vAlign w:val="center"/>
          </w:tcPr>
          <w:p w14:paraId="5E2BF3A3">
            <w:pPr>
              <w:spacing w:line="400" w:lineRule="exact"/>
              <w:jc w:val="center"/>
              <w:rPr>
                <w:rFonts w:ascii="仿宋_GB2312" w:hAnsi="仿宋_GB2312" w:eastAsia="仿宋_GB2312" w:cs="仿宋_GB2312"/>
                <w:bCs/>
                <w:snapToGrid w:val="0"/>
                <w:color w:val="auto"/>
                <w:kern w:val="2"/>
                <w:sz w:val="24"/>
                <w:szCs w:val="24"/>
                <w:highlight w:val="none"/>
                <w:lang w:val="zh-CN" w:eastAsia="zh-CN" w:bidi="ar-SA"/>
              </w:rPr>
            </w:pPr>
            <w:r>
              <w:rPr>
                <w:rFonts w:hint="eastAsia" w:ascii="仿宋_GB2312" w:hAnsi="仿宋_GB2312" w:eastAsia="仿宋_GB2312" w:cs="仿宋_GB2312"/>
                <w:bCs/>
                <w:snapToGrid w:val="0"/>
                <w:color w:val="auto"/>
                <w:sz w:val="24"/>
                <w:highlight w:val="none"/>
                <w:lang w:val="zh-CN"/>
              </w:rPr>
              <w:t>评委打分</w:t>
            </w:r>
          </w:p>
        </w:tc>
      </w:tr>
      <w:tr w14:paraId="5E9F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tblCellSpacing w:w="0" w:type="dxa"/>
          <w:jc w:val="center"/>
        </w:trPr>
        <w:tc>
          <w:tcPr>
            <w:tcW w:w="587" w:type="dxa"/>
            <w:vAlign w:val="center"/>
          </w:tcPr>
          <w:p w14:paraId="740498C9">
            <w:pPr>
              <w:spacing w:line="400" w:lineRule="exact"/>
              <w:jc w:val="center"/>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2</w:t>
            </w:r>
          </w:p>
        </w:tc>
        <w:tc>
          <w:tcPr>
            <w:tcW w:w="1404" w:type="dxa"/>
            <w:vAlign w:val="center"/>
          </w:tcPr>
          <w:p w14:paraId="3152A44A">
            <w:pPr>
              <w:spacing w:line="400" w:lineRule="exact"/>
              <w:jc w:val="center"/>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运维服务方案能力</w:t>
            </w:r>
          </w:p>
        </w:tc>
        <w:tc>
          <w:tcPr>
            <w:tcW w:w="757" w:type="dxa"/>
            <w:vAlign w:val="center"/>
          </w:tcPr>
          <w:p w14:paraId="75FE685E">
            <w:pPr>
              <w:spacing w:line="400" w:lineRule="exact"/>
              <w:jc w:val="center"/>
              <w:rPr>
                <w:rFonts w:hint="default" w:ascii="仿宋_GB2312" w:hAnsi="仿宋_GB2312" w:eastAsia="仿宋_GB2312" w:cs="仿宋_GB2312"/>
                <w:bCs/>
                <w:snapToGrid w:val="0"/>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6分</w:t>
            </w:r>
          </w:p>
        </w:tc>
        <w:tc>
          <w:tcPr>
            <w:tcW w:w="5035" w:type="dxa"/>
            <w:vAlign w:val="center"/>
          </w:tcPr>
          <w:p w14:paraId="325BD47B">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提供制定符合本项目的培训计划、培训课程、培训讲师，培训目标等培训方案以及提供完整的售后服务方案，包括平台巡检、故障处理、系统升级服务等内容。</w:t>
            </w:r>
          </w:p>
          <w:p w14:paraId="67582B52">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方案详实，科学合理，评价为优得6分；方案较详实，较科学合理，评价为良得4分；方案基本详实，基本科学合理，评价为中得2分；方案不详实，不科学、不合理，评价为差不得分。</w:t>
            </w:r>
          </w:p>
        </w:tc>
        <w:tc>
          <w:tcPr>
            <w:tcW w:w="1736" w:type="dxa"/>
            <w:vAlign w:val="center"/>
          </w:tcPr>
          <w:p w14:paraId="3AF63D39">
            <w:pPr>
              <w:spacing w:line="400" w:lineRule="exact"/>
              <w:jc w:val="center"/>
              <w:rPr>
                <w:rFonts w:hint="eastAsia"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lang w:val="zh-CN"/>
              </w:rPr>
              <w:t>评委打分</w:t>
            </w:r>
          </w:p>
        </w:tc>
      </w:tr>
      <w:tr w14:paraId="76FD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blCellSpacing w:w="0" w:type="dxa"/>
          <w:jc w:val="center"/>
        </w:trPr>
        <w:tc>
          <w:tcPr>
            <w:tcW w:w="587" w:type="dxa"/>
            <w:vAlign w:val="center"/>
          </w:tcPr>
          <w:p w14:paraId="789DFE71">
            <w:pPr>
              <w:spacing w:line="400" w:lineRule="exact"/>
              <w:jc w:val="center"/>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3</w:t>
            </w:r>
          </w:p>
        </w:tc>
        <w:tc>
          <w:tcPr>
            <w:tcW w:w="1404" w:type="dxa"/>
            <w:shd w:val="clear" w:color="auto" w:fill="auto"/>
            <w:vAlign w:val="center"/>
          </w:tcPr>
          <w:p w14:paraId="0057CA3A">
            <w:pPr>
              <w:spacing w:line="400" w:lineRule="exact"/>
              <w:jc w:val="center"/>
              <w:rPr>
                <w:rFonts w:hint="default"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kern w:val="2"/>
                <w:sz w:val="24"/>
                <w:szCs w:val="24"/>
                <w:highlight w:val="none"/>
                <w:lang w:val="en-US" w:eastAsia="zh-CN" w:bidi="ar-SA"/>
              </w:rPr>
              <w:t>集成服务</w:t>
            </w:r>
          </w:p>
        </w:tc>
        <w:tc>
          <w:tcPr>
            <w:tcW w:w="757" w:type="dxa"/>
            <w:shd w:val="clear" w:color="auto" w:fill="auto"/>
            <w:vAlign w:val="center"/>
          </w:tcPr>
          <w:p w14:paraId="695545EC">
            <w:pPr>
              <w:spacing w:line="400" w:lineRule="exact"/>
              <w:jc w:val="center"/>
              <w:rPr>
                <w:rFonts w:hint="default"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kern w:val="2"/>
                <w:sz w:val="24"/>
                <w:szCs w:val="24"/>
                <w:highlight w:val="none"/>
                <w:lang w:val="en-US" w:eastAsia="zh-CN" w:bidi="ar-SA"/>
              </w:rPr>
              <w:t>6分</w:t>
            </w:r>
          </w:p>
        </w:tc>
        <w:tc>
          <w:tcPr>
            <w:tcW w:w="5035" w:type="dxa"/>
            <w:shd w:val="clear" w:color="auto" w:fill="auto"/>
            <w:vAlign w:val="center"/>
          </w:tcPr>
          <w:p w14:paraId="1138048C">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提供物联网硬件与区环卫精细化管理系统、市环卫全周期管理系统得数据接入共享方案。</w:t>
            </w:r>
          </w:p>
          <w:p w14:paraId="60F273C2">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sz w:val="24"/>
                <w:highlight w:val="none"/>
                <w:lang w:val="en-US" w:eastAsia="zh-CN"/>
              </w:rPr>
              <w:t>方案详实，科学合理，评价为优得6分；方案较详实，较科学合理，评价为良得4分；方案基本详实，基本科学合理，评价为中得2分；方案不详实，不科学、不合理，评价为差不得分。</w:t>
            </w:r>
          </w:p>
        </w:tc>
        <w:tc>
          <w:tcPr>
            <w:tcW w:w="1736" w:type="dxa"/>
            <w:shd w:val="clear" w:color="auto" w:fill="auto"/>
            <w:vAlign w:val="center"/>
          </w:tcPr>
          <w:p w14:paraId="2B8F1A06">
            <w:pPr>
              <w:spacing w:line="400" w:lineRule="exact"/>
              <w:jc w:val="center"/>
              <w:rPr>
                <w:rFonts w:hint="eastAsia" w:ascii="仿宋_GB2312" w:hAnsi="仿宋_GB2312" w:eastAsia="仿宋_GB2312" w:cs="仿宋_GB2312"/>
                <w:bCs/>
                <w:snapToGrid w:val="0"/>
                <w:color w:val="auto"/>
                <w:kern w:val="2"/>
                <w:sz w:val="24"/>
                <w:szCs w:val="24"/>
                <w:highlight w:val="none"/>
                <w:lang w:val="zh-CN" w:eastAsia="zh-CN" w:bidi="ar-SA"/>
              </w:rPr>
            </w:pPr>
            <w:r>
              <w:rPr>
                <w:rFonts w:hint="eastAsia" w:ascii="仿宋_GB2312" w:hAnsi="仿宋_GB2312" w:eastAsia="仿宋_GB2312" w:cs="仿宋_GB2312"/>
                <w:bCs/>
                <w:snapToGrid w:val="0"/>
                <w:color w:val="auto"/>
                <w:sz w:val="24"/>
                <w:highlight w:val="none"/>
                <w:lang w:val="zh-CN"/>
              </w:rPr>
              <w:t>评委打分</w:t>
            </w:r>
          </w:p>
        </w:tc>
      </w:tr>
      <w:tr w14:paraId="49A5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blCellSpacing w:w="0" w:type="dxa"/>
          <w:jc w:val="center"/>
        </w:trPr>
        <w:tc>
          <w:tcPr>
            <w:tcW w:w="587" w:type="dxa"/>
            <w:vAlign w:val="center"/>
          </w:tcPr>
          <w:p w14:paraId="1FE0AF38">
            <w:pPr>
              <w:spacing w:line="400" w:lineRule="exact"/>
              <w:jc w:val="center"/>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4</w:t>
            </w:r>
          </w:p>
        </w:tc>
        <w:tc>
          <w:tcPr>
            <w:tcW w:w="1404" w:type="dxa"/>
            <w:shd w:val="clear" w:color="auto" w:fill="auto"/>
            <w:vAlign w:val="center"/>
          </w:tcPr>
          <w:p w14:paraId="63FACD6D">
            <w:pPr>
              <w:spacing w:line="400" w:lineRule="exact"/>
              <w:jc w:val="center"/>
              <w:rPr>
                <w:rFonts w:hint="default"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sz w:val="24"/>
                <w:highlight w:val="none"/>
                <w:lang w:val="en-US" w:eastAsia="zh-CN"/>
              </w:rPr>
              <w:t>应急服务</w:t>
            </w:r>
          </w:p>
        </w:tc>
        <w:tc>
          <w:tcPr>
            <w:tcW w:w="757" w:type="dxa"/>
            <w:shd w:val="clear" w:color="auto" w:fill="auto"/>
            <w:vAlign w:val="center"/>
          </w:tcPr>
          <w:p w14:paraId="1FEFB3B1">
            <w:pPr>
              <w:spacing w:line="400" w:lineRule="exact"/>
              <w:jc w:val="center"/>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6分</w:t>
            </w:r>
          </w:p>
        </w:tc>
        <w:tc>
          <w:tcPr>
            <w:tcW w:w="5035" w:type="dxa"/>
            <w:shd w:val="clear" w:color="auto" w:fill="auto"/>
            <w:vAlign w:val="center"/>
          </w:tcPr>
          <w:p w14:paraId="2FAD297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针对城市管家履约监管以及市考核要求，提供系统数据稳定的应急服务。</w:t>
            </w:r>
          </w:p>
          <w:p w14:paraId="6D6FC96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bCs/>
                <w:snapToGrid w:val="0"/>
                <w:color w:val="auto"/>
                <w:sz w:val="24"/>
                <w:highlight w:val="none"/>
                <w:lang w:val="en-US" w:eastAsia="zh-CN"/>
              </w:rPr>
              <w:t>方案详实，科学合理，评价为优得6分；方案较详实，较科学合理，评价为良得4分；方案基本详实，基本科学合理，评价为中得2分；方案不详实，不科学、不合理，评价为差不得分。</w:t>
            </w:r>
          </w:p>
        </w:tc>
        <w:tc>
          <w:tcPr>
            <w:tcW w:w="1736" w:type="dxa"/>
            <w:shd w:val="clear" w:color="auto" w:fill="auto"/>
            <w:vAlign w:val="center"/>
          </w:tcPr>
          <w:p w14:paraId="3B5C8D44">
            <w:pPr>
              <w:spacing w:line="400" w:lineRule="exact"/>
              <w:jc w:val="center"/>
              <w:rPr>
                <w:rFonts w:hint="eastAsia" w:ascii="仿宋_GB2312" w:hAnsi="仿宋_GB2312" w:eastAsia="仿宋_GB2312" w:cs="仿宋_GB2312"/>
                <w:bCs/>
                <w:snapToGrid w:val="0"/>
                <w:color w:val="auto"/>
                <w:kern w:val="2"/>
                <w:sz w:val="24"/>
                <w:szCs w:val="24"/>
                <w:highlight w:val="none"/>
                <w:lang w:val="zh-CN" w:eastAsia="zh-CN" w:bidi="ar-SA"/>
              </w:rPr>
            </w:pPr>
            <w:r>
              <w:rPr>
                <w:rFonts w:hint="eastAsia" w:ascii="仿宋_GB2312" w:hAnsi="仿宋_GB2312" w:eastAsia="仿宋_GB2312" w:cs="仿宋_GB2312"/>
                <w:bCs/>
                <w:snapToGrid w:val="0"/>
                <w:color w:val="auto"/>
                <w:sz w:val="24"/>
                <w:highlight w:val="none"/>
                <w:lang w:val="zh-CN"/>
              </w:rPr>
              <w:t>评委打分</w:t>
            </w:r>
          </w:p>
        </w:tc>
      </w:tr>
      <w:tr w14:paraId="26C6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CellSpacing w:w="0" w:type="dxa"/>
          <w:jc w:val="center"/>
        </w:trPr>
        <w:tc>
          <w:tcPr>
            <w:tcW w:w="587" w:type="dxa"/>
            <w:vAlign w:val="center"/>
          </w:tcPr>
          <w:p w14:paraId="299C3EA7">
            <w:pPr>
              <w:spacing w:line="400" w:lineRule="exact"/>
              <w:jc w:val="center"/>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5</w:t>
            </w:r>
          </w:p>
        </w:tc>
        <w:tc>
          <w:tcPr>
            <w:tcW w:w="1404" w:type="dxa"/>
            <w:shd w:val="clear" w:color="auto" w:fill="auto"/>
            <w:vAlign w:val="center"/>
          </w:tcPr>
          <w:p w14:paraId="5BD506D9">
            <w:pPr>
              <w:spacing w:line="400" w:lineRule="exact"/>
              <w:jc w:val="center"/>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承诺服务</w:t>
            </w:r>
          </w:p>
        </w:tc>
        <w:tc>
          <w:tcPr>
            <w:tcW w:w="757" w:type="dxa"/>
            <w:shd w:val="clear" w:color="auto" w:fill="auto"/>
            <w:vAlign w:val="center"/>
          </w:tcPr>
          <w:p w14:paraId="3D2551C5">
            <w:pPr>
              <w:spacing w:line="400" w:lineRule="exact"/>
              <w:jc w:val="center"/>
              <w:rPr>
                <w:rFonts w:hint="default" w:ascii="仿宋_GB2312" w:hAnsi="仿宋_GB2312" w:eastAsia="仿宋_GB2312" w:cs="仿宋_GB2312"/>
                <w:bCs/>
                <w:snapToGrid w:val="0"/>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bCs/>
                <w:snapToGrid w:val="0"/>
                <w:color w:val="000000" w:themeColor="text1"/>
                <w:sz w:val="24"/>
                <w:highlight w:val="none"/>
                <w:lang w:val="en-US" w:eastAsia="zh-CN"/>
                <w14:textFill>
                  <w14:solidFill>
                    <w14:schemeClr w14:val="tx1"/>
                  </w14:solidFill>
                </w14:textFill>
              </w:rPr>
              <w:t>7分</w:t>
            </w:r>
          </w:p>
        </w:tc>
        <w:tc>
          <w:tcPr>
            <w:tcW w:w="5035" w:type="dxa"/>
            <w:shd w:val="clear" w:color="auto" w:fill="auto"/>
            <w:vAlign w:val="center"/>
          </w:tcPr>
          <w:p w14:paraId="6FFBF93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提供1年服务期内政府监管要求变化背景下，可承诺人员工牌终端升级、车载设备可技术升级的方式来实现满足政府监管要求的承诺函（提供承诺函扫描件、加盖公章）</w:t>
            </w:r>
          </w:p>
        </w:tc>
        <w:tc>
          <w:tcPr>
            <w:tcW w:w="1736" w:type="dxa"/>
            <w:shd w:val="clear" w:color="auto" w:fill="auto"/>
            <w:vAlign w:val="center"/>
          </w:tcPr>
          <w:p w14:paraId="3C71858D">
            <w:pPr>
              <w:spacing w:line="400" w:lineRule="exact"/>
              <w:jc w:val="center"/>
              <w:rPr>
                <w:rFonts w:hint="eastAsia" w:ascii="仿宋_GB2312" w:hAnsi="仿宋_GB2312" w:eastAsia="仿宋_GB2312" w:cs="仿宋_GB2312"/>
                <w:bCs/>
                <w:snapToGrid w:val="0"/>
                <w:color w:val="auto"/>
                <w:sz w:val="24"/>
                <w:highlight w:val="none"/>
                <w:lang w:val="zh-CN"/>
              </w:rPr>
            </w:pPr>
            <w:r>
              <w:rPr>
                <w:rFonts w:hint="eastAsia" w:ascii="仿宋_GB2312" w:hAnsi="仿宋_GB2312" w:eastAsia="仿宋_GB2312" w:cs="仿宋_GB2312"/>
                <w:bCs/>
                <w:snapToGrid w:val="0"/>
                <w:color w:val="auto"/>
                <w:sz w:val="24"/>
                <w:highlight w:val="none"/>
                <w:lang w:val="zh-CN"/>
              </w:rPr>
              <w:t>评委打分</w:t>
            </w:r>
          </w:p>
        </w:tc>
      </w:tr>
    </w:tbl>
    <w:p w14:paraId="76A12189">
      <w:pPr>
        <w:rPr>
          <w:rFonts w:hint="eastAsia" w:ascii="仿宋_GB2312" w:hAnsi="仿宋_GB2312" w:eastAsia="仿宋_GB2312" w:cs="仿宋_GB2312"/>
          <w:bCs/>
          <w:snapToGrid w:val="0"/>
          <w:color w:val="000000" w:themeColor="text1"/>
          <w:sz w:val="24"/>
          <w:highlight w:val="yellow"/>
          <w:lang w:eastAsia="zh-CN"/>
          <w14:textFill>
            <w14:solidFill>
              <w14:schemeClr w14:val="tx1"/>
            </w14:solidFill>
          </w14:textFill>
        </w:rPr>
      </w:pPr>
    </w:p>
    <w:sectPr>
      <w:pgSz w:w="11906" w:h="16838"/>
      <w:pgMar w:top="2154" w:right="1800" w:bottom="2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18465"/>
    <w:multiLevelType w:val="singleLevel"/>
    <w:tmpl w:val="B2E18465"/>
    <w:lvl w:ilvl="0" w:tentative="0">
      <w:start w:val="1"/>
      <w:numFmt w:val="decimal"/>
      <w:suff w:val="nothing"/>
      <w:lvlText w:val="%1、"/>
      <w:lvlJc w:val="left"/>
    </w:lvl>
  </w:abstractNum>
  <w:abstractNum w:abstractNumId="1">
    <w:nsid w:val="15CDBD0F"/>
    <w:multiLevelType w:val="singleLevel"/>
    <w:tmpl w:val="15CDBD0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2ZWVjOGU5MzFhZDg0OWEzZTgyYWY2N2Y2OGQ3NTgifQ=="/>
  </w:docVars>
  <w:rsids>
    <w:rsidRoot w:val="03DA5FD8"/>
    <w:rsid w:val="00065A75"/>
    <w:rsid w:val="000816E2"/>
    <w:rsid w:val="00122C85"/>
    <w:rsid w:val="001C3B62"/>
    <w:rsid w:val="002A735A"/>
    <w:rsid w:val="003239A9"/>
    <w:rsid w:val="006038F2"/>
    <w:rsid w:val="007C02E4"/>
    <w:rsid w:val="00B26E33"/>
    <w:rsid w:val="00CE4013"/>
    <w:rsid w:val="00EB507E"/>
    <w:rsid w:val="00F3728A"/>
    <w:rsid w:val="00FE3D39"/>
    <w:rsid w:val="02B25269"/>
    <w:rsid w:val="03DA5FD8"/>
    <w:rsid w:val="05BC0E3E"/>
    <w:rsid w:val="05C807C9"/>
    <w:rsid w:val="06936826"/>
    <w:rsid w:val="07BD753F"/>
    <w:rsid w:val="07FB4E2D"/>
    <w:rsid w:val="0A182CB4"/>
    <w:rsid w:val="0C656BC6"/>
    <w:rsid w:val="0CBD64A5"/>
    <w:rsid w:val="0EA75DBA"/>
    <w:rsid w:val="12B66BD0"/>
    <w:rsid w:val="16726230"/>
    <w:rsid w:val="16B94831"/>
    <w:rsid w:val="16CB62E4"/>
    <w:rsid w:val="18291936"/>
    <w:rsid w:val="195B397D"/>
    <w:rsid w:val="19A94DBA"/>
    <w:rsid w:val="19E46CA3"/>
    <w:rsid w:val="19F50CA1"/>
    <w:rsid w:val="1AF02A37"/>
    <w:rsid w:val="1D017D52"/>
    <w:rsid w:val="1D73355D"/>
    <w:rsid w:val="1F3E4310"/>
    <w:rsid w:val="2161256D"/>
    <w:rsid w:val="23E115E8"/>
    <w:rsid w:val="264013F8"/>
    <w:rsid w:val="269B6219"/>
    <w:rsid w:val="274D2047"/>
    <w:rsid w:val="285E0D94"/>
    <w:rsid w:val="28F0025A"/>
    <w:rsid w:val="292F72C5"/>
    <w:rsid w:val="2AC450FA"/>
    <w:rsid w:val="2C0C6D59"/>
    <w:rsid w:val="2CD30697"/>
    <w:rsid w:val="2FFC7808"/>
    <w:rsid w:val="30A63368"/>
    <w:rsid w:val="333C0031"/>
    <w:rsid w:val="38DE0691"/>
    <w:rsid w:val="39455658"/>
    <w:rsid w:val="3BA1109C"/>
    <w:rsid w:val="3C284C42"/>
    <w:rsid w:val="3D0A38AF"/>
    <w:rsid w:val="3E2373A5"/>
    <w:rsid w:val="411B1238"/>
    <w:rsid w:val="411C3143"/>
    <w:rsid w:val="435F0E5C"/>
    <w:rsid w:val="48930C2F"/>
    <w:rsid w:val="49D50008"/>
    <w:rsid w:val="4AE63ABA"/>
    <w:rsid w:val="4B1A6391"/>
    <w:rsid w:val="4CF130C1"/>
    <w:rsid w:val="4D453A21"/>
    <w:rsid w:val="4D4D4DDF"/>
    <w:rsid w:val="4D9C5D37"/>
    <w:rsid w:val="4E0B752F"/>
    <w:rsid w:val="4EA27C16"/>
    <w:rsid w:val="4FA34ADF"/>
    <w:rsid w:val="504A4F1F"/>
    <w:rsid w:val="505C355C"/>
    <w:rsid w:val="52FE0D35"/>
    <w:rsid w:val="532D2ADB"/>
    <w:rsid w:val="551B59CA"/>
    <w:rsid w:val="556F6555"/>
    <w:rsid w:val="5A2215A8"/>
    <w:rsid w:val="5B306C01"/>
    <w:rsid w:val="5BBB3EA3"/>
    <w:rsid w:val="5DBB2822"/>
    <w:rsid w:val="5E132C94"/>
    <w:rsid w:val="5E3727A3"/>
    <w:rsid w:val="60306656"/>
    <w:rsid w:val="63C93DC8"/>
    <w:rsid w:val="65BD731E"/>
    <w:rsid w:val="66DE7273"/>
    <w:rsid w:val="6CE34991"/>
    <w:rsid w:val="6E2A65EF"/>
    <w:rsid w:val="6EEB4734"/>
    <w:rsid w:val="72EF7716"/>
    <w:rsid w:val="75F93E43"/>
    <w:rsid w:val="76050361"/>
    <w:rsid w:val="785328F5"/>
    <w:rsid w:val="786646C8"/>
    <w:rsid w:val="7CA85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jc w:val="center"/>
      <w:outlineLvl w:val="0"/>
    </w:pPr>
    <w:rPr>
      <w:rFonts w:eastAsia="黑体"/>
      <w:bCs/>
      <w:kern w:val="44"/>
      <w:sz w:val="36"/>
      <w:szCs w:val="36"/>
    </w:rPr>
  </w:style>
  <w:style w:type="paragraph" w:styleId="4">
    <w:name w:val="heading 3"/>
    <w:basedOn w:val="5"/>
    <w:next w:val="1"/>
    <w:unhideWhenUsed/>
    <w:qFormat/>
    <w:uiPriority w:val="0"/>
    <w:pPr>
      <w:outlineLvl w:val="2"/>
    </w:pPr>
    <w:rPr>
      <w:rFonts w:ascii="Calibri" w:hAnsi="Calibri" w:eastAsia="宋体"/>
      <w:sz w:val="32"/>
    </w:rPr>
  </w:style>
  <w:style w:type="paragraph" w:styleId="5">
    <w:name w:val="heading 4"/>
    <w:basedOn w:val="1"/>
    <w:next w:val="1"/>
    <w:unhideWhenUsed/>
    <w:qFormat/>
    <w:uiPriority w:val="0"/>
    <w:pPr>
      <w:keepNext/>
      <w:keepLines/>
      <w:outlineLvl w:val="3"/>
    </w:pPr>
    <w:rPr>
      <w:rFonts w:ascii="Arial" w:hAnsi="Arial" w:eastAsia="黑体" w:cs="Times New Roman"/>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annotation text"/>
    <w:basedOn w:val="1"/>
    <w:link w:val="19"/>
    <w:qFormat/>
    <w:uiPriority w:val="0"/>
    <w:pPr>
      <w:jc w:val="left"/>
    </w:pPr>
  </w:style>
  <w:style w:type="paragraph" w:styleId="7">
    <w:name w:val="Balloon Text"/>
    <w:basedOn w:val="1"/>
    <w:semiHidden/>
    <w:qFormat/>
    <w:uiPriority w:val="99"/>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kern w:val="0"/>
      <w:sz w:val="24"/>
      <w:szCs w:val="20"/>
    </w:rPr>
  </w:style>
  <w:style w:type="paragraph" w:styleId="11">
    <w:name w:val="annotation subject"/>
    <w:basedOn w:val="6"/>
    <w:next w:val="6"/>
    <w:link w:val="20"/>
    <w:qFormat/>
    <w:uiPriority w:val="0"/>
    <w:rPr>
      <w:b/>
      <w:bCs/>
    </w:rPr>
  </w:style>
  <w:style w:type="character" w:styleId="14">
    <w:name w:val="annotation reference"/>
    <w:basedOn w:val="13"/>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6">
    <w:name w:val="页眉 字符"/>
    <w:basedOn w:val="13"/>
    <w:link w:val="9"/>
    <w:qFormat/>
    <w:uiPriority w:val="0"/>
    <w:rPr>
      <w:kern w:val="2"/>
      <w:sz w:val="18"/>
      <w:szCs w:val="18"/>
    </w:rPr>
  </w:style>
  <w:style w:type="character" w:customStyle="1" w:styleId="17">
    <w:name w:val="页脚 字符"/>
    <w:basedOn w:val="13"/>
    <w:link w:val="8"/>
    <w:qFormat/>
    <w:uiPriority w:val="0"/>
    <w:rPr>
      <w:kern w:val="2"/>
      <w:sz w:val="18"/>
      <w:szCs w:val="18"/>
    </w:r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字符"/>
    <w:basedOn w:val="13"/>
    <w:link w:val="6"/>
    <w:qFormat/>
    <w:uiPriority w:val="0"/>
    <w:rPr>
      <w:kern w:val="2"/>
      <w:sz w:val="21"/>
      <w:szCs w:val="24"/>
    </w:rPr>
  </w:style>
  <w:style w:type="character" w:customStyle="1" w:styleId="20">
    <w:name w:val="批注主题 字符"/>
    <w:basedOn w:val="19"/>
    <w:link w:val="11"/>
    <w:qFormat/>
    <w:uiPriority w:val="0"/>
    <w:rPr>
      <w:b/>
      <w:bCs/>
      <w:kern w:val="2"/>
      <w:sz w:val="21"/>
      <w:szCs w:val="24"/>
    </w:rPr>
  </w:style>
  <w:style w:type="character" w:customStyle="1" w:styleId="21">
    <w:name w:val="font61"/>
    <w:basedOn w:val="13"/>
    <w:qFormat/>
    <w:uiPriority w:val="0"/>
    <w:rPr>
      <w:rFonts w:hint="eastAsia" w:ascii="宋体" w:hAnsi="宋体" w:eastAsia="宋体" w:cs="宋体"/>
      <w:b/>
      <w:bCs/>
      <w:color w:val="000000"/>
      <w:sz w:val="32"/>
      <w:szCs w:val="32"/>
      <w:u w:val="none"/>
    </w:rPr>
  </w:style>
  <w:style w:type="character" w:customStyle="1" w:styleId="22">
    <w:name w:val="font41"/>
    <w:basedOn w:val="13"/>
    <w:qFormat/>
    <w:uiPriority w:val="0"/>
    <w:rPr>
      <w:rFonts w:hint="default" w:ascii="Calibri" w:hAnsi="Calibri" w:cs="Calibri"/>
      <w:b/>
      <w:bCs/>
      <w:color w:val="000000"/>
      <w:sz w:val="32"/>
      <w:szCs w:val="32"/>
      <w:u w:val="none"/>
    </w:rPr>
  </w:style>
  <w:style w:type="character" w:customStyle="1" w:styleId="23">
    <w:name w:val="font51"/>
    <w:basedOn w:val="13"/>
    <w:qFormat/>
    <w:uiPriority w:val="0"/>
    <w:rPr>
      <w:rFonts w:hint="default" w:ascii="Calibri" w:hAnsi="Calibri" w:cs="Calibri"/>
      <w:b/>
      <w:bCs/>
      <w:color w:val="000000"/>
      <w:sz w:val="20"/>
      <w:szCs w:val="20"/>
      <w:u w:val="none"/>
    </w:rPr>
  </w:style>
  <w:style w:type="character" w:customStyle="1" w:styleId="24">
    <w:name w:val="font11"/>
    <w:basedOn w:val="1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72C59-E33A-4B8B-B79B-7AD280F9DB2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2516</Words>
  <Characters>2548</Characters>
  <Lines>18</Lines>
  <Paragraphs>5</Paragraphs>
  <TotalTime>3</TotalTime>
  <ScaleCrop>false</ScaleCrop>
  <LinksUpToDate>false</LinksUpToDate>
  <CharactersWithSpaces>2567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2023-12-25T02:57:00Z</dcterms:created>
  <cp:lastPrinted>2024-09-25T03:37:00Z</cp:lastPrinted>
  <dcterms:modified xsi:type="dcterms:W3CDTF">2024-10-14T07:05:25Z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8F638ACB11194394BE7E86AF4AF2F490</vt:lpwstr>
  </property>
</Properties>
</file>