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7D718">
      <w:pPr>
        <w:jc w:val="center"/>
        <w:rPr>
          <w:rFonts w:hint="eastAsia" w:ascii="宋体" w:hAnsi="宋体"/>
          <w:b/>
          <w:sz w:val="44"/>
          <w:szCs w:val="84"/>
          <w:highlight w:val="none"/>
        </w:rPr>
      </w:pPr>
    </w:p>
    <w:p w14:paraId="738C4285">
      <w:pPr>
        <w:jc w:val="center"/>
        <w:rPr>
          <w:rFonts w:hint="eastAsia" w:ascii="宋体" w:hAnsi="宋体"/>
          <w:b/>
          <w:sz w:val="44"/>
          <w:szCs w:val="84"/>
          <w:highlight w:val="none"/>
        </w:rPr>
      </w:pPr>
    </w:p>
    <w:p w14:paraId="01AF0802">
      <w:pPr>
        <w:snapToGrid w:val="0"/>
        <w:spacing w:line="240" w:lineRule="auto"/>
        <w:jc w:val="center"/>
        <w:rPr>
          <w:rFonts w:hint="eastAsia" w:ascii="方正小标宋简体" w:hAnsi="方正小标宋简体" w:eastAsia="方正小标宋简体" w:cs="方正小标宋简体"/>
          <w:b w:val="0"/>
          <w:bCs/>
          <w:color w:val="auto"/>
          <w:spacing w:val="0"/>
          <w:sz w:val="44"/>
          <w:szCs w:val="44"/>
          <w:highlight w:val="none"/>
        </w:rPr>
      </w:pPr>
      <w:r>
        <w:rPr>
          <w:rFonts w:hint="eastAsia" w:ascii="方正小标宋简体" w:hAnsi="方正小标宋简体" w:eastAsia="方正小标宋简体" w:cs="方正小标宋简体"/>
          <w:b w:val="0"/>
          <w:bCs/>
          <w:snapToGrid w:val="0"/>
          <w:sz w:val="44"/>
          <w:szCs w:val="44"/>
          <w:highlight w:val="none"/>
          <w:lang w:eastAsia="zh-CN"/>
        </w:rPr>
        <w:t>下围地块土地整备利益统筹</w:t>
      </w:r>
      <w:r>
        <w:rPr>
          <w:rFonts w:hint="eastAsia" w:ascii="方正小标宋简体" w:hAnsi="方正小标宋简体" w:eastAsia="方正小标宋简体" w:cs="方正小标宋简体"/>
          <w:b w:val="0"/>
          <w:bCs/>
          <w:color w:val="auto"/>
          <w:spacing w:val="0"/>
          <w:sz w:val="44"/>
          <w:szCs w:val="44"/>
          <w:highlight w:val="none"/>
        </w:rPr>
        <w:t>项目</w:t>
      </w:r>
    </w:p>
    <w:p w14:paraId="57D9091A">
      <w:pPr>
        <w:snapToGrid w:val="0"/>
        <w:spacing w:line="240" w:lineRule="auto"/>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color w:val="auto"/>
          <w:spacing w:val="0"/>
          <w:sz w:val="44"/>
          <w:szCs w:val="44"/>
          <w:highlight w:val="none"/>
        </w:rPr>
        <w:t>法律服务合同</w:t>
      </w:r>
      <w:r>
        <w:rPr>
          <w:rFonts w:hint="eastAsia" w:ascii="方正小标宋简体" w:hAnsi="方正小标宋简体" w:eastAsia="方正小标宋简体" w:cs="方正小标宋简体"/>
          <w:b w:val="0"/>
          <w:bCs/>
          <w:color w:val="auto"/>
          <w:spacing w:val="0"/>
          <w:sz w:val="44"/>
          <w:szCs w:val="44"/>
          <w:highlight w:val="none"/>
          <w:lang w:val="en-US" w:eastAsia="zh-CN"/>
        </w:rPr>
        <w:t>书</w:t>
      </w:r>
    </w:p>
    <w:p w14:paraId="7F0274AA">
      <w:pPr>
        <w:ind w:firstLine="420"/>
        <w:rPr>
          <w:rFonts w:hint="eastAsia" w:ascii="黑体" w:hAnsi="黑体" w:eastAsia="黑体" w:cs="黑体"/>
          <w:highlight w:val="none"/>
        </w:rPr>
      </w:pPr>
    </w:p>
    <w:p w14:paraId="761C246A">
      <w:pPr>
        <w:ind w:firstLine="420"/>
        <w:rPr>
          <w:rFonts w:hint="eastAsia" w:ascii="黑体" w:hAnsi="黑体" w:eastAsia="黑体" w:cs="黑体"/>
          <w:highlight w:val="none"/>
        </w:rPr>
      </w:pPr>
    </w:p>
    <w:p w14:paraId="0D659D07">
      <w:pPr>
        <w:snapToGrid w:val="0"/>
        <w:spacing w:line="240" w:lineRule="auto"/>
        <w:ind w:firstLine="0" w:firstLineChars="0"/>
        <w:jc w:val="center"/>
        <w:rPr>
          <w:rFonts w:hint="eastAsia" w:ascii="方正小标宋简体" w:hAnsi="方正小标宋简体" w:eastAsia="方正小标宋简体" w:cs="方正小标宋简体"/>
          <w:b w:val="0"/>
          <w:bCs/>
          <w:sz w:val="32"/>
          <w:szCs w:val="32"/>
          <w:highlight w:val="none"/>
          <w:u w:val="none"/>
          <w:lang w:eastAsia="zh-CN"/>
        </w:rPr>
      </w:pPr>
      <w:r>
        <w:rPr>
          <w:rFonts w:hint="eastAsia" w:ascii="方正小标宋简体" w:hAnsi="方正小标宋简体" w:eastAsia="方正小标宋简体" w:cs="方正小标宋简体"/>
          <w:b w:val="0"/>
          <w:bCs/>
          <w:sz w:val="32"/>
          <w:szCs w:val="32"/>
          <w:highlight w:val="none"/>
        </w:rPr>
        <w:t>合同编号：</w:t>
      </w:r>
      <w:r>
        <w:rPr>
          <w:rFonts w:hint="eastAsia" w:ascii="方正小标宋简体" w:hAnsi="方正小标宋简体" w:eastAsia="方正小标宋简体" w:cs="方正小标宋简体"/>
          <w:b w:val="0"/>
          <w:bCs/>
          <w:sz w:val="32"/>
          <w:szCs w:val="32"/>
          <w:highlight w:val="none"/>
          <w:lang w:val="en-US" w:eastAsia="zh-CN"/>
        </w:rPr>
        <w:t xml:space="preserve"> </w:t>
      </w:r>
    </w:p>
    <w:p w14:paraId="09FE73B6">
      <w:pPr>
        <w:ind w:firstLine="420"/>
        <w:rPr>
          <w:highlight w:val="none"/>
        </w:rPr>
      </w:pPr>
    </w:p>
    <w:p w14:paraId="44412354">
      <w:pPr>
        <w:ind w:firstLine="420"/>
        <w:rPr>
          <w:highlight w:val="none"/>
        </w:rPr>
      </w:pPr>
    </w:p>
    <w:p w14:paraId="19E7E5E5">
      <w:pPr>
        <w:ind w:firstLine="420"/>
        <w:rPr>
          <w:highlight w:val="none"/>
        </w:rPr>
      </w:pPr>
    </w:p>
    <w:p w14:paraId="2BCA5A31">
      <w:pPr>
        <w:ind w:firstLine="420"/>
        <w:rPr>
          <w:highlight w:val="none"/>
        </w:rPr>
      </w:pPr>
    </w:p>
    <w:p w14:paraId="6830870A">
      <w:pPr>
        <w:ind w:firstLine="420"/>
        <w:rPr>
          <w:highlight w:val="none"/>
        </w:rPr>
      </w:pPr>
    </w:p>
    <w:p w14:paraId="074E55F4">
      <w:pPr>
        <w:ind w:firstLine="420"/>
        <w:rPr>
          <w:highlight w:val="none"/>
        </w:rPr>
      </w:pPr>
    </w:p>
    <w:p w14:paraId="10DE4A3C">
      <w:pPr>
        <w:ind w:firstLine="420"/>
        <w:rPr>
          <w:highlight w:val="none"/>
        </w:rPr>
      </w:pPr>
    </w:p>
    <w:p w14:paraId="052DEC51">
      <w:pPr>
        <w:pStyle w:val="26"/>
        <w:rPr>
          <w:highlight w:val="none"/>
        </w:rPr>
      </w:pPr>
    </w:p>
    <w:p w14:paraId="56EF7120">
      <w:pPr>
        <w:pStyle w:val="26"/>
        <w:rPr>
          <w:highlight w:val="none"/>
        </w:rPr>
      </w:pPr>
    </w:p>
    <w:p w14:paraId="4B3F5803">
      <w:pPr>
        <w:pStyle w:val="26"/>
        <w:rPr>
          <w:highlight w:val="none"/>
        </w:rPr>
      </w:pPr>
    </w:p>
    <w:p w14:paraId="0DE37976">
      <w:pPr>
        <w:pStyle w:val="26"/>
        <w:rPr>
          <w:highlight w:val="none"/>
        </w:rPr>
      </w:pPr>
    </w:p>
    <w:p w14:paraId="14DC4DB3">
      <w:pPr>
        <w:pStyle w:val="26"/>
        <w:rPr>
          <w:highlight w:val="none"/>
        </w:rPr>
      </w:pPr>
    </w:p>
    <w:p w14:paraId="3BDED455">
      <w:pPr>
        <w:pStyle w:val="26"/>
        <w:rPr>
          <w:highlight w:val="none"/>
        </w:rPr>
      </w:pPr>
    </w:p>
    <w:p w14:paraId="214DE33B">
      <w:pPr>
        <w:ind w:firstLine="420"/>
        <w:rPr>
          <w:highlight w:val="none"/>
        </w:rPr>
      </w:pPr>
    </w:p>
    <w:p w14:paraId="0F3AD84C">
      <w:pPr>
        <w:pStyle w:val="2"/>
        <w:spacing w:line="720" w:lineRule="auto"/>
        <w:ind w:right="-813" w:rightChars="-387"/>
        <w:rPr>
          <w:sz w:val="32"/>
          <w:szCs w:val="32"/>
          <w:highlight w:val="none"/>
        </w:rPr>
      </w:pPr>
      <w:r>
        <w:rPr>
          <w:rFonts w:hint="eastAsia" w:ascii="仿宋_GB2312" w:hAnsi="仿宋_GB2312" w:eastAsia="仿宋_GB2312" w:cs="仿宋_GB2312"/>
          <w:b w:val="0"/>
          <w:sz w:val="32"/>
          <w:szCs w:val="32"/>
          <w:highlight w:val="none"/>
        </w:rPr>
        <w:t>项目名称：</w:t>
      </w:r>
      <w:r>
        <w:rPr>
          <w:rFonts w:hint="eastAsia" w:ascii="仿宋_GB2312" w:hAnsi="仿宋_GB2312" w:eastAsia="仿宋_GB2312" w:cs="仿宋_GB2312"/>
          <w:b w:val="0"/>
          <w:sz w:val="32"/>
          <w:szCs w:val="32"/>
          <w:highlight w:val="none"/>
          <w:u w:val="single"/>
          <w:lang w:eastAsia="zh-CN"/>
        </w:rPr>
        <w:t>下围地块土地整备利益统筹</w:t>
      </w:r>
      <w:r>
        <w:rPr>
          <w:rFonts w:hint="eastAsia" w:ascii="仿宋_GB2312" w:hAnsi="仿宋_GB2312" w:eastAsia="仿宋_GB2312" w:cs="仿宋_GB2312"/>
          <w:b w:val="0"/>
          <w:sz w:val="32"/>
          <w:szCs w:val="32"/>
          <w:highlight w:val="none"/>
          <w:u w:val="single"/>
        </w:rPr>
        <w:t>项目法律服务</w:t>
      </w:r>
    </w:p>
    <w:p w14:paraId="35094344">
      <w:pPr>
        <w:pStyle w:val="2"/>
        <w:spacing w:line="720" w:lineRule="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甲方：</w:t>
      </w:r>
      <w:r>
        <w:rPr>
          <w:rFonts w:hint="eastAsia" w:ascii="仿宋_GB2312" w:hAnsi="仿宋_GB2312" w:eastAsia="仿宋_GB2312" w:cs="仿宋_GB2312"/>
          <w:b w:val="0"/>
          <w:bCs w:val="0"/>
          <w:sz w:val="32"/>
          <w:szCs w:val="32"/>
          <w:highlight w:val="none"/>
          <w:u w:val="single"/>
        </w:rPr>
        <w:t xml:space="preserve">深圳市新龙观投资发展有限公司 </w:t>
      </w:r>
    </w:p>
    <w:p w14:paraId="4B4B0453">
      <w:pPr>
        <w:spacing w:line="720" w:lineRule="auto"/>
        <w:ind w:left="2891" w:hanging="2880" w:hangingChars="9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乙方：</w:t>
      </w:r>
      <w:r>
        <w:rPr>
          <w:rFonts w:hint="eastAsia" w:ascii="仿宋_GB2312" w:hAnsi="仿宋_GB2312" w:eastAsia="仿宋_GB2312" w:cs="仿宋_GB2312"/>
          <w:b w:val="0"/>
          <w:bCs w:val="0"/>
          <w:sz w:val="32"/>
          <w:szCs w:val="32"/>
          <w:highlight w:val="none"/>
          <w:u w:val="single"/>
          <w:lang w:eastAsia="zh-CN"/>
        </w:rPr>
        <w:t>XXX</w:t>
      </w:r>
      <w:r>
        <w:rPr>
          <w:rFonts w:hint="eastAsia" w:ascii="仿宋_GB2312" w:hAnsi="仿宋_GB2312" w:eastAsia="仿宋_GB2312" w:cs="仿宋_GB2312"/>
          <w:b w:val="0"/>
          <w:bCs w:val="0"/>
          <w:sz w:val="32"/>
          <w:szCs w:val="32"/>
          <w:highlight w:val="none"/>
          <w:u w:val="single"/>
        </w:rPr>
        <w:t>律师事务所</w:t>
      </w:r>
    </w:p>
    <w:p w14:paraId="0AC41F29">
      <w:pPr>
        <w:pStyle w:val="2"/>
        <w:spacing w:line="720" w:lineRule="auto"/>
        <w:rPr>
          <w:rFonts w:hint="eastAsia" w:eastAsia="黑体" w:cs="黑体"/>
          <w:kern w:val="0"/>
          <w:sz w:val="28"/>
          <w:szCs w:val="28"/>
          <w:highlight w:val="none"/>
        </w:rPr>
      </w:pPr>
      <w:r>
        <w:rPr>
          <w:rFonts w:hint="eastAsia" w:ascii="仿宋_GB2312" w:hAnsi="仿宋_GB2312" w:eastAsia="仿宋_GB2312" w:cs="仿宋_GB2312"/>
          <w:b w:val="0"/>
          <w:bCs w:val="0"/>
          <w:sz w:val="32"/>
          <w:szCs w:val="32"/>
          <w:highlight w:val="none"/>
        </w:rPr>
        <w:t>签订日期：</w:t>
      </w:r>
      <w:r>
        <w:rPr>
          <w:rFonts w:hint="eastAsia" w:ascii="仿宋_GB2312" w:hAnsi="仿宋_GB2312" w:eastAsia="仿宋_GB2312" w:cs="仿宋_GB2312"/>
          <w:b w:val="0"/>
          <w:bCs w:val="0"/>
          <w:sz w:val="32"/>
          <w:szCs w:val="32"/>
          <w:highlight w:val="none"/>
          <w:u w:val="single"/>
          <w:lang w:eastAsia="zh-CN"/>
        </w:rPr>
        <w:t>2025</w:t>
      </w:r>
      <w:r>
        <w:rPr>
          <w:rFonts w:hint="eastAsia" w:ascii="仿宋_GB2312" w:hAnsi="仿宋_GB2312" w:eastAsia="仿宋_GB2312" w:cs="仿宋_GB2312"/>
          <w:b w:val="0"/>
          <w:bCs w:val="0"/>
          <w:sz w:val="32"/>
          <w:szCs w:val="32"/>
          <w:highlight w:val="none"/>
          <w:u w:val="single"/>
        </w:rPr>
        <w:t xml:space="preserve"> 年4月    日</w:t>
      </w:r>
    </w:p>
    <w:p w14:paraId="7DD082EE">
      <w:pPr>
        <w:snapToGrid w:val="0"/>
        <w:spacing w:line="240" w:lineRule="auto"/>
        <w:jc w:val="center"/>
        <w:rPr>
          <w:rFonts w:hint="eastAsia" w:ascii="方正小标宋简体" w:hAnsi="方正小标宋简体" w:eastAsia="方正小标宋简体" w:cs="方正小标宋简体"/>
          <w:b w:val="0"/>
          <w:bCs/>
          <w:color w:val="auto"/>
          <w:spacing w:val="0"/>
          <w:sz w:val="44"/>
          <w:szCs w:val="44"/>
          <w:highlight w:val="none"/>
        </w:rPr>
      </w:pPr>
      <w:r>
        <w:rPr>
          <w:rFonts w:hint="eastAsia" w:ascii="方正小标宋简体" w:hAnsi="方正小标宋简体" w:eastAsia="方正小标宋简体" w:cs="方正小标宋简体"/>
          <w:b w:val="0"/>
          <w:bCs/>
          <w:snapToGrid w:val="0"/>
          <w:sz w:val="44"/>
          <w:szCs w:val="44"/>
          <w:highlight w:val="none"/>
          <w:lang w:eastAsia="zh-CN"/>
        </w:rPr>
        <w:t>下围地块土地整备利益统筹</w:t>
      </w:r>
      <w:r>
        <w:rPr>
          <w:rFonts w:hint="eastAsia" w:ascii="方正小标宋简体" w:hAnsi="方正小标宋简体" w:eastAsia="方正小标宋简体" w:cs="方正小标宋简体"/>
          <w:b w:val="0"/>
          <w:bCs/>
          <w:color w:val="auto"/>
          <w:spacing w:val="0"/>
          <w:sz w:val="44"/>
          <w:szCs w:val="44"/>
          <w:highlight w:val="none"/>
        </w:rPr>
        <w:t>项目</w:t>
      </w:r>
    </w:p>
    <w:p w14:paraId="7A703957">
      <w:pPr>
        <w:snapToGrid w:val="0"/>
        <w:spacing w:line="240" w:lineRule="auto"/>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color w:val="auto"/>
          <w:spacing w:val="0"/>
          <w:sz w:val="44"/>
          <w:szCs w:val="44"/>
          <w:highlight w:val="none"/>
        </w:rPr>
        <w:t>法律服务合同</w:t>
      </w:r>
      <w:r>
        <w:rPr>
          <w:rFonts w:hint="eastAsia" w:ascii="方正小标宋简体" w:hAnsi="方正小标宋简体" w:eastAsia="方正小标宋简体" w:cs="方正小标宋简体"/>
          <w:b w:val="0"/>
          <w:bCs/>
          <w:color w:val="auto"/>
          <w:spacing w:val="0"/>
          <w:sz w:val="44"/>
          <w:szCs w:val="44"/>
          <w:highlight w:val="none"/>
          <w:lang w:val="en-US" w:eastAsia="zh-CN"/>
        </w:rPr>
        <w:t>书</w:t>
      </w:r>
    </w:p>
    <w:p w14:paraId="32C93B13">
      <w:pPr>
        <w:adjustRightInd w:val="0"/>
        <w:snapToGrid w:val="0"/>
        <w:spacing w:line="360" w:lineRule="auto"/>
        <w:jc w:val="center"/>
        <w:rPr>
          <w:rFonts w:ascii="方正书宋简体" w:hAnsi="宋体" w:eastAsia="方正书宋简体"/>
          <w:b/>
          <w:sz w:val="24"/>
          <w:highlight w:val="none"/>
          <w:lang w:val="en-GB"/>
        </w:rPr>
      </w:pPr>
      <w:bookmarkStart w:id="0" w:name="_Toc502671279"/>
    </w:p>
    <w:p w14:paraId="4B7A950B">
      <w:pPr>
        <w:adjustRightInd w:val="0"/>
        <w:snapToGrid w:val="0"/>
        <w:spacing w:line="360" w:lineRule="auto"/>
        <w:rPr>
          <w:rFonts w:hint="eastAsia" w:ascii="宋体" w:hAnsi="宋体"/>
          <w:b/>
          <w:sz w:val="24"/>
          <w:highlight w:val="none"/>
          <w:lang w:val="en-GB"/>
        </w:rPr>
      </w:pPr>
    </w:p>
    <w:p w14:paraId="7ABCF34F">
      <w:pPr>
        <w:adjustRightInd w:val="0"/>
        <w:snapToGrid w:val="0"/>
        <w:spacing w:line="560" w:lineRule="exact"/>
        <w:rPr>
          <w:rFonts w:hint="eastAsia" w:ascii="仿宋_GB2312" w:hAnsi="仿宋_GB2312" w:eastAsia="仿宋_GB2312" w:cs="仿宋_GB2312"/>
          <w:b/>
          <w:sz w:val="28"/>
          <w:szCs w:val="28"/>
          <w:highlight w:val="none"/>
          <w:lang w:val="en-GB"/>
        </w:rPr>
      </w:pPr>
      <w:r>
        <w:rPr>
          <w:rFonts w:hint="eastAsia" w:ascii="仿宋_GB2312" w:hAnsi="仿宋_GB2312" w:eastAsia="仿宋_GB2312" w:cs="仿宋_GB2312"/>
          <w:b/>
          <w:sz w:val="28"/>
          <w:szCs w:val="28"/>
          <w:highlight w:val="none"/>
          <w:lang w:val="en-GB"/>
        </w:rPr>
        <w:t>甲方：</w:t>
      </w:r>
      <w:bookmarkEnd w:id="0"/>
      <w:r>
        <w:rPr>
          <w:rFonts w:hint="eastAsia" w:ascii="仿宋_GB2312" w:hAnsi="仿宋_GB2312" w:eastAsia="仿宋_GB2312" w:cs="仿宋_GB2312"/>
          <w:b/>
          <w:sz w:val="28"/>
          <w:szCs w:val="28"/>
          <w:highlight w:val="none"/>
          <w:lang w:val="en-GB" w:eastAsia="zh-CN"/>
        </w:rPr>
        <w:t>深圳市新龙观投资发展有限公司</w:t>
      </w:r>
      <w:r>
        <w:rPr>
          <w:rFonts w:hint="eastAsia" w:ascii="仿宋_GB2312" w:hAnsi="仿宋_GB2312" w:eastAsia="仿宋_GB2312" w:cs="仿宋_GB2312"/>
          <w:b/>
          <w:sz w:val="28"/>
          <w:szCs w:val="28"/>
          <w:highlight w:val="none"/>
          <w:lang w:val="en-GB"/>
        </w:rPr>
        <w:t>（以下简称“甲方”）</w:t>
      </w:r>
    </w:p>
    <w:p w14:paraId="65A7C70C">
      <w:pPr>
        <w:adjustRightInd w:val="0"/>
        <w:snapToGrid w:val="0"/>
        <w:spacing w:line="560" w:lineRule="exact"/>
        <w:rPr>
          <w:rFonts w:hint="eastAsia" w:ascii="仿宋_GB2312" w:hAnsi="仿宋_GB2312" w:eastAsia="仿宋_GB2312" w:cs="仿宋_GB2312"/>
          <w:sz w:val="28"/>
          <w:szCs w:val="28"/>
          <w:highlight w:val="none"/>
          <w:lang w:val="en-GB"/>
        </w:rPr>
      </w:pPr>
      <w:bookmarkStart w:id="1" w:name="_Toc502671280"/>
      <w:r>
        <w:rPr>
          <w:rFonts w:hint="eastAsia" w:ascii="仿宋_GB2312" w:hAnsi="仿宋_GB2312" w:eastAsia="仿宋_GB2312" w:cs="仿宋_GB2312"/>
          <w:sz w:val="28"/>
          <w:szCs w:val="28"/>
          <w:highlight w:val="none"/>
          <w:lang w:val="en-GB"/>
        </w:rPr>
        <w:t>法定代表人</w:t>
      </w:r>
      <w:bookmarkEnd w:id="1"/>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sz w:val="28"/>
          <w:szCs w:val="28"/>
          <w:highlight w:val="none"/>
          <w:lang w:val="en-GB"/>
        </w:rPr>
        <w:fldChar w:fldCharType="begin"/>
      </w:r>
      <w:r>
        <w:rPr>
          <w:rFonts w:hint="eastAsia" w:ascii="仿宋_GB2312" w:hAnsi="仿宋_GB2312" w:eastAsia="仿宋_GB2312" w:cs="仿宋_GB2312"/>
          <w:sz w:val="28"/>
          <w:szCs w:val="28"/>
          <w:highlight w:val="none"/>
          <w:lang w:val="en-GB"/>
        </w:rPr>
        <w:instrText xml:space="preserve"> HYPERLINK "https://www.qcc.com/pl/p026820b74a978a1186ef0184ed0e777.html" \t "https://www.qcc.com/firm/_blank" </w:instrText>
      </w:r>
      <w:r>
        <w:rPr>
          <w:rFonts w:hint="eastAsia" w:ascii="仿宋_GB2312" w:hAnsi="仿宋_GB2312" w:eastAsia="仿宋_GB2312" w:cs="仿宋_GB2312"/>
          <w:sz w:val="28"/>
          <w:szCs w:val="28"/>
          <w:highlight w:val="none"/>
          <w:lang w:val="en-GB"/>
        </w:rPr>
        <w:fldChar w:fldCharType="separate"/>
      </w:r>
      <w:r>
        <w:rPr>
          <w:rFonts w:hint="eastAsia" w:ascii="仿宋_GB2312" w:hAnsi="仿宋_GB2312" w:eastAsia="仿宋_GB2312" w:cs="仿宋_GB2312"/>
          <w:sz w:val="28"/>
          <w:szCs w:val="28"/>
          <w:highlight w:val="none"/>
          <w:lang w:val="en-GB" w:eastAsia="zh-CN"/>
        </w:rPr>
        <w:t>刘晓迎</w:t>
      </w:r>
      <w:r>
        <w:rPr>
          <w:rFonts w:hint="eastAsia" w:ascii="仿宋_GB2312" w:hAnsi="仿宋_GB2312" w:eastAsia="仿宋_GB2312" w:cs="仿宋_GB2312"/>
          <w:sz w:val="28"/>
          <w:szCs w:val="28"/>
          <w:highlight w:val="none"/>
          <w:lang w:val="en-GB"/>
        </w:rPr>
        <w:fldChar w:fldCharType="end"/>
      </w:r>
    </w:p>
    <w:p w14:paraId="5B1DBF88">
      <w:pPr>
        <w:adjustRightInd w:val="0"/>
        <w:snapToGrid w:val="0"/>
        <w:spacing w:line="560" w:lineRule="exact"/>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联系地址：龙华区观湖街道鹭湖社区观盛三路10号龙馨家园A栋2201</w:t>
      </w:r>
    </w:p>
    <w:p w14:paraId="7AB9F607">
      <w:pPr>
        <w:adjustRightInd w:val="0"/>
        <w:snapToGrid w:val="0"/>
        <w:spacing w:line="560" w:lineRule="exact"/>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US" w:eastAsia="zh-CN"/>
        </w:rPr>
        <w:t>联系人：高工</w:t>
      </w:r>
    </w:p>
    <w:p w14:paraId="77515446">
      <w:pPr>
        <w:adjustRightInd w:val="0"/>
        <w:snapToGrid w:val="0"/>
        <w:spacing w:line="560" w:lineRule="exact"/>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联系电话：0755-29809916</w:t>
      </w:r>
    </w:p>
    <w:p w14:paraId="175DAFF8">
      <w:pPr>
        <w:pStyle w:val="2"/>
        <w:spacing w:line="560" w:lineRule="exact"/>
        <w:rPr>
          <w:rFonts w:hint="eastAsia" w:ascii="仿宋_GB2312" w:hAnsi="仿宋_GB2312" w:eastAsia="仿宋_GB2312" w:cs="仿宋_GB2312"/>
          <w:sz w:val="28"/>
          <w:szCs w:val="28"/>
          <w:highlight w:val="none"/>
          <w:lang w:val="en-GB"/>
        </w:rPr>
      </w:pPr>
    </w:p>
    <w:p w14:paraId="164F703A">
      <w:pPr>
        <w:adjustRightInd w:val="0"/>
        <w:snapToGrid w:val="0"/>
        <w:spacing w:line="560" w:lineRule="exact"/>
        <w:rPr>
          <w:rFonts w:hint="eastAsia" w:ascii="仿宋_GB2312" w:hAnsi="仿宋_GB2312" w:eastAsia="仿宋_GB2312" w:cs="仿宋_GB2312"/>
          <w:b/>
          <w:sz w:val="28"/>
          <w:szCs w:val="28"/>
          <w:highlight w:val="none"/>
          <w:lang w:val="en-GB"/>
        </w:rPr>
      </w:pPr>
      <w:bookmarkStart w:id="2" w:name="_Toc502671281"/>
      <w:r>
        <w:rPr>
          <w:rFonts w:hint="eastAsia" w:ascii="仿宋_GB2312" w:hAnsi="仿宋_GB2312" w:eastAsia="仿宋_GB2312" w:cs="仿宋_GB2312"/>
          <w:b/>
          <w:sz w:val="28"/>
          <w:szCs w:val="28"/>
          <w:highlight w:val="none"/>
          <w:lang w:val="en-GB"/>
        </w:rPr>
        <w:t>乙方：</w:t>
      </w:r>
      <w:bookmarkEnd w:id="2"/>
      <w:r>
        <w:rPr>
          <w:rFonts w:hint="eastAsia" w:ascii="仿宋_GB2312" w:hAnsi="仿宋_GB2312" w:eastAsia="仿宋_GB2312" w:cs="仿宋_GB2312"/>
          <w:b/>
          <w:sz w:val="28"/>
          <w:szCs w:val="28"/>
          <w:highlight w:val="none"/>
          <w:lang w:val="en-GB" w:eastAsia="zh-CN"/>
        </w:rPr>
        <w:t>XXX</w:t>
      </w:r>
      <w:r>
        <w:rPr>
          <w:rFonts w:hint="eastAsia" w:ascii="仿宋_GB2312" w:hAnsi="仿宋_GB2312" w:eastAsia="仿宋_GB2312" w:cs="仿宋_GB2312"/>
          <w:b/>
          <w:sz w:val="28"/>
          <w:szCs w:val="28"/>
          <w:highlight w:val="none"/>
          <w:lang w:val="en-GB"/>
        </w:rPr>
        <w:t>律师事务所（以下简称“乙方”）</w:t>
      </w:r>
    </w:p>
    <w:p w14:paraId="212DE70B">
      <w:pPr>
        <w:adjustRightInd w:val="0"/>
        <w:snapToGrid w:val="0"/>
        <w:spacing w:line="560" w:lineRule="exact"/>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负责人：</w:t>
      </w:r>
      <w:r>
        <w:rPr>
          <w:rFonts w:hint="eastAsia" w:ascii="仿宋_GB2312" w:hAnsi="仿宋_GB2312" w:eastAsia="仿宋_GB2312" w:cs="仿宋_GB2312"/>
          <w:sz w:val="28"/>
          <w:szCs w:val="28"/>
          <w:highlight w:val="none"/>
          <w:lang w:val="en-US" w:eastAsia="zh-CN"/>
        </w:rPr>
        <w:t xml:space="preserve">  </w:t>
      </w:r>
    </w:p>
    <w:p w14:paraId="639D85B3">
      <w:pPr>
        <w:adjustRightInd w:val="0"/>
        <w:snapToGrid w:val="0"/>
        <w:spacing w:line="560" w:lineRule="exact"/>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联系地址：</w:t>
      </w:r>
      <w:r>
        <w:rPr>
          <w:rFonts w:hint="eastAsia" w:ascii="仿宋_GB2312" w:hAnsi="仿宋_GB2312" w:eastAsia="仿宋_GB2312" w:cs="仿宋_GB2312"/>
          <w:sz w:val="28"/>
          <w:szCs w:val="28"/>
          <w:highlight w:val="none"/>
          <w:lang w:val="en-US" w:eastAsia="zh-CN"/>
        </w:rPr>
        <w:t xml:space="preserve"> </w:t>
      </w:r>
    </w:p>
    <w:p w14:paraId="43BBBAA8">
      <w:pPr>
        <w:adjustRightInd w:val="0"/>
        <w:snapToGrid w:val="0"/>
        <w:spacing w:line="560" w:lineRule="exac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联系人： </w:t>
      </w:r>
    </w:p>
    <w:p w14:paraId="2B12B258">
      <w:pPr>
        <w:adjustRightInd w:val="0"/>
        <w:snapToGrid w:val="0"/>
        <w:spacing w:line="560" w:lineRule="exact"/>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联系电话：</w:t>
      </w:r>
      <w:r>
        <w:rPr>
          <w:rFonts w:hint="eastAsia" w:ascii="仿宋_GB2312" w:hAnsi="仿宋_GB2312" w:eastAsia="仿宋_GB2312" w:cs="仿宋_GB2312"/>
          <w:sz w:val="28"/>
          <w:szCs w:val="28"/>
          <w:highlight w:val="none"/>
          <w:lang w:val="en-US" w:eastAsia="zh-CN"/>
        </w:rPr>
        <w:t xml:space="preserve">  </w:t>
      </w:r>
    </w:p>
    <w:p w14:paraId="224E9FB3">
      <w:pPr>
        <w:adjustRightInd w:val="0"/>
        <w:snapToGrid w:val="0"/>
        <w:spacing w:line="560" w:lineRule="exact"/>
        <w:ind w:firstLine="480"/>
        <w:rPr>
          <w:rFonts w:hint="eastAsia" w:ascii="仿宋_GB2312" w:hAnsi="仿宋_GB2312" w:eastAsia="仿宋_GB2312" w:cs="仿宋_GB2312"/>
          <w:sz w:val="28"/>
          <w:szCs w:val="28"/>
          <w:highlight w:val="none"/>
          <w:lang w:val="en-GB"/>
        </w:rPr>
      </w:pPr>
    </w:p>
    <w:p w14:paraId="1BE6D637">
      <w:pPr>
        <w:adjustRightInd w:val="0"/>
        <w:snapToGrid w:val="0"/>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根据下围地块土地整备利益统筹项目法律服务的</w:t>
      </w:r>
      <w:r>
        <w:rPr>
          <w:rFonts w:hint="eastAsia" w:ascii="仿宋_GB2312" w:hAnsi="仿宋_GB2312" w:eastAsia="仿宋_GB2312" w:cs="仿宋_GB2312"/>
          <w:sz w:val="28"/>
          <w:szCs w:val="28"/>
          <w:highlight w:val="none"/>
          <w:lang w:val="en-US" w:eastAsia="zh-CN"/>
        </w:rPr>
        <w:t>遴选</w:t>
      </w:r>
      <w:r>
        <w:rPr>
          <w:rFonts w:hint="eastAsia" w:ascii="仿宋_GB2312" w:hAnsi="仿宋_GB2312" w:eastAsia="仿宋_GB2312" w:cs="仿宋_GB2312"/>
          <w:sz w:val="28"/>
          <w:szCs w:val="28"/>
          <w:highlight w:val="none"/>
          <w:lang w:val="en-GB"/>
        </w:rPr>
        <w:t>结果，</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lang w:val="en-GB"/>
        </w:rPr>
        <w:t>为</w:t>
      </w:r>
      <w:r>
        <w:rPr>
          <w:rFonts w:hint="eastAsia" w:ascii="仿宋_GB2312" w:hAnsi="仿宋_GB2312" w:eastAsia="仿宋_GB2312" w:cs="仿宋_GB2312"/>
          <w:sz w:val="28"/>
          <w:szCs w:val="28"/>
          <w:highlight w:val="none"/>
          <w:u w:val="single"/>
          <w:lang w:val="en-GB" w:eastAsia="zh-CN"/>
        </w:rPr>
        <w:t>下围地块土地整备利益统筹项目</w:t>
      </w:r>
      <w:r>
        <w:rPr>
          <w:rFonts w:hint="eastAsia" w:ascii="仿宋_GB2312" w:hAnsi="仿宋_GB2312" w:eastAsia="仿宋_GB2312" w:cs="仿宋_GB2312"/>
          <w:sz w:val="28"/>
          <w:szCs w:val="28"/>
          <w:highlight w:val="none"/>
          <w:u w:val="none"/>
          <w:lang w:val="en-GB" w:eastAsia="zh-CN"/>
        </w:rPr>
        <w:t>（</w:t>
      </w:r>
      <w:r>
        <w:rPr>
          <w:rFonts w:hint="eastAsia" w:ascii="仿宋_GB2312" w:hAnsi="仿宋_GB2312" w:eastAsia="仿宋_GB2312" w:cs="仿宋_GB2312"/>
          <w:sz w:val="28"/>
          <w:szCs w:val="28"/>
          <w:highlight w:val="none"/>
          <w:u w:val="none"/>
          <w:lang w:val="en-US" w:eastAsia="zh-CN"/>
        </w:rPr>
        <w:t>以下简称“本项目”）</w:t>
      </w:r>
      <w:r>
        <w:rPr>
          <w:rFonts w:hint="eastAsia" w:ascii="仿宋_GB2312" w:hAnsi="仿宋_GB2312" w:eastAsia="仿宋_GB2312" w:cs="仿宋_GB2312"/>
          <w:sz w:val="28"/>
          <w:szCs w:val="28"/>
          <w:highlight w:val="none"/>
          <w:lang w:val="en-GB"/>
        </w:rPr>
        <w:t>中标方。</w:t>
      </w:r>
      <w:r>
        <w:rPr>
          <w:rFonts w:hint="eastAsia" w:ascii="仿宋_GB2312" w:hAnsi="仿宋_GB2312" w:eastAsia="仿宋_GB2312" w:cs="仿宋_GB2312"/>
          <w:sz w:val="28"/>
          <w:szCs w:val="28"/>
          <w:highlight w:val="none"/>
          <w:lang w:val="en-US" w:eastAsia="zh-CN"/>
        </w:rPr>
        <w:t>依据</w:t>
      </w:r>
      <w:r>
        <w:rPr>
          <w:rFonts w:hint="eastAsia" w:ascii="仿宋_GB2312" w:hAnsi="仿宋_GB2312" w:eastAsia="仿宋_GB2312" w:cs="仿宋_GB2312"/>
          <w:sz w:val="28"/>
          <w:szCs w:val="28"/>
          <w:highlight w:val="none"/>
          <w:lang w:val="en-GB"/>
        </w:rPr>
        <w:t>《中华人民共和国</w:t>
      </w:r>
      <w:r>
        <w:rPr>
          <w:rFonts w:hint="eastAsia" w:ascii="仿宋_GB2312" w:hAnsi="仿宋_GB2312" w:eastAsia="仿宋_GB2312" w:cs="仿宋_GB2312"/>
          <w:sz w:val="28"/>
          <w:szCs w:val="28"/>
          <w:highlight w:val="none"/>
          <w:lang w:val="en-US" w:eastAsia="zh-CN"/>
        </w:rPr>
        <w:t>民法典</w:t>
      </w:r>
      <w:r>
        <w:rPr>
          <w:rFonts w:hint="eastAsia" w:ascii="仿宋_GB2312" w:hAnsi="仿宋_GB2312" w:eastAsia="仿宋_GB2312" w:cs="仿宋_GB2312"/>
          <w:sz w:val="28"/>
          <w:szCs w:val="28"/>
          <w:highlight w:val="none"/>
          <w:lang w:val="en-GB"/>
        </w:rPr>
        <w:t>》</w:t>
      </w:r>
      <w:r>
        <w:rPr>
          <w:rFonts w:hint="eastAsia" w:ascii="仿宋_GB2312" w:hAnsi="仿宋_GB2312" w:eastAsia="仿宋_GB2312" w:cs="仿宋_GB2312"/>
          <w:sz w:val="28"/>
          <w:szCs w:val="28"/>
          <w:highlight w:val="none"/>
          <w:lang w:val="en-US" w:eastAsia="zh-CN"/>
        </w:rPr>
        <w:t>等相关法律法规规定</w:t>
      </w:r>
      <w:r>
        <w:rPr>
          <w:rFonts w:hint="eastAsia" w:ascii="仿宋_GB2312" w:hAnsi="仿宋_GB2312" w:eastAsia="仿宋_GB2312" w:cs="仿宋_GB2312"/>
          <w:sz w:val="28"/>
          <w:szCs w:val="28"/>
          <w:highlight w:val="none"/>
          <w:lang w:val="en-GB"/>
        </w:rPr>
        <w:t>，经甲乙</w:t>
      </w:r>
      <w:r>
        <w:rPr>
          <w:rFonts w:hint="eastAsia" w:ascii="仿宋_GB2312" w:hAnsi="仿宋_GB2312" w:eastAsia="仿宋_GB2312" w:cs="仿宋_GB2312"/>
          <w:sz w:val="28"/>
          <w:szCs w:val="28"/>
          <w:highlight w:val="none"/>
          <w:lang w:val="en-US" w:eastAsia="zh-CN"/>
        </w:rPr>
        <w:t>协商一致</w:t>
      </w:r>
      <w:r>
        <w:rPr>
          <w:rFonts w:hint="eastAsia" w:ascii="仿宋_GB2312" w:hAnsi="仿宋_GB2312" w:eastAsia="仿宋_GB2312" w:cs="仿宋_GB2312"/>
          <w:sz w:val="28"/>
          <w:szCs w:val="28"/>
          <w:highlight w:val="none"/>
          <w:lang w:val="en-GB"/>
        </w:rPr>
        <w:t>协商，就甲方委托乙方</w:t>
      </w:r>
      <w:r>
        <w:rPr>
          <w:rFonts w:hint="eastAsia" w:ascii="仿宋_GB2312" w:hAnsi="仿宋_GB2312" w:eastAsia="仿宋_GB2312" w:cs="仿宋_GB2312"/>
          <w:sz w:val="28"/>
          <w:szCs w:val="28"/>
          <w:highlight w:val="none"/>
          <w:lang w:val="en-US" w:eastAsia="zh-CN"/>
        </w:rPr>
        <w:t>提供</w:t>
      </w:r>
      <w:r>
        <w:rPr>
          <w:rFonts w:hint="eastAsia" w:ascii="仿宋_GB2312" w:hAnsi="仿宋_GB2312" w:eastAsia="仿宋_GB2312" w:cs="仿宋_GB2312"/>
          <w:sz w:val="28"/>
          <w:szCs w:val="28"/>
          <w:highlight w:val="none"/>
          <w:u w:val="single"/>
          <w:lang w:val="en-GB" w:eastAsia="zh-CN"/>
        </w:rPr>
        <w:t>下围地块土地整备利益统筹项目法律服务</w:t>
      </w:r>
      <w:r>
        <w:rPr>
          <w:rFonts w:hint="eastAsia" w:ascii="仿宋_GB2312" w:hAnsi="仿宋_GB2312" w:eastAsia="仿宋_GB2312" w:cs="仿宋_GB2312"/>
          <w:sz w:val="28"/>
          <w:szCs w:val="28"/>
          <w:highlight w:val="none"/>
          <w:lang w:val="en-US" w:eastAsia="zh-CN"/>
        </w:rPr>
        <w:t>的事宜</w:t>
      </w:r>
      <w:r>
        <w:rPr>
          <w:rFonts w:hint="eastAsia" w:ascii="仿宋_GB2312" w:hAnsi="仿宋_GB2312" w:eastAsia="仿宋_GB2312" w:cs="仿宋_GB2312"/>
          <w:sz w:val="28"/>
          <w:szCs w:val="28"/>
          <w:highlight w:val="none"/>
          <w:lang w:val="en-GB"/>
        </w:rPr>
        <w:t>，达成以下合同条款</w:t>
      </w:r>
      <w:r>
        <w:rPr>
          <w:rFonts w:hint="eastAsia" w:ascii="仿宋_GB2312" w:hAnsi="仿宋_GB2312" w:eastAsia="仿宋_GB2312" w:cs="仿宋_GB2312"/>
          <w:sz w:val="28"/>
          <w:szCs w:val="28"/>
          <w:highlight w:val="none"/>
          <w:lang w:val="en-GB" w:eastAsia="zh-CN"/>
        </w:rPr>
        <w:t>，</w:t>
      </w:r>
      <w:r>
        <w:rPr>
          <w:rFonts w:hint="eastAsia" w:ascii="仿宋_GB2312" w:hAnsi="仿宋_GB2312" w:eastAsia="仿宋_GB2312" w:cs="仿宋_GB2312"/>
          <w:sz w:val="28"/>
          <w:szCs w:val="28"/>
          <w:highlight w:val="none"/>
        </w:rPr>
        <w:t>以资共同遵照履行。</w:t>
      </w:r>
    </w:p>
    <w:p w14:paraId="4F68DF1A">
      <w:pPr>
        <w:pStyle w:val="2"/>
        <w:rPr>
          <w:rFonts w:hint="eastAsia"/>
        </w:rPr>
      </w:pPr>
    </w:p>
    <w:p w14:paraId="0EF5F1D1">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28"/>
          <w:szCs w:val="28"/>
          <w:highlight w:val="none"/>
        </w:rPr>
      </w:pPr>
      <w:bookmarkStart w:id="3" w:name="_Toc18054"/>
      <w:bookmarkStart w:id="4" w:name="_Toc4884"/>
      <w:bookmarkStart w:id="5" w:name="_Toc13465"/>
      <w:bookmarkStart w:id="6" w:name="_Toc5461291"/>
      <w:bookmarkStart w:id="7" w:name="_Toc9"/>
      <w:bookmarkStart w:id="8" w:name="_Toc30771"/>
      <w:bookmarkStart w:id="9" w:name="_Toc21462"/>
      <w:bookmarkStart w:id="10" w:name="_Toc2273"/>
      <w:bookmarkStart w:id="11" w:name="_Toc19295"/>
      <w:bookmarkStart w:id="12" w:name="_Toc31332"/>
      <w:bookmarkStart w:id="13" w:name="_Toc20499"/>
      <w:bookmarkStart w:id="14" w:name="_Toc10939"/>
      <w:bookmarkStart w:id="15" w:name="_Toc28901531"/>
      <w:r>
        <w:rPr>
          <w:rFonts w:hint="eastAsia" w:ascii="仿宋_GB2312" w:hAnsi="仿宋_GB2312" w:eastAsia="仿宋_GB2312" w:cs="仿宋_GB2312"/>
          <w:b/>
          <w:sz w:val="32"/>
          <w:szCs w:val="32"/>
          <w:highlight w:val="none"/>
        </w:rPr>
        <w:t>第一节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总则</w:t>
      </w:r>
      <w:bookmarkEnd w:id="3"/>
      <w:bookmarkEnd w:id="4"/>
      <w:bookmarkEnd w:id="5"/>
      <w:bookmarkEnd w:id="6"/>
      <w:bookmarkEnd w:id="7"/>
      <w:bookmarkEnd w:id="8"/>
      <w:bookmarkEnd w:id="9"/>
      <w:bookmarkEnd w:id="10"/>
      <w:bookmarkEnd w:id="11"/>
      <w:bookmarkEnd w:id="12"/>
      <w:bookmarkEnd w:id="13"/>
      <w:bookmarkEnd w:id="14"/>
      <w:bookmarkEnd w:id="15"/>
    </w:p>
    <w:p w14:paraId="50F86AEE">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sz w:val="28"/>
          <w:szCs w:val="28"/>
          <w:highlight w:val="none"/>
          <w:lang w:val="en-US" w:eastAsia="zh-CN"/>
        </w:rPr>
      </w:pPr>
      <w:bookmarkStart w:id="16" w:name="_Toc14148"/>
      <w:bookmarkStart w:id="17" w:name="_Toc19360"/>
      <w:bookmarkStart w:id="18" w:name="_Toc20878"/>
      <w:bookmarkStart w:id="19" w:name="_Toc25106"/>
      <w:bookmarkStart w:id="20" w:name="_Toc5045"/>
      <w:bookmarkStart w:id="21" w:name="_Toc11910"/>
      <w:bookmarkStart w:id="22" w:name="_Toc20668"/>
      <w:bookmarkStart w:id="23" w:name="_Toc3561"/>
      <w:bookmarkStart w:id="24" w:name="_Toc28824"/>
      <w:bookmarkStart w:id="25" w:name="_Toc14506"/>
      <w:bookmarkStart w:id="26" w:name="_Toc4225"/>
      <w:bookmarkStart w:id="27" w:name="_Toc21805"/>
      <w:r>
        <w:rPr>
          <w:rFonts w:hint="eastAsia" w:ascii="仿宋_GB2312" w:hAnsi="仿宋_GB2312" w:eastAsia="仿宋_GB2312" w:cs="仿宋_GB2312"/>
          <w:b/>
          <w:sz w:val="28"/>
          <w:szCs w:val="28"/>
          <w:highlight w:val="none"/>
        </w:rPr>
        <w:t>第一条</w:t>
      </w:r>
      <w:r>
        <w:rPr>
          <w:rFonts w:hint="eastAsia" w:ascii="仿宋_GB2312" w:hAnsi="仿宋_GB2312" w:eastAsia="仿宋_GB2312" w:cs="仿宋_GB2312"/>
          <w:b/>
          <w:sz w:val="28"/>
          <w:szCs w:val="28"/>
          <w:highlight w:val="none"/>
          <w:lang w:val="en-US" w:eastAsia="zh-CN"/>
        </w:rPr>
        <w:t xml:space="preserve">  </w:t>
      </w:r>
      <w:bookmarkEnd w:id="16"/>
      <w:bookmarkEnd w:id="17"/>
      <w:bookmarkEnd w:id="18"/>
      <w:bookmarkEnd w:id="19"/>
      <w:bookmarkEnd w:id="20"/>
      <w:bookmarkEnd w:id="21"/>
      <w:bookmarkEnd w:id="22"/>
      <w:bookmarkEnd w:id="23"/>
      <w:bookmarkEnd w:id="24"/>
      <w:bookmarkEnd w:id="25"/>
      <w:bookmarkEnd w:id="26"/>
      <w:bookmarkEnd w:id="27"/>
      <w:r>
        <w:rPr>
          <w:rFonts w:hint="eastAsia" w:ascii="仿宋_GB2312" w:hAnsi="仿宋_GB2312" w:eastAsia="仿宋_GB2312" w:cs="仿宋_GB2312"/>
          <w:b/>
          <w:bCs/>
          <w:sz w:val="28"/>
          <w:szCs w:val="28"/>
          <w:highlight w:val="none"/>
          <w:lang w:val="en-US" w:eastAsia="zh-CN"/>
        </w:rPr>
        <w:t>项目概况</w:t>
      </w:r>
    </w:p>
    <w:p w14:paraId="10940672">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1、项目名称：下围地块土地整备利益统筹项目</w:t>
      </w:r>
    </w:p>
    <w:p w14:paraId="1B9E8896">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项目内容：下围项目位于观湖街道樟溪社区，南临环观南路，西临平安路，整备实施范围约21.30公顷，建筑物约100栋，现状建筑面积约29.25万㎡。涉及上围、下围2家股份公司，涉及权利人约145户。房屋类型涉及村集体物业、工业厂房、类住宅楼。</w:t>
      </w:r>
    </w:p>
    <w:p w14:paraId="27D0A087">
      <w:pPr>
        <w:widowControl/>
        <w:spacing w:line="560" w:lineRule="exact"/>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3、服务时间：自本合同签定之日起至540天（日历日），</w:t>
      </w:r>
      <w:r>
        <w:rPr>
          <w:rFonts w:hint="eastAsia" w:ascii="仿宋_GB2312" w:hAnsi="仿宋_GB2312" w:eastAsia="仿宋_GB2312" w:cs="仿宋_GB2312"/>
          <w:sz w:val="28"/>
          <w:szCs w:val="28"/>
          <w:highlight w:val="none"/>
        </w:rPr>
        <w:t>实际服务期限自合同签订之日起至项目结束止。</w:t>
      </w:r>
    </w:p>
    <w:p w14:paraId="02A11B44">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bookmarkStart w:id="28" w:name="_Toc5710"/>
      <w:bookmarkStart w:id="29" w:name="_Toc15983"/>
      <w:bookmarkStart w:id="30" w:name="_Toc11857"/>
      <w:bookmarkStart w:id="31" w:name="_Toc20270"/>
      <w:bookmarkStart w:id="32" w:name="_Toc1154"/>
      <w:bookmarkStart w:id="33" w:name="_Toc19678"/>
      <w:bookmarkStart w:id="34" w:name="_Toc26491"/>
      <w:bookmarkStart w:id="35" w:name="_Toc4519"/>
      <w:bookmarkStart w:id="36" w:name="_Toc22685"/>
      <w:bookmarkStart w:id="37" w:name="_Toc6932"/>
      <w:bookmarkStart w:id="38" w:name="_Toc24184"/>
      <w:bookmarkStart w:id="39" w:name="_Toc25784"/>
      <w:r>
        <w:rPr>
          <w:rFonts w:hint="eastAsia" w:ascii="仿宋_GB2312" w:hAnsi="仿宋_GB2312" w:eastAsia="仿宋_GB2312" w:cs="仿宋_GB2312"/>
          <w:b/>
          <w:sz w:val="28"/>
          <w:szCs w:val="28"/>
          <w:highlight w:val="none"/>
          <w:lang w:val="en-US" w:eastAsia="zh-CN"/>
        </w:rPr>
        <w:t xml:space="preserve">第二条  </w:t>
      </w:r>
      <w:r>
        <w:rPr>
          <w:rFonts w:hint="eastAsia" w:ascii="仿宋_GB2312" w:hAnsi="仿宋_GB2312" w:eastAsia="仿宋_GB2312" w:cs="仿宋_GB2312"/>
          <w:b/>
          <w:sz w:val="28"/>
          <w:szCs w:val="28"/>
          <w:highlight w:val="none"/>
        </w:rPr>
        <w:t>法律</w:t>
      </w:r>
      <w:r>
        <w:rPr>
          <w:rFonts w:hint="eastAsia" w:ascii="仿宋_GB2312" w:hAnsi="仿宋_GB2312" w:eastAsia="仿宋_GB2312" w:cs="仿宋_GB2312"/>
          <w:b/>
          <w:sz w:val="28"/>
          <w:szCs w:val="28"/>
          <w:highlight w:val="none"/>
          <w:lang w:val="en-GB"/>
        </w:rPr>
        <w:t>服务</w:t>
      </w:r>
      <w:r>
        <w:rPr>
          <w:rFonts w:hint="eastAsia" w:ascii="仿宋_GB2312" w:hAnsi="仿宋_GB2312" w:eastAsia="仿宋_GB2312" w:cs="仿宋_GB2312"/>
          <w:b/>
          <w:sz w:val="28"/>
          <w:szCs w:val="28"/>
          <w:highlight w:val="none"/>
          <w:lang w:val="en-US" w:eastAsia="zh-CN"/>
        </w:rPr>
        <w:t>人员</w:t>
      </w:r>
    </w:p>
    <w:p w14:paraId="3E5F1D7C">
      <w:pPr>
        <w:numPr>
          <w:ilvl w:val="-1"/>
          <w:numId w:val="0"/>
        </w:numPr>
        <w:autoSpaceDE w:val="0"/>
        <w:autoSpaceDN w:val="0"/>
        <w:adjustRightInd w:val="0"/>
        <w:spacing w:after="0" w:line="560" w:lineRule="exact"/>
        <w:ind w:left="0" w:leftChars="0" w:firstLine="560" w:firstLineChars="20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1、</w:t>
      </w:r>
      <w:r>
        <w:rPr>
          <w:rFonts w:hint="eastAsia" w:ascii="仿宋_GB2312" w:hAnsi="仿宋_GB2312" w:eastAsia="仿宋_GB2312" w:cs="仿宋_GB2312"/>
          <w:kern w:val="0"/>
          <w:sz w:val="28"/>
          <w:szCs w:val="28"/>
          <w:highlight w:val="none"/>
          <w:lang w:eastAsia="zh-CN"/>
        </w:rPr>
        <w:t>乙方接受甲方委托，</w:t>
      </w:r>
      <w:r>
        <w:rPr>
          <w:rFonts w:hint="eastAsia" w:ascii="仿宋_GB2312" w:hAnsi="仿宋_GB2312" w:eastAsia="仿宋_GB2312" w:cs="仿宋_GB2312"/>
          <w:kern w:val="0"/>
          <w:sz w:val="28"/>
          <w:szCs w:val="28"/>
          <w:highlight w:val="none"/>
        </w:rPr>
        <w:t>成立至少由</w:t>
      </w:r>
      <w:r>
        <w:rPr>
          <w:rFonts w:hint="eastAsia" w:ascii="仿宋_GB2312" w:hAnsi="仿宋_GB2312" w:eastAsia="仿宋_GB2312" w:cs="仿宋_GB2312"/>
          <w:kern w:val="0"/>
          <w:sz w:val="28"/>
          <w:szCs w:val="28"/>
          <w:highlight w:val="none"/>
          <w:u w:val="single"/>
          <w:lang w:val="en-US" w:eastAsia="zh-CN"/>
        </w:rPr>
        <w:t xml:space="preserve"> 6 </w:t>
      </w:r>
      <w:r>
        <w:rPr>
          <w:rFonts w:hint="eastAsia" w:ascii="仿宋_GB2312" w:hAnsi="仿宋_GB2312" w:eastAsia="仿宋_GB2312" w:cs="仿宋_GB2312"/>
          <w:kern w:val="0"/>
          <w:sz w:val="28"/>
          <w:szCs w:val="28"/>
          <w:highlight w:val="none"/>
        </w:rPr>
        <w:t>名律师组成的法律服务团队（</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kern w:val="0"/>
          <w:sz w:val="28"/>
          <w:szCs w:val="28"/>
          <w:highlight w:val="none"/>
          <w:lang w:val="en-US" w:eastAsia="zh-CN"/>
        </w:rPr>
        <w:t>律师为</w:t>
      </w:r>
      <w:r>
        <w:rPr>
          <w:rFonts w:hint="eastAsia" w:ascii="仿宋_GB2312" w:hAnsi="仿宋_GB2312" w:eastAsia="仿宋_GB2312" w:cs="仿宋_GB2312"/>
          <w:kern w:val="0"/>
          <w:sz w:val="28"/>
          <w:szCs w:val="28"/>
          <w:highlight w:val="none"/>
        </w:rPr>
        <w:t>项目负责人、项目团队成员</w:t>
      </w:r>
      <w:r>
        <w:rPr>
          <w:rFonts w:hint="eastAsia" w:ascii="仿宋_GB2312" w:hAnsi="仿宋_GB2312" w:eastAsia="仿宋_GB2312" w:cs="仿宋_GB2312"/>
          <w:kern w:val="0"/>
          <w:sz w:val="28"/>
          <w:szCs w:val="28"/>
          <w:highlight w:val="none"/>
          <w:u w:val="single"/>
          <w:lang w:val="en-US" w:eastAsia="zh-CN"/>
        </w:rPr>
        <w:t xml:space="preserve"> 5 </w:t>
      </w:r>
      <w:r>
        <w:rPr>
          <w:rFonts w:hint="eastAsia" w:ascii="仿宋_GB2312" w:hAnsi="仿宋_GB2312" w:eastAsia="仿宋_GB2312" w:cs="仿宋_GB2312"/>
          <w:kern w:val="0"/>
          <w:sz w:val="28"/>
          <w:szCs w:val="28"/>
          <w:highlight w:val="none"/>
        </w:rPr>
        <w:t>人，其中执业律师不应少于</w:t>
      </w:r>
      <w:r>
        <w:rPr>
          <w:rFonts w:hint="eastAsia" w:ascii="仿宋_GB2312" w:hAnsi="仿宋_GB2312" w:eastAsia="仿宋_GB2312" w:cs="仿宋_GB2312"/>
          <w:kern w:val="0"/>
          <w:sz w:val="28"/>
          <w:szCs w:val="28"/>
          <w:highlight w:val="none"/>
          <w:u w:val="single"/>
          <w:lang w:val="en-US" w:eastAsia="zh-CN"/>
        </w:rPr>
        <w:t xml:space="preserve">   </w:t>
      </w:r>
      <w:r>
        <w:rPr>
          <w:rFonts w:hint="eastAsia" w:ascii="仿宋_GB2312" w:hAnsi="仿宋_GB2312" w:eastAsia="仿宋_GB2312" w:cs="仿宋_GB2312"/>
          <w:kern w:val="0"/>
          <w:sz w:val="28"/>
          <w:szCs w:val="28"/>
          <w:highlight w:val="none"/>
        </w:rPr>
        <w:t>名</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rPr>
        <w:t>执业律师证类别需为专职律师），</w:t>
      </w:r>
      <w:r>
        <w:rPr>
          <w:rFonts w:hint="eastAsia" w:ascii="仿宋_GB2312" w:hAnsi="仿宋_GB2312" w:eastAsia="仿宋_GB2312" w:cs="仿宋_GB2312"/>
          <w:kern w:val="0"/>
          <w:sz w:val="28"/>
          <w:szCs w:val="28"/>
          <w:highlight w:val="none"/>
          <w:lang w:eastAsia="zh-CN"/>
        </w:rPr>
        <w:t>团队成员名单详见附件</w:t>
      </w:r>
      <w:r>
        <w:rPr>
          <w:rFonts w:hint="eastAsia" w:ascii="仿宋_GB2312" w:hAnsi="仿宋_GB2312" w:eastAsia="仿宋_GB2312" w:cs="仿宋_GB2312"/>
          <w:kern w:val="0"/>
          <w:sz w:val="28"/>
          <w:szCs w:val="28"/>
          <w:highlight w:val="none"/>
          <w:lang w:val="en-US" w:eastAsia="zh-CN"/>
        </w:rPr>
        <w:t>1《项目人员汇总表》。</w:t>
      </w:r>
    </w:p>
    <w:p w14:paraId="0C66578B">
      <w:pPr>
        <w:numPr>
          <w:ilvl w:val="-1"/>
          <w:numId w:val="0"/>
        </w:numPr>
        <w:autoSpaceDE w:val="0"/>
        <w:autoSpaceDN w:val="0"/>
        <w:adjustRightInd w:val="0"/>
        <w:spacing w:after="0" w:line="560" w:lineRule="exact"/>
        <w:ind w:left="420" w:leftChars="200" w:firstLine="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2、乙方</w:t>
      </w:r>
      <w:r>
        <w:rPr>
          <w:rFonts w:hint="eastAsia" w:ascii="仿宋_GB2312" w:hAnsi="仿宋_GB2312" w:eastAsia="仿宋_GB2312" w:cs="仿宋_GB2312"/>
          <w:color w:val="auto"/>
          <w:kern w:val="0"/>
          <w:sz w:val="28"/>
          <w:szCs w:val="28"/>
          <w:highlight w:val="none"/>
          <w:lang w:val="en-US" w:eastAsia="zh-CN"/>
        </w:rPr>
        <w:t>从合同签订之日起，项目负责人需要驻点，另</w:t>
      </w:r>
      <w:r>
        <w:rPr>
          <w:rFonts w:hint="eastAsia" w:ascii="仿宋_GB2312" w:hAnsi="仿宋_GB2312" w:eastAsia="仿宋_GB2312" w:cs="仿宋_GB2312"/>
          <w:kern w:val="0"/>
          <w:sz w:val="28"/>
          <w:szCs w:val="28"/>
          <w:highlight w:val="none"/>
          <w:lang w:val="en-US" w:eastAsia="zh-CN"/>
        </w:rPr>
        <w:t>从服务团队中指</w:t>
      </w:r>
    </w:p>
    <w:p w14:paraId="3195AB64">
      <w:pPr>
        <w:numPr>
          <w:ilvl w:val="-1"/>
          <w:numId w:val="0"/>
        </w:numPr>
        <w:autoSpaceDE w:val="0"/>
        <w:autoSpaceDN w:val="0"/>
        <w:adjustRightInd w:val="0"/>
        <w:spacing w:after="0" w:line="560" w:lineRule="exact"/>
        <w:ind w:left="0" w:leftChars="0" w:firstLine="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派一人（须具有执业律师证）在甲方指挥部日常驻点，驻点</w:t>
      </w:r>
      <w:r>
        <w:rPr>
          <w:rFonts w:hint="eastAsia" w:ascii="仿宋_GB2312" w:hAnsi="仿宋_GB2312" w:eastAsia="仿宋_GB2312" w:cs="仿宋_GB2312"/>
          <w:sz w:val="28"/>
          <w:szCs w:val="28"/>
          <w:highlight w:val="none"/>
        </w:rPr>
        <w:t>人员需服从甲方的工作管理及安排，遵守甲方制定的考勤制度</w:t>
      </w:r>
      <w:r>
        <w:rPr>
          <w:rFonts w:hint="eastAsia" w:ascii="仿宋_GB2312" w:hAnsi="仿宋_GB2312" w:eastAsia="仿宋_GB2312" w:cs="仿宋_GB2312"/>
          <w:sz w:val="28"/>
          <w:szCs w:val="28"/>
          <w:highlight w:val="none"/>
          <w:lang w:eastAsia="zh-CN"/>
        </w:rPr>
        <w:t>。</w:t>
      </w:r>
    </w:p>
    <w:p w14:paraId="3862220A">
      <w:pPr>
        <w:numPr>
          <w:ilvl w:val="-1"/>
          <w:numId w:val="0"/>
        </w:numPr>
        <w:autoSpaceDE w:val="0"/>
        <w:autoSpaceDN w:val="0"/>
        <w:adjustRightInd w:val="0"/>
        <w:spacing w:after="0" w:line="560" w:lineRule="exact"/>
        <w:ind w:left="420" w:leftChars="200" w:firstLine="0" w:firstLineChars="0"/>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3、未经甲方书面同意，乙方不得更换服务团队成员。甲方认定乙方服</w:t>
      </w:r>
    </w:p>
    <w:p w14:paraId="1CE1555A">
      <w:pPr>
        <w:numPr>
          <w:ilvl w:val="-1"/>
          <w:numId w:val="0"/>
        </w:numPr>
        <w:autoSpaceDE w:val="0"/>
        <w:autoSpaceDN w:val="0"/>
        <w:adjustRightInd w:val="0"/>
        <w:spacing w:after="0" w:line="560" w:lineRule="exact"/>
        <w:ind w:left="0" w:leftChars="0" w:firstLine="0" w:firstLineChars="0"/>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务团队成员不适合履行专项法律服务的，有权要求乙方更换服务团队成员，乙方更换的团队成员应与被替换人员资历相当。</w:t>
      </w:r>
    </w:p>
    <w:p w14:paraId="46880E7A">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rPr>
        <w:t>第</w:t>
      </w:r>
      <w:r>
        <w:rPr>
          <w:rFonts w:hint="eastAsia" w:ascii="仿宋_GB2312" w:hAnsi="仿宋_GB2312" w:eastAsia="仿宋_GB2312" w:cs="仿宋_GB2312"/>
          <w:b/>
          <w:sz w:val="28"/>
          <w:szCs w:val="28"/>
          <w:highlight w:val="none"/>
          <w:lang w:eastAsia="zh-CN"/>
        </w:rPr>
        <w:t>三</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法律</w:t>
      </w:r>
      <w:r>
        <w:rPr>
          <w:rFonts w:hint="eastAsia" w:ascii="仿宋_GB2312" w:hAnsi="仿宋_GB2312" w:eastAsia="仿宋_GB2312" w:cs="仿宋_GB2312"/>
          <w:b/>
          <w:sz w:val="28"/>
          <w:szCs w:val="28"/>
          <w:highlight w:val="none"/>
          <w:lang w:val="en-GB"/>
        </w:rPr>
        <w:t>服务</w:t>
      </w:r>
      <w:bookmarkEnd w:id="28"/>
      <w:bookmarkEnd w:id="29"/>
      <w:bookmarkEnd w:id="30"/>
      <w:bookmarkEnd w:id="31"/>
      <w:bookmarkEnd w:id="32"/>
      <w:bookmarkEnd w:id="33"/>
      <w:bookmarkEnd w:id="34"/>
      <w:bookmarkEnd w:id="35"/>
      <w:bookmarkEnd w:id="36"/>
      <w:bookmarkEnd w:id="37"/>
      <w:bookmarkEnd w:id="38"/>
      <w:bookmarkEnd w:id="39"/>
      <w:bookmarkStart w:id="40" w:name="_Toc28918"/>
      <w:bookmarkStart w:id="41" w:name="_Toc29209"/>
      <w:bookmarkStart w:id="42" w:name="_Toc10339"/>
      <w:bookmarkStart w:id="43" w:name="_Toc26765"/>
      <w:bookmarkStart w:id="44" w:name="_Toc23783"/>
      <w:bookmarkStart w:id="45" w:name="_Toc11150"/>
      <w:bookmarkStart w:id="46" w:name="_Toc17444"/>
      <w:bookmarkStart w:id="47" w:name="_Toc7788"/>
      <w:bookmarkStart w:id="48" w:name="_Toc6142"/>
      <w:bookmarkStart w:id="49" w:name="_Toc19688"/>
      <w:bookmarkStart w:id="50" w:name="_Toc28168"/>
      <w:bookmarkStart w:id="51" w:name="_Toc13441"/>
      <w:r>
        <w:rPr>
          <w:rFonts w:hint="eastAsia" w:ascii="仿宋_GB2312" w:hAnsi="仿宋_GB2312" w:eastAsia="仿宋_GB2312" w:cs="仿宋_GB2312"/>
          <w:b/>
          <w:sz w:val="28"/>
          <w:szCs w:val="28"/>
          <w:highlight w:val="none"/>
          <w:lang w:val="en-US" w:eastAsia="zh-CN"/>
        </w:rPr>
        <w:t>内容</w:t>
      </w:r>
    </w:p>
    <w:p w14:paraId="0B904AE1">
      <w:pPr>
        <w:keepNext w:val="0"/>
        <w:keepLines w:val="0"/>
        <w:widowControl/>
        <w:suppressLineNumbers w:val="0"/>
        <w:spacing w:line="560" w:lineRule="exact"/>
        <w:ind w:firstLine="562"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一、项目前期筹备阶段法律服务内容（包括但不限于）： </w:t>
      </w:r>
    </w:p>
    <w:p w14:paraId="3FC830DC">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1、负责开展改造意愿征集相关工作，审核意愿征集过程中的相关材料； </w:t>
      </w:r>
    </w:p>
    <w:p w14:paraId="21541644">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2、在意愿征集、房屋确权过程遇到的法律问题提供法律咨询； </w:t>
      </w:r>
    </w:p>
    <w:p w14:paraId="037164E4">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3、研究制定项目的搬迁补偿安置方案； </w:t>
      </w:r>
    </w:p>
    <w:p w14:paraId="36DC43B9">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4、拟定确权方案； </w:t>
      </w:r>
    </w:p>
    <w:p w14:paraId="79E2C8F3">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5、拟定搬迁补偿协议文本（包括产权调换类的《搬迁补偿安置协议》；货币补偿类的《搬迁补偿安置协议》）； </w:t>
      </w:r>
    </w:p>
    <w:p w14:paraId="6BFE5384">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6、拟定搬迁补偿协议配套文本（包括但不限于《放弃房地产权益声明书》、各类《授权委托书》、《房屋移交确认书》、《委托收款函》、《承诺函》、《清租协议》）； </w:t>
      </w:r>
    </w:p>
    <w:p w14:paraId="327D48F9">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7、拟定搬迁补偿安置谈判方案、流程指引； </w:t>
      </w:r>
    </w:p>
    <w:p w14:paraId="45590BEE">
      <w:pPr>
        <w:pStyle w:val="1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8、提供土地整备利益统筹相关政策、被搬迁房屋确权、搬迁补偿安置谈判、搬迁补偿安置协议签署注意事项的培训。</w:t>
      </w:r>
    </w:p>
    <w:p w14:paraId="26CB38E8">
      <w:pPr>
        <w:keepNext w:val="0"/>
        <w:keepLines w:val="0"/>
        <w:widowControl/>
        <w:suppressLineNumbers w:val="0"/>
        <w:spacing w:line="560" w:lineRule="exact"/>
        <w:ind w:firstLine="562"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二、项目实施阶段法律服务内容（包括但不限于）： </w:t>
      </w:r>
    </w:p>
    <w:p w14:paraId="5101937D">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1、审核被搬迁房屋确权资料； </w:t>
      </w:r>
    </w:p>
    <w:p w14:paraId="664D3B48">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2、审核该项目搬迁补偿协议及配套文本； </w:t>
      </w:r>
    </w:p>
    <w:p w14:paraId="28B79D77">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3、拟定、审核项目清租有关的协议、文件等； </w:t>
      </w:r>
    </w:p>
    <w:p w14:paraId="40F6BB9C">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4、与权利主体就搬迁补偿安置事宜予以沟通、谈判； </w:t>
      </w:r>
    </w:p>
    <w:p w14:paraId="3BE7ACE2">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5、就建筑物权属确认等事宜提供法律咨询服务；负责甲方完成遗留疑难个案的确权工作，对于未能达成补偿协议的个案，进行专题研究，提出切实可行的建议； </w:t>
      </w:r>
    </w:p>
    <w:p w14:paraId="115C10E4">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6、就搬迁补偿方案、协议及相关配套文本的拟定、修改提供法律咨询服务，就搬迁补偿安置工作中出现的法律问题提供法律咨询； </w:t>
      </w:r>
    </w:p>
    <w:p w14:paraId="7ADF0104">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7、拟定特殊个案处理方案； </w:t>
      </w:r>
    </w:p>
    <w:p w14:paraId="2CDBA893">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8、就搬迁补偿安置工作中出现的法律问题提供法律咨询； </w:t>
      </w:r>
    </w:p>
    <w:p w14:paraId="488838A9">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9、参与项目内部重大会议、每周例会、阶段成果报告会以及与政府相关部门或项目权利主体的沟通会； </w:t>
      </w:r>
    </w:p>
    <w:p w14:paraId="02604CD8">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10、集中签约要求驻场，其他时间根据项目工作需求提供驻场服务； </w:t>
      </w:r>
    </w:p>
    <w:p w14:paraId="4E9E6618">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11、根据需要出具法律意见书，一般应在24小时（紧急事务应在2小时）内做出书面回复； </w:t>
      </w:r>
    </w:p>
    <w:p w14:paraId="7CBC4CE3">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12、提供与项目有关的其他法律咨询服务； </w:t>
      </w:r>
    </w:p>
    <w:p w14:paraId="2A995A97">
      <w:pPr>
        <w:keepNext w:val="0"/>
        <w:keepLines w:val="0"/>
        <w:widowControl/>
        <w:suppressLineNumbers w:val="0"/>
        <w:spacing w:line="560" w:lineRule="exact"/>
        <w:ind w:firstLine="560" w:firstLineChars="20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13、负责对项目疑难问题进行梳理、分析并向政府相关部门汇报，包括：负责梳理、修改关于项目进展、疑难问题分析报告；根据需要，参与项目重大事项的沟通、决策会议；</w:t>
      </w:r>
    </w:p>
    <w:p w14:paraId="38678A42">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14、摸排需产权注销台账。 </w:t>
      </w:r>
    </w:p>
    <w:p w14:paraId="6BD7D928">
      <w:pPr>
        <w:keepNext w:val="0"/>
        <w:keepLines w:val="0"/>
        <w:widowControl/>
        <w:suppressLineNumbers w:val="0"/>
        <w:spacing w:line="560" w:lineRule="exact"/>
        <w:ind w:firstLine="562"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三、腾空交房阶段的法律服务内容（包括但不限于）： </w:t>
      </w:r>
    </w:p>
    <w:p w14:paraId="05AD7B1C">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1、负责开展腾空交房阶段房屋移交确认书等移交文件的模板确认工作、； </w:t>
      </w:r>
    </w:p>
    <w:p w14:paraId="0A38E94D">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2、拟定腾空交房阶段补偿方案、房屋补偿安置协议、补偿决定等各项法律文件； </w:t>
      </w:r>
    </w:p>
    <w:p w14:paraId="54657E33">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3、负责开展社会稳定风险评估，组织项目范围内被补偿人及工作人员宣传解释补偿政策、补偿内容； </w:t>
      </w:r>
    </w:p>
    <w:p w14:paraId="01C06992">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4、组织开展各项程序性工作，编制工作流程指引； </w:t>
      </w:r>
    </w:p>
    <w:p w14:paraId="3D7CB452">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5、与被补偿人沟通、谈判，达成《补偿安置协议》； </w:t>
      </w:r>
    </w:p>
    <w:p w14:paraId="122BFCAC">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6、组织开展补偿阶段公证、证据保全、送达、公告等各项程序性工作及文本编制； </w:t>
      </w:r>
    </w:p>
    <w:p w14:paraId="7CCC6040">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7、拟定特殊个案处理方案，根据需要出具法律意见； </w:t>
      </w:r>
    </w:p>
    <w:p w14:paraId="49820EC4">
      <w:pPr>
        <w:keepNext w:val="0"/>
        <w:keepLines w:val="0"/>
        <w:widowControl/>
        <w:suppressLineNumbers w:val="0"/>
        <w:spacing w:line="560" w:lineRule="exact"/>
        <w:ind w:firstLine="560" w:firstLineChars="20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8、负责开展行政案件的复议、应诉工作；</w:t>
      </w:r>
    </w:p>
    <w:p w14:paraId="7BCBBEEA">
      <w:pPr>
        <w:keepNext w:val="0"/>
        <w:keepLines w:val="0"/>
        <w:widowControl/>
        <w:suppressLineNumbers w:val="0"/>
        <w:spacing w:line="560" w:lineRule="exact"/>
        <w:ind w:firstLine="560" w:firstLineChars="200"/>
        <w:jc w:val="left"/>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9、</w:t>
      </w:r>
      <w:r>
        <w:rPr>
          <w:rFonts w:hint="eastAsia" w:ascii="仿宋_GB2312" w:hAnsi="仿宋_GB2312" w:eastAsia="仿宋_GB2312" w:cs="仿宋_GB2312"/>
          <w:color w:val="000000"/>
          <w:kern w:val="0"/>
          <w:sz w:val="28"/>
          <w:szCs w:val="28"/>
          <w:highlight w:val="none"/>
          <w:lang w:bidi="ar"/>
        </w:rPr>
        <w:t>准备产权注销相关材料及与不动产登记中心的沟通工作</w:t>
      </w:r>
    </w:p>
    <w:p w14:paraId="76073D07">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10、申请法院强制执行。 </w:t>
      </w:r>
    </w:p>
    <w:p w14:paraId="05DA2616">
      <w:pPr>
        <w:keepNext w:val="0"/>
        <w:keepLines w:val="0"/>
        <w:widowControl/>
        <w:suppressLineNumbers w:val="0"/>
        <w:spacing w:line="560" w:lineRule="exact"/>
        <w:ind w:firstLine="562"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四、房屋回迁安置阶段的法律服务内容（包括但不限于）： </w:t>
      </w:r>
    </w:p>
    <w:p w14:paraId="00E6D14F">
      <w:pPr>
        <w:widowControl/>
        <w:spacing w:line="560" w:lineRule="exact"/>
        <w:ind w:firstLine="560" w:firstLineChars="200"/>
        <w:jc w:val="left"/>
        <w:rPr>
          <w:rFonts w:hint="default"/>
          <w:lang w:val="en-US"/>
        </w:rPr>
      </w:pPr>
      <w:r>
        <w:rPr>
          <w:rFonts w:hint="eastAsia" w:ascii="仿宋_GB2312" w:hAnsi="仿宋_GB2312" w:eastAsia="仿宋_GB2312" w:cs="仿宋_GB2312"/>
          <w:color w:val="000000"/>
          <w:kern w:val="0"/>
          <w:sz w:val="28"/>
          <w:szCs w:val="28"/>
          <w:highlight w:val="none"/>
          <w:lang w:val="en-US" w:eastAsia="zh-CN" w:bidi="ar"/>
        </w:rPr>
        <w:t xml:space="preserve">1、负责参与回迁房分配方案的制定、负责审查被补偿对象的资格、负责起草回迁房分配环节的相关法律文书、负责处理回迁房办证等相关问题； </w:t>
      </w:r>
    </w:p>
    <w:p w14:paraId="4028344D">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2、负责甲方通过协商、行政等各种方式解决个别遗留的疑难问题； </w:t>
      </w:r>
    </w:p>
    <w:p w14:paraId="4E4FD3E0">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3、负责做好甲方及信访部门的信访答复及处理工作。 </w:t>
      </w:r>
    </w:p>
    <w:p w14:paraId="07BBE92F">
      <w:pPr>
        <w:keepNext w:val="0"/>
        <w:keepLines w:val="0"/>
        <w:widowControl/>
        <w:suppressLineNumbers w:val="0"/>
        <w:spacing w:line="560" w:lineRule="exact"/>
        <w:ind w:firstLine="562"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 xml:space="preserve">五、其他： </w:t>
      </w:r>
    </w:p>
    <w:p w14:paraId="690685A8">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1、根据项目进展情况，根据甲方的要求不定期地为甲方提供土地整备利益统筹、房屋征收等方面的法律培训（每年不少于2次）； </w:t>
      </w:r>
    </w:p>
    <w:p w14:paraId="68AC425C">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2、定期为甲方提供土地整备利益统筹、房屋征收等有关法律资讯； </w:t>
      </w:r>
    </w:p>
    <w:p w14:paraId="62E57C9D">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3、中标人承诺在合同履行期间，可随时根据甲方要求指派律师提供到场服务（接到甲方通知后2小时内到场）； </w:t>
      </w:r>
    </w:p>
    <w:p w14:paraId="400FF608">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4、对项目实施过程中出现的疑难问题及特殊个案，提出专业的法律意见及解决方案； </w:t>
      </w:r>
    </w:p>
    <w:p w14:paraId="4CBEA0F5">
      <w:pPr>
        <w:keepNext w:val="0"/>
        <w:keepLines w:val="0"/>
        <w:widowControl/>
        <w:suppressLineNumbers w:val="0"/>
        <w:spacing w:line="5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 xml:space="preserve">5、根据甲方要求，就项目推进过程中的法律问题出具法律意见； </w:t>
      </w:r>
    </w:p>
    <w:p w14:paraId="22DA61FC">
      <w:pPr>
        <w:keepNext w:val="0"/>
        <w:keepLines w:val="0"/>
        <w:widowControl/>
        <w:suppressLineNumbers w:val="0"/>
        <w:spacing w:line="560" w:lineRule="exact"/>
        <w:ind w:firstLine="560" w:firstLineChars="20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6、为甲方及母公司提供项目过程中涉及到的所有争议解决法律服务（包括起诉、应诉、提起反诉、仲裁、申请强制执行等全过程代理）；</w:t>
      </w:r>
    </w:p>
    <w:p w14:paraId="2AF18F28">
      <w:pPr>
        <w:keepNext w:val="0"/>
        <w:keepLines w:val="0"/>
        <w:pageBreakBefore w:val="0"/>
        <w:widowControl/>
        <w:kinsoku/>
        <w:wordWrap/>
        <w:overflowPunct/>
        <w:topLinePunct w:val="0"/>
        <w:bidi w:val="0"/>
        <w:snapToGrid/>
        <w:spacing w:line="560" w:lineRule="exact"/>
        <w:ind w:firstLine="560" w:firstLineChars="200"/>
        <w:jc w:val="left"/>
        <w:textAlignment w:val="auto"/>
        <w:outlineLvl w:val="9"/>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7、审核甲方与本项目有关的合同，并出具法律意见书。</w:t>
      </w:r>
    </w:p>
    <w:bookmarkEnd w:id="40"/>
    <w:bookmarkEnd w:id="41"/>
    <w:bookmarkEnd w:id="42"/>
    <w:bookmarkEnd w:id="43"/>
    <w:bookmarkEnd w:id="44"/>
    <w:bookmarkEnd w:id="45"/>
    <w:bookmarkEnd w:id="46"/>
    <w:bookmarkEnd w:id="47"/>
    <w:bookmarkEnd w:id="48"/>
    <w:bookmarkEnd w:id="49"/>
    <w:bookmarkEnd w:id="50"/>
    <w:bookmarkEnd w:id="51"/>
    <w:p w14:paraId="16A07E11">
      <w:pPr>
        <w:numPr>
          <w:ilvl w:val="0"/>
          <w:numId w:val="1"/>
        </w:numPr>
        <w:adjustRightInd w:val="0"/>
        <w:snapToGrid w:val="0"/>
        <w:spacing w:before="156" w:beforeLines="50" w:after="156" w:afterLines="50" w:line="560" w:lineRule="exact"/>
        <w:jc w:val="center"/>
        <w:outlineLvl w:val="1"/>
        <w:rPr>
          <w:rFonts w:hint="eastAsia" w:ascii="仿宋_GB2312" w:hAnsi="仿宋_GB2312" w:eastAsia="仿宋_GB2312" w:cs="仿宋_GB2312"/>
          <w:b/>
          <w:sz w:val="32"/>
          <w:szCs w:val="32"/>
          <w:highlight w:val="none"/>
        </w:rPr>
      </w:pPr>
      <w:bookmarkStart w:id="52" w:name="_Toc28901532"/>
      <w:bookmarkStart w:id="53" w:name="_Toc18713"/>
      <w:bookmarkStart w:id="54" w:name="_Toc4021"/>
      <w:bookmarkStart w:id="55" w:name="_Toc25716"/>
      <w:bookmarkStart w:id="56" w:name="_Toc4049"/>
      <w:bookmarkStart w:id="57" w:name="_Toc3920"/>
      <w:bookmarkStart w:id="58" w:name="_Toc10083"/>
      <w:bookmarkStart w:id="59" w:name="_Toc30390"/>
      <w:bookmarkStart w:id="60" w:name="_Toc32589"/>
      <w:bookmarkStart w:id="61" w:name="_Toc17689"/>
      <w:bookmarkStart w:id="62" w:name="_Toc1380"/>
      <w:bookmarkStart w:id="63" w:name="_Toc21077"/>
      <w:bookmarkStart w:id="64" w:name="_Toc5461292"/>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双方权利与义务</w:t>
      </w:r>
      <w:bookmarkEnd w:id="52"/>
      <w:bookmarkEnd w:id="53"/>
      <w:bookmarkEnd w:id="54"/>
      <w:bookmarkEnd w:id="55"/>
      <w:bookmarkEnd w:id="56"/>
      <w:bookmarkEnd w:id="57"/>
      <w:bookmarkEnd w:id="58"/>
      <w:bookmarkEnd w:id="59"/>
      <w:bookmarkEnd w:id="60"/>
      <w:bookmarkEnd w:id="61"/>
      <w:bookmarkEnd w:id="62"/>
      <w:bookmarkEnd w:id="63"/>
      <w:bookmarkEnd w:id="64"/>
    </w:p>
    <w:p w14:paraId="1AA6816A">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560" w:lineRule="exact"/>
        <w:ind w:firstLine="643" w:firstLineChars="200"/>
        <w:jc w:val="both"/>
        <w:textAlignment w:val="auto"/>
        <w:outlineLvl w:val="1"/>
        <w:rPr>
          <w:rFonts w:hint="eastAsia" w:ascii="仿宋_GB2312" w:hAnsi="仿宋_GB2312" w:eastAsia="仿宋_GB2312" w:cs="仿宋_GB2312"/>
          <w:b/>
          <w:sz w:val="28"/>
          <w:szCs w:val="28"/>
          <w:highlight w:val="none"/>
          <w:lang w:val="en-GB"/>
        </w:rPr>
      </w:pPr>
      <w:r>
        <w:rPr>
          <w:rFonts w:hint="eastAsia" w:ascii="仿宋_GB2312" w:hAnsi="仿宋_GB2312" w:eastAsia="仿宋_GB2312" w:cs="仿宋_GB2312"/>
          <w:b/>
          <w:sz w:val="32"/>
          <w:szCs w:val="32"/>
          <w:highlight w:val="none"/>
          <w:lang w:val="en-US" w:eastAsia="zh-CN"/>
        </w:rPr>
        <w:t>第四条</w:t>
      </w:r>
      <w:bookmarkStart w:id="65" w:name="_Toc28860"/>
      <w:bookmarkStart w:id="66" w:name="_Toc23054"/>
      <w:bookmarkStart w:id="67" w:name="_Toc13460"/>
      <w:bookmarkStart w:id="68" w:name="_Toc21198"/>
      <w:bookmarkStart w:id="69" w:name="_Toc22497"/>
      <w:bookmarkStart w:id="70" w:name="_Toc14716"/>
      <w:bookmarkStart w:id="71" w:name="_Toc13306"/>
      <w:bookmarkStart w:id="72" w:name="_Toc20699"/>
      <w:bookmarkStart w:id="73" w:name="_Toc1524"/>
      <w:bookmarkStart w:id="74" w:name="_Toc9117"/>
      <w:bookmarkStart w:id="75" w:name="_Toc28901533"/>
      <w:bookmarkStart w:id="76" w:name="_Toc20688"/>
      <w:bookmarkStart w:id="77" w:name="_Toc3388"/>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lang w:val="en-GB"/>
        </w:rPr>
        <w:t>甲方的权利</w:t>
      </w:r>
      <w:bookmarkEnd w:id="65"/>
      <w:bookmarkEnd w:id="66"/>
      <w:bookmarkEnd w:id="67"/>
      <w:bookmarkEnd w:id="68"/>
      <w:bookmarkEnd w:id="69"/>
      <w:bookmarkEnd w:id="70"/>
      <w:bookmarkEnd w:id="71"/>
      <w:bookmarkEnd w:id="72"/>
      <w:bookmarkEnd w:id="73"/>
      <w:bookmarkEnd w:id="74"/>
      <w:bookmarkEnd w:id="75"/>
      <w:bookmarkEnd w:id="76"/>
      <w:bookmarkEnd w:id="77"/>
    </w:p>
    <w:p w14:paraId="6FBC66DF">
      <w:pPr>
        <w:keepNext w:val="0"/>
        <w:keepLines w:val="0"/>
        <w:pageBreakBefore w:val="0"/>
        <w:widowControl/>
        <w:numPr>
          <w:ilvl w:val="-1"/>
          <w:numId w:val="0"/>
        </w:numPr>
        <w:tabs>
          <w:tab w:val="left" w:pos="420"/>
        </w:tabs>
        <w:kinsoku/>
        <w:wordWrap/>
        <w:overflowPunct/>
        <w:topLinePunct w:val="0"/>
        <w:autoSpaceDE/>
        <w:autoSpaceDN/>
        <w:bidi w:val="0"/>
        <w:adjustRightInd w:val="0"/>
        <w:snapToGrid w:val="0"/>
        <w:spacing w:before="156" w:beforeLines="50" w:after="156" w:afterLines="50" w:line="560" w:lineRule="exact"/>
        <w:ind w:left="0" w:leftChars="0" w:firstLine="560" w:firstLineChars="200"/>
        <w:textAlignment w:val="auto"/>
        <w:outlineLvl w:val="1"/>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要求</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bCs/>
          <w:sz w:val="28"/>
          <w:szCs w:val="28"/>
          <w:highlight w:val="none"/>
          <w:lang w:val="en-GB"/>
        </w:rPr>
        <w:t>律师依照诚实信用原则全面、实际履行本合同。</w:t>
      </w:r>
    </w:p>
    <w:p w14:paraId="7646CAFB">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甲方有权就乙方服务范围内的事项，随时向乙方提出口头或书面咨询，乙方应及时作出答复。</w:t>
      </w:r>
    </w:p>
    <w:p w14:paraId="3A57589A">
      <w:pPr>
        <w:numPr>
          <w:ilvl w:val="-1"/>
          <w:numId w:val="0"/>
        </w:numPr>
        <w:adjustRightInd w:val="0"/>
        <w:snapToGrid w:val="0"/>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有权对乙方的法律服务工作进行监督和检查。</w:t>
      </w:r>
    </w:p>
    <w:p w14:paraId="4CAEA1CF">
      <w:pPr>
        <w:numPr>
          <w:ilvl w:val="-1"/>
          <w:numId w:val="0"/>
        </w:numPr>
        <w:adjustRightInd w:val="0"/>
        <w:snapToGrid w:val="0"/>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lang w:val="en-GB" w:eastAsia="zh-CN"/>
        </w:rPr>
        <w:t>甲方认为乙方团队成员未能尽勤勉义务为其提供法律服务的，有权要求乙方更换不能胜任或者不能较好完成受托工作任务的团队成员</w:t>
      </w:r>
      <w:r>
        <w:rPr>
          <w:rFonts w:hint="eastAsia" w:ascii="仿宋_GB2312" w:hAnsi="仿宋_GB2312" w:eastAsia="仿宋_GB2312" w:cs="仿宋_GB2312"/>
          <w:bCs/>
          <w:sz w:val="28"/>
          <w:szCs w:val="28"/>
          <w:highlight w:val="none"/>
          <w:lang w:val="en-GB"/>
        </w:rPr>
        <w:t>。</w:t>
      </w:r>
    </w:p>
    <w:p w14:paraId="7461906F">
      <w:pPr>
        <w:pStyle w:val="2"/>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5、甲方建立履约评价考核体系，乙方须无条件接受甲方考评。</w:t>
      </w:r>
    </w:p>
    <w:p w14:paraId="77F31669">
      <w:pPr>
        <w:pStyle w:val="2"/>
        <w:numPr>
          <w:ilvl w:val="-1"/>
          <w:numId w:val="0"/>
        </w:numPr>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6、与本项目有关的其他权利。</w:t>
      </w:r>
    </w:p>
    <w:p w14:paraId="0A44DAC1">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textAlignment w:val="auto"/>
        <w:outlineLvl w:val="2"/>
        <w:rPr>
          <w:rFonts w:hint="eastAsia" w:ascii="仿宋_GB2312" w:hAnsi="仿宋_GB2312" w:eastAsia="仿宋_GB2312" w:cs="仿宋_GB2312"/>
          <w:b/>
          <w:bCs/>
          <w:sz w:val="28"/>
          <w:szCs w:val="28"/>
          <w:highlight w:val="none"/>
          <w:lang w:val="en-GB"/>
        </w:rPr>
      </w:pPr>
      <w:bookmarkStart w:id="78" w:name="_Toc502671312"/>
      <w:bookmarkStart w:id="79" w:name="_Toc20557"/>
      <w:bookmarkStart w:id="80" w:name="_Toc14771"/>
      <w:bookmarkStart w:id="81" w:name="_Toc24081"/>
      <w:bookmarkStart w:id="82" w:name="_Toc26957"/>
      <w:bookmarkStart w:id="83" w:name="_Toc23767"/>
      <w:bookmarkStart w:id="84" w:name="_Toc15197"/>
      <w:bookmarkStart w:id="85" w:name="_Toc28604"/>
      <w:bookmarkStart w:id="86" w:name="_Toc23518"/>
      <w:bookmarkStart w:id="87" w:name="_Toc13486"/>
      <w:bookmarkStart w:id="88" w:name="_Toc27589"/>
      <w:bookmarkStart w:id="89" w:name="_Toc1317"/>
      <w:bookmarkStart w:id="90" w:name="_Toc32720"/>
      <w:bookmarkStart w:id="91" w:name="_Toc28901534"/>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bCs/>
          <w:sz w:val="28"/>
          <w:szCs w:val="28"/>
          <w:highlight w:val="none"/>
          <w:lang w:val="en-GB"/>
        </w:rPr>
        <w:t>条</w:t>
      </w:r>
      <w:bookmarkEnd w:id="78"/>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甲方的义务</w:t>
      </w:r>
      <w:bookmarkEnd w:id="79"/>
      <w:bookmarkEnd w:id="80"/>
      <w:bookmarkEnd w:id="81"/>
      <w:bookmarkEnd w:id="82"/>
      <w:bookmarkEnd w:id="83"/>
      <w:bookmarkEnd w:id="84"/>
      <w:bookmarkEnd w:id="85"/>
      <w:bookmarkEnd w:id="86"/>
      <w:bookmarkEnd w:id="87"/>
      <w:bookmarkEnd w:id="88"/>
      <w:bookmarkEnd w:id="89"/>
      <w:bookmarkEnd w:id="90"/>
      <w:bookmarkEnd w:id="91"/>
    </w:p>
    <w:p w14:paraId="15CF1417">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甲方应当及时、全面地向乙方提供完成本合同项下法律服务所需的文件、资料与信息，并保证该等文件、资料与信息真实、准确、完整与充分。</w:t>
      </w:r>
    </w:p>
    <w:p w14:paraId="0920940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甲方应当按时、足额向乙方支付法律服务费用。</w:t>
      </w:r>
    </w:p>
    <w:p w14:paraId="2644F11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对乙方的工作应给予积极的配合。</w:t>
      </w:r>
    </w:p>
    <w:p w14:paraId="34474E34">
      <w:pPr>
        <w:pStyle w:val="2"/>
        <w:numPr>
          <w:ilvl w:val="-1"/>
          <w:numId w:val="0"/>
        </w:numPr>
        <w:spacing w:line="560" w:lineRule="exact"/>
        <w:ind w:left="0" w:leftChars="0"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4、甲方应对乙方的服务进行客观、公正的评价。</w:t>
      </w:r>
    </w:p>
    <w:p w14:paraId="420B9235">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textAlignment w:val="auto"/>
        <w:outlineLvl w:val="2"/>
        <w:rPr>
          <w:rFonts w:hint="eastAsia" w:ascii="仿宋_GB2312" w:hAnsi="仿宋_GB2312" w:eastAsia="仿宋_GB2312" w:cs="仿宋_GB2312"/>
          <w:b/>
          <w:bCs/>
          <w:sz w:val="28"/>
          <w:szCs w:val="28"/>
          <w:highlight w:val="none"/>
          <w:lang w:val="en-GB"/>
        </w:rPr>
      </w:pPr>
      <w:bookmarkStart w:id="92" w:name="_Toc502671313"/>
      <w:bookmarkStart w:id="93" w:name="_Toc7093"/>
      <w:bookmarkStart w:id="94" w:name="_Toc31169"/>
      <w:bookmarkStart w:id="95" w:name="_Toc8045"/>
      <w:bookmarkStart w:id="96" w:name="_Toc29774"/>
      <w:bookmarkStart w:id="97" w:name="_Toc28901535"/>
      <w:bookmarkStart w:id="98" w:name="_Toc776"/>
      <w:bookmarkStart w:id="99" w:name="_Toc2025"/>
      <w:bookmarkStart w:id="100" w:name="_Toc1882"/>
      <w:bookmarkStart w:id="101" w:name="_Toc28673"/>
      <w:bookmarkStart w:id="102" w:name="_Toc28247"/>
      <w:bookmarkStart w:id="103" w:name="_Toc4382"/>
      <w:bookmarkStart w:id="104" w:name="_Toc29612"/>
      <w:bookmarkStart w:id="105" w:name="_Toc31607"/>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val="en-GB"/>
        </w:rPr>
        <w:t>条</w:t>
      </w:r>
      <w:bookmarkEnd w:id="92"/>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乙方的权利</w:t>
      </w:r>
      <w:bookmarkEnd w:id="93"/>
      <w:bookmarkEnd w:id="94"/>
      <w:bookmarkEnd w:id="95"/>
      <w:bookmarkEnd w:id="96"/>
      <w:bookmarkEnd w:id="97"/>
      <w:bookmarkEnd w:id="98"/>
      <w:bookmarkEnd w:id="99"/>
      <w:bookmarkEnd w:id="100"/>
      <w:bookmarkEnd w:id="101"/>
      <w:bookmarkEnd w:id="102"/>
      <w:bookmarkEnd w:id="103"/>
      <w:bookmarkEnd w:id="104"/>
      <w:bookmarkEnd w:id="105"/>
    </w:p>
    <w:p w14:paraId="6863652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要求甲方如实陈述或提供相关材料等协助配合的权利。</w:t>
      </w:r>
    </w:p>
    <w:p w14:paraId="37BF2366">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按合同约定取得报酬的权利。</w:t>
      </w:r>
    </w:p>
    <w:p w14:paraId="076EF76C">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textAlignment w:val="auto"/>
        <w:outlineLvl w:val="2"/>
        <w:rPr>
          <w:rFonts w:hint="eastAsia" w:ascii="仿宋_GB2312" w:hAnsi="仿宋_GB2312" w:eastAsia="仿宋_GB2312" w:cs="仿宋_GB2312"/>
          <w:b/>
          <w:bCs/>
          <w:sz w:val="28"/>
          <w:szCs w:val="28"/>
          <w:highlight w:val="none"/>
          <w:lang w:val="en-GB"/>
        </w:rPr>
      </w:pPr>
      <w:bookmarkStart w:id="106" w:name="_Toc1612"/>
      <w:bookmarkStart w:id="107" w:name="_Toc22269"/>
      <w:bookmarkStart w:id="108" w:name="_Toc31273"/>
      <w:bookmarkStart w:id="109" w:name="_Toc1756"/>
      <w:bookmarkStart w:id="110" w:name="_Toc27365"/>
      <w:bookmarkStart w:id="111" w:name="_Toc25903"/>
      <w:bookmarkStart w:id="112" w:name="_Toc3791"/>
      <w:bookmarkStart w:id="113" w:name="_Toc19104"/>
      <w:bookmarkStart w:id="114" w:name="_Toc23633"/>
      <w:bookmarkStart w:id="115" w:name="_Toc28901536"/>
      <w:bookmarkStart w:id="116" w:name="_Toc17600"/>
      <w:bookmarkStart w:id="117" w:name="_Toc12917"/>
      <w:bookmarkStart w:id="118" w:name="_Toc18911"/>
      <w:bookmarkStart w:id="119" w:name="_Toc502671314"/>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乙方的义务</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424F0A3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lang w:val="en-GB"/>
        </w:rPr>
        <w:t>乙方律师在本合同履行过程中或双方约定的期间内，在涉及与甲方有利益冲突的对抗性案件或者交易活动中，未经甲方书面同意，不得为与甲方具有法律上利益冲突的另一方就该案件或该次交易提供法律意见或代理。</w:t>
      </w:r>
    </w:p>
    <w:p w14:paraId="3124617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lang w:val="en-GB"/>
        </w:rPr>
        <w:t>乙方律师完成甲方交付的工作应当按照本合同、律师行业公认的业务标准和道德规范及甲方要求，勤勉、尽责地为甲方提供高效、及时、优质的法律服务。</w:t>
      </w:r>
    </w:p>
    <w:p w14:paraId="49881F63">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3、</w:t>
      </w:r>
      <w:r>
        <w:rPr>
          <w:rFonts w:hint="eastAsia" w:ascii="仿宋_GB2312" w:hAnsi="仿宋_GB2312" w:eastAsia="仿宋_GB2312" w:cs="仿宋_GB2312"/>
          <w:bCs/>
          <w:sz w:val="28"/>
          <w:szCs w:val="28"/>
          <w:highlight w:val="none"/>
          <w:lang w:val="en-GB"/>
        </w:rPr>
        <w:t>乙方律师严格依据法律规定、事实依据及实务经验对甲方委托事务作出正确判断，尽最大努力维护甲方</w:t>
      </w:r>
      <w:r>
        <w:rPr>
          <w:rFonts w:hint="eastAsia" w:ascii="仿宋_GB2312" w:hAnsi="仿宋_GB2312" w:eastAsia="仿宋_GB2312" w:cs="仿宋_GB2312"/>
          <w:bCs/>
          <w:sz w:val="28"/>
          <w:szCs w:val="28"/>
          <w:highlight w:val="none"/>
          <w:lang w:val="en-US" w:eastAsia="zh-CN"/>
        </w:rPr>
        <w:t>权益</w:t>
      </w:r>
      <w:r>
        <w:rPr>
          <w:rFonts w:hint="eastAsia" w:ascii="仿宋_GB2312" w:hAnsi="仿宋_GB2312" w:eastAsia="仿宋_GB2312" w:cs="仿宋_GB2312"/>
          <w:bCs/>
          <w:sz w:val="28"/>
          <w:szCs w:val="28"/>
          <w:highlight w:val="none"/>
          <w:lang w:val="en-GB"/>
        </w:rPr>
        <w:t>。</w:t>
      </w:r>
    </w:p>
    <w:p w14:paraId="613DD311">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4、</w:t>
      </w:r>
      <w:r>
        <w:rPr>
          <w:rFonts w:hint="eastAsia" w:ascii="仿宋_GB2312" w:hAnsi="仿宋_GB2312" w:eastAsia="仿宋_GB2312" w:cs="仿宋_GB2312"/>
          <w:bCs/>
          <w:sz w:val="28"/>
          <w:szCs w:val="28"/>
          <w:highlight w:val="none"/>
          <w:lang w:val="en-GB"/>
        </w:rPr>
        <w:t>乙方律师应根据甲方的安排，列席甲方与本项目有关的法律服务和其他经济活动中的有关会议。</w:t>
      </w:r>
    </w:p>
    <w:p w14:paraId="1615288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5、</w:t>
      </w:r>
      <w:r>
        <w:rPr>
          <w:rFonts w:hint="eastAsia" w:ascii="仿宋_GB2312" w:hAnsi="仿宋_GB2312" w:eastAsia="仿宋_GB2312" w:cs="仿宋_GB2312"/>
          <w:bCs/>
          <w:sz w:val="28"/>
          <w:szCs w:val="28"/>
          <w:highlight w:val="none"/>
          <w:lang w:val="en-GB"/>
        </w:rPr>
        <w:t>乙方律师应及时承办甲方委托办理的有关法律事务，并对所经办事务的合法性负责。</w:t>
      </w:r>
    </w:p>
    <w:p w14:paraId="593C66B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6、</w:t>
      </w:r>
      <w:r>
        <w:rPr>
          <w:rFonts w:hint="eastAsia" w:ascii="仿宋_GB2312" w:hAnsi="仿宋_GB2312" w:eastAsia="仿宋_GB2312" w:cs="仿宋_GB2312"/>
          <w:bCs/>
          <w:sz w:val="28"/>
          <w:szCs w:val="28"/>
          <w:highlight w:val="none"/>
          <w:lang w:val="en-GB"/>
        </w:rPr>
        <w:t>乙方律师</w:t>
      </w:r>
      <w:r>
        <w:rPr>
          <w:rFonts w:hint="eastAsia" w:ascii="仿宋_GB2312" w:hAnsi="仿宋_GB2312" w:eastAsia="仿宋_GB2312" w:cs="仿宋_GB2312"/>
          <w:bCs/>
          <w:sz w:val="28"/>
          <w:szCs w:val="28"/>
          <w:highlight w:val="none"/>
          <w:lang w:val="en-US" w:eastAsia="zh-CN"/>
        </w:rPr>
        <w:t>不得从事有损于甲方合法权益的活动</w:t>
      </w:r>
      <w:r>
        <w:rPr>
          <w:rFonts w:hint="eastAsia" w:ascii="仿宋_GB2312" w:hAnsi="仿宋_GB2312" w:eastAsia="仿宋_GB2312" w:cs="仿宋_GB2312"/>
          <w:bCs/>
          <w:sz w:val="28"/>
          <w:szCs w:val="28"/>
          <w:highlight w:val="none"/>
          <w:lang w:val="en-GB"/>
        </w:rPr>
        <w:t>。</w:t>
      </w:r>
    </w:p>
    <w:p w14:paraId="14D5CF75">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7、</w:t>
      </w:r>
      <w:r>
        <w:rPr>
          <w:rFonts w:hint="eastAsia" w:ascii="仿宋_GB2312" w:hAnsi="仿宋_GB2312" w:eastAsia="仿宋_GB2312" w:cs="仿宋_GB2312"/>
          <w:bCs/>
          <w:sz w:val="28"/>
          <w:szCs w:val="28"/>
          <w:highlight w:val="none"/>
          <w:lang w:val="en-GB"/>
        </w:rPr>
        <w:t>乙方律师在合同履行过程中或者双</w:t>
      </w:r>
      <w:r>
        <w:rPr>
          <w:rFonts w:hint="eastAsia" w:ascii="仿宋_GB2312" w:hAnsi="仿宋_GB2312" w:eastAsia="仿宋_GB2312" w:cs="仿宋_GB2312"/>
          <w:bCs/>
          <w:sz w:val="28"/>
          <w:szCs w:val="28"/>
          <w:highlight w:val="none"/>
          <w:lang w:val="en-US" w:eastAsia="zh-CN"/>
        </w:rPr>
        <w:t>方</w:t>
      </w:r>
      <w:r>
        <w:rPr>
          <w:rFonts w:hint="eastAsia" w:ascii="仿宋_GB2312" w:hAnsi="仿宋_GB2312" w:eastAsia="仿宋_GB2312" w:cs="仿宋_GB2312"/>
          <w:bCs/>
          <w:sz w:val="28"/>
          <w:szCs w:val="28"/>
          <w:highlight w:val="none"/>
          <w:lang w:val="en-GB"/>
        </w:rPr>
        <w:t>约定的期间内，不得接受与甲方有利益冲突的对抗性案件或者交易活动的利害冲突之人的委托，代理诉讼或提供法律意见。</w:t>
      </w:r>
    </w:p>
    <w:p w14:paraId="500956EE">
      <w:pPr>
        <w:keepNext w:val="0"/>
        <w:keepLines w:val="0"/>
        <w:pageBreakBefore w:val="0"/>
        <w:widowControl w:val="0"/>
        <w:numPr>
          <w:ilvl w:val="-1"/>
          <w:numId w:val="0"/>
        </w:numPr>
        <w:tabs>
          <w:tab w:val="left" w:pos="1050"/>
        </w:tabs>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lang w:val="en-GB"/>
        </w:rPr>
        <w:t>因乙方律师的过错而给甲方造成损失的，乙方应按</w:t>
      </w:r>
      <w:r>
        <w:rPr>
          <w:rFonts w:hint="eastAsia" w:ascii="仿宋_GB2312" w:hAnsi="仿宋_GB2312" w:eastAsia="仿宋_GB2312" w:cs="仿宋_GB2312"/>
          <w:bCs/>
          <w:sz w:val="28"/>
          <w:szCs w:val="28"/>
          <w:highlight w:val="none"/>
          <w:lang w:val="en-US" w:eastAsia="zh-CN"/>
        </w:rPr>
        <w:t>甲方实际损失</w:t>
      </w:r>
      <w:r>
        <w:rPr>
          <w:rFonts w:hint="eastAsia" w:ascii="仿宋_GB2312" w:hAnsi="仿宋_GB2312" w:eastAsia="仿宋_GB2312" w:cs="仿宋_GB2312"/>
          <w:bCs/>
          <w:sz w:val="28"/>
          <w:szCs w:val="28"/>
          <w:highlight w:val="none"/>
          <w:lang w:val="en-GB"/>
        </w:rPr>
        <w:t>进行赔偿。</w:t>
      </w:r>
    </w:p>
    <w:p w14:paraId="3E7038F9">
      <w:pPr>
        <w:keepNext w:val="0"/>
        <w:keepLines w:val="0"/>
        <w:pageBreakBefore w:val="0"/>
        <w:widowControl w:val="0"/>
        <w:numPr>
          <w:ilvl w:val="-1"/>
          <w:numId w:val="0"/>
        </w:numPr>
        <w:tabs>
          <w:tab w:val="left" w:pos="1050"/>
        </w:tabs>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bCs/>
          <w:sz w:val="28"/>
          <w:szCs w:val="28"/>
          <w:highlight w:val="none"/>
          <w:lang w:val="en-GB"/>
        </w:rPr>
      </w:pPr>
      <w:r>
        <w:rPr>
          <w:rFonts w:hint="eastAsia" w:ascii="仿宋_GB2312" w:hAnsi="仿宋_GB2312" w:eastAsia="仿宋_GB2312" w:cs="仿宋_GB2312"/>
          <w:bCs/>
          <w:sz w:val="28"/>
          <w:szCs w:val="28"/>
          <w:highlight w:val="none"/>
          <w:lang w:val="en-US" w:eastAsia="zh-CN"/>
        </w:rPr>
        <w:t>9、</w:t>
      </w:r>
      <w:r>
        <w:rPr>
          <w:rFonts w:hint="eastAsia" w:ascii="仿宋_GB2312" w:hAnsi="仿宋_GB2312" w:eastAsia="仿宋_GB2312" w:cs="仿宋_GB2312"/>
          <w:bCs/>
          <w:sz w:val="28"/>
          <w:szCs w:val="28"/>
          <w:highlight w:val="none"/>
          <w:lang w:val="en-GB"/>
        </w:rPr>
        <w:t>乙方应该建立完善的工作档案制度，将为甲方服务的有关的文件、资料等档案进行</w:t>
      </w:r>
      <w:r>
        <w:rPr>
          <w:rFonts w:hint="eastAsia" w:ascii="仿宋_GB2312" w:hAnsi="仿宋_GB2312" w:eastAsia="仿宋_GB2312" w:cs="仿宋_GB2312"/>
          <w:bCs/>
          <w:sz w:val="28"/>
          <w:szCs w:val="28"/>
          <w:highlight w:val="none"/>
          <w:lang w:val="en-US" w:eastAsia="zh-CN"/>
        </w:rPr>
        <w:t>保管。</w:t>
      </w:r>
    </w:p>
    <w:p w14:paraId="5882D576">
      <w:pPr>
        <w:numPr>
          <w:ilvl w:val="-1"/>
          <w:numId w:val="0"/>
        </w:numPr>
        <w:tabs>
          <w:tab w:val="left" w:pos="1050"/>
        </w:tabs>
        <w:adjustRightInd w:val="0"/>
        <w:snapToGrid w:val="0"/>
        <w:spacing w:line="560" w:lineRule="exact"/>
        <w:ind w:left="0" w:leftChars="0"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r>
        <w:rPr>
          <w:rFonts w:hint="eastAsia" w:ascii="仿宋_GB2312" w:hAnsi="仿宋_GB2312" w:eastAsia="仿宋_GB2312" w:cs="仿宋_GB2312"/>
          <w:bCs/>
          <w:sz w:val="28"/>
          <w:szCs w:val="28"/>
          <w:highlight w:val="none"/>
          <w:lang w:val="en-GB"/>
        </w:rPr>
        <w:t>乙方有义务就服务事项随时接受甲方询问，如实回答、反馈甲方所有询问事项。</w:t>
      </w:r>
      <w:bookmarkEnd w:id="119"/>
    </w:p>
    <w:p w14:paraId="377245C5">
      <w:pPr>
        <w:numPr>
          <w:ilvl w:val="-1"/>
          <w:numId w:val="0"/>
        </w:numPr>
        <w:tabs>
          <w:tab w:val="left" w:pos="1050"/>
        </w:tabs>
        <w:adjustRightInd w:val="0"/>
        <w:snapToGrid w:val="0"/>
        <w:spacing w:line="560" w:lineRule="exact"/>
        <w:ind w:left="0" w:leftChars="0" w:firstLine="560" w:firstLineChars="200"/>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11、未经甲方书面同意，乙方不得擅自更换服务团队成员。甲方要求更换人员的，乙方应在接到甲方通知后3个自然日内提出替换人选并报甲方确认。</w:t>
      </w:r>
    </w:p>
    <w:p w14:paraId="378E300E">
      <w:pPr>
        <w:pStyle w:val="26"/>
        <w:spacing w:line="560" w:lineRule="exact"/>
        <w:ind w:left="0" w:leftChars="0"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12、乙方应提供两辆汽车为项目工作使用，并自行承担相关费用。</w:t>
      </w:r>
    </w:p>
    <w:p w14:paraId="6252589A">
      <w:pPr>
        <w:adjustRightInd w:val="0"/>
        <w:snapToGrid w:val="0"/>
        <w:spacing w:before="156" w:beforeLines="50" w:after="156" w:afterLines="50" w:line="560" w:lineRule="exact"/>
        <w:jc w:val="center"/>
        <w:outlineLvl w:val="1"/>
        <w:rPr>
          <w:rFonts w:hint="eastAsia" w:ascii="仿宋_GB2312" w:hAnsi="仿宋_GB2312" w:eastAsia="仿宋_GB2312" w:cs="仿宋_GB2312"/>
          <w:b/>
          <w:sz w:val="32"/>
          <w:szCs w:val="32"/>
          <w:highlight w:val="none"/>
        </w:rPr>
      </w:pPr>
      <w:bookmarkStart w:id="120" w:name="_Toc26618"/>
      <w:bookmarkStart w:id="121" w:name="_Toc17573"/>
      <w:bookmarkStart w:id="122" w:name="_Toc15681"/>
      <w:bookmarkStart w:id="123" w:name="_Toc5461293"/>
      <w:bookmarkStart w:id="124" w:name="_Toc16248"/>
      <w:bookmarkStart w:id="125" w:name="_Toc28901537"/>
      <w:bookmarkStart w:id="126" w:name="_Toc15894"/>
      <w:bookmarkStart w:id="127" w:name="_Toc22994"/>
      <w:bookmarkStart w:id="128" w:name="_Toc3895"/>
      <w:bookmarkStart w:id="129" w:name="_Toc32039"/>
      <w:bookmarkStart w:id="130" w:name="_Toc18254"/>
      <w:bookmarkStart w:id="131" w:name="_Toc6822"/>
      <w:bookmarkStart w:id="132" w:name="_Toc978"/>
      <w:r>
        <w:rPr>
          <w:rFonts w:hint="eastAsia" w:ascii="仿宋_GB2312" w:hAnsi="仿宋_GB2312" w:eastAsia="仿宋_GB2312" w:cs="仿宋_GB2312"/>
          <w:b/>
          <w:sz w:val="32"/>
          <w:szCs w:val="32"/>
          <w:highlight w:val="none"/>
        </w:rPr>
        <w:t>第三节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法律服务费</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2C5437A4">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133" w:name="_Toc28901538"/>
      <w:bookmarkStart w:id="134" w:name="_Toc21288"/>
      <w:bookmarkStart w:id="135" w:name="_Toc19868"/>
      <w:bookmarkStart w:id="136" w:name="_Toc2405"/>
      <w:bookmarkStart w:id="137" w:name="_Toc9776"/>
      <w:bookmarkStart w:id="138" w:name="_Toc7891"/>
      <w:bookmarkStart w:id="139" w:name="_Toc13302"/>
      <w:bookmarkStart w:id="140" w:name="_Toc2285"/>
      <w:bookmarkStart w:id="141" w:name="_Toc23323"/>
      <w:bookmarkStart w:id="142" w:name="_Toc31486"/>
      <w:bookmarkStart w:id="143" w:name="_Toc7239"/>
      <w:bookmarkStart w:id="144" w:name="_Toc5024"/>
      <w:bookmarkStart w:id="145" w:name="_Toc17237"/>
      <w:bookmarkStart w:id="146" w:name="_Toc502671315"/>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八</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法律服务费及付款方式</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6587D735">
      <w:pPr>
        <w:pStyle w:val="2"/>
        <w:keepNext w:val="0"/>
        <w:keepLines w:val="0"/>
        <w:pageBreakBefore w:val="0"/>
        <w:widowControl w:val="0"/>
        <w:kinsoku/>
        <w:wordWrap/>
        <w:overflowPunct/>
        <w:topLinePunct w:val="0"/>
        <w:autoSpaceDE/>
        <w:autoSpaceDN/>
        <w:bidi w:val="0"/>
        <w:spacing w:after="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本项目采取固定</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rPr>
        <w:t>价合同，</w:t>
      </w:r>
      <w:r>
        <w:rPr>
          <w:rFonts w:hint="eastAsia" w:ascii="仿宋_GB2312" w:hAnsi="仿宋_GB2312" w:eastAsia="仿宋_GB2312" w:cs="仿宋_GB2312"/>
          <w:sz w:val="28"/>
          <w:szCs w:val="28"/>
          <w:highlight w:val="none"/>
          <w:lang w:val="en-US" w:eastAsia="zh-CN"/>
        </w:rPr>
        <w:t>本项目</w:t>
      </w:r>
      <w:r>
        <w:rPr>
          <w:rFonts w:hint="eastAsia" w:ascii="仿宋_GB2312" w:hAnsi="仿宋_GB2312" w:eastAsia="仿宋_GB2312" w:cs="仿宋_GB2312"/>
          <w:sz w:val="28"/>
          <w:szCs w:val="28"/>
          <w:highlight w:val="none"/>
        </w:rPr>
        <w:t>法律服务含税合同</w:t>
      </w:r>
      <w:r>
        <w:rPr>
          <w:rFonts w:hint="eastAsia" w:ascii="仿宋_GB2312" w:hAnsi="仿宋_GB2312" w:eastAsia="仿宋_GB2312" w:cs="仿宋_GB2312"/>
          <w:sz w:val="28"/>
          <w:szCs w:val="28"/>
          <w:highlight w:val="none"/>
          <w:lang w:val="en-US" w:eastAsia="zh-CN"/>
        </w:rPr>
        <w:t>总</w:t>
      </w:r>
      <w:r>
        <w:rPr>
          <w:rFonts w:hint="eastAsia" w:ascii="仿宋_GB2312" w:hAnsi="仿宋_GB2312" w:eastAsia="仿宋_GB2312" w:cs="仿宋_GB2312"/>
          <w:sz w:val="28"/>
          <w:szCs w:val="28"/>
          <w:highlight w:val="none"/>
        </w:rPr>
        <w:t>价</w:t>
      </w:r>
      <w:r>
        <w:rPr>
          <w:rFonts w:hint="eastAsia" w:ascii="仿宋_GB2312" w:hAnsi="仿宋_GB2312" w:eastAsia="仿宋_GB2312" w:cs="仿宋_GB2312"/>
          <w:b/>
          <w:bCs/>
          <w:sz w:val="28"/>
          <w:szCs w:val="28"/>
          <w:highlight w:val="none"/>
          <w:u w:val="none"/>
        </w:rPr>
        <w:t>¥</w:t>
      </w:r>
      <w:r>
        <w:rPr>
          <w:rFonts w:hint="eastAsia" w:ascii="仿宋_GB2312" w:hAnsi="仿宋_GB2312" w:eastAsia="仿宋_GB2312" w:cs="仿宋_GB2312"/>
          <w:b/>
          <w:bCs/>
          <w:sz w:val="28"/>
          <w:szCs w:val="28"/>
          <w:highlight w:val="none"/>
          <w:u w:val="single"/>
          <w:lang w:val="en-US" w:eastAsia="zh-CN"/>
        </w:rPr>
        <w:t xml:space="preserve">      元（大写：人民币    ）</w:t>
      </w:r>
      <w:r>
        <w:rPr>
          <w:rFonts w:hint="eastAsia" w:ascii="仿宋_GB2312" w:hAnsi="仿宋_GB2312" w:eastAsia="仿宋_GB2312" w:cs="仿宋_GB2312"/>
          <w:sz w:val="28"/>
          <w:szCs w:val="28"/>
          <w:highlight w:val="none"/>
          <w:lang w:val="en-US" w:eastAsia="zh-CN"/>
        </w:rPr>
        <w:t>，含一切税、费。本合同总价包括乙方为实施本项目所需的车辆租赁费、服务和技术费用等为完成项目所有工作任务而投入的一切成本费用，为固定不变价格，且不随通货膨胀的影响而波动。乙方</w:t>
      </w:r>
      <w:r>
        <w:rPr>
          <w:rFonts w:hint="eastAsia" w:ascii="仿宋_GB2312" w:hAnsi="仿宋_GB2312" w:eastAsia="仿宋_GB2312" w:cs="仿宋_GB2312"/>
          <w:color w:val="000000"/>
          <w:kern w:val="0"/>
          <w:sz w:val="28"/>
          <w:szCs w:val="28"/>
          <w:highlight w:val="none"/>
          <w:lang w:val="en-US" w:eastAsia="zh-CN" w:bidi="ar"/>
        </w:rPr>
        <w:t>为甲方及母公司提供项目过程中涉及到的所有争议解决法律服务（包括起诉、应诉、提起反诉、仲裁、申请强制执行等全过程代理）</w:t>
      </w:r>
      <w:r>
        <w:rPr>
          <w:rFonts w:hint="eastAsia" w:ascii="仿宋_GB2312" w:hAnsi="仿宋_GB2312" w:eastAsia="仿宋_GB2312" w:cs="仿宋_GB2312"/>
          <w:sz w:val="28"/>
          <w:szCs w:val="28"/>
          <w:highlight w:val="none"/>
          <w:lang w:val="en-US" w:eastAsia="zh-CN"/>
        </w:rPr>
        <w:t>的费用已包含在本项目合同总价中，不再另行计取。如发生本合同规定的不可抗力，合同总价可经双方友好协商予以调整。</w:t>
      </w:r>
    </w:p>
    <w:p w14:paraId="215B227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1.法律服务费采用分期支付的方式，具体付款方式如下</w:t>
      </w:r>
      <w:r>
        <w:rPr>
          <w:rFonts w:hint="eastAsia" w:ascii="仿宋_GB2312" w:hAnsi="仿宋_GB2312" w:eastAsia="仿宋_GB2312" w:cs="仿宋_GB2312"/>
          <w:sz w:val="28"/>
          <w:szCs w:val="28"/>
          <w:highlight w:val="none"/>
        </w:rPr>
        <w:t xml:space="preserve">： </w:t>
      </w:r>
    </w:p>
    <w:p w14:paraId="3150754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Change w:id="0" w:author="11111" w:date="2025-01-16T09:36:38Z">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pPrChange>
      </w:pPr>
      <w:r>
        <w:rPr>
          <w:rFonts w:hint="eastAsia" w:ascii="仿宋_GB2312" w:hAnsi="仿宋_GB2312" w:eastAsia="仿宋_GB2312" w:cs="仿宋_GB2312"/>
          <w:sz w:val="28"/>
          <w:szCs w:val="28"/>
          <w:highlight w:val="none"/>
          <w:lang w:eastAsia="zh-CN"/>
        </w:rPr>
        <w:t>（1）项目启动签约后，支付合同价的30%；</w:t>
      </w:r>
    </w:p>
    <w:p w14:paraId="30504BC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Change w:id="1" w:author="11111" w:date="2025-01-16T09:36:38Z">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pPrChange>
      </w:pPr>
      <w:r>
        <w:rPr>
          <w:rFonts w:hint="eastAsia" w:ascii="仿宋_GB2312" w:hAnsi="仿宋_GB2312" w:eastAsia="仿宋_GB2312" w:cs="仿宋_GB2312"/>
          <w:sz w:val="28"/>
          <w:szCs w:val="28"/>
          <w:highlight w:val="none"/>
          <w:lang w:eastAsia="zh-CN"/>
        </w:rPr>
        <w:t>（2）项目补偿协议签约达90%后（以建筑面积为准），支付合同价的</w:t>
      </w:r>
      <w:r>
        <w:rPr>
          <w:rFonts w:hint="eastAsia" w:ascii="仿宋_GB2312" w:hAnsi="仿宋_GB2312" w:eastAsia="仿宋_GB2312" w:cs="仿宋_GB2312"/>
          <w:sz w:val="28"/>
          <w:szCs w:val="28"/>
          <w:highlight w:val="none"/>
          <w:lang w:val="en-US" w:eastAsia="zh-CN"/>
          <w:rPrChange w:id="2" w:author="11111" w:date="2025-01-16T09:36:38Z">
            <w:rPr>
              <w:rFonts w:hint="eastAsia" w:ascii="仿宋_GB2312" w:hAnsi="仿宋_GB2312" w:eastAsia="仿宋_GB2312" w:cs="仿宋_GB2312"/>
              <w:sz w:val="28"/>
              <w:szCs w:val="28"/>
              <w:highlight w:val="none"/>
              <w:lang w:val="en-US" w:eastAsia="zh-CN"/>
            </w:rPr>
          </w:rPrChange>
        </w:rPr>
        <w:t>3</w:t>
      </w:r>
      <w:r>
        <w:rPr>
          <w:rFonts w:hint="eastAsia" w:ascii="仿宋_GB2312" w:hAnsi="仿宋_GB2312" w:eastAsia="仿宋_GB2312" w:cs="仿宋_GB2312"/>
          <w:sz w:val="28"/>
          <w:szCs w:val="28"/>
          <w:highlight w:val="none"/>
          <w:lang w:eastAsia="zh-CN"/>
        </w:rPr>
        <w:t>0%；</w:t>
      </w:r>
    </w:p>
    <w:p w14:paraId="07C5672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Change w:id="3" w:author="11111" w:date="2025-01-16T09:36:38Z">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pPrChange>
      </w:pPr>
      <w:r>
        <w:rPr>
          <w:rFonts w:hint="eastAsia" w:ascii="仿宋_GB2312" w:hAnsi="仿宋_GB2312" w:eastAsia="仿宋_GB2312" w:cs="仿宋_GB2312"/>
          <w:sz w:val="28"/>
          <w:szCs w:val="28"/>
          <w:highlight w:val="none"/>
          <w:lang w:eastAsia="zh-CN"/>
        </w:rPr>
        <w:t>（3）项目补偿协议签约达100%后，支付合同价的10%；</w:t>
      </w:r>
    </w:p>
    <w:p w14:paraId="4F638EA3">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Change w:id="4" w:author="11111" w:date="2025-01-16T09:36:38Z">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pPr>
        </w:pPrChange>
      </w:pPr>
      <w:r>
        <w:rPr>
          <w:rFonts w:hint="eastAsia" w:ascii="仿宋_GB2312" w:hAnsi="仿宋_GB2312" w:eastAsia="仿宋_GB2312" w:cs="仿宋_GB2312"/>
          <w:sz w:val="28"/>
          <w:szCs w:val="28"/>
          <w:highlight w:val="none"/>
          <w:lang w:eastAsia="zh-CN"/>
        </w:rPr>
        <w:t>（4）项目房屋产权注销达100%后（以房屋产权证的个数为准），支付合同价的20%；</w:t>
      </w:r>
    </w:p>
    <w:p w14:paraId="76924E64">
      <w:pPr>
        <w:spacing w:line="560" w:lineRule="exact"/>
        <w:ind w:firstLine="56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（5）剩余款项，完成回迁安置方案审核和签订全部土地出让合同，结算完成后，支付至</w:t>
      </w:r>
      <w:bookmarkStart w:id="314" w:name="_GoBack"/>
      <w:r>
        <w:rPr>
          <w:rFonts w:hint="eastAsia" w:ascii="仿宋_GB2312" w:hAnsi="仿宋_GB2312" w:eastAsia="仿宋_GB2312" w:cs="仿宋_GB2312"/>
          <w:sz w:val="28"/>
          <w:szCs w:val="28"/>
          <w:highlight w:val="none"/>
          <w:lang w:eastAsia="zh-CN"/>
        </w:rPr>
        <w:t>结算价的100%。</w:t>
      </w:r>
    </w:p>
    <w:p w14:paraId="440AF06D">
      <w:pPr>
        <w:spacing w:line="560" w:lineRule="exact"/>
        <w:ind w:firstLine="56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Change w:id="5" w:author="11111" w:date="2025-01-16T09:36:38Z">
            <w:rPr>
              <w:rFonts w:hint="eastAsia" w:ascii="仿宋_GB2312" w:hAnsi="仿宋_GB2312" w:eastAsia="仿宋_GB2312" w:cs="仿宋_GB2312"/>
              <w:sz w:val="28"/>
              <w:szCs w:val="28"/>
              <w:highlight w:val="none"/>
              <w:lang w:val="en-US" w:eastAsia="zh-CN"/>
            </w:rPr>
          </w:rPrChange>
        </w:rPr>
        <w:t>6</w:t>
      </w:r>
      <w:r>
        <w:rPr>
          <w:rFonts w:hint="eastAsia" w:ascii="仿宋_GB2312" w:hAnsi="仿宋_GB2312" w:eastAsia="仿宋_GB2312" w:cs="仿宋_GB2312"/>
          <w:sz w:val="28"/>
          <w:szCs w:val="28"/>
          <w:highlight w:val="none"/>
          <w:lang w:eastAsia="zh-CN"/>
        </w:rPr>
        <w:t>）甲方支付每期</w:t>
      </w:r>
      <w:r>
        <w:rPr>
          <w:rFonts w:hint="eastAsia" w:ascii="仿宋_GB2312" w:hAnsi="仿宋_GB2312" w:eastAsia="仿宋_GB2312" w:cs="仿宋_GB2312"/>
          <w:sz w:val="28"/>
          <w:szCs w:val="28"/>
          <w:highlight w:val="none"/>
          <w:lang w:val="en-US" w:eastAsia="zh-CN"/>
          <w:rPrChange w:id="6" w:author="11111" w:date="2025-01-16T09:36:38Z">
            <w:rPr>
              <w:rFonts w:hint="eastAsia" w:ascii="仿宋_GB2312" w:hAnsi="仿宋_GB2312" w:eastAsia="仿宋_GB2312" w:cs="仿宋_GB2312"/>
              <w:sz w:val="28"/>
              <w:szCs w:val="28"/>
              <w:highlight w:val="none"/>
              <w:lang w:val="en-US" w:eastAsia="zh-CN"/>
            </w:rPr>
          </w:rPrChange>
        </w:rPr>
        <w:t>支付</w:t>
      </w:r>
      <w:r>
        <w:rPr>
          <w:rFonts w:hint="eastAsia" w:ascii="仿宋_GB2312" w:hAnsi="仿宋_GB2312" w:eastAsia="仿宋_GB2312" w:cs="仿宋_GB2312"/>
          <w:sz w:val="28"/>
          <w:szCs w:val="28"/>
          <w:highlight w:val="none"/>
          <w:lang w:eastAsia="zh-CN"/>
        </w:rPr>
        <w:t>款项前，乙方须按照合同约定履行完相应义</w:t>
      </w:r>
      <w:bookmarkEnd w:id="314"/>
      <w:r>
        <w:rPr>
          <w:rFonts w:hint="eastAsia" w:ascii="仿宋_GB2312" w:hAnsi="仿宋_GB2312" w:eastAsia="仿宋_GB2312" w:cs="仿宋_GB2312"/>
          <w:sz w:val="28"/>
          <w:szCs w:val="28"/>
          <w:highlight w:val="none"/>
          <w:lang w:eastAsia="zh-CN"/>
        </w:rPr>
        <w:t>务并经甲方验收合格。甲方支付费用前，乙方需向甲方提供等额的增值税专用发票，否则甲方有权拒绝付款，且不承担任何法律责任。</w:t>
      </w:r>
    </w:p>
    <w:p w14:paraId="6CDC3C76">
      <w:pPr>
        <w:spacing w:line="560" w:lineRule="exact"/>
        <w:ind w:firstLine="56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乙方保证其提供的银行账号真实、合法、有效，甲方向乙方指定的银行账号转入款项后即视为甲方履行完毕付款义务，支付方式包括但不限于银行转账、银行承兑汇票、商业承兑汇票等形式。若甲方以银行承兑汇票、商业承兑汇票等票据形式（票据期限不超过三个月）向乙方支付工程款时，因票据贴现产生的利息，由乙方承担。乙方开户银行、账号等如有变更，应在当期工程款申请时同步以书面方式通知甲方。如乙方未按合同约定及时通知甲方，由此导致的不利后果及损失均由乙方承担，给甲方造成经济损失的需予以赔偿。</w:t>
      </w:r>
    </w:p>
    <w:p w14:paraId="1A30778A">
      <w:pPr>
        <w:spacing w:line="560" w:lineRule="exact"/>
        <w:ind w:firstLine="560" w:firstLineChars="2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eastAsia="zh-CN"/>
        </w:rPr>
        <w:t>）因包括政策法规、疫情等在内的所有不可抗力或本项目最终没有启动等原因致使合同无法履行，本合同由双方协商解约，双方各自承担己方损失，不得索赔。</w:t>
      </w:r>
    </w:p>
    <w:bookmarkEnd w:id="146"/>
    <w:p w14:paraId="29A235CE">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bookmarkStart w:id="147" w:name="_Toc502671316"/>
      <w:r>
        <w:rPr>
          <w:rFonts w:hint="eastAsia" w:ascii="仿宋_GB2312" w:hAnsi="仿宋_GB2312" w:eastAsia="仿宋_GB2312" w:cs="仿宋_GB2312"/>
          <w:sz w:val="28"/>
          <w:szCs w:val="28"/>
          <w:highlight w:val="none"/>
          <w:lang w:val="en-US" w:eastAsia="zh-CN"/>
        </w:rPr>
        <w:t>2.乙方提供以下银行账户：</w:t>
      </w:r>
    </w:p>
    <w:p w14:paraId="59276AA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Hans"/>
        </w:rPr>
      </w:pPr>
      <w:r>
        <w:rPr>
          <w:rFonts w:hint="eastAsia" w:ascii="仿宋_GB2312" w:hAnsi="仿宋_GB2312" w:eastAsia="仿宋_GB2312" w:cs="仿宋_GB2312"/>
          <w:sz w:val="28"/>
          <w:szCs w:val="28"/>
          <w:highlight w:val="none"/>
          <w:lang w:val="en-GB"/>
        </w:rPr>
        <w:t xml:space="preserve">户名： </w:t>
      </w:r>
      <w:r>
        <w:rPr>
          <w:rFonts w:hint="eastAsia" w:ascii="仿宋_GB2312" w:hAnsi="仿宋_GB2312" w:eastAsia="仿宋_GB2312" w:cs="仿宋_GB2312"/>
          <w:sz w:val="28"/>
          <w:szCs w:val="28"/>
          <w:highlight w:val="none"/>
          <w:lang w:val="en-US" w:eastAsia="zh-CN"/>
        </w:rPr>
        <w:t>XXX律师事务所</w:t>
      </w:r>
    </w:p>
    <w:p w14:paraId="7852776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sz w:val="28"/>
          <w:szCs w:val="28"/>
          <w:highlight w:val="none"/>
          <w:lang w:val="en-GB"/>
        </w:rPr>
        <w:t>纳税识别号：</w:t>
      </w:r>
      <w:r>
        <w:rPr>
          <w:rFonts w:hint="eastAsia" w:ascii="仿宋_GB2312" w:hAnsi="仿宋_GB2312" w:eastAsia="仿宋_GB2312" w:cs="仿宋_GB2312"/>
          <w:sz w:val="28"/>
          <w:szCs w:val="28"/>
          <w:highlight w:val="none"/>
          <w:lang w:val="en-US" w:eastAsia="zh-CN"/>
        </w:rPr>
        <w:t xml:space="preserve">  </w:t>
      </w:r>
    </w:p>
    <w:p w14:paraId="55A9F46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开户</w:t>
      </w:r>
      <w:r>
        <w:rPr>
          <w:rFonts w:hint="eastAsia" w:ascii="仿宋_GB2312" w:hAnsi="仿宋_GB2312" w:eastAsia="仿宋_GB2312" w:cs="仿宋_GB2312"/>
          <w:sz w:val="28"/>
          <w:szCs w:val="28"/>
          <w:highlight w:val="none"/>
          <w:lang w:val="en-GB"/>
        </w:rPr>
        <w:t>行：</w:t>
      </w:r>
      <w:r>
        <w:rPr>
          <w:rFonts w:hint="eastAsia" w:ascii="仿宋_GB2312" w:hAnsi="仿宋_GB2312" w:eastAsia="仿宋_GB2312" w:cs="仿宋_GB2312"/>
          <w:sz w:val="28"/>
          <w:szCs w:val="28"/>
          <w:highlight w:val="none"/>
          <w:lang w:val="en-US" w:eastAsia="zh-CN"/>
        </w:rPr>
        <w:t xml:space="preserve"> </w:t>
      </w:r>
    </w:p>
    <w:p w14:paraId="17AA691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rPr>
        <w:t>账号：</w:t>
      </w:r>
      <w:r>
        <w:rPr>
          <w:rFonts w:hint="eastAsia" w:ascii="仿宋_GB2312" w:hAnsi="仿宋_GB2312" w:eastAsia="仿宋_GB2312" w:cs="仿宋_GB2312"/>
          <w:sz w:val="28"/>
          <w:szCs w:val="28"/>
          <w:highlight w:val="none"/>
          <w:lang w:val="en-US" w:eastAsia="zh-CN"/>
        </w:rPr>
        <w:t xml:space="preserve"> </w:t>
      </w:r>
    </w:p>
    <w:p w14:paraId="6645E8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乙方变更收款账户，应提前十五日书面通知甲方，乙方未及时通知，因账户引起的损失及责任由乙方自行承担。</w:t>
      </w:r>
    </w:p>
    <w:p w14:paraId="11D57F5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br w:type="page"/>
      </w:r>
    </w:p>
    <w:p w14:paraId="52438962">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en-GB"/>
        </w:rPr>
        <w:t>甲方一般纳税人增值税专用发票开票信息如下：</w:t>
      </w:r>
    </w:p>
    <w:tbl>
      <w:tblPr>
        <w:tblStyle w:val="27"/>
        <w:tblW w:w="0" w:type="auto"/>
        <w:tblInd w:w="245" w:type="dxa"/>
        <w:tblLayout w:type="fixed"/>
        <w:tblCellMar>
          <w:top w:w="0" w:type="dxa"/>
          <w:left w:w="108" w:type="dxa"/>
          <w:bottom w:w="0" w:type="dxa"/>
          <w:right w:w="108" w:type="dxa"/>
        </w:tblCellMar>
      </w:tblPr>
      <w:tblGrid>
        <w:gridCol w:w="1775"/>
        <w:gridCol w:w="6704"/>
      </w:tblGrid>
      <w:tr w14:paraId="4467A944">
        <w:tblPrEx>
          <w:tblCellMar>
            <w:top w:w="0" w:type="dxa"/>
            <w:left w:w="108" w:type="dxa"/>
            <w:bottom w:w="0" w:type="dxa"/>
            <w:right w:w="108" w:type="dxa"/>
          </w:tblCellMar>
        </w:tblPrEx>
        <w:trPr>
          <w:trHeight w:val="453" w:hRule="atLeast"/>
        </w:trPr>
        <w:tc>
          <w:tcPr>
            <w:tcW w:w="1775" w:type="dxa"/>
            <w:tcBorders>
              <w:top w:val="single" w:color="auto" w:sz="4" w:space="0"/>
              <w:left w:val="single" w:color="auto" w:sz="4" w:space="0"/>
              <w:bottom w:val="single" w:color="auto" w:sz="4" w:space="0"/>
              <w:right w:val="single" w:color="auto" w:sz="4" w:space="0"/>
            </w:tcBorders>
            <w:noWrap/>
            <w:vAlign w:val="center"/>
          </w:tcPr>
          <w:p w14:paraId="6F1D02AD">
            <w:pPr>
              <w:spacing w:line="560" w:lineRule="exact"/>
              <w:ind w:firstLine="420" w:firstLineChars="1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公司名称</w:t>
            </w:r>
          </w:p>
        </w:tc>
        <w:tc>
          <w:tcPr>
            <w:tcW w:w="6704" w:type="dxa"/>
            <w:tcBorders>
              <w:top w:val="single" w:color="auto" w:sz="4" w:space="0"/>
              <w:left w:val="nil"/>
              <w:bottom w:val="single" w:color="auto" w:sz="4" w:space="0"/>
              <w:right w:val="single" w:color="auto" w:sz="4" w:space="0"/>
            </w:tcBorders>
            <w:noWrap/>
            <w:vAlign w:val="center"/>
          </w:tcPr>
          <w:p w14:paraId="6642A2F7">
            <w:pPr>
              <w:numPr>
                <w:ilvl w:val="0"/>
                <w:numId w:val="0"/>
              </w:numPr>
              <w:adjustRightInd w:val="0"/>
              <w:snapToGrid w:val="0"/>
              <w:spacing w:line="560" w:lineRule="exact"/>
              <w:ind w:left="0" w:leftChars="0" w:firstLine="0" w:firstLineChars="0"/>
              <w:outlineLvl w:val="2"/>
              <w:rPr>
                <w:rFonts w:hint="eastAsia" w:ascii="仿宋_GB2312" w:hAnsi="仿宋_GB2312" w:eastAsia="仿宋_GB2312" w:cs="仿宋_GB2312"/>
                <w:sz w:val="28"/>
                <w:szCs w:val="28"/>
                <w:highlight w:val="none"/>
                <w:lang w:val="en-GB" w:eastAsia="zh-CN"/>
              </w:rPr>
            </w:pPr>
            <w:r>
              <w:rPr>
                <w:rFonts w:hint="eastAsia" w:ascii="仿宋_GB2312" w:hAnsi="仿宋_GB2312" w:eastAsia="仿宋_GB2312" w:cs="仿宋_GB2312"/>
                <w:sz w:val="28"/>
                <w:szCs w:val="28"/>
                <w:highlight w:val="none"/>
                <w:lang w:val="en-GB" w:eastAsia="zh-CN"/>
              </w:rPr>
              <w:t>深圳市新龙观投资发展有限公司</w:t>
            </w:r>
          </w:p>
        </w:tc>
      </w:tr>
      <w:tr w14:paraId="1D413B25">
        <w:tblPrEx>
          <w:tblCellMar>
            <w:top w:w="0" w:type="dxa"/>
            <w:left w:w="108" w:type="dxa"/>
            <w:bottom w:w="0" w:type="dxa"/>
            <w:right w:w="108" w:type="dxa"/>
          </w:tblCellMar>
        </w:tblPrEx>
        <w:trPr>
          <w:trHeight w:val="427" w:hRule="atLeast"/>
        </w:trPr>
        <w:tc>
          <w:tcPr>
            <w:tcW w:w="1775" w:type="dxa"/>
            <w:tcBorders>
              <w:top w:val="nil"/>
              <w:left w:val="single" w:color="auto" w:sz="4" w:space="0"/>
              <w:bottom w:val="single" w:color="auto" w:sz="4" w:space="0"/>
              <w:right w:val="single" w:color="auto" w:sz="4" w:space="0"/>
            </w:tcBorders>
            <w:noWrap/>
            <w:vAlign w:val="center"/>
          </w:tcPr>
          <w:p w14:paraId="268C79DC">
            <w:pPr>
              <w:spacing w:line="560" w:lineRule="exact"/>
              <w:ind w:firstLine="0"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纳税识别号</w:t>
            </w:r>
          </w:p>
        </w:tc>
        <w:tc>
          <w:tcPr>
            <w:tcW w:w="6704" w:type="dxa"/>
            <w:tcBorders>
              <w:top w:val="nil"/>
              <w:left w:val="nil"/>
              <w:bottom w:val="single" w:color="auto" w:sz="4" w:space="0"/>
              <w:right w:val="single" w:color="auto" w:sz="4" w:space="0"/>
            </w:tcBorders>
            <w:noWrap/>
            <w:vAlign w:val="center"/>
          </w:tcPr>
          <w:p w14:paraId="3F821E8F">
            <w:pPr>
              <w:numPr>
                <w:ilvl w:val="0"/>
                <w:numId w:val="0"/>
              </w:numPr>
              <w:adjustRightInd w:val="0"/>
              <w:snapToGrid w:val="0"/>
              <w:spacing w:line="560" w:lineRule="exact"/>
              <w:ind w:left="0" w:leftChars="0" w:firstLine="0" w:firstLineChars="0"/>
              <w:outlineLvl w:val="2"/>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color w:val="333333"/>
                <w:sz w:val="28"/>
                <w:szCs w:val="28"/>
                <w:highlight w:val="none"/>
                <w:lang w:val="en-GB"/>
              </w:rPr>
              <w:t>91440300MA5H3J8A2K</w:t>
            </w:r>
          </w:p>
        </w:tc>
      </w:tr>
      <w:tr w14:paraId="41119CE9">
        <w:tblPrEx>
          <w:tblCellMar>
            <w:top w:w="0" w:type="dxa"/>
            <w:left w:w="108" w:type="dxa"/>
            <w:bottom w:w="0" w:type="dxa"/>
            <w:right w:w="108" w:type="dxa"/>
          </w:tblCellMar>
        </w:tblPrEx>
        <w:trPr>
          <w:trHeight w:val="433" w:hRule="atLeast"/>
        </w:trPr>
        <w:tc>
          <w:tcPr>
            <w:tcW w:w="1775" w:type="dxa"/>
            <w:tcBorders>
              <w:top w:val="nil"/>
              <w:left w:val="single" w:color="auto" w:sz="4" w:space="0"/>
              <w:bottom w:val="single" w:color="auto" w:sz="4" w:space="0"/>
              <w:right w:val="single" w:color="auto" w:sz="4" w:space="0"/>
            </w:tcBorders>
            <w:noWrap/>
            <w:vAlign w:val="center"/>
          </w:tcPr>
          <w:p w14:paraId="52519C7A">
            <w:pPr>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w:t>
            </w:r>
          </w:p>
        </w:tc>
        <w:tc>
          <w:tcPr>
            <w:tcW w:w="6704" w:type="dxa"/>
            <w:tcBorders>
              <w:top w:val="nil"/>
              <w:left w:val="nil"/>
              <w:bottom w:val="single" w:color="auto" w:sz="4" w:space="0"/>
              <w:right w:val="single" w:color="auto" w:sz="4" w:space="0"/>
            </w:tcBorders>
            <w:noWrap/>
            <w:vAlign w:val="center"/>
          </w:tcPr>
          <w:p w14:paraId="0B6C5E41">
            <w:pPr>
              <w:numPr>
                <w:ilvl w:val="0"/>
                <w:numId w:val="0"/>
              </w:numPr>
              <w:adjustRightInd w:val="0"/>
              <w:snapToGrid w:val="0"/>
              <w:spacing w:line="240" w:lineRule="auto"/>
              <w:ind w:left="0" w:leftChars="0" w:firstLine="0" w:firstLineChars="0"/>
              <w:outlineLvl w:val="2"/>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color w:val="333333"/>
                <w:sz w:val="28"/>
                <w:szCs w:val="28"/>
                <w:highlight w:val="none"/>
                <w:lang w:val="en-GB"/>
              </w:rPr>
              <w:t>深圳市龙华区观湖街道鹭湖社区观盛三路10号龙馨家园A栋2101</w:t>
            </w:r>
          </w:p>
        </w:tc>
      </w:tr>
      <w:tr w14:paraId="0709EE15">
        <w:tblPrEx>
          <w:tblCellMar>
            <w:top w:w="0" w:type="dxa"/>
            <w:left w:w="108" w:type="dxa"/>
            <w:bottom w:w="0" w:type="dxa"/>
            <w:right w:w="108" w:type="dxa"/>
          </w:tblCellMar>
        </w:tblPrEx>
        <w:trPr>
          <w:trHeight w:val="419" w:hRule="atLeast"/>
        </w:trPr>
        <w:tc>
          <w:tcPr>
            <w:tcW w:w="1775" w:type="dxa"/>
            <w:tcBorders>
              <w:top w:val="nil"/>
              <w:left w:val="single" w:color="auto" w:sz="4" w:space="0"/>
              <w:bottom w:val="single" w:color="auto" w:sz="4" w:space="0"/>
              <w:right w:val="single" w:color="auto" w:sz="4" w:space="0"/>
            </w:tcBorders>
            <w:noWrap/>
            <w:vAlign w:val="center"/>
          </w:tcPr>
          <w:p w14:paraId="713F4286">
            <w:pPr>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电话</w:t>
            </w:r>
          </w:p>
        </w:tc>
        <w:tc>
          <w:tcPr>
            <w:tcW w:w="6704" w:type="dxa"/>
            <w:tcBorders>
              <w:top w:val="nil"/>
              <w:left w:val="nil"/>
              <w:bottom w:val="single" w:color="auto" w:sz="4" w:space="0"/>
              <w:right w:val="single" w:color="auto" w:sz="4" w:space="0"/>
            </w:tcBorders>
            <w:noWrap/>
            <w:vAlign w:val="center"/>
          </w:tcPr>
          <w:p w14:paraId="2BA8BA0D">
            <w:pPr>
              <w:numPr>
                <w:ilvl w:val="0"/>
                <w:numId w:val="0"/>
              </w:numPr>
              <w:adjustRightInd w:val="0"/>
              <w:snapToGrid w:val="0"/>
              <w:spacing w:line="560" w:lineRule="exact"/>
              <w:ind w:left="0" w:leftChars="0" w:firstLine="0" w:firstLineChars="0"/>
              <w:outlineLvl w:val="2"/>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0755-29809916</w:t>
            </w:r>
          </w:p>
        </w:tc>
      </w:tr>
      <w:tr w14:paraId="0FB0A659">
        <w:tblPrEx>
          <w:tblCellMar>
            <w:top w:w="0" w:type="dxa"/>
            <w:left w:w="108" w:type="dxa"/>
            <w:bottom w:w="0" w:type="dxa"/>
            <w:right w:w="108" w:type="dxa"/>
          </w:tblCellMar>
        </w:tblPrEx>
        <w:trPr>
          <w:trHeight w:val="435" w:hRule="atLeast"/>
        </w:trPr>
        <w:tc>
          <w:tcPr>
            <w:tcW w:w="1775" w:type="dxa"/>
            <w:tcBorders>
              <w:top w:val="nil"/>
              <w:left w:val="single" w:color="auto" w:sz="4" w:space="0"/>
              <w:bottom w:val="single" w:color="auto" w:sz="4" w:space="0"/>
              <w:right w:val="single" w:color="auto" w:sz="4" w:space="0"/>
            </w:tcBorders>
            <w:noWrap/>
            <w:vAlign w:val="center"/>
          </w:tcPr>
          <w:p w14:paraId="2706CFA0">
            <w:pPr>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p>
        </w:tc>
        <w:tc>
          <w:tcPr>
            <w:tcW w:w="6704" w:type="dxa"/>
            <w:tcBorders>
              <w:top w:val="nil"/>
              <w:left w:val="nil"/>
              <w:bottom w:val="single" w:color="auto" w:sz="4" w:space="0"/>
              <w:right w:val="single" w:color="auto" w:sz="4" w:space="0"/>
            </w:tcBorders>
            <w:noWrap/>
            <w:vAlign w:val="center"/>
          </w:tcPr>
          <w:p w14:paraId="553D2A78">
            <w:pPr>
              <w:spacing w:line="560" w:lineRule="exact"/>
              <w:ind w:firstLine="480"/>
              <w:rPr>
                <w:rFonts w:hint="eastAsia" w:ascii="仿宋_GB2312" w:hAnsi="仿宋_GB2312" w:eastAsia="仿宋_GB2312" w:cs="仿宋_GB2312"/>
                <w:sz w:val="28"/>
                <w:szCs w:val="28"/>
                <w:highlight w:val="none"/>
              </w:rPr>
            </w:pPr>
          </w:p>
        </w:tc>
      </w:tr>
      <w:tr w14:paraId="7AEF35BA">
        <w:tblPrEx>
          <w:tblCellMar>
            <w:top w:w="0" w:type="dxa"/>
            <w:left w:w="108" w:type="dxa"/>
            <w:bottom w:w="0" w:type="dxa"/>
            <w:right w:w="108" w:type="dxa"/>
          </w:tblCellMar>
        </w:tblPrEx>
        <w:trPr>
          <w:trHeight w:val="438" w:hRule="atLeast"/>
        </w:trPr>
        <w:tc>
          <w:tcPr>
            <w:tcW w:w="1775" w:type="dxa"/>
            <w:tcBorders>
              <w:top w:val="nil"/>
              <w:left w:val="single" w:color="auto" w:sz="4" w:space="0"/>
              <w:bottom w:val="single" w:color="auto" w:sz="4" w:space="0"/>
              <w:right w:val="single" w:color="auto" w:sz="4" w:space="0"/>
            </w:tcBorders>
            <w:noWrap/>
            <w:vAlign w:val="center"/>
          </w:tcPr>
          <w:p w14:paraId="0A59C93E">
            <w:pPr>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账号</w:t>
            </w:r>
          </w:p>
        </w:tc>
        <w:tc>
          <w:tcPr>
            <w:tcW w:w="6704" w:type="dxa"/>
            <w:tcBorders>
              <w:top w:val="nil"/>
              <w:left w:val="nil"/>
              <w:bottom w:val="single" w:color="auto" w:sz="4" w:space="0"/>
              <w:right w:val="single" w:color="auto" w:sz="4" w:space="0"/>
            </w:tcBorders>
            <w:noWrap/>
            <w:vAlign w:val="center"/>
          </w:tcPr>
          <w:p w14:paraId="3D26E4A2">
            <w:pPr>
              <w:spacing w:line="560" w:lineRule="exact"/>
              <w:ind w:firstLine="480"/>
              <w:rPr>
                <w:rFonts w:hint="eastAsia" w:ascii="仿宋_GB2312" w:hAnsi="仿宋_GB2312" w:eastAsia="仿宋_GB2312" w:cs="仿宋_GB2312"/>
                <w:sz w:val="28"/>
                <w:szCs w:val="28"/>
                <w:highlight w:val="none"/>
              </w:rPr>
            </w:pPr>
          </w:p>
        </w:tc>
      </w:tr>
      <w:bookmarkEnd w:id="147"/>
    </w:tbl>
    <w:p w14:paraId="4C24F35B">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仿宋_GB2312" w:hAnsi="仿宋_GB2312" w:eastAsia="仿宋_GB2312" w:cs="仿宋_GB2312"/>
          <w:b/>
          <w:sz w:val="32"/>
          <w:szCs w:val="32"/>
          <w:highlight w:val="none"/>
          <w:lang w:val="en-US" w:eastAsia="zh-CN"/>
        </w:rPr>
      </w:pPr>
      <w:bookmarkStart w:id="148" w:name="_Toc5567"/>
      <w:bookmarkStart w:id="149" w:name="_Toc23358"/>
      <w:bookmarkStart w:id="150" w:name="_Toc2733"/>
      <w:bookmarkStart w:id="151" w:name="_Toc23201"/>
      <w:bookmarkStart w:id="152" w:name="_Toc25347"/>
      <w:bookmarkStart w:id="153" w:name="_Toc32069"/>
      <w:bookmarkStart w:id="154" w:name="_Toc17000"/>
      <w:bookmarkStart w:id="155" w:name="_Toc32465"/>
      <w:bookmarkStart w:id="156" w:name="_Toc2745"/>
      <w:bookmarkStart w:id="157" w:name="_Toc28901540"/>
      <w:bookmarkStart w:id="158" w:name="_Toc16362"/>
      <w:bookmarkStart w:id="159" w:name="_Toc6291"/>
    </w:p>
    <w:p w14:paraId="73CB9B4C">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第四节  保密要求</w:t>
      </w:r>
    </w:p>
    <w:p w14:paraId="623D88C8">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第九条  保密要求</w:t>
      </w:r>
    </w:p>
    <w:p w14:paraId="303775A7">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由甲方收集的、开发的、整理的、复制的、研究的和准备的与本合同项下工作有关的所有资料在提供给乙方及乙方参加项目的有关人员时，均被视为保密的，未经甲方同意，不得泄漏给除甲方或其指定的代表之外的任何人、企业或公司，不管本合同因何种原因终止，本条款一直约束乙方及乙方参加项目的有关人员。</w:t>
      </w:r>
    </w:p>
    <w:p w14:paraId="020A53A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279" w:leftChars="133" w:firstLine="280" w:firstLineChars="1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2、乙方及乙方参加项目的有关人员在履行合同过程中所获得或接触</w:t>
      </w:r>
    </w:p>
    <w:p w14:paraId="3753B1F0">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0" w:firstLineChars="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到的任何内部数据资料，未经甲方同意，不得向第三方透露。</w:t>
      </w:r>
    </w:p>
    <w:p w14:paraId="6BDF216A">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3、乙方及乙方参加项目的有关人员实施项目的一切程序都应符合国家安全、保密的有关规定和标准。</w:t>
      </w:r>
    </w:p>
    <w:p w14:paraId="0B5C5948">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val="en-US" w:eastAsia="zh-CN"/>
        </w:rPr>
        <w:t>五</w:t>
      </w:r>
      <w:r>
        <w:rPr>
          <w:rFonts w:hint="eastAsia" w:ascii="仿宋_GB2312" w:hAnsi="仿宋_GB2312" w:eastAsia="仿宋_GB2312" w:cs="仿宋_GB2312"/>
          <w:b/>
          <w:sz w:val="32"/>
          <w:szCs w:val="32"/>
          <w:highlight w:val="none"/>
        </w:rPr>
        <w:t>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违约责任</w:t>
      </w:r>
      <w:bookmarkEnd w:id="148"/>
      <w:bookmarkEnd w:id="149"/>
      <w:bookmarkEnd w:id="150"/>
      <w:bookmarkEnd w:id="151"/>
      <w:bookmarkEnd w:id="152"/>
      <w:bookmarkEnd w:id="153"/>
      <w:bookmarkEnd w:id="154"/>
      <w:bookmarkEnd w:id="155"/>
      <w:bookmarkEnd w:id="156"/>
      <w:bookmarkEnd w:id="157"/>
      <w:bookmarkEnd w:id="158"/>
      <w:bookmarkEnd w:id="159"/>
    </w:p>
    <w:p w14:paraId="55582C81">
      <w:pPr>
        <w:adjustRightInd w:val="0"/>
        <w:snapToGrid w:val="0"/>
        <w:spacing w:line="560" w:lineRule="exact"/>
        <w:ind w:firstLine="482"/>
        <w:outlineLvl w:val="2"/>
        <w:rPr>
          <w:rFonts w:hint="eastAsia" w:ascii="仿宋_GB2312" w:hAnsi="仿宋_GB2312" w:eastAsia="仿宋_GB2312" w:cs="仿宋_GB2312"/>
          <w:sz w:val="28"/>
          <w:szCs w:val="28"/>
          <w:highlight w:val="none"/>
          <w:lang w:val="en-GB"/>
        </w:rPr>
      </w:pPr>
      <w:bookmarkStart w:id="160" w:name="_Toc502671317"/>
      <w:bookmarkStart w:id="161" w:name="_Toc24670"/>
      <w:bookmarkStart w:id="162" w:name="_Toc10092"/>
      <w:bookmarkStart w:id="163" w:name="_Toc14492"/>
      <w:bookmarkStart w:id="164" w:name="_Toc307"/>
      <w:bookmarkStart w:id="165" w:name="_Toc667"/>
      <w:bookmarkStart w:id="166" w:name="_Toc21173"/>
      <w:bookmarkStart w:id="167" w:name="_Toc31772"/>
      <w:bookmarkStart w:id="168" w:name="_Toc18161"/>
      <w:bookmarkStart w:id="169" w:name="_Toc28901541"/>
      <w:bookmarkStart w:id="170" w:name="_Toc14185"/>
      <w:bookmarkStart w:id="171" w:name="_Toc3385"/>
      <w:bookmarkStart w:id="172" w:name="_Toc31591"/>
      <w:bookmarkStart w:id="173" w:name="_Toc15729"/>
      <w:r>
        <w:rPr>
          <w:rFonts w:hint="eastAsia" w:ascii="仿宋_GB2312" w:hAnsi="仿宋_GB2312" w:eastAsia="仿宋_GB2312" w:cs="仿宋_GB2312"/>
          <w:b/>
          <w:sz w:val="28"/>
          <w:szCs w:val="28"/>
          <w:highlight w:val="none"/>
        </w:rPr>
        <w:t>第十条</w:t>
      </w:r>
      <w:bookmarkEnd w:id="160"/>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甲方无正当理由不支付法律服务费，或者无故终止合同，乙方有权要求甲方支付乙方已提供的法律服务的相应费用，费用支付完毕后，双方法律关系立即终结。</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425E41FB">
      <w:pPr>
        <w:adjustRightInd w:val="0"/>
        <w:snapToGrid w:val="0"/>
        <w:spacing w:line="560" w:lineRule="exact"/>
        <w:ind w:firstLine="482"/>
        <w:outlineLvl w:val="2"/>
        <w:rPr>
          <w:rFonts w:hint="eastAsia" w:ascii="仿宋_GB2312" w:hAnsi="仿宋_GB2312" w:eastAsia="仿宋_GB2312" w:cs="仿宋_GB2312"/>
          <w:sz w:val="28"/>
          <w:szCs w:val="28"/>
          <w:highlight w:val="none"/>
          <w:lang w:val="en-GB"/>
        </w:rPr>
      </w:pPr>
      <w:bookmarkStart w:id="174" w:name="_Toc502671319"/>
      <w:bookmarkStart w:id="175" w:name="_Toc19262"/>
      <w:bookmarkStart w:id="176" w:name="_Toc30051"/>
      <w:bookmarkStart w:id="177" w:name="_Toc18232"/>
      <w:bookmarkStart w:id="178" w:name="_Toc28901542"/>
      <w:r>
        <w:rPr>
          <w:rFonts w:hint="eastAsia" w:ascii="仿宋_GB2312" w:hAnsi="仿宋_GB2312" w:eastAsia="仿宋_GB2312" w:cs="仿宋_GB2312"/>
          <w:b/>
          <w:bCs/>
          <w:sz w:val="28"/>
          <w:szCs w:val="28"/>
          <w:highlight w:val="none"/>
          <w:lang w:val="en-US"/>
        </w:rPr>
        <w:t>第十</w:t>
      </w: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sz w:val="28"/>
          <w:szCs w:val="28"/>
          <w:highlight w:val="none"/>
          <w:lang w:val="en-US"/>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乙方无正当理由不提供本合同规定的法律服务或者提供法律服务不符合双方约定，或者乙方违反本合同规定的义务，甲方有权要求乙方退还部分或者全部已付的服务费。</w:t>
      </w:r>
      <w:bookmarkEnd w:id="174"/>
      <w:bookmarkEnd w:id="175"/>
      <w:bookmarkEnd w:id="176"/>
      <w:bookmarkEnd w:id="177"/>
      <w:bookmarkEnd w:id="178"/>
    </w:p>
    <w:p w14:paraId="2F9320FE">
      <w:pPr>
        <w:keepNext w:val="0"/>
        <w:keepLines w:val="0"/>
        <w:pageBreakBefore w:val="0"/>
        <w:widowControl/>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val="en-US" w:eastAsia="zh-CN"/>
        </w:rPr>
        <w:t>二</w:t>
      </w:r>
      <w:r>
        <w:rPr>
          <w:rFonts w:hint="eastAsia" w:ascii="仿宋_GB2312" w:hAnsi="仿宋_GB2312" w:eastAsia="仿宋_GB2312" w:cs="仿宋_GB2312"/>
          <w:b/>
          <w:sz w:val="28"/>
          <w:szCs w:val="28"/>
          <w:highlight w:val="none"/>
        </w:rPr>
        <w:t xml:space="preserve">条 </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其他违约责任</w:t>
      </w:r>
    </w:p>
    <w:p w14:paraId="7C5234FC">
      <w:pPr>
        <w:pStyle w:val="2"/>
        <w:spacing w:line="560" w:lineRule="exact"/>
        <w:ind w:firstLine="560" w:firstLineChars="20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bCs w:val="0"/>
          <w:sz w:val="28"/>
          <w:szCs w:val="28"/>
          <w:highlight w:val="none"/>
          <w:lang w:val="en-GB" w:eastAsia="zh-CN"/>
        </w:rPr>
        <w:t>有下列情形之一的，甲方有权要求乙方支付合同总价10%的违约金，实际损失超过违约金约定的，以实际损失为准：</w:t>
      </w:r>
    </w:p>
    <w:p w14:paraId="56847501">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en-GB"/>
        </w:rPr>
        <w:t>因乙方工作失误严重影响项目进展或给甲方带来严重法律风险的。</w:t>
      </w:r>
    </w:p>
    <w:p w14:paraId="5C6E4DA9">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GB"/>
        </w:rPr>
        <w:t>乙方提供的服务成果不符合法律法规及政策规定，或提供的服务成果不符合工作目的及要求，严重影响</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工作进程，给</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造成损失的。</w:t>
      </w:r>
    </w:p>
    <w:p w14:paraId="3F3B98B0">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及乙方参加项目的有关人员</w:t>
      </w:r>
      <w:r>
        <w:rPr>
          <w:rFonts w:hint="eastAsia" w:ascii="仿宋_GB2312" w:hAnsi="仿宋_GB2312" w:eastAsia="仿宋_GB2312" w:cs="仿宋_GB2312"/>
          <w:sz w:val="28"/>
          <w:szCs w:val="28"/>
          <w:highlight w:val="none"/>
          <w:lang w:val="en-GB"/>
        </w:rPr>
        <w:t>泄漏工作中接触的涉及</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lang w:val="en-GB"/>
        </w:rPr>
        <w:t>及第三方的秘密，给</w:t>
      </w:r>
      <w:r>
        <w:rPr>
          <w:rFonts w:hint="eastAsia" w:ascii="仿宋_GB2312" w:hAnsi="仿宋_GB2312" w:eastAsia="仿宋_GB2312" w:cs="仿宋_GB2312"/>
          <w:sz w:val="28"/>
          <w:szCs w:val="28"/>
          <w:highlight w:val="none"/>
        </w:rPr>
        <w:t>甲方</w:t>
      </w:r>
      <w:r>
        <w:rPr>
          <w:rFonts w:hint="eastAsia" w:ascii="仿宋_GB2312" w:hAnsi="仿宋_GB2312" w:eastAsia="仿宋_GB2312" w:cs="仿宋_GB2312"/>
          <w:sz w:val="28"/>
          <w:szCs w:val="28"/>
          <w:highlight w:val="none"/>
          <w:lang w:val="en-GB"/>
        </w:rPr>
        <w:t>造成损失的。</w:t>
      </w:r>
    </w:p>
    <w:p w14:paraId="11B7E1C7">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lang w:val="en-GB"/>
        </w:rPr>
        <w:t>擅自解除合同或未按合同约定履行其他相关义务给</w:t>
      </w:r>
      <w:r>
        <w:rPr>
          <w:rFonts w:hint="eastAsia" w:ascii="仿宋_GB2312" w:hAnsi="仿宋_GB2312" w:eastAsia="仿宋_GB2312" w:cs="仿宋_GB2312"/>
          <w:sz w:val="28"/>
          <w:szCs w:val="28"/>
          <w:highlight w:val="none"/>
          <w:lang w:eastAsia="zh-CN"/>
        </w:rPr>
        <w:t>甲方</w:t>
      </w:r>
      <w:r>
        <w:rPr>
          <w:rFonts w:hint="eastAsia" w:ascii="仿宋_GB2312" w:hAnsi="仿宋_GB2312" w:eastAsia="仿宋_GB2312" w:cs="仿宋_GB2312"/>
          <w:sz w:val="28"/>
          <w:szCs w:val="28"/>
          <w:highlight w:val="none"/>
          <w:lang w:val="en-GB"/>
        </w:rPr>
        <w:t>造成损失的。</w:t>
      </w:r>
      <w:bookmarkStart w:id="179" w:name="_Toc16322"/>
      <w:bookmarkStart w:id="180" w:name="_Toc710"/>
      <w:bookmarkStart w:id="181" w:name="_Toc23217"/>
      <w:bookmarkStart w:id="182" w:name="_Toc8244"/>
      <w:bookmarkStart w:id="183" w:name="_Toc22087"/>
      <w:bookmarkStart w:id="184" w:name="_Toc29402"/>
      <w:bookmarkStart w:id="185" w:name="_Toc25814"/>
      <w:bookmarkStart w:id="186" w:name="_Toc1135"/>
      <w:bookmarkStart w:id="187" w:name="_Toc11927"/>
      <w:bookmarkStart w:id="188" w:name="_Toc7080"/>
      <w:bookmarkStart w:id="189" w:name="_Toc25206"/>
    </w:p>
    <w:p w14:paraId="54B8ECB8">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w:t>
      </w:r>
      <w:r>
        <w:rPr>
          <w:rFonts w:hint="eastAsia" w:ascii="仿宋_GB2312" w:hAnsi="仿宋_GB2312" w:eastAsia="仿宋_GB2312" w:cs="仿宋_GB2312"/>
          <w:b/>
          <w:sz w:val="32"/>
          <w:szCs w:val="32"/>
          <w:highlight w:val="none"/>
          <w:lang w:val="en-US" w:eastAsia="zh-CN"/>
        </w:rPr>
        <w:t>六</w:t>
      </w:r>
      <w:r>
        <w:rPr>
          <w:rFonts w:hint="eastAsia" w:ascii="仿宋_GB2312" w:hAnsi="仿宋_GB2312" w:eastAsia="仿宋_GB2312" w:cs="仿宋_GB2312"/>
          <w:b/>
          <w:sz w:val="32"/>
          <w:szCs w:val="32"/>
          <w:highlight w:val="none"/>
        </w:rPr>
        <w:t>节</w:t>
      </w:r>
      <w:r>
        <w:rPr>
          <w:rFonts w:hint="eastAsia" w:ascii="仿宋_GB2312" w:hAnsi="仿宋_GB2312" w:eastAsia="仿宋_GB2312" w:cs="仿宋_GB2312"/>
          <w:b/>
          <w:sz w:val="32"/>
          <w:szCs w:val="32"/>
          <w:highlight w:val="none"/>
          <w:lang w:val="en-US" w:eastAsia="zh-CN"/>
        </w:rPr>
        <w:t xml:space="preserve">  </w:t>
      </w:r>
      <w:r>
        <w:rPr>
          <w:rFonts w:hint="eastAsia" w:ascii="仿宋_GB2312" w:hAnsi="仿宋_GB2312" w:eastAsia="仿宋_GB2312" w:cs="仿宋_GB2312"/>
          <w:b/>
          <w:sz w:val="32"/>
          <w:szCs w:val="32"/>
          <w:highlight w:val="none"/>
        </w:rPr>
        <w:t>送达</w:t>
      </w:r>
      <w:bookmarkEnd w:id="179"/>
      <w:bookmarkEnd w:id="180"/>
      <w:bookmarkEnd w:id="181"/>
      <w:bookmarkEnd w:id="182"/>
      <w:bookmarkEnd w:id="183"/>
      <w:bookmarkEnd w:id="184"/>
      <w:bookmarkEnd w:id="185"/>
      <w:bookmarkEnd w:id="186"/>
      <w:bookmarkEnd w:id="187"/>
      <w:bookmarkEnd w:id="188"/>
      <w:bookmarkEnd w:id="189"/>
    </w:p>
    <w:p w14:paraId="5C25C2B2">
      <w:pPr>
        <w:adjustRightInd w:val="0"/>
        <w:snapToGrid w:val="0"/>
        <w:spacing w:line="560" w:lineRule="exact"/>
        <w:ind w:firstLine="482"/>
        <w:outlineLvl w:val="2"/>
        <w:rPr>
          <w:rFonts w:hint="eastAsia" w:ascii="仿宋_GB2312" w:hAnsi="仿宋_GB2312" w:eastAsia="仿宋_GB2312" w:cs="仿宋_GB2312"/>
          <w:sz w:val="28"/>
          <w:szCs w:val="28"/>
          <w:highlight w:val="none"/>
        </w:rPr>
      </w:pPr>
      <w:bookmarkStart w:id="190" w:name="_Toc23359"/>
      <w:bookmarkStart w:id="191" w:name="_Toc30570"/>
      <w:bookmarkStart w:id="192" w:name="_Toc21183"/>
      <w:bookmarkStart w:id="193" w:name="_Toc26113"/>
      <w:bookmarkStart w:id="194" w:name="_Toc2772"/>
      <w:bookmarkStart w:id="195" w:name="_Toc10335"/>
      <w:bookmarkStart w:id="196" w:name="_Toc5176"/>
      <w:bookmarkStart w:id="197" w:name="_Toc5409"/>
      <w:bookmarkStart w:id="198" w:name="_Toc6970"/>
      <w:bookmarkStart w:id="199" w:name="_Toc28901543"/>
      <w:bookmarkStart w:id="200" w:name="_Toc9747"/>
      <w:bookmarkStart w:id="201" w:name="_Toc28194"/>
      <w:bookmarkStart w:id="202" w:name="_Toc29103"/>
      <w:bookmarkStart w:id="203" w:name="_Toc502671320"/>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sz w:val="28"/>
          <w:szCs w:val="28"/>
          <w:highlight w:val="none"/>
          <w:lang w:val="en-GB"/>
        </w:rPr>
        <w:t>甲乙双方因履行本合同而相互发出或者提供的所有通知、文件、资料，均以本合同所列明的地址、电子邮箱、传真送达，一方联系方式如果变更，应当变更发生后三日内书面通知对方。</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FD41DB4">
      <w:pPr>
        <w:adjustRightInd w:val="0"/>
        <w:snapToGrid w:val="0"/>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GB"/>
        </w:rPr>
        <w:t>通过传真方式的，在发出传真时视为送达；以邮寄方式的，挂号寄出或者投邮次日视为</w:t>
      </w:r>
      <w:r>
        <w:rPr>
          <w:rFonts w:hint="eastAsia" w:ascii="仿宋_GB2312" w:hAnsi="仿宋_GB2312" w:eastAsia="仿宋_GB2312" w:cs="仿宋_GB2312"/>
          <w:sz w:val="28"/>
          <w:szCs w:val="28"/>
          <w:highlight w:val="none"/>
        </w:rPr>
        <w:t>送达</w:t>
      </w:r>
      <w:r>
        <w:rPr>
          <w:rFonts w:hint="eastAsia" w:ascii="仿宋_GB2312" w:hAnsi="仿宋_GB2312" w:eastAsia="仿宋_GB2312" w:cs="仿宋_GB2312"/>
          <w:sz w:val="28"/>
          <w:szCs w:val="28"/>
          <w:highlight w:val="none"/>
          <w:lang w:val="en-GB"/>
        </w:rPr>
        <w:t>；</w:t>
      </w:r>
      <w:r>
        <w:rPr>
          <w:rFonts w:hint="eastAsia" w:ascii="仿宋_GB2312" w:hAnsi="仿宋_GB2312" w:eastAsia="仿宋_GB2312" w:cs="仿宋_GB2312"/>
          <w:sz w:val="28"/>
          <w:szCs w:val="28"/>
          <w:highlight w:val="none"/>
        </w:rPr>
        <w:t>甲方要求乙方送达纸质文件的，乙方应采取挂号信、快递或当面送达方式。</w:t>
      </w:r>
    </w:p>
    <w:p w14:paraId="4260EBDB">
      <w:pPr>
        <w:adjustRightInd w:val="0"/>
        <w:snapToGrid w:val="0"/>
        <w:spacing w:before="156" w:beforeLines="50" w:after="156" w:afterLines="50" w:line="560" w:lineRule="exact"/>
        <w:jc w:val="center"/>
        <w:outlineLvl w:val="1"/>
        <w:rPr>
          <w:rFonts w:hint="eastAsia" w:ascii="仿宋_GB2312" w:hAnsi="仿宋_GB2312" w:eastAsia="仿宋_GB2312" w:cs="仿宋_GB2312"/>
          <w:b/>
          <w:bCs/>
          <w:sz w:val="32"/>
          <w:szCs w:val="32"/>
          <w:highlight w:val="none"/>
          <w:lang w:val="en-GB"/>
        </w:rPr>
      </w:pPr>
      <w:bookmarkStart w:id="204" w:name="_Toc10750"/>
      <w:bookmarkStart w:id="205" w:name="_Toc9634"/>
      <w:bookmarkStart w:id="206" w:name="_Toc3607"/>
      <w:bookmarkStart w:id="207" w:name="_Toc26292"/>
      <w:bookmarkStart w:id="208" w:name="_Toc18047"/>
      <w:bookmarkStart w:id="209" w:name="_Toc24919"/>
      <w:bookmarkStart w:id="210" w:name="_Toc22505"/>
      <w:bookmarkStart w:id="211" w:name="_Toc231"/>
      <w:bookmarkStart w:id="212" w:name="_Toc9793"/>
      <w:bookmarkStart w:id="213" w:name="_Toc7979"/>
      <w:bookmarkStart w:id="214" w:name="_Toc31916"/>
      <w:r>
        <w:rPr>
          <w:rFonts w:hint="eastAsia" w:ascii="仿宋_GB2312" w:hAnsi="仿宋_GB2312" w:eastAsia="仿宋_GB2312" w:cs="仿宋_GB2312"/>
          <w:b/>
          <w:bCs/>
          <w:sz w:val="32"/>
          <w:szCs w:val="32"/>
          <w:highlight w:val="none"/>
          <w:lang w:val="en-GB"/>
        </w:rPr>
        <w:t>第</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lang w:val="en-GB"/>
        </w:rPr>
        <w:t>节</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GB"/>
        </w:rPr>
        <w:t>争议的</w:t>
      </w:r>
      <w:r>
        <w:rPr>
          <w:rFonts w:hint="eastAsia" w:ascii="仿宋_GB2312" w:hAnsi="仿宋_GB2312" w:eastAsia="仿宋_GB2312" w:cs="仿宋_GB2312"/>
          <w:b/>
          <w:sz w:val="32"/>
          <w:szCs w:val="32"/>
          <w:highlight w:val="none"/>
        </w:rPr>
        <w:t>解决</w:t>
      </w:r>
      <w:bookmarkEnd w:id="204"/>
      <w:bookmarkEnd w:id="205"/>
      <w:bookmarkEnd w:id="206"/>
      <w:bookmarkEnd w:id="207"/>
      <w:bookmarkEnd w:id="208"/>
      <w:bookmarkEnd w:id="209"/>
      <w:bookmarkEnd w:id="210"/>
      <w:bookmarkEnd w:id="211"/>
      <w:bookmarkEnd w:id="212"/>
      <w:bookmarkEnd w:id="213"/>
      <w:bookmarkEnd w:id="214"/>
    </w:p>
    <w:p w14:paraId="5C849865">
      <w:pPr>
        <w:adjustRightInd w:val="0"/>
        <w:snapToGrid w:val="0"/>
        <w:spacing w:line="560" w:lineRule="exact"/>
        <w:ind w:firstLine="482"/>
        <w:outlineLvl w:val="2"/>
        <w:rPr>
          <w:rFonts w:hint="eastAsia" w:ascii="仿宋_GB2312" w:hAnsi="仿宋_GB2312" w:eastAsia="仿宋_GB2312" w:cs="仿宋_GB2312"/>
          <w:sz w:val="28"/>
          <w:szCs w:val="28"/>
          <w:highlight w:val="none"/>
          <w:lang w:val="en-GB" w:eastAsia="zh-CN"/>
        </w:rPr>
      </w:pPr>
      <w:bookmarkStart w:id="215" w:name="_Toc502671321"/>
      <w:bookmarkStart w:id="216" w:name="_Toc24829"/>
      <w:bookmarkStart w:id="217" w:name="_Toc17"/>
      <w:bookmarkStart w:id="218" w:name="_Toc319"/>
      <w:bookmarkStart w:id="219" w:name="_Toc15481"/>
      <w:bookmarkStart w:id="220" w:name="_Toc8940"/>
      <w:bookmarkStart w:id="221" w:name="_Toc22323"/>
      <w:bookmarkStart w:id="222" w:name="_Toc30182"/>
      <w:bookmarkStart w:id="223" w:name="_Toc14854"/>
      <w:bookmarkStart w:id="224" w:name="_Toc27841"/>
      <w:bookmarkStart w:id="225" w:name="_Toc28901544"/>
      <w:bookmarkStart w:id="226" w:name="_Toc22382"/>
      <w:bookmarkStart w:id="227" w:name="_Toc25366"/>
      <w:bookmarkStart w:id="228" w:name="_Toc32649"/>
      <w:r>
        <w:rPr>
          <w:rFonts w:hint="eastAsia" w:ascii="仿宋_GB2312" w:hAnsi="仿宋_GB2312" w:eastAsia="仿宋_GB2312" w:cs="仿宋_GB2312"/>
          <w:b/>
          <w:bCs/>
          <w:sz w:val="28"/>
          <w:szCs w:val="28"/>
          <w:highlight w:val="none"/>
          <w:lang w:val="en-GB"/>
        </w:rPr>
        <w:t>第十</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lang w:val="en-GB"/>
        </w:rPr>
        <w:t>条</w:t>
      </w:r>
      <w:bookmarkEnd w:id="215"/>
      <w:r>
        <w:rPr>
          <w:rFonts w:hint="eastAsia" w:ascii="仿宋_GB2312" w:hAnsi="仿宋_GB2312" w:eastAsia="仿宋_GB2312" w:cs="仿宋_GB2312"/>
          <w:b/>
          <w:bCs/>
          <w:sz w:val="28"/>
          <w:szCs w:val="28"/>
          <w:highlight w:val="none"/>
          <w:lang w:val="en-US" w:eastAsia="zh-CN"/>
        </w:rPr>
        <w:t xml:space="preserve">  </w:t>
      </w:r>
      <w:bookmarkEnd w:id="216"/>
      <w:bookmarkEnd w:id="217"/>
      <w:bookmarkEnd w:id="218"/>
      <w:bookmarkEnd w:id="219"/>
      <w:bookmarkEnd w:id="220"/>
      <w:bookmarkEnd w:id="221"/>
      <w:bookmarkEnd w:id="222"/>
      <w:bookmarkEnd w:id="223"/>
      <w:bookmarkEnd w:id="224"/>
      <w:bookmarkEnd w:id="225"/>
      <w:bookmarkEnd w:id="226"/>
      <w:bookmarkEnd w:id="227"/>
      <w:bookmarkEnd w:id="228"/>
      <w:r>
        <w:rPr>
          <w:rFonts w:hint="eastAsia" w:ascii="仿宋_GB2312" w:hAnsi="仿宋_GB2312" w:eastAsia="仿宋_GB2312" w:cs="仿宋_GB2312"/>
          <w:sz w:val="28"/>
          <w:szCs w:val="28"/>
          <w:highlight w:val="none"/>
          <w:lang w:val="en-GB"/>
        </w:rPr>
        <w:t>因履行本合同引起的或与本合同有关的争议，甲、乙双方应首先通过友好协商解决，如果协商不能解决争议，则向甲方所在地有管辖权的人民法院提起诉讼</w:t>
      </w:r>
      <w:r>
        <w:rPr>
          <w:rFonts w:hint="eastAsia" w:ascii="仿宋_GB2312" w:hAnsi="仿宋_GB2312" w:eastAsia="仿宋_GB2312" w:cs="仿宋_GB2312"/>
          <w:sz w:val="28"/>
          <w:szCs w:val="28"/>
          <w:highlight w:val="none"/>
          <w:lang w:val="en-GB" w:eastAsia="zh-CN"/>
        </w:rPr>
        <w:t>。</w:t>
      </w:r>
    </w:p>
    <w:p w14:paraId="1AC480F1">
      <w:pPr>
        <w:adjustRightInd w:val="0"/>
        <w:snapToGrid w:val="0"/>
        <w:spacing w:before="156" w:beforeLines="50" w:after="156" w:afterLines="50" w:line="560" w:lineRule="exact"/>
        <w:jc w:val="center"/>
        <w:outlineLvl w:val="1"/>
        <w:rPr>
          <w:rFonts w:hint="eastAsia" w:ascii="仿宋_GB2312" w:hAnsi="仿宋_GB2312" w:eastAsia="仿宋_GB2312" w:cs="仿宋_GB2312"/>
          <w:b/>
          <w:bCs/>
          <w:sz w:val="32"/>
          <w:szCs w:val="32"/>
          <w:highlight w:val="none"/>
          <w:lang w:val="en-GB"/>
        </w:rPr>
      </w:pPr>
      <w:bookmarkStart w:id="229" w:name="_Toc22366"/>
      <w:bookmarkStart w:id="230" w:name="_Toc8733"/>
      <w:bookmarkStart w:id="231" w:name="_Toc22711"/>
      <w:bookmarkStart w:id="232" w:name="_Toc32482"/>
      <w:bookmarkStart w:id="233" w:name="_Toc14159"/>
      <w:bookmarkStart w:id="234" w:name="_Toc25308"/>
      <w:bookmarkStart w:id="235" w:name="_Toc1184"/>
      <w:bookmarkStart w:id="236" w:name="_Toc18499"/>
      <w:bookmarkStart w:id="237" w:name="_Toc6847"/>
      <w:bookmarkStart w:id="238" w:name="_Toc29123"/>
      <w:bookmarkStart w:id="239" w:name="_Toc21475"/>
      <w:r>
        <w:rPr>
          <w:rFonts w:hint="eastAsia" w:ascii="仿宋_GB2312" w:hAnsi="仿宋_GB2312" w:eastAsia="仿宋_GB2312" w:cs="仿宋_GB2312"/>
          <w:b/>
          <w:bCs/>
          <w:sz w:val="32"/>
          <w:szCs w:val="32"/>
          <w:highlight w:val="none"/>
          <w:lang w:val="en-GB"/>
        </w:rPr>
        <w:t>第</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lang w:val="en-GB"/>
        </w:rPr>
        <w:t>节</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lang w:val="en-GB"/>
        </w:rPr>
        <w:t>附 则</w:t>
      </w:r>
      <w:bookmarkEnd w:id="229"/>
      <w:bookmarkEnd w:id="230"/>
      <w:bookmarkEnd w:id="231"/>
      <w:bookmarkEnd w:id="232"/>
      <w:bookmarkEnd w:id="233"/>
      <w:bookmarkEnd w:id="234"/>
      <w:bookmarkEnd w:id="235"/>
      <w:bookmarkEnd w:id="236"/>
      <w:bookmarkEnd w:id="237"/>
      <w:bookmarkEnd w:id="238"/>
      <w:bookmarkEnd w:id="239"/>
    </w:p>
    <w:p w14:paraId="4B31479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rPr>
      </w:pPr>
      <w:bookmarkStart w:id="240" w:name="_Toc10473"/>
      <w:bookmarkStart w:id="241" w:name="_Toc6788"/>
      <w:bookmarkStart w:id="242" w:name="_Toc10648"/>
      <w:bookmarkStart w:id="243" w:name="_Toc15245"/>
      <w:bookmarkStart w:id="244" w:name="_Toc12364"/>
      <w:bookmarkStart w:id="245" w:name="_Toc3111"/>
      <w:bookmarkStart w:id="246" w:name="_Toc4471"/>
      <w:bookmarkStart w:id="247" w:name="_Toc3495"/>
      <w:bookmarkStart w:id="248" w:name="_Toc502671322"/>
      <w:bookmarkStart w:id="249" w:name="_Toc8754"/>
      <w:bookmarkStart w:id="250" w:name="_Toc5190"/>
      <w:bookmarkStart w:id="251" w:name="_Toc29592"/>
      <w:bookmarkStart w:id="252" w:name="_Toc28901545"/>
      <w:bookmarkStart w:id="253" w:name="_Toc8275"/>
      <w:r>
        <w:rPr>
          <w:rFonts w:hint="eastAsia" w:ascii="仿宋_GB2312" w:hAnsi="仿宋_GB2312" w:eastAsia="仿宋_GB2312" w:cs="仿宋_GB2312"/>
          <w:b/>
          <w:bCs/>
          <w:sz w:val="28"/>
          <w:szCs w:val="28"/>
          <w:highlight w:val="none"/>
          <w:lang w:val="en-GB"/>
        </w:rPr>
        <w:t>第十</w:t>
      </w:r>
      <w:r>
        <w:rPr>
          <w:rFonts w:hint="eastAsia" w:ascii="仿宋_GB2312" w:hAnsi="仿宋_GB2312" w:eastAsia="仿宋_GB2312" w:cs="仿宋_GB2312"/>
          <w:b/>
          <w:bCs/>
          <w:sz w:val="28"/>
          <w:szCs w:val="28"/>
          <w:highlight w:val="none"/>
          <w:lang w:val="en-US"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bCs/>
          <w:sz w:val="28"/>
          <w:szCs w:val="28"/>
          <w:highlight w:val="none"/>
        </w:rPr>
        <w:t>乙方执业责任保险</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A4F5E9A">
      <w:pPr>
        <w:adjustRightInd w:val="0"/>
        <w:snapToGrid w:val="0"/>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由于乙方在提供上述法律服务中的疏忽、过错而造成甲方的经济损失，乙方应依法承担赔偿责任。具体赔偿办法按《深圳市律师职业责任保险协议书》及乙方总所与保险公司签订的以甲方作为受益人之一的《律师职业责任保险条款》执行。</w:t>
      </w:r>
    </w:p>
    <w:p w14:paraId="06F19A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254" w:name="_Toc10279"/>
      <w:bookmarkStart w:id="255" w:name="_Toc30803"/>
      <w:bookmarkStart w:id="256" w:name="_Toc13807"/>
      <w:bookmarkStart w:id="257" w:name="_Toc30065"/>
      <w:bookmarkStart w:id="258" w:name="_Toc15762"/>
      <w:bookmarkStart w:id="259" w:name="_Toc29715"/>
      <w:bookmarkStart w:id="260" w:name="_Toc2406"/>
      <w:bookmarkStart w:id="261" w:name="_Toc12055"/>
      <w:bookmarkStart w:id="262" w:name="_Toc10793"/>
      <w:bookmarkStart w:id="263" w:name="_Toc24652"/>
      <w:bookmarkStart w:id="264" w:name="_Toc32244"/>
      <w:bookmarkStart w:id="265" w:name="_Toc3852"/>
      <w:r>
        <w:rPr>
          <w:rFonts w:hint="eastAsia" w:ascii="仿宋_GB2312" w:hAnsi="仿宋_GB2312" w:eastAsia="仿宋_GB2312" w:cs="仿宋_GB2312"/>
          <w:b/>
          <w:bCs/>
          <w:sz w:val="28"/>
          <w:szCs w:val="28"/>
          <w:highlight w:val="none"/>
          <w:lang w:val="en-GB"/>
        </w:rPr>
        <w:t>第十</w:t>
      </w:r>
      <w:r>
        <w:rPr>
          <w:rFonts w:hint="eastAsia" w:ascii="仿宋_GB2312" w:hAnsi="仿宋_GB2312" w:eastAsia="仿宋_GB2312" w:cs="仿宋_GB2312"/>
          <w:b/>
          <w:bCs/>
          <w:sz w:val="28"/>
          <w:szCs w:val="28"/>
          <w:highlight w:val="none"/>
          <w:lang w:val="en-US" w:eastAsia="zh-CN"/>
        </w:rPr>
        <w:t>六</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乙方服务要求</w:t>
      </w:r>
      <w:bookmarkEnd w:id="254"/>
      <w:bookmarkEnd w:id="255"/>
      <w:bookmarkEnd w:id="256"/>
      <w:bookmarkEnd w:id="257"/>
      <w:bookmarkEnd w:id="258"/>
      <w:bookmarkEnd w:id="259"/>
      <w:bookmarkEnd w:id="260"/>
      <w:bookmarkEnd w:id="261"/>
      <w:bookmarkEnd w:id="262"/>
      <w:bookmarkEnd w:id="263"/>
      <w:bookmarkEnd w:id="264"/>
      <w:bookmarkEnd w:id="265"/>
    </w:p>
    <w:p w14:paraId="4E140A06">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法律服务团队的成员均应熟练掌握国家、省、市、区关于房屋征收及土地整备搬迁补偿工作的相关法律法规及政策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val="en-US" w:eastAsia="zh-CN"/>
        </w:rPr>
        <w:t>集中签约期团队成员均需在甲方</w:t>
      </w:r>
      <w:r>
        <w:rPr>
          <w:rFonts w:hint="eastAsia" w:ascii="仿宋_GB2312" w:hAnsi="仿宋_GB2312" w:eastAsia="仿宋_GB2312" w:cs="仿宋_GB2312"/>
          <w:sz w:val="28"/>
          <w:szCs w:val="28"/>
          <w:highlight w:val="none"/>
        </w:rPr>
        <w:t>指挥部驻点为项目提供法律服务。</w:t>
      </w:r>
    </w:p>
    <w:p w14:paraId="55ABD391">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乙方对甲方的法律咨询及法律事务应按甲方要求做出正确解答，一般应在</w:t>
      </w:r>
      <w:r>
        <w:rPr>
          <w:rFonts w:hint="eastAsia" w:ascii="仿宋_GB2312" w:hAnsi="仿宋_GB2312" w:eastAsia="仿宋_GB2312" w:cs="仿宋_GB2312"/>
          <w:sz w:val="28"/>
          <w:szCs w:val="28"/>
          <w:highlight w:val="none"/>
          <w:lang w:val="en-US" w:eastAsia="zh-CN"/>
        </w:rPr>
        <w:t>24小时（紧急事务应在2小时）内做出书面回复，并对相关问题提出具体的可操作方案和解决途径。</w:t>
      </w:r>
    </w:p>
    <w:p w14:paraId="20561E3E">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乙方团队成员</w:t>
      </w:r>
      <w:r>
        <w:rPr>
          <w:rFonts w:hint="eastAsia" w:ascii="仿宋_GB2312" w:hAnsi="仿宋_GB2312" w:eastAsia="仿宋_GB2312" w:cs="仿宋_GB2312"/>
          <w:sz w:val="28"/>
          <w:szCs w:val="28"/>
          <w:highlight w:val="none"/>
        </w:rPr>
        <w:t>需无条件服从甲方的工作管理及安排，遵守甲方制定的</w:t>
      </w:r>
      <w:r>
        <w:rPr>
          <w:rFonts w:hint="eastAsia" w:ascii="仿宋_GB2312" w:hAnsi="仿宋_GB2312" w:eastAsia="仿宋_GB2312" w:cs="仿宋_GB2312"/>
          <w:sz w:val="28"/>
          <w:szCs w:val="28"/>
          <w:highlight w:val="none"/>
          <w:lang w:eastAsia="zh-CN"/>
        </w:rPr>
        <w:t>履约评价考核</w:t>
      </w:r>
      <w:r>
        <w:rPr>
          <w:rFonts w:hint="eastAsia" w:ascii="仿宋_GB2312" w:hAnsi="仿宋_GB2312" w:eastAsia="仿宋_GB2312" w:cs="仿宋_GB2312"/>
          <w:sz w:val="28"/>
          <w:szCs w:val="28"/>
          <w:highlight w:val="none"/>
        </w:rPr>
        <w:t>制度；项目过程中因工作需要，甲方要求乙方增加工作人员，以及加班加点的，乙方需无条件执行。合同价已综合考虑该部分费用，不另行增加费用。</w:t>
      </w:r>
    </w:p>
    <w:p w14:paraId="66A644C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甲方指定联系人：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w:t>
      </w:r>
    </w:p>
    <w:p w14:paraId="51708B0A">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乙方指定联系人：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，联系电话：</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p>
    <w:p w14:paraId="3E4A6D2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因客观因素</w:t>
      </w:r>
      <w:r>
        <w:rPr>
          <w:rFonts w:hint="eastAsia" w:ascii="仿宋_GB2312" w:hAnsi="仿宋_GB2312" w:eastAsia="仿宋_GB2312" w:cs="仿宋_GB2312"/>
          <w:sz w:val="28"/>
          <w:szCs w:val="28"/>
          <w:highlight w:val="none"/>
        </w:rPr>
        <w:t>致本次法律顾问提前终止的，合同价款按实际完成工作结算，具体费用双方协商解决。</w:t>
      </w:r>
    </w:p>
    <w:p w14:paraId="1861F463">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266" w:name="_Toc8670"/>
      <w:bookmarkStart w:id="267" w:name="_Toc3373"/>
      <w:bookmarkStart w:id="268" w:name="_Toc22167"/>
      <w:bookmarkStart w:id="269" w:name="_Toc17692"/>
      <w:bookmarkStart w:id="270" w:name="_Toc15561"/>
      <w:bookmarkStart w:id="271" w:name="_Toc1232"/>
      <w:bookmarkStart w:id="272" w:name="_Toc14728"/>
      <w:bookmarkStart w:id="273" w:name="_Toc12768"/>
      <w:bookmarkStart w:id="274" w:name="_Toc7933"/>
      <w:bookmarkStart w:id="275" w:name="_Toc28921"/>
      <w:bookmarkStart w:id="276" w:name="_Toc27282"/>
      <w:bookmarkStart w:id="277" w:name="_Toc10516"/>
      <w:r>
        <w:rPr>
          <w:rFonts w:hint="eastAsia" w:ascii="仿宋_GB2312" w:hAnsi="仿宋_GB2312" w:eastAsia="仿宋_GB2312" w:cs="仿宋_GB2312"/>
          <w:b/>
          <w:bCs/>
          <w:sz w:val="28"/>
          <w:szCs w:val="28"/>
          <w:highlight w:val="none"/>
          <w:lang w:val="en-GB"/>
        </w:rPr>
        <w:t>第十</w:t>
      </w:r>
      <w:r>
        <w:rPr>
          <w:rFonts w:hint="eastAsia" w:ascii="仿宋_GB2312" w:hAnsi="仿宋_GB2312" w:eastAsia="仿宋_GB2312" w:cs="仿宋_GB2312"/>
          <w:b/>
          <w:bCs/>
          <w:sz w:val="28"/>
          <w:szCs w:val="28"/>
          <w:highlight w:val="none"/>
          <w:lang w:val="en-US" w:eastAsia="zh-CN"/>
        </w:rPr>
        <w:t>七</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合同的解除</w:t>
      </w:r>
      <w:bookmarkEnd w:id="266"/>
      <w:bookmarkEnd w:id="267"/>
      <w:bookmarkEnd w:id="268"/>
      <w:bookmarkEnd w:id="269"/>
      <w:bookmarkEnd w:id="270"/>
      <w:bookmarkEnd w:id="271"/>
      <w:bookmarkEnd w:id="272"/>
      <w:bookmarkEnd w:id="273"/>
      <w:bookmarkEnd w:id="274"/>
      <w:bookmarkEnd w:id="275"/>
      <w:bookmarkEnd w:id="276"/>
      <w:bookmarkEnd w:id="277"/>
    </w:p>
    <w:p w14:paraId="5E1FE8B5">
      <w:pPr>
        <w:snapToGrid w:val="0"/>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除</w:t>
      </w:r>
      <w:r>
        <w:rPr>
          <w:rFonts w:hint="eastAsia" w:ascii="仿宋_GB2312" w:hAnsi="仿宋_GB2312" w:eastAsia="仿宋_GB2312" w:cs="仿宋_GB2312"/>
          <w:sz w:val="28"/>
          <w:szCs w:val="28"/>
          <w:highlight w:val="none"/>
          <w:lang w:eastAsia="zh-CN"/>
        </w:rPr>
        <w:t>有法定或约定事由外</w:t>
      </w:r>
      <w:r>
        <w:rPr>
          <w:rFonts w:hint="eastAsia" w:ascii="仿宋_GB2312" w:hAnsi="仿宋_GB2312" w:eastAsia="仿宋_GB2312" w:cs="仿宋_GB2312"/>
          <w:sz w:val="28"/>
          <w:szCs w:val="28"/>
          <w:highlight w:val="none"/>
        </w:rPr>
        <w:t>，双方当事人不得擅自变更、中止或者终止合同。</w:t>
      </w:r>
    </w:p>
    <w:p w14:paraId="5F7BCC08">
      <w:pPr>
        <w:pStyle w:val="2"/>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2、乙方及乙方团队成员具有以下情形之一的，甲方可单方解除本合同：</w:t>
      </w:r>
    </w:p>
    <w:p w14:paraId="26206168">
      <w:pPr>
        <w:pStyle w:val="2"/>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2.1 严重不按本合同约定提供法律服务，经甲方指出后拒不改正的；</w:t>
      </w:r>
    </w:p>
    <w:p w14:paraId="05E217A5">
      <w:pPr>
        <w:pStyle w:val="2"/>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 工作延误、失职、失误导致甲方蒙受重大经济损失的；</w:t>
      </w:r>
    </w:p>
    <w:p w14:paraId="4FA32F7D">
      <w:pPr>
        <w:pStyle w:val="2"/>
        <w:spacing w:line="56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 经甲方履约评价考核认定为不合格的。</w:t>
      </w:r>
    </w:p>
    <w:p w14:paraId="307263C1">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278" w:name="_Toc865"/>
      <w:bookmarkStart w:id="279" w:name="_Toc21565"/>
      <w:bookmarkStart w:id="280" w:name="_Toc2577"/>
      <w:bookmarkStart w:id="281" w:name="_Toc26853"/>
      <w:bookmarkStart w:id="282" w:name="_Toc6330"/>
      <w:bookmarkStart w:id="283" w:name="_Toc25763"/>
      <w:bookmarkStart w:id="284" w:name="_Toc23964"/>
      <w:bookmarkStart w:id="285" w:name="_Toc1017"/>
      <w:bookmarkStart w:id="286" w:name="_Toc1438"/>
      <w:bookmarkStart w:id="287" w:name="_Toc2808"/>
      <w:bookmarkStart w:id="288" w:name="_Toc12852"/>
      <w:bookmarkStart w:id="289" w:name="_Toc22196"/>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十八</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合同的变更</w:t>
      </w:r>
      <w:bookmarkEnd w:id="278"/>
      <w:bookmarkEnd w:id="279"/>
      <w:bookmarkEnd w:id="280"/>
      <w:bookmarkEnd w:id="281"/>
      <w:bookmarkEnd w:id="282"/>
      <w:bookmarkEnd w:id="283"/>
      <w:bookmarkEnd w:id="284"/>
      <w:bookmarkEnd w:id="285"/>
      <w:bookmarkEnd w:id="286"/>
      <w:bookmarkEnd w:id="287"/>
      <w:bookmarkEnd w:id="288"/>
      <w:bookmarkEnd w:id="289"/>
    </w:p>
    <w:p w14:paraId="55F6DE7A">
      <w:pPr>
        <w:snapToGrid w:val="0"/>
        <w:spacing w:line="560" w:lineRule="exact"/>
        <w:ind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14:paraId="4B525105">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290" w:name="_Toc26849"/>
      <w:bookmarkStart w:id="291" w:name="_Toc23460"/>
      <w:bookmarkStart w:id="292" w:name="_Toc534"/>
      <w:bookmarkStart w:id="293" w:name="_Toc30279"/>
      <w:bookmarkStart w:id="294" w:name="_Toc9783"/>
      <w:bookmarkStart w:id="295" w:name="_Toc23667"/>
      <w:bookmarkStart w:id="296" w:name="_Toc16794"/>
      <w:bookmarkStart w:id="297" w:name="_Toc10368"/>
      <w:bookmarkStart w:id="298" w:name="_Toc20927"/>
      <w:bookmarkStart w:id="299" w:name="_Toc3216"/>
      <w:bookmarkStart w:id="300" w:name="_Toc2182"/>
      <w:bookmarkStart w:id="301" w:name="_Toc12975"/>
      <w:r>
        <w:rPr>
          <w:rFonts w:hint="eastAsia" w:ascii="仿宋_GB2312" w:hAnsi="仿宋_GB2312" w:eastAsia="仿宋_GB2312" w:cs="仿宋_GB2312"/>
          <w:b/>
          <w:bCs/>
          <w:sz w:val="28"/>
          <w:szCs w:val="28"/>
          <w:highlight w:val="none"/>
          <w:lang w:val="en-GB"/>
        </w:rPr>
        <w:t>第</w:t>
      </w:r>
      <w:r>
        <w:rPr>
          <w:rFonts w:hint="eastAsia" w:ascii="仿宋_GB2312" w:hAnsi="仿宋_GB2312" w:eastAsia="仿宋_GB2312" w:cs="仿宋_GB2312"/>
          <w:b/>
          <w:bCs/>
          <w:sz w:val="28"/>
          <w:szCs w:val="28"/>
          <w:highlight w:val="none"/>
          <w:lang w:val="en-US" w:eastAsia="zh-CN"/>
        </w:rPr>
        <w:t>十九</w:t>
      </w:r>
      <w:r>
        <w:rPr>
          <w:rFonts w:hint="eastAsia" w:ascii="仿宋_GB2312" w:hAnsi="仿宋_GB2312" w:eastAsia="仿宋_GB2312" w:cs="仿宋_GB2312"/>
          <w:b/>
          <w:bCs/>
          <w:sz w:val="28"/>
          <w:szCs w:val="28"/>
          <w:highlight w:val="none"/>
          <w:lang w:val="en-GB"/>
        </w:rPr>
        <w:t>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不可抗力</w:t>
      </w:r>
      <w:bookmarkEnd w:id="290"/>
      <w:bookmarkEnd w:id="291"/>
      <w:bookmarkEnd w:id="292"/>
      <w:bookmarkEnd w:id="293"/>
      <w:bookmarkEnd w:id="294"/>
      <w:bookmarkEnd w:id="295"/>
      <w:bookmarkEnd w:id="296"/>
      <w:bookmarkEnd w:id="297"/>
      <w:bookmarkEnd w:id="298"/>
      <w:bookmarkEnd w:id="299"/>
      <w:bookmarkEnd w:id="300"/>
      <w:bookmarkEnd w:id="301"/>
    </w:p>
    <w:p w14:paraId="72A432B0">
      <w:pPr>
        <w:numPr>
          <w:ilvl w:val="0"/>
          <w:numId w:val="2"/>
        </w:numPr>
        <w:snapToGrid w:val="0"/>
        <w:spacing w:line="560" w:lineRule="exact"/>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如果本合同任何一方因受不可抗力事件影响而未能履行其在本合同下的全部或部分义务，该义务的履行在不可抗力事件妨碍其履行期间应予中止。</w:t>
      </w:r>
    </w:p>
    <w:p w14:paraId="36CD09EB">
      <w:pPr>
        <w:numPr>
          <w:ilvl w:val="-1"/>
          <w:numId w:val="0"/>
        </w:numPr>
        <w:snapToGrid w:val="0"/>
        <w:spacing w:line="560" w:lineRule="exact"/>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切实际的一方，有责任尽一切合理的努力消除或减轻此等不可抗力事件的影响。</w:t>
      </w:r>
    </w:p>
    <w:p w14:paraId="75E47B2B">
      <w:pPr>
        <w:numPr>
          <w:ilvl w:val="-1"/>
          <w:numId w:val="0"/>
        </w:numPr>
        <w:snapToGrid w:val="0"/>
        <w:spacing w:line="560" w:lineRule="exact"/>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2AD7114B">
      <w:pPr>
        <w:numPr>
          <w:ilvl w:val="-1"/>
          <w:numId w:val="0"/>
        </w:numPr>
        <w:snapToGrid w:val="0"/>
        <w:spacing w:line="560" w:lineRule="exact"/>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14:paraId="758CB2AF">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562" w:firstLineChars="200"/>
        <w:textAlignment w:val="auto"/>
        <w:outlineLvl w:val="2"/>
        <w:rPr>
          <w:rFonts w:hint="eastAsia" w:ascii="仿宋_GB2312" w:hAnsi="仿宋_GB2312" w:eastAsia="仿宋_GB2312" w:cs="仿宋_GB2312"/>
          <w:b/>
          <w:bCs/>
          <w:sz w:val="28"/>
          <w:szCs w:val="28"/>
          <w:highlight w:val="none"/>
          <w:lang w:val="en-GB"/>
        </w:rPr>
      </w:pPr>
      <w:bookmarkStart w:id="302" w:name="_Toc368"/>
      <w:bookmarkStart w:id="303" w:name="_Toc32719"/>
      <w:bookmarkStart w:id="304" w:name="_Toc11560"/>
      <w:bookmarkStart w:id="305" w:name="_Toc3908"/>
      <w:bookmarkStart w:id="306" w:name="_Toc14639"/>
      <w:bookmarkStart w:id="307" w:name="_Toc8437"/>
      <w:bookmarkStart w:id="308" w:name="_Toc3909"/>
      <w:bookmarkStart w:id="309" w:name="_Toc9795"/>
      <w:bookmarkStart w:id="310" w:name="_Toc5586"/>
      <w:bookmarkStart w:id="311" w:name="_Toc19016"/>
      <w:bookmarkStart w:id="312" w:name="_Toc3812"/>
      <w:bookmarkStart w:id="313" w:name="_Toc10065"/>
      <w:r>
        <w:rPr>
          <w:rFonts w:hint="eastAsia" w:ascii="仿宋_GB2312" w:hAnsi="仿宋_GB2312" w:eastAsia="仿宋_GB2312" w:cs="仿宋_GB2312"/>
          <w:b/>
          <w:bCs/>
          <w:sz w:val="28"/>
          <w:szCs w:val="28"/>
          <w:highlight w:val="none"/>
          <w:lang w:val="en-GB"/>
        </w:rPr>
        <w:t>第二十条</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仿宋_GB2312" w:eastAsia="仿宋_GB2312" w:cs="仿宋_GB2312"/>
          <w:b/>
          <w:bCs/>
          <w:sz w:val="28"/>
          <w:szCs w:val="28"/>
          <w:highlight w:val="none"/>
          <w:lang w:val="en-GB"/>
        </w:rPr>
        <w:t>其他</w:t>
      </w:r>
    </w:p>
    <w:p w14:paraId="1DDB72DC">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下列文件均为本合同的重要组成部分：</w:t>
      </w:r>
    </w:p>
    <w:p w14:paraId="29077670">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（1）本项目的招标文件、答疑及补充通知；</w:t>
      </w:r>
    </w:p>
    <w:p w14:paraId="25E42B9D">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（2）本项目中标的投标文件；</w:t>
      </w:r>
    </w:p>
    <w:p w14:paraId="2A262905">
      <w:pPr>
        <w:keepNext w:val="0"/>
        <w:keepLines w:val="0"/>
        <w:pageBreakBefore w:val="0"/>
        <w:widowControl w:val="0"/>
        <w:kinsoku/>
        <w:wordWrap/>
        <w:overflowPunct/>
        <w:topLinePunct w:val="0"/>
        <w:autoSpaceDE/>
        <w:autoSpaceDN/>
        <w:bidi w:val="0"/>
        <w:spacing w:line="560" w:lineRule="exact"/>
        <w:ind w:left="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（3）本合同</w:t>
      </w:r>
      <w:r>
        <w:rPr>
          <w:rFonts w:hint="eastAsia" w:ascii="仿宋_GB2312" w:hAnsi="仿宋_GB2312" w:eastAsia="仿宋_GB2312" w:cs="仿宋_GB2312"/>
          <w:sz w:val="28"/>
          <w:szCs w:val="28"/>
          <w:highlight w:val="none"/>
          <w:lang w:eastAsia="zh-CN"/>
        </w:rPr>
        <w:t>及合同</w:t>
      </w:r>
      <w:r>
        <w:rPr>
          <w:rFonts w:hint="eastAsia" w:ascii="仿宋_GB2312" w:hAnsi="仿宋_GB2312" w:eastAsia="仿宋_GB2312" w:cs="仿宋_GB2312"/>
          <w:sz w:val="28"/>
          <w:szCs w:val="28"/>
          <w:highlight w:val="none"/>
        </w:rPr>
        <w:t>执行中共同签署的补充与修正文件。</w:t>
      </w:r>
    </w:p>
    <w:p w14:paraId="27D13D59">
      <w:pPr>
        <w:keepNext w:val="0"/>
        <w:keepLines w:val="0"/>
        <w:pageBreakBefore w:val="0"/>
        <w:widowControl w:val="0"/>
        <w:kinsoku/>
        <w:wordWrap/>
        <w:overflowPunct/>
        <w:topLinePunct w:val="0"/>
        <w:autoSpaceDE/>
        <w:autoSpaceDN/>
        <w:bidi w:val="0"/>
        <w:spacing w:line="560" w:lineRule="exact"/>
        <w:ind w:left="0" w:firstLine="562" w:firstLineChars="200"/>
        <w:jc w:val="both"/>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 xml:space="preserve"> </w:t>
      </w:r>
      <w:r>
        <w:rPr>
          <w:rFonts w:hint="eastAsia" w:ascii="仿宋_GB2312" w:hAnsi="仿宋_GB2312" w:eastAsia="仿宋_GB2312" w:cs="仿宋_GB2312"/>
          <w:b w:val="0"/>
          <w:bCs w:val="0"/>
          <w:kern w:val="2"/>
          <w:sz w:val="28"/>
          <w:szCs w:val="28"/>
          <w:highlight w:val="none"/>
          <w:lang w:val="en-US" w:eastAsia="zh-CN" w:bidi="ar-SA"/>
        </w:rPr>
        <w:t>以上文件互为补充，如果出现内容冲突的情况，优先顺序为（3）、（2）、（1）。</w:t>
      </w:r>
    </w:p>
    <w:p w14:paraId="3F28405F">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本合同一式</w:t>
      </w:r>
      <w:r>
        <w:rPr>
          <w:rFonts w:hint="eastAsia" w:ascii="仿宋_GB2312" w:hAnsi="仿宋_GB2312" w:eastAsia="仿宋_GB2312" w:cs="仿宋_GB2312"/>
          <w:sz w:val="28"/>
          <w:szCs w:val="28"/>
          <w:highlight w:val="none"/>
          <w:u w:val="single"/>
          <w:lang w:val="en-US" w:eastAsia="zh-CN"/>
        </w:rPr>
        <w:t xml:space="preserve"> 拾 </w:t>
      </w:r>
      <w:r>
        <w:rPr>
          <w:rFonts w:hint="eastAsia" w:ascii="仿宋_GB2312" w:hAnsi="仿宋_GB2312" w:eastAsia="仿宋_GB2312" w:cs="仿宋_GB2312"/>
          <w:sz w:val="28"/>
          <w:szCs w:val="28"/>
          <w:highlight w:val="none"/>
        </w:rPr>
        <w:t>份，甲执</w:t>
      </w:r>
      <w:r>
        <w:rPr>
          <w:rFonts w:hint="eastAsia" w:ascii="仿宋_GB2312" w:hAnsi="仿宋_GB2312" w:eastAsia="仿宋_GB2312" w:cs="仿宋_GB2312"/>
          <w:b w:val="0"/>
          <w:bCs w:val="0"/>
          <w:sz w:val="28"/>
          <w:szCs w:val="28"/>
          <w:highlight w:val="none"/>
          <w:u w:val="single"/>
          <w:lang w:val="en-US" w:eastAsia="zh-CN"/>
        </w:rPr>
        <w:t xml:space="preserve"> 陆 </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乙方执</w:t>
      </w:r>
      <w:r>
        <w:rPr>
          <w:rFonts w:hint="eastAsia" w:ascii="仿宋_GB2312" w:hAnsi="仿宋_GB2312" w:eastAsia="仿宋_GB2312" w:cs="仿宋_GB2312"/>
          <w:sz w:val="28"/>
          <w:szCs w:val="28"/>
          <w:highlight w:val="none"/>
          <w:u w:val="single"/>
          <w:lang w:val="en-US" w:eastAsia="zh-CN"/>
        </w:rPr>
        <w:t xml:space="preserve"> 肆 </w:t>
      </w:r>
      <w:r>
        <w:rPr>
          <w:rFonts w:hint="eastAsia" w:ascii="仿宋_GB2312" w:hAnsi="仿宋_GB2312" w:eastAsia="仿宋_GB2312" w:cs="仿宋_GB2312"/>
          <w:sz w:val="28"/>
          <w:szCs w:val="28"/>
          <w:highlight w:val="none"/>
          <w:lang w:val="en-US" w:eastAsia="zh-CN"/>
        </w:rPr>
        <w:t>份</w:t>
      </w:r>
      <w:r>
        <w:rPr>
          <w:rFonts w:hint="eastAsia" w:ascii="仿宋_GB2312" w:hAnsi="仿宋_GB2312" w:eastAsia="仿宋_GB2312" w:cs="仿宋_GB2312"/>
          <w:sz w:val="28"/>
          <w:szCs w:val="28"/>
          <w:highlight w:val="none"/>
        </w:rPr>
        <w:t>，具有同等法律效力。本合同自双方法</w:t>
      </w:r>
      <w:r>
        <w:rPr>
          <w:rFonts w:hint="eastAsia" w:ascii="仿宋_GB2312" w:hAnsi="仿宋_GB2312" w:eastAsia="仿宋_GB2312" w:cs="仿宋_GB2312"/>
          <w:sz w:val="28"/>
          <w:szCs w:val="28"/>
          <w:highlight w:val="none"/>
          <w:lang w:val="en-US" w:eastAsia="zh-CN"/>
        </w:rPr>
        <w:t>定代表人或授权代表签字并盖章</w:t>
      </w:r>
      <w:r>
        <w:rPr>
          <w:rFonts w:hint="eastAsia" w:ascii="仿宋_GB2312" w:hAnsi="仿宋_GB2312" w:eastAsia="仿宋_GB2312" w:cs="仿宋_GB2312"/>
          <w:sz w:val="28"/>
          <w:szCs w:val="28"/>
          <w:highlight w:val="none"/>
        </w:rPr>
        <w:t>之日起生效。</w:t>
      </w:r>
    </w:p>
    <w:p w14:paraId="7F8990F9">
      <w:pPr>
        <w:keepNext w:val="0"/>
        <w:keepLines w:val="0"/>
        <w:pageBreakBefore w:val="0"/>
        <w:widowControl w:val="0"/>
        <w:numPr>
          <w:ilvl w:val="-1"/>
          <w:numId w:val="0"/>
        </w:numPr>
        <w:kinsoku/>
        <w:wordWrap/>
        <w:overflowPunct/>
        <w:topLinePunct w:val="0"/>
        <w:autoSpaceDE/>
        <w:autoSpaceDN/>
        <w:bidi w:val="0"/>
        <w:spacing w:line="560" w:lineRule="exact"/>
        <w:ind w:left="0" w:leftChars="0" w:firstLine="560" w:firstLineChars="200"/>
        <w:textAlignment w:val="auto"/>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本合同未尽事宜，双方友好协商，达成解决方案，经双方签字</w:t>
      </w:r>
      <w:r>
        <w:rPr>
          <w:rFonts w:hint="eastAsia" w:ascii="仿宋_GB2312" w:hAnsi="仿宋_GB2312" w:eastAsia="仿宋_GB2312" w:cs="仿宋_GB2312"/>
          <w:sz w:val="28"/>
          <w:szCs w:val="28"/>
          <w:highlight w:val="none"/>
          <w:lang w:val="en-US" w:eastAsia="zh-CN"/>
        </w:rPr>
        <w:t>并盖章</w:t>
      </w:r>
      <w:r>
        <w:rPr>
          <w:rFonts w:hint="eastAsia" w:ascii="仿宋_GB2312" w:hAnsi="仿宋_GB2312" w:eastAsia="仿宋_GB2312" w:cs="仿宋_GB2312"/>
          <w:sz w:val="28"/>
          <w:szCs w:val="28"/>
          <w:highlight w:val="none"/>
        </w:rPr>
        <w:t>后，可作为本合同的有效附件。</w:t>
      </w:r>
      <w:bookmarkEnd w:id="302"/>
      <w:bookmarkEnd w:id="303"/>
      <w:bookmarkEnd w:id="304"/>
      <w:bookmarkEnd w:id="305"/>
      <w:bookmarkEnd w:id="306"/>
      <w:bookmarkEnd w:id="307"/>
      <w:bookmarkEnd w:id="308"/>
      <w:bookmarkEnd w:id="309"/>
      <w:bookmarkEnd w:id="310"/>
      <w:bookmarkEnd w:id="311"/>
      <w:bookmarkEnd w:id="312"/>
      <w:bookmarkEnd w:id="313"/>
    </w:p>
    <w:p w14:paraId="64300B69">
      <w:pPr>
        <w:adjustRightInd w:val="0"/>
        <w:snapToGrid w:val="0"/>
        <w:spacing w:line="560" w:lineRule="exact"/>
        <w:ind w:firstLine="480"/>
        <w:rPr>
          <w:rFonts w:hint="eastAsia" w:ascii="仿宋_GB2312" w:hAnsi="仿宋_GB2312" w:eastAsia="仿宋_GB2312" w:cs="仿宋_GB2312"/>
          <w:sz w:val="28"/>
          <w:szCs w:val="28"/>
          <w:highlight w:val="none"/>
          <w:lang w:val="en-GB"/>
        </w:rPr>
      </w:pPr>
      <w:r>
        <w:rPr>
          <w:rFonts w:hint="eastAsia" w:ascii="仿宋_GB2312" w:hAnsi="仿宋_GB2312" w:eastAsia="仿宋_GB2312" w:cs="仿宋_GB2312"/>
          <w:sz w:val="28"/>
          <w:szCs w:val="28"/>
          <w:highlight w:val="none"/>
          <w:lang w:val="en-GB"/>
        </w:rPr>
        <w:t>（以下无正文）</w:t>
      </w:r>
    </w:p>
    <w:p w14:paraId="232D6A4C">
      <w:pPr>
        <w:rPr>
          <w:rFonts w:hint="eastAsia" w:ascii="宋体" w:hAnsi="宋体"/>
          <w:sz w:val="24"/>
          <w:highlight w:val="none"/>
          <w:lang w:val="en-GB"/>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20"/>
        <w:gridCol w:w="3841"/>
      </w:tblGrid>
      <w:tr w14:paraId="0CA1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282F6C42">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甲方：深圳市新龙观投资发展有限公司（签章）</w:t>
            </w:r>
          </w:p>
        </w:tc>
        <w:tc>
          <w:tcPr>
            <w:tcW w:w="3841" w:type="dxa"/>
            <w:tcBorders>
              <w:tl2br w:val="nil"/>
              <w:tr2bl w:val="nil"/>
            </w:tcBorders>
          </w:tcPr>
          <w:p w14:paraId="59290DA1">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乙方：</w:t>
            </w:r>
            <w:r>
              <w:rPr>
                <w:rFonts w:hint="eastAsia" w:ascii="仿宋" w:hAnsi="仿宋" w:eastAsia="仿宋" w:cs="仿宋"/>
                <w:bCs w:val="0"/>
                <w:kern w:val="2"/>
                <w:sz w:val="28"/>
                <w:szCs w:val="28"/>
                <w:highlight w:val="none"/>
                <w:lang w:val="en-GB" w:eastAsia="zh-CN"/>
              </w:rPr>
              <w:t>XXX</w:t>
            </w:r>
            <w:r>
              <w:rPr>
                <w:rFonts w:hint="eastAsia" w:ascii="仿宋" w:hAnsi="仿宋" w:eastAsia="仿宋" w:cs="仿宋"/>
                <w:bCs w:val="0"/>
                <w:kern w:val="2"/>
                <w:sz w:val="28"/>
                <w:szCs w:val="28"/>
                <w:highlight w:val="none"/>
                <w:lang w:val="en-GB"/>
              </w:rPr>
              <w:t>律师事务</w:t>
            </w:r>
            <w:r>
              <w:rPr>
                <w:rFonts w:hint="eastAsia" w:ascii="仿宋" w:hAnsi="仿宋" w:eastAsia="仿宋" w:cs="仿宋"/>
                <w:sz w:val="28"/>
                <w:szCs w:val="28"/>
                <w:highlight w:val="none"/>
              </w:rPr>
              <w:t>（签章）</w:t>
            </w:r>
          </w:p>
        </w:tc>
      </w:tr>
      <w:tr w14:paraId="1B56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33166CA4">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地址：深圳市龙华区观湖街道鹭湖社区观盛三路10号龙馨家园A栋2101</w:t>
            </w:r>
          </w:p>
        </w:tc>
        <w:tc>
          <w:tcPr>
            <w:tcW w:w="3841" w:type="dxa"/>
            <w:tcBorders>
              <w:tl2br w:val="nil"/>
              <w:tr2bl w:val="nil"/>
            </w:tcBorders>
          </w:tcPr>
          <w:p w14:paraId="413E9A6C">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val="en-US" w:eastAsia="zh-CN"/>
              </w:rPr>
              <w:t xml:space="preserve"> </w:t>
            </w:r>
          </w:p>
        </w:tc>
      </w:tr>
      <w:tr w14:paraId="6BE6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7B50AC67">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w:t>
            </w:r>
          </w:p>
          <w:p w14:paraId="3E3600E1">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（签章）</w:t>
            </w:r>
          </w:p>
        </w:tc>
        <w:tc>
          <w:tcPr>
            <w:tcW w:w="3841" w:type="dxa"/>
            <w:tcBorders>
              <w:tl2br w:val="nil"/>
              <w:tr2bl w:val="nil"/>
            </w:tcBorders>
          </w:tcPr>
          <w:p w14:paraId="01F7FE9E">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w:t>
            </w:r>
          </w:p>
          <w:p w14:paraId="4A804CAB">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（签章）</w:t>
            </w:r>
          </w:p>
        </w:tc>
      </w:tr>
      <w:tr w14:paraId="7CA1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75F4C344">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高工</w:t>
            </w:r>
          </w:p>
        </w:tc>
        <w:tc>
          <w:tcPr>
            <w:tcW w:w="3841" w:type="dxa"/>
            <w:tcBorders>
              <w:tl2br w:val="nil"/>
              <w:tr2bl w:val="nil"/>
            </w:tcBorders>
          </w:tcPr>
          <w:p w14:paraId="3906E9EB">
            <w:pPr>
              <w:adjustRightInd/>
              <w:snapToGrid/>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 xml:space="preserve"> </w:t>
            </w:r>
          </w:p>
        </w:tc>
      </w:tr>
      <w:tr w14:paraId="0DE3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413F744C">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电话：0755-29809916</w:t>
            </w:r>
          </w:p>
        </w:tc>
        <w:tc>
          <w:tcPr>
            <w:tcW w:w="3841" w:type="dxa"/>
            <w:tcBorders>
              <w:tl2br w:val="nil"/>
              <w:tr2bl w:val="nil"/>
            </w:tcBorders>
          </w:tcPr>
          <w:p w14:paraId="08AF89AC">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p>
        </w:tc>
      </w:tr>
      <w:tr w14:paraId="1C6E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20" w:type="dxa"/>
            <w:tcBorders>
              <w:tl2br w:val="nil"/>
              <w:tr2bl w:val="nil"/>
            </w:tcBorders>
          </w:tcPr>
          <w:p w14:paraId="2DA2B1EB">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lang w:eastAsia="zh-CN"/>
              </w:rPr>
              <w:t>2025</w:t>
            </w:r>
            <w:r>
              <w:rPr>
                <w:rFonts w:hint="eastAsia" w:ascii="仿宋" w:hAnsi="仿宋" w:eastAsia="仿宋" w:cs="仿宋"/>
                <w:sz w:val="28"/>
                <w:szCs w:val="28"/>
                <w:highlight w:val="none"/>
              </w:rPr>
              <w:t xml:space="preserve">年4月   日 </w:t>
            </w:r>
          </w:p>
        </w:tc>
        <w:tc>
          <w:tcPr>
            <w:tcW w:w="3841" w:type="dxa"/>
            <w:tcBorders>
              <w:tl2br w:val="nil"/>
              <w:tr2bl w:val="nil"/>
            </w:tcBorders>
          </w:tcPr>
          <w:p w14:paraId="73AFDA5C">
            <w:pPr>
              <w:spacing w:line="240" w:lineRule="auto"/>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lang w:eastAsia="zh-CN"/>
              </w:rPr>
              <w:t>2025</w:t>
            </w:r>
            <w:r>
              <w:rPr>
                <w:rFonts w:hint="eastAsia" w:ascii="仿宋" w:hAnsi="仿宋" w:eastAsia="仿宋" w:cs="仿宋"/>
                <w:sz w:val="28"/>
                <w:szCs w:val="28"/>
                <w:highlight w:val="none"/>
              </w:rPr>
              <w:t xml:space="preserve">年4月   日 </w:t>
            </w:r>
          </w:p>
        </w:tc>
      </w:tr>
    </w:tbl>
    <w:p w14:paraId="002BB981">
      <w:pPr>
        <w:rPr>
          <w:rFonts w:hint="eastAsia"/>
          <w:highlight w:val="none"/>
          <w:lang w:val="en-GB"/>
        </w:rPr>
      </w:pPr>
    </w:p>
    <w:p w14:paraId="0A75CB58">
      <w:pPr>
        <w:pStyle w:val="26"/>
        <w:ind w:left="0" w:leftChars="0" w:firstLine="0" w:firstLineChars="0"/>
        <w:rPr>
          <w:rFonts w:hint="eastAsia" w:eastAsia="宋体"/>
          <w:highlight w:val="none"/>
          <w:lang w:val="en-US" w:eastAsia="zh-CN"/>
        </w:rPr>
      </w:pPr>
      <w:r>
        <w:rPr>
          <w:rFonts w:hint="eastAsia" w:ascii="仿宋_GB2312" w:hAnsi="仿宋_GB2312" w:eastAsia="仿宋_GB2312" w:cs="仿宋_GB2312"/>
          <w:sz w:val="28"/>
          <w:szCs w:val="28"/>
          <w:highlight w:val="none"/>
          <w:lang w:val="en-US" w:eastAsia="zh-CN"/>
        </w:rPr>
        <w:t>附件1：项目人员汇总表</w:t>
      </w:r>
    </w:p>
    <w:tbl>
      <w:tblPr>
        <w:tblStyle w:val="27"/>
        <w:tblW w:w="4997" w:type="pct"/>
        <w:jc w:val="center"/>
        <w:tblLayout w:type="autofit"/>
        <w:tblCellMar>
          <w:top w:w="0" w:type="dxa"/>
          <w:left w:w="108" w:type="dxa"/>
          <w:bottom w:w="0" w:type="dxa"/>
          <w:right w:w="108" w:type="dxa"/>
        </w:tblCellMar>
      </w:tblPr>
      <w:tblGrid>
        <w:gridCol w:w="924"/>
        <w:gridCol w:w="1363"/>
        <w:gridCol w:w="2126"/>
        <w:gridCol w:w="2543"/>
        <w:gridCol w:w="2100"/>
      </w:tblGrid>
      <w:tr w14:paraId="43E40EE0">
        <w:tblPrEx>
          <w:tblCellMar>
            <w:top w:w="0" w:type="dxa"/>
            <w:left w:w="108" w:type="dxa"/>
            <w:bottom w:w="0" w:type="dxa"/>
            <w:right w:w="108" w:type="dxa"/>
          </w:tblCellMar>
        </w:tblPrEx>
        <w:trPr>
          <w:trHeight w:val="753" w:hRule="atLeast"/>
          <w:jc w:val="center"/>
        </w:trPr>
        <w:tc>
          <w:tcPr>
            <w:tcW w:w="510" w:type="pct"/>
            <w:tcBorders>
              <w:top w:val="single" w:color="000000" w:sz="8" w:space="0"/>
              <w:left w:val="single" w:color="000000" w:sz="8" w:space="0"/>
              <w:bottom w:val="single" w:color="000000" w:sz="4" w:space="0"/>
              <w:right w:val="single" w:color="000000" w:sz="4" w:space="0"/>
            </w:tcBorders>
            <w:shd w:val="clear" w:color="auto" w:fill="C7DAF1"/>
            <w:noWrap w:val="0"/>
            <w:vAlign w:val="center"/>
          </w:tcPr>
          <w:p w14:paraId="40A60A1A">
            <w:pPr>
              <w:widowControl/>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序号</w:t>
            </w:r>
          </w:p>
        </w:tc>
        <w:tc>
          <w:tcPr>
            <w:tcW w:w="752"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13FD3075">
            <w:pPr>
              <w:widowControl/>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姓  名</w:t>
            </w:r>
          </w:p>
        </w:tc>
        <w:tc>
          <w:tcPr>
            <w:tcW w:w="1173"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2747E7D2">
            <w:pPr>
              <w:widowControl/>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拟任职务</w:t>
            </w:r>
          </w:p>
        </w:tc>
        <w:tc>
          <w:tcPr>
            <w:tcW w:w="1403" w:type="pct"/>
            <w:tcBorders>
              <w:top w:val="single" w:color="000000" w:sz="8" w:space="0"/>
              <w:left w:val="single" w:color="000000" w:sz="4" w:space="0"/>
              <w:bottom w:val="single" w:color="000000" w:sz="4" w:space="0"/>
              <w:right w:val="single" w:color="000000" w:sz="4" w:space="0"/>
            </w:tcBorders>
            <w:shd w:val="clear" w:color="auto" w:fill="C7DAF1"/>
            <w:noWrap w:val="0"/>
            <w:vAlign w:val="center"/>
          </w:tcPr>
          <w:p w14:paraId="123E5F8F">
            <w:pPr>
              <w:widowControl/>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执业资格</w:t>
            </w:r>
          </w:p>
        </w:tc>
        <w:tc>
          <w:tcPr>
            <w:tcW w:w="1159" w:type="pct"/>
            <w:tcBorders>
              <w:top w:val="single" w:color="000000" w:sz="8" w:space="0"/>
              <w:left w:val="single" w:color="000000" w:sz="4" w:space="0"/>
              <w:bottom w:val="single" w:color="000000" w:sz="4" w:space="0"/>
              <w:right w:val="single" w:color="000000" w:sz="8" w:space="0"/>
            </w:tcBorders>
            <w:shd w:val="clear" w:color="auto" w:fill="C7DAF1"/>
            <w:noWrap w:val="0"/>
            <w:vAlign w:val="center"/>
          </w:tcPr>
          <w:p w14:paraId="09353163">
            <w:pPr>
              <w:widowControl/>
              <w:jc w:val="center"/>
              <w:textAlignment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kern w:val="0"/>
                <w:sz w:val="24"/>
                <w:highlight w:val="none"/>
                <w:lang w:bidi="ar"/>
              </w:rPr>
              <w:t>项目经验</w:t>
            </w:r>
          </w:p>
        </w:tc>
      </w:tr>
      <w:tr w14:paraId="433B52E5">
        <w:tblPrEx>
          <w:tblCellMar>
            <w:top w:w="0" w:type="dxa"/>
            <w:left w:w="108" w:type="dxa"/>
            <w:bottom w:w="0" w:type="dxa"/>
            <w:right w:w="108" w:type="dxa"/>
          </w:tblCellMar>
        </w:tblPrEx>
        <w:trPr>
          <w:trHeight w:val="612"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26CDACB1">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0CA4D5B">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08FD7AFE">
            <w:pPr>
              <w:widowControl/>
              <w:jc w:val="center"/>
              <w:textAlignment w:val="auto"/>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61CA9B56">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32C08EC2">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343551A2">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3573A740">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07F305B6">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383CD749">
            <w:pPr>
              <w:widowControl/>
              <w:jc w:val="center"/>
              <w:textAlignment w:val="auto"/>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0E41A5D1">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3EC23C75">
            <w:pPr>
              <w:widowControl/>
              <w:jc w:val="center"/>
              <w:textAlignment w:val="auto"/>
              <w:rPr>
                <w:rFonts w:hint="eastAsia" w:ascii="仿宋_GB2312" w:hAnsi="仿宋_GB2312" w:eastAsia="仿宋_GB2312" w:cs="仿宋_GB2312"/>
                <w:color w:val="000000"/>
                <w:sz w:val="24"/>
                <w:highlight w:val="none"/>
                <w:lang w:val="en-US" w:eastAsia="zh-CN"/>
              </w:rPr>
            </w:pPr>
          </w:p>
        </w:tc>
      </w:tr>
      <w:tr w14:paraId="75E2744B">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0268D349">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4427474">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21A06D2">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50C9C2D0">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103C47B5">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5E7CF8A9">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08731935">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C81169D">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65D9AEA">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4498D410">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59ECB233">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15C19DDE">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11D8033E">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448EB0D4">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3CC693FE">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460F5CAF">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521D2560">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2F379390">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06F3D975">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6</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FDBB24E">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C352C51">
            <w:pPr>
              <w:widowControl/>
              <w:jc w:val="center"/>
              <w:textAlignment w:val="center"/>
              <w:rPr>
                <w:rFonts w:hint="eastAsia" w:ascii="仿宋_GB2312" w:hAnsi="仿宋_GB2312" w:eastAsia="仿宋_GB2312" w:cs="仿宋_GB2312"/>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20EFBC40">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3C2C79BC">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1196CFA3">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22044202">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7</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BA6A328">
            <w:pPr>
              <w:widowControl/>
              <w:jc w:val="center"/>
              <w:textAlignment w:val="auto"/>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8A2CA0F">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0E46A114">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4C216251">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22AE1FE1">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7F4DCD27">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8</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C5106D9">
            <w:pPr>
              <w:widowControl/>
              <w:jc w:val="center"/>
              <w:textAlignment w:val="auto"/>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5E8FEA4E">
            <w:pPr>
              <w:widowControl/>
              <w:jc w:val="center"/>
              <w:textAlignment w:val="center"/>
              <w:rPr>
                <w:rFonts w:hint="eastAsia" w:ascii="仿宋_GB2312" w:hAnsi="仿宋_GB2312" w:eastAsia="仿宋_GB2312" w:cs="仿宋_GB2312"/>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3457A0A5">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1D9ECE13">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r>
      <w:tr w14:paraId="3EC8FB60">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22AE83B9">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9</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DC5E3FC">
            <w:pPr>
              <w:widowControl/>
              <w:jc w:val="center"/>
              <w:textAlignment w:val="auto"/>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2EF519E">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4E6B13A7">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099A796A">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6E7F419A">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4AF4A286">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10</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3374106">
            <w:pPr>
              <w:widowControl/>
              <w:jc w:val="center"/>
              <w:textAlignment w:val="auto"/>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E75DA4A">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388D2BC9">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7DC3BC8D">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r>
      <w:tr w14:paraId="25EBDDA0">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41473307">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11</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6ECDD7B">
            <w:pPr>
              <w:widowControl/>
              <w:jc w:val="center"/>
              <w:textAlignment w:val="auto"/>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59B087D2">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3F15A59A">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1B672043">
            <w:pPr>
              <w:widowControl/>
              <w:jc w:val="center"/>
              <w:textAlignment w:val="center"/>
              <w:rPr>
                <w:rFonts w:hint="eastAsia" w:ascii="仿宋_GB2312" w:hAnsi="仿宋_GB2312" w:eastAsia="仿宋_GB2312" w:cs="仿宋_GB2312"/>
                <w:b/>
                <w:bCs/>
                <w:color w:val="000000"/>
                <w:kern w:val="2"/>
                <w:sz w:val="24"/>
                <w:szCs w:val="24"/>
                <w:highlight w:val="none"/>
                <w:lang w:val="en-US" w:eastAsia="zh-CN" w:bidi="ar-SA"/>
              </w:rPr>
            </w:pPr>
          </w:p>
        </w:tc>
      </w:tr>
      <w:tr w14:paraId="19107F0E">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0A285499">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12</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2E76DCE6">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30B67EDE">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15CCD2D9">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15945DE8">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663A05A9">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60B97EA1">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13</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6D44165">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A35F740">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5B7BBD02">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31267A26">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7AF23290">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1A487BB1">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14</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056ACBF">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6B2CBFAF">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34F98781">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05AEBB97">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4159CEAD">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7859EE75">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15</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2C1BC3A">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14D37C23">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64C99ED4">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46EBBC77">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1C1C723D">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352463BF">
            <w:pPr>
              <w:widowControl/>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16</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3BA96820">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45BA014C">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185D506D">
            <w:pPr>
              <w:widowControl/>
              <w:jc w:val="center"/>
              <w:textAlignment w:val="center"/>
              <w:rPr>
                <w:rFonts w:hint="eastAsia" w:ascii="仿宋_GB2312" w:hAnsi="仿宋_GB2312" w:eastAsia="仿宋_GB2312" w:cs="仿宋_GB2312"/>
                <w:color w:val="000000"/>
                <w:sz w:val="24"/>
                <w:highlight w:val="none"/>
                <w:lang w:val="en-US" w:eastAsia="zh-CN"/>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3DD8C03A">
            <w:pPr>
              <w:widowControl/>
              <w:jc w:val="center"/>
              <w:textAlignment w:val="center"/>
              <w:rPr>
                <w:rFonts w:hint="eastAsia" w:ascii="仿宋_GB2312" w:hAnsi="仿宋_GB2312" w:eastAsia="仿宋_GB2312" w:cs="仿宋_GB2312"/>
                <w:color w:val="000000"/>
                <w:sz w:val="24"/>
                <w:highlight w:val="none"/>
                <w:lang w:val="en-US" w:eastAsia="zh-CN"/>
              </w:rPr>
            </w:pPr>
          </w:p>
        </w:tc>
      </w:tr>
      <w:tr w14:paraId="55417832">
        <w:tblPrEx>
          <w:tblCellMar>
            <w:top w:w="0" w:type="dxa"/>
            <w:left w:w="108" w:type="dxa"/>
            <w:bottom w:w="0" w:type="dxa"/>
            <w:right w:w="108" w:type="dxa"/>
          </w:tblCellMar>
        </w:tblPrEx>
        <w:trPr>
          <w:trHeight w:val="452"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7643B2F5">
            <w:pPr>
              <w:widowControl/>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17</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6FE26452">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70375C2">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044A6457">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2E36EFC2">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r>
      <w:tr w14:paraId="20699071">
        <w:tblPrEx>
          <w:tblCellMar>
            <w:top w:w="0" w:type="dxa"/>
            <w:left w:w="108" w:type="dxa"/>
            <w:bottom w:w="0" w:type="dxa"/>
            <w:right w:w="108" w:type="dxa"/>
          </w:tblCellMar>
        </w:tblPrEx>
        <w:trPr>
          <w:trHeight w:val="43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1279B819">
            <w:pPr>
              <w:widowControl/>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18</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5647B731">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07BAEC73">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2B7C89FC">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16688FF2">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r>
      <w:tr w14:paraId="3F118B78">
        <w:tblPrEx>
          <w:tblCellMar>
            <w:top w:w="0" w:type="dxa"/>
            <w:left w:w="108" w:type="dxa"/>
            <w:bottom w:w="0" w:type="dxa"/>
            <w:right w:w="108" w:type="dxa"/>
          </w:tblCellMar>
        </w:tblPrEx>
        <w:trPr>
          <w:trHeight w:val="443" w:hRule="atLeast"/>
          <w:jc w:val="center"/>
        </w:trPr>
        <w:tc>
          <w:tcPr>
            <w:tcW w:w="510" w:type="pct"/>
            <w:tcBorders>
              <w:top w:val="single" w:color="000000" w:sz="4" w:space="0"/>
              <w:left w:val="single" w:color="000000" w:sz="8" w:space="0"/>
              <w:bottom w:val="single" w:color="000000" w:sz="4" w:space="0"/>
              <w:right w:val="single" w:color="000000" w:sz="4" w:space="0"/>
            </w:tcBorders>
            <w:noWrap w:val="0"/>
            <w:vAlign w:val="center"/>
          </w:tcPr>
          <w:p w14:paraId="75165F31">
            <w:pPr>
              <w:widowControl/>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19</w:t>
            </w:r>
          </w:p>
        </w:tc>
        <w:tc>
          <w:tcPr>
            <w:tcW w:w="752" w:type="pct"/>
            <w:tcBorders>
              <w:top w:val="single" w:color="000000" w:sz="4" w:space="0"/>
              <w:left w:val="single" w:color="000000" w:sz="4" w:space="0"/>
              <w:bottom w:val="single" w:color="000000" w:sz="4" w:space="0"/>
              <w:right w:val="single" w:color="000000" w:sz="4" w:space="0"/>
            </w:tcBorders>
            <w:noWrap w:val="0"/>
            <w:vAlign w:val="center"/>
          </w:tcPr>
          <w:p w14:paraId="1C5E6F05">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73" w:type="pct"/>
            <w:tcBorders>
              <w:top w:val="single" w:color="000000" w:sz="4" w:space="0"/>
              <w:left w:val="single" w:color="000000" w:sz="4" w:space="0"/>
              <w:bottom w:val="single" w:color="000000" w:sz="4" w:space="0"/>
              <w:right w:val="single" w:color="000000" w:sz="4" w:space="0"/>
            </w:tcBorders>
            <w:noWrap w:val="0"/>
            <w:vAlign w:val="center"/>
          </w:tcPr>
          <w:p w14:paraId="7AF6DAD3">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403" w:type="pct"/>
            <w:tcBorders>
              <w:top w:val="single" w:color="000000" w:sz="4" w:space="0"/>
              <w:left w:val="single" w:color="000000" w:sz="4" w:space="0"/>
              <w:bottom w:val="single" w:color="000000" w:sz="4" w:space="0"/>
              <w:right w:val="single" w:color="000000" w:sz="4" w:space="0"/>
            </w:tcBorders>
            <w:noWrap w:val="0"/>
            <w:vAlign w:val="center"/>
          </w:tcPr>
          <w:p w14:paraId="795406FE">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c>
          <w:tcPr>
            <w:tcW w:w="1159" w:type="pct"/>
            <w:tcBorders>
              <w:top w:val="single" w:color="000000" w:sz="4" w:space="0"/>
              <w:left w:val="single" w:color="000000" w:sz="4" w:space="0"/>
              <w:bottom w:val="single" w:color="000000" w:sz="4" w:space="0"/>
              <w:right w:val="single" w:color="000000" w:sz="8" w:space="0"/>
            </w:tcBorders>
            <w:noWrap w:val="0"/>
            <w:vAlign w:val="center"/>
          </w:tcPr>
          <w:p w14:paraId="671DEE80">
            <w:pPr>
              <w:widowControl/>
              <w:jc w:val="center"/>
              <w:textAlignment w:val="center"/>
              <w:rPr>
                <w:rFonts w:hint="eastAsia" w:ascii="仿宋_GB2312" w:hAnsi="仿宋_GB2312" w:eastAsia="仿宋_GB2312" w:cs="仿宋_GB2312"/>
                <w:color w:val="000000"/>
                <w:kern w:val="2"/>
                <w:sz w:val="24"/>
                <w:szCs w:val="24"/>
                <w:highlight w:val="none"/>
                <w:lang w:val="en-US" w:eastAsia="zh-CN" w:bidi="ar-SA"/>
              </w:rPr>
            </w:pPr>
          </w:p>
        </w:tc>
      </w:tr>
    </w:tbl>
    <w:p w14:paraId="71804A6A">
      <w:pPr>
        <w:rPr>
          <w:highlight w:val="none"/>
        </w:rPr>
      </w:pPr>
    </w:p>
    <w:sectPr>
      <w:headerReference r:id="rId4" w:type="first"/>
      <w:headerReference r:id="rId3" w:type="default"/>
      <w:footerReference r:id="rId5" w:type="default"/>
      <w:footerReference r:id="rId6"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7BF608-F7FC-4BCF-B5BE-930C3E8E06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文鼎CS书宋二">
    <w:altName w:val="宋体"/>
    <w:panose1 w:val="020B0604020202020204"/>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540D0E08-20E0-4C2E-BDF7-8B6FDCAF059B}"/>
  </w:font>
  <w:font w:name="方正书宋简体">
    <w:altName w:val="宋体"/>
    <w:panose1 w:val="020B0604020202020204"/>
    <w:charset w:val="86"/>
    <w:family w:val="auto"/>
    <w:pitch w:val="default"/>
    <w:sig w:usb0="00000000" w:usb1="00000000" w:usb2="00000010" w:usb3="00000000" w:csb0="00040000" w:csb1="00000000"/>
    <w:embedRegular r:id="rId3" w:fontKey="{203341D9-2898-44E8-BDDD-C3ECC4FE294E}"/>
  </w:font>
  <w:font w:name="仿宋">
    <w:panose1 w:val="02010609060101010101"/>
    <w:charset w:val="86"/>
    <w:family w:val="auto"/>
    <w:pitch w:val="default"/>
    <w:sig w:usb0="800002BF" w:usb1="38CF7CFA" w:usb2="00000016" w:usb3="00000000" w:csb0="00040001" w:csb1="00000000"/>
    <w:embedRegular r:id="rId4" w:fontKey="{2A106CD1-B658-4FC4-A8A7-17D20CFBE04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622D">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0C26AB">
                          <w:pPr>
                            <w:pStyle w:val="17"/>
                            <w:jc w:val="center"/>
                          </w:pPr>
                          <w:r>
                            <w:fldChar w:fldCharType="begin"/>
                          </w:r>
                          <w:r>
                            <w:instrText xml:space="preserve">PAGE   \* MERGEFORMAT</w:instrText>
                          </w:r>
                          <w:r>
                            <w:fldChar w:fldCharType="separate"/>
                          </w:r>
                          <w:r>
                            <w:rPr>
                              <w:lang w:val="zh-CN"/>
                            </w:rPr>
                            <w:t>1</w:t>
                          </w:r>
                          <w:r>
                            <w:rPr>
                              <w:lang w:val="zh-CN"/>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7OfdsBAADAAwAADgAAAGRycy9lMm9Eb2MueG1srVPNjtMwEL4j8Q6W&#10;7zTZI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9w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Avs592wEAAMADAAAOAAAAAAAAAAEA&#10;IAAAAB4BAABkcnMvZTJvRG9jLnhtbFBLBQYAAAAABgAGAFkBAABrBQAAAAA=&#10;">
              <v:fill on="f" focussize="0,0"/>
              <v:stroke on="f"/>
              <v:imagedata o:title=""/>
              <o:lock v:ext="edit" aspectratio="f"/>
              <v:textbox inset="0mm,0mm,0mm,0mm" style="mso-fit-shape-to-text:t;">
                <w:txbxContent>
                  <w:p w14:paraId="4B0C26AB">
                    <w:pPr>
                      <w:pStyle w:val="17"/>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A02E">
    <w:pPr>
      <w:pStyle w:val="17"/>
      <w:framePr w:wrap="around" w:vAnchor="text" w:hAnchor="margin" w:xAlign="center" w:y="1"/>
      <w:rPr>
        <w:rStyle w:val="72"/>
      </w:rPr>
    </w:pPr>
    <w:r>
      <w:fldChar w:fldCharType="begin"/>
    </w:r>
    <w:r>
      <w:rPr>
        <w:rStyle w:val="72"/>
      </w:rPr>
      <w:instrText xml:space="preserve">PAGE  </w:instrText>
    </w:r>
    <w:r>
      <w:fldChar w:fldCharType="separate"/>
    </w:r>
    <w:r>
      <w:rPr>
        <w:rStyle w:val="72"/>
      </w:rPr>
      <w:t>8</w:t>
    </w:r>
    <w:r>
      <w:fldChar w:fldCharType="end"/>
    </w:r>
  </w:p>
  <w:p w14:paraId="33FFD65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F8316">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2329">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88756"/>
    <w:multiLevelType w:val="singleLevel"/>
    <w:tmpl w:val="9F488756"/>
    <w:lvl w:ilvl="0" w:tentative="0">
      <w:start w:val="2"/>
      <w:numFmt w:val="chineseCounting"/>
      <w:suff w:val="space"/>
      <w:lvlText w:val="第%1节"/>
      <w:lvlJc w:val="left"/>
      <w:rPr>
        <w:rFonts w:hint="eastAsia"/>
      </w:rPr>
    </w:lvl>
  </w:abstractNum>
  <w:abstractNum w:abstractNumId="1">
    <w:nsid w:val="A4D367D0"/>
    <w:multiLevelType w:val="singleLevel"/>
    <w:tmpl w:val="A4D367D0"/>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1111">
    <w15:presenceInfo w15:providerId="WPS Office" w15:userId="3370978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MDk3YTY1MmVlMDEyMDA0NTk1MWNhOWFlNjhkMzgifQ=="/>
  </w:docVars>
  <w:rsids>
    <w:rsidRoot w:val="002E0394"/>
    <w:rsid w:val="000030DE"/>
    <w:rsid w:val="00006805"/>
    <w:rsid w:val="00031DA4"/>
    <w:rsid w:val="0003331A"/>
    <w:rsid w:val="00043A7A"/>
    <w:rsid w:val="00047E9F"/>
    <w:rsid w:val="0006516C"/>
    <w:rsid w:val="00067CCF"/>
    <w:rsid w:val="000766C4"/>
    <w:rsid w:val="00077AAB"/>
    <w:rsid w:val="00091977"/>
    <w:rsid w:val="00091BBC"/>
    <w:rsid w:val="00096029"/>
    <w:rsid w:val="000A226B"/>
    <w:rsid w:val="000A24BC"/>
    <w:rsid w:val="000A4187"/>
    <w:rsid w:val="000B214B"/>
    <w:rsid w:val="000B2C33"/>
    <w:rsid w:val="000B333D"/>
    <w:rsid w:val="000D3A0A"/>
    <w:rsid w:val="000E46BF"/>
    <w:rsid w:val="000F6271"/>
    <w:rsid w:val="000F7207"/>
    <w:rsid w:val="001028CC"/>
    <w:rsid w:val="00104C58"/>
    <w:rsid w:val="00105A6B"/>
    <w:rsid w:val="00107176"/>
    <w:rsid w:val="00132C5D"/>
    <w:rsid w:val="00133AA3"/>
    <w:rsid w:val="00135177"/>
    <w:rsid w:val="001403A7"/>
    <w:rsid w:val="001457C6"/>
    <w:rsid w:val="001471C6"/>
    <w:rsid w:val="001520B3"/>
    <w:rsid w:val="00156217"/>
    <w:rsid w:val="00161BBE"/>
    <w:rsid w:val="00161EA1"/>
    <w:rsid w:val="00172441"/>
    <w:rsid w:val="001733BD"/>
    <w:rsid w:val="00174A27"/>
    <w:rsid w:val="001775F1"/>
    <w:rsid w:val="001923BC"/>
    <w:rsid w:val="00197582"/>
    <w:rsid w:val="001A5D1E"/>
    <w:rsid w:val="001C767E"/>
    <w:rsid w:val="001D6D4C"/>
    <w:rsid w:val="001E3C35"/>
    <w:rsid w:val="001E3C6F"/>
    <w:rsid w:val="002022B1"/>
    <w:rsid w:val="0020433D"/>
    <w:rsid w:val="00210167"/>
    <w:rsid w:val="0021224D"/>
    <w:rsid w:val="002142B7"/>
    <w:rsid w:val="002268E5"/>
    <w:rsid w:val="00227008"/>
    <w:rsid w:val="0023743E"/>
    <w:rsid w:val="00266C76"/>
    <w:rsid w:val="002713E3"/>
    <w:rsid w:val="00275429"/>
    <w:rsid w:val="00281344"/>
    <w:rsid w:val="002825E8"/>
    <w:rsid w:val="002850C0"/>
    <w:rsid w:val="00294909"/>
    <w:rsid w:val="002A39D3"/>
    <w:rsid w:val="002A6E7E"/>
    <w:rsid w:val="002C7F0D"/>
    <w:rsid w:val="002D3739"/>
    <w:rsid w:val="002D38EE"/>
    <w:rsid w:val="002E0394"/>
    <w:rsid w:val="002E1415"/>
    <w:rsid w:val="002F1606"/>
    <w:rsid w:val="002F1A50"/>
    <w:rsid w:val="002F209B"/>
    <w:rsid w:val="00300C53"/>
    <w:rsid w:val="00303E32"/>
    <w:rsid w:val="00313178"/>
    <w:rsid w:val="00331407"/>
    <w:rsid w:val="00341B61"/>
    <w:rsid w:val="00342C1F"/>
    <w:rsid w:val="00345A75"/>
    <w:rsid w:val="003517E5"/>
    <w:rsid w:val="00355B7F"/>
    <w:rsid w:val="00357890"/>
    <w:rsid w:val="00360294"/>
    <w:rsid w:val="00360E4F"/>
    <w:rsid w:val="00364607"/>
    <w:rsid w:val="00370A5D"/>
    <w:rsid w:val="00376227"/>
    <w:rsid w:val="0037783F"/>
    <w:rsid w:val="00380A70"/>
    <w:rsid w:val="00391780"/>
    <w:rsid w:val="00391E30"/>
    <w:rsid w:val="00394CA7"/>
    <w:rsid w:val="003A524C"/>
    <w:rsid w:val="003B0269"/>
    <w:rsid w:val="003B2EE2"/>
    <w:rsid w:val="003B4941"/>
    <w:rsid w:val="003D0694"/>
    <w:rsid w:val="003D2DC5"/>
    <w:rsid w:val="003D4F50"/>
    <w:rsid w:val="003E1C4D"/>
    <w:rsid w:val="004014ED"/>
    <w:rsid w:val="00403519"/>
    <w:rsid w:val="004169C9"/>
    <w:rsid w:val="0042045C"/>
    <w:rsid w:val="00423107"/>
    <w:rsid w:val="00455BF5"/>
    <w:rsid w:val="0046008A"/>
    <w:rsid w:val="004666B0"/>
    <w:rsid w:val="00491395"/>
    <w:rsid w:val="00492C5D"/>
    <w:rsid w:val="004A2F39"/>
    <w:rsid w:val="004A7ACF"/>
    <w:rsid w:val="004B18D5"/>
    <w:rsid w:val="004B2237"/>
    <w:rsid w:val="004B228E"/>
    <w:rsid w:val="004C0CED"/>
    <w:rsid w:val="004C79D4"/>
    <w:rsid w:val="004D767E"/>
    <w:rsid w:val="004E73E0"/>
    <w:rsid w:val="00502A4B"/>
    <w:rsid w:val="0050793E"/>
    <w:rsid w:val="00507EA0"/>
    <w:rsid w:val="00514A31"/>
    <w:rsid w:val="00523DC4"/>
    <w:rsid w:val="00526062"/>
    <w:rsid w:val="0052719D"/>
    <w:rsid w:val="00535F5B"/>
    <w:rsid w:val="0054784F"/>
    <w:rsid w:val="00555452"/>
    <w:rsid w:val="005575CC"/>
    <w:rsid w:val="0055782B"/>
    <w:rsid w:val="0056369B"/>
    <w:rsid w:val="00565CD0"/>
    <w:rsid w:val="0057563A"/>
    <w:rsid w:val="00597159"/>
    <w:rsid w:val="005B7916"/>
    <w:rsid w:val="005C5628"/>
    <w:rsid w:val="005D3A53"/>
    <w:rsid w:val="005E0C87"/>
    <w:rsid w:val="005E68A6"/>
    <w:rsid w:val="005E76E3"/>
    <w:rsid w:val="005E7FE4"/>
    <w:rsid w:val="005F2F72"/>
    <w:rsid w:val="00612C07"/>
    <w:rsid w:val="0061489A"/>
    <w:rsid w:val="0062065D"/>
    <w:rsid w:val="00634376"/>
    <w:rsid w:val="0063619F"/>
    <w:rsid w:val="0063704B"/>
    <w:rsid w:val="006372BD"/>
    <w:rsid w:val="0066242C"/>
    <w:rsid w:val="006661AF"/>
    <w:rsid w:val="00667071"/>
    <w:rsid w:val="006674D1"/>
    <w:rsid w:val="006679D8"/>
    <w:rsid w:val="00672C88"/>
    <w:rsid w:val="006740CA"/>
    <w:rsid w:val="00682585"/>
    <w:rsid w:val="006955B1"/>
    <w:rsid w:val="006969A0"/>
    <w:rsid w:val="006A5952"/>
    <w:rsid w:val="006C5E15"/>
    <w:rsid w:val="006C725C"/>
    <w:rsid w:val="006D28B8"/>
    <w:rsid w:val="006D3E36"/>
    <w:rsid w:val="006D54DD"/>
    <w:rsid w:val="006E5F6A"/>
    <w:rsid w:val="006F41FA"/>
    <w:rsid w:val="0072483A"/>
    <w:rsid w:val="00725CE8"/>
    <w:rsid w:val="0073327F"/>
    <w:rsid w:val="00743AA6"/>
    <w:rsid w:val="00753FF3"/>
    <w:rsid w:val="00757379"/>
    <w:rsid w:val="0076070B"/>
    <w:rsid w:val="00763C36"/>
    <w:rsid w:val="007659FA"/>
    <w:rsid w:val="00773C6E"/>
    <w:rsid w:val="00781417"/>
    <w:rsid w:val="0078699E"/>
    <w:rsid w:val="00787C23"/>
    <w:rsid w:val="00794743"/>
    <w:rsid w:val="00795634"/>
    <w:rsid w:val="007A7993"/>
    <w:rsid w:val="007C1560"/>
    <w:rsid w:val="007C4CF5"/>
    <w:rsid w:val="007D5B86"/>
    <w:rsid w:val="007D6FAD"/>
    <w:rsid w:val="007F52BE"/>
    <w:rsid w:val="007F7ACE"/>
    <w:rsid w:val="007F7DF6"/>
    <w:rsid w:val="00804A76"/>
    <w:rsid w:val="008065BD"/>
    <w:rsid w:val="00813592"/>
    <w:rsid w:val="00816AC2"/>
    <w:rsid w:val="00816C0C"/>
    <w:rsid w:val="0081751E"/>
    <w:rsid w:val="00824503"/>
    <w:rsid w:val="00827184"/>
    <w:rsid w:val="00831D4B"/>
    <w:rsid w:val="00832868"/>
    <w:rsid w:val="00832A31"/>
    <w:rsid w:val="0084217B"/>
    <w:rsid w:val="00842805"/>
    <w:rsid w:val="0084687D"/>
    <w:rsid w:val="0087105E"/>
    <w:rsid w:val="008769ED"/>
    <w:rsid w:val="008803C2"/>
    <w:rsid w:val="00885A8B"/>
    <w:rsid w:val="00891018"/>
    <w:rsid w:val="00895DB6"/>
    <w:rsid w:val="00896977"/>
    <w:rsid w:val="008A7A5A"/>
    <w:rsid w:val="008C11BE"/>
    <w:rsid w:val="008C1B05"/>
    <w:rsid w:val="008C5C3E"/>
    <w:rsid w:val="008C71E9"/>
    <w:rsid w:val="008C77A9"/>
    <w:rsid w:val="008E50D0"/>
    <w:rsid w:val="008F2B49"/>
    <w:rsid w:val="008F50B9"/>
    <w:rsid w:val="0090234B"/>
    <w:rsid w:val="00915143"/>
    <w:rsid w:val="009155F5"/>
    <w:rsid w:val="0092167F"/>
    <w:rsid w:val="0092198F"/>
    <w:rsid w:val="00930183"/>
    <w:rsid w:val="00931157"/>
    <w:rsid w:val="009325D1"/>
    <w:rsid w:val="00932AB6"/>
    <w:rsid w:val="00945784"/>
    <w:rsid w:val="00963254"/>
    <w:rsid w:val="00973475"/>
    <w:rsid w:val="00993D9A"/>
    <w:rsid w:val="009A40EF"/>
    <w:rsid w:val="009A42DE"/>
    <w:rsid w:val="009B7440"/>
    <w:rsid w:val="009C329C"/>
    <w:rsid w:val="009C7E08"/>
    <w:rsid w:val="009D3858"/>
    <w:rsid w:val="009E55FF"/>
    <w:rsid w:val="009E6537"/>
    <w:rsid w:val="009F063D"/>
    <w:rsid w:val="009F4806"/>
    <w:rsid w:val="00A0100F"/>
    <w:rsid w:val="00A07B63"/>
    <w:rsid w:val="00A142AC"/>
    <w:rsid w:val="00A23EFE"/>
    <w:rsid w:val="00A3573E"/>
    <w:rsid w:val="00A4484D"/>
    <w:rsid w:val="00A46063"/>
    <w:rsid w:val="00A47166"/>
    <w:rsid w:val="00A47570"/>
    <w:rsid w:val="00A675F1"/>
    <w:rsid w:val="00A75164"/>
    <w:rsid w:val="00A81562"/>
    <w:rsid w:val="00A83179"/>
    <w:rsid w:val="00A8390C"/>
    <w:rsid w:val="00A87BE7"/>
    <w:rsid w:val="00A95360"/>
    <w:rsid w:val="00AC3CB1"/>
    <w:rsid w:val="00AC4773"/>
    <w:rsid w:val="00AC595A"/>
    <w:rsid w:val="00AD10EE"/>
    <w:rsid w:val="00AD34FA"/>
    <w:rsid w:val="00AD3B2C"/>
    <w:rsid w:val="00AD72E0"/>
    <w:rsid w:val="00AD7FD5"/>
    <w:rsid w:val="00AF3C3E"/>
    <w:rsid w:val="00AF46C4"/>
    <w:rsid w:val="00B00908"/>
    <w:rsid w:val="00B02600"/>
    <w:rsid w:val="00B3067D"/>
    <w:rsid w:val="00B320F8"/>
    <w:rsid w:val="00B35FA1"/>
    <w:rsid w:val="00B50011"/>
    <w:rsid w:val="00B519F8"/>
    <w:rsid w:val="00B624AB"/>
    <w:rsid w:val="00B6382F"/>
    <w:rsid w:val="00B6706C"/>
    <w:rsid w:val="00B714AC"/>
    <w:rsid w:val="00B71880"/>
    <w:rsid w:val="00B7278D"/>
    <w:rsid w:val="00B769EE"/>
    <w:rsid w:val="00B84B97"/>
    <w:rsid w:val="00B93ACA"/>
    <w:rsid w:val="00B96145"/>
    <w:rsid w:val="00BA1B3C"/>
    <w:rsid w:val="00BA2A93"/>
    <w:rsid w:val="00BA6F13"/>
    <w:rsid w:val="00BB157A"/>
    <w:rsid w:val="00BD15F6"/>
    <w:rsid w:val="00BD1DEB"/>
    <w:rsid w:val="00BE60EF"/>
    <w:rsid w:val="00BF5723"/>
    <w:rsid w:val="00C04C34"/>
    <w:rsid w:val="00C06585"/>
    <w:rsid w:val="00C1381F"/>
    <w:rsid w:val="00C15922"/>
    <w:rsid w:val="00C23CCA"/>
    <w:rsid w:val="00C3745C"/>
    <w:rsid w:val="00C514F2"/>
    <w:rsid w:val="00C52C54"/>
    <w:rsid w:val="00C5520A"/>
    <w:rsid w:val="00C63BC0"/>
    <w:rsid w:val="00C72722"/>
    <w:rsid w:val="00C75A18"/>
    <w:rsid w:val="00C77042"/>
    <w:rsid w:val="00C871C1"/>
    <w:rsid w:val="00C87244"/>
    <w:rsid w:val="00CB3572"/>
    <w:rsid w:val="00CC3A8B"/>
    <w:rsid w:val="00CC5EB1"/>
    <w:rsid w:val="00D03AC1"/>
    <w:rsid w:val="00D2152A"/>
    <w:rsid w:val="00D26300"/>
    <w:rsid w:val="00D340D4"/>
    <w:rsid w:val="00D36551"/>
    <w:rsid w:val="00D435B1"/>
    <w:rsid w:val="00D47FEA"/>
    <w:rsid w:val="00D5512F"/>
    <w:rsid w:val="00D624AF"/>
    <w:rsid w:val="00D636CA"/>
    <w:rsid w:val="00D77660"/>
    <w:rsid w:val="00D82924"/>
    <w:rsid w:val="00D957CD"/>
    <w:rsid w:val="00D9592B"/>
    <w:rsid w:val="00DA371E"/>
    <w:rsid w:val="00DA3CB9"/>
    <w:rsid w:val="00DA458F"/>
    <w:rsid w:val="00DA6284"/>
    <w:rsid w:val="00DA77B9"/>
    <w:rsid w:val="00DB0D28"/>
    <w:rsid w:val="00DC21E5"/>
    <w:rsid w:val="00DC2D16"/>
    <w:rsid w:val="00DC5EBE"/>
    <w:rsid w:val="00DD08CE"/>
    <w:rsid w:val="00DD0DA5"/>
    <w:rsid w:val="00DE27B6"/>
    <w:rsid w:val="00E0233D"/>
    <w:rsid w:val="00E24C84"/>
    <w:rsid w:val="00E25594"/>
    <w:rsid w:val="00E2637A"/>
    <w:rsid w:val="00E26E0A"/>
    <w:rsid w:val="00E31969"/>
    <w:rsid w:val="00E35BB8"/>
    <w:rsid w:val="00E434AA"/>
    <w:rsid w:val="00E4403A"/>
    <w:rsid w:val="00E645F4"/>
    <w:rsid w:val="00E651CE"/>
    <w:rsid w:val="00E66A07"/>
    <w:rsid w:val="00E80270"/>
    <w:rsid w:val="00E86D51"/>
    <w:rsid w:val="00E923C0"/>
    <w:rsid w:val="00E92C38"/>
    <w:rsid w:val="00E94330"/>
    <w:rsid w:val="00EA0D49"/>
    <w:rsid w:val="00EA1A61"/>
    <w:rsid w:val="00EB1BAB"/>
    <w:rsid w:val="00EC2C12"/>
    <w:rsid w:val="00EC529D"/>
    <w:rsid w:val="00EC610A"/>
    <w:rsid w:val="00ED64C9"/>
    <w:rsid w:val="00ED7255"/>
    <w:rsid w:val="00EE6E00"/>
    <w:rsid w:val="00EF5C42"/>
    <w:rsid w:val="00F04163"/>
    <w:rsid w:val="00F065EF"/>
    <w:rsid w:val="00F26C3C"/>
    <w:rsid w:val="00F40F24"/>
    <w:rsid w:val="00F4320A"/>
    <w:rsid w:val="00F47174"/>
    <w:rsid w:val="00F62EDF"/>
    <w:rsid w:val="00F72CE0"/>
    <w:rsid w:val="00F77C66"/>
    <w:rsid w:val="00F80534"/>
    <w:rsid w:val="00F80A9F"/>
    <w:rsid w:val="00F90D2F"/>
    <w:rsid w:val="00F9682A"/>
    <w:rsid w:val="00F97227"/>
    <w:rsid w:val="00FA2BF5"/>
    <w:rsid w:val="00FA63C2"/>
    <w:rsid w:val="00FB39C4"/>
    <w:rsid w:val="00FB713E"/>
    <w:rsid w:val="00FC44A2"/>
    <w:rsid w:val="00FC4668"/>
    <w:rsid w:val="00FC787E"/>
    <w:rsid w:val="00FD1B37"/>
    <w:rsid w:val="00FD27FC"/>
    <w:rsid w:val="00FD5CAE"/>
    <w:rsid w:val="00FE3D1B"/>
    <w:rsid w:val="00FE4D3B"/>
    <w:rsid w:val="00FE7400"/>
    <w:rsid w:val="00FF50EE"/>
    <w:rsid w:val="01431A4A"/>
    <w:rsid w:val="016F6D84"/>
    <w:rsid w:val="01BC79AE"/>
    <w:rsid w:val="01C427B2"/>
    <w:rsid w:val="021879B2"/>
    <w:rsid w:val="02486616"/>
    <w:rsid w:val="02AD51E0"/>
    <w:rsid w:val="02C93024"/>
    <w:rsid w:val="02CF16B0"/>
    <w:rsid w:val="03B30A96"/>
    <w:rsid w:val="04410B06"/>
    <w:rsid w:val="046F53F6"/>
    <w:rsid w:val="049C7C63"/>
    <w:rsid w:val="04DD0D8A"/>
    <w:rsid w:val="05B059F0"/>
    <w:rsid w:val="06357338"/>
    <w:rsid w:val="06805878"/>
    <w:rsid w:val="06873CCA"/>
    <w:rsid w:val="07456C14"/>
    <w:rsid w:val="07F359B7"/>
    <w:rsid w:val="08194143"/>
    <w:rsid w:val="08B74F35"/>
    <w:rsid w:val="0A1D2D70"/>
    <w:rsid w:val="0A516380"/>
    <w:rsid w:val="0B8F33AD"/>
    <w:rsid w:val="0B91318E"/>
    <w:rsid w:val="0BBF6171"/>
    <w:rsid w:val="0CA63FD9"/>
    <w:rsid w:val="0CB03AB7"/>
    <w:rsid w:val="0D4C10F6"/>
    <w:rsid w:val="0E64249E"/>
    <w:rsid w:val="0E8E5328"/>
    <w:rsid w:val="0F276507"/>
    <w:rsid w:val="0FAA2754"/>
    <w:rsid w:val="10296444"/>
    <w:rsid w:val="105839A6"/>
    <w:rsid w:val="10730E79"/>
    <w:rsid w:val="10B60B5B"/>
    <w:rsid w:val="10E80607"/>
    <w:rsid w:val="11233E22"/>
    <w:rsid w:val="11686E22"/>
    <w:rsid w:val="11A873DA"/>
    <w:rsid w:val="125A39B4"/>
    <w:rsid w:val="14554FCA"/>
    <w:rsid w:val="14B37528"/>
    <w:rsid w:val="159F6213"/>
    <w:rsid w:val="15DA1ECA"/>
    <w:rsid w:val="163611CE"/>
    <w:rsid w:val="164D54BE"/>
    <w:rsid w:val="165114A2"/>
    <w:rsid w:val="16A80D12"/>
    <w:rsid w:val="171F4EBA"/>
    <w:rsid w:val="17C0574B"/>
    <w:rsid w:val="17EF698C"/>
    <w:rsid w:val="19A73BBB"/>
    <w:rsid w:val="1A663175"/>
    <w:rsid w:val="1A856739"/>
    <w:rsid w:val="1A9A689C"/>
    <w:rsid w:val="1AE26DC7"/>
    <w:rsid w:val="1AEF0154"/>
    <w:rsid w:val="1C825816"/>
    <w:rsid w:val="1CD94519"/>
    <w:rsid w:val="1DC95773"/>
    <w:rsid w:val="1DD71FAB"/>
    <w:rsid w:val="1DE03E38"/>
    <w:rsid w:val="1DF56CC1"/>
    <w:rsid w:val="1DF977F8"/>
    <w:rsid w:val="1FB042F7"/>
    <w:rsid w:val="2027323E"/>
    <w:rsid w:val="20E671D0"/>
    <w:rsid w:val="226905C9"/>
    <w:rsid w:val="22CD2DDC"/>
    <w:rsid w:val="22F715AB"/>
    <w:rsid w:val="23082320"/>
    <w:rsid w:val="234A31CD"/>
    <w:rsid w:val="23961D27"/>
    <w:rsid w:val="24D95DA0"/>
    <w:rsid w:val="25E256D3"/>
    <w:rsid w:val="25F84C82"/>
    <w:rsid w:val="266A2BBC"/>
    <w:rsid w:val="26996A00"/>
    <w:rsid w:val="272F2A3C"/>
    <w:rsid w:val="279256E5"/>
    <w:rsid w:val="27F73FE7"/>
    <w:rsid w:val="28AC5F71"/>
    <w:rsid w:val="2942542C"/>
    <w:rsid w:val="2A2019C7"/>
    <w:rsid w:val="2A55080E"/>
    <w:rsid w:val="2AB002CF"/>
    <w:rsid w:val="2B4D2035"/>
    <w:rsid w:val="2C457534"/>
    <w:rsid w:val="2C483C18"/>
    <w:rsid w:val="2CE06CE3"/>
    <w:rsid w:val="2D0960F6"/>
    <w:rsid w:val="2D521CD0"/>
    <w:rsid w:val="2E8F5473"/>
    <w:rsid w:val="2F032846"/>
    <w:rsid w:val="2F785B06"/>
    <w:rsid w:val="2FA4708F"/>
    <w:rsid w:val="30297A3B"/>
    <w:rsid w:val="303C395A"/>
    <w:rsid w:val="310C0BC3"/>
    <w:rsid w:val="314D5E4A"/>
    <w:rsid w:val="31975317"/>
    <w:rsid w:val="31A45E2C"/>
    <w:rsid w:val="31D12AF7"/>
    <w:rsid w:val="3265588C"/>
    <w:rsid w:val="328A2B51"/>
    <w:rsid w:val="33210D05"/>
    <w:rsid w:val="34811BF0"/>
    <w:rsid w:val="348A0654"/>
    <w:rsid w:val="351261BD"/>
    <w:rsid w:val="359124BF"/>
    <w:rsid w:val="35C27E0D"/>
    <w:rsid w:val="36443DB9"/>
    <w:rsid w:val="36600347"/>
    <w:rsid w:val="368C4E07"/>
    <w:rsid w:val="36A953D1"/>
    <w:rsid w:val="379406B9"/>
    <w:rsid w:val="38047F28"/>
    <w:rsid w:val="38572446"/>
    <w:rsid w:val="389A4358"/>
    <w:rsid w:val="39E0733E"/>
    <w:rsid w:val="3A3D7EDC"/>
    <w:rsid w:val="3ACE21CE"/>
    <w:rsid w:val="3B445FAC"/>
    <w:rsid w:val="3B9964C9"/>
    <w:rsid w:val="3BD86D91"/>
    <w:rsid w:val="3C977725"/>
    <w:rsid w:val="3D146A3C"/>
    <w:rsid w:val="3D225B18"/>
    <w:rsid w:val="3D830958"/>
    <w:rsid w:val="3E13156B"/>
    <w:rsid w:val="3E981AD6"/>
    <w:rsid w:val="3F4C0757"/>
    <w:rsid w:val="3F6276C1"/>
    <w:rsid w:val="3FC973DD"/>
    <w:rsid w:val="400058C0"/>
    <w:rsid w:val="407873AD"/>
    <w:rsid w:val="40D5265E"/>
    <w:rsid w:val="412364CD"/>
    <w:rsid w:val="414416AB"/>
    <w:rsid w:val="41D20E58"/>
    <w:rsid w:val="424124FE"/>
    <w:rsid w:val="42485387"/>
    <w:rsid w:val="427264BB"/>
    <w:rsid w:val="432D4C6C"/>
    <w:rsid w:val="438A66C9"/>
    <w:rsid w:val="43EF48BC"/>
    <w:rsid w:val="44482E3B"/>
    <w:rsid w:val="457C6BF9"/>
    <w:rsid w:val="45CB2486"/>
    <w:rsid w:val="468C6D53"/>
    <w:rsid w:val="48B545A9"/>
    <w:rsid w:val="48C540C0"/>
    <w:rsid w:val="48D310CA"/>
    <w:rsid w:val="4A555C96"/>
    <w:rsid w:val="4AB74B8F"/>
    <w:rsid w:val="4AF35CC4"/>
    <w:rsid w:val="4B7A1A24"/>
    <w:rsid w:val="4BF30768"/>
    <w:rsid w:val="4C423D33"/>
    <w:rsid w:val="4CC34DBA"/>
    <w:rsid w:val="4D4B7289"/>
    <w:rsid w:val="4D806819"/>
    <w:rsid w:val="4E306238"/>
    <w:rsid w:val="5034555D"/>
    <w:rsid w:val="50C57433"/>
    <w:rsid w:val="512A7BD6"/>
    <w:rsid w:val="51A5399A"/>
    <w:rsid w:val="528261F7"/>
    <w:rsid w:val="53083F83"/>
    <w:rsid w:val="530C4EE3"/>
    <w:rsid w:val="540B76DD"/>
    <w:rsid w:val="541F1E20"/>
    <w:rsid w:val="54737DE9"/>
    <w:rsid w:val="54FB20DF"/>
    <w:rsid w:val="555D6CA9"/>
    <w:rsid w:val="559C10AD"/>
    <w:rsid w:val="55BC1C5D"/>
    <w:rsid w:val="561A3C9D"/>
    <w:rsid w:val="57E0642A"/>
    <w:rsid w:val="57FA14C5"/>
    <w:rsid w:val="58DD11D7"/>
    <w:rsid w:val="592F75D9"/>
    <w:rsid w:val="5978696C"/>
    <w:rsid w:val="5A5D2F5C"/>
    <w:rsid w:val="5B2A2BD4"/>
    <w:rsid w:val="5C190553"/>
    <w:rsid w:val="5C7A36E7"/>
    <w:rsid w:val="5CF70654"/>
    <w:rsid w:val="5D53300E"/>
    <w:rsid w:val="5D64264D"/>
    <w:rsid w:val="5D6D4A94"/>
    <w:rsid w:val="5D940719"/>
    <w:rsid w:val="5E05594B"/>
    <w:rsid w:val="5EF11CD1"/>
    <w:rsid w:val="5FA376C1"/>
    <w:rsid w:val="5FC428D9"/>
    <w:rsid w:val="601D68C8"/>
    <w:rsid w:val="614C4F76"/>
    <w:rsid w:val="61647E54"/>
    <w:rsid w:val="61761FA3"/>
    <w:rsid w:val="61D54C9E"/>
    <w:rsid w:val="62244321"/>
    <w:rsid w:val="62385F7F"/>
    <w:rsid w:val="625A0711"/>
    <w:rsid w:val="6277423D"/>
    <w:rsid w:val="62B767E4"/>
    <w:rsid w:val="631F13BA"/>
    <w:rsid w:val="637D762E"/>
    <w:rsid w:val="64831355"/>
    <w:rsid w:val="64DC1456"/>
    <w:rsid w:val="65A5731F"/>
    <w:rsid w:val="65DA1DDA"/>
    <w:rsid w:val="660B7E74"/>
    <w:rsid w:val="665F1985"/>
    <w:rsid w:val="66677322"/>
    <w:rsid w:val="67C64EE3"/>
    <w:rsid w:val="680429EF"/>
    <w:rsid w:val="68612D8D"/>
    <w:rsid w:val="688E7C0E"/>
    <w:rsid w:val="690802CD"/>
    <w:rsid w:val="69F25DEF"/>
    <w:rsid w:val="6A0B197A"/>
    <w:rsid w:val="6A9C6E6B"/>
    <w:rsid w:val="6BFE0A91"/>
    <w:rsid w:val="6C167268"/>
    <w:rsid w:val="6C660AF2"/>
    <w:rsid w:val="6C8221E3"/>
    <w:rsid w:val="6D167082"/>
    <w:rsid w:val="6D5D18A1"/>
    <w:rsid w:val="6DD1034D"/>
    <w:rsid w:val="6EC801F1"/>
    <w:rsid w:val="6EF32C1C"/>
    <w:rsid w:val="6F2C4505"/>
    <w:rsid w:val="701F218E"/>
    <w:rsid w:val="70CC42A4"/>
    <w:rsid w:val="711A594A"/>
    <w:rsid w:val="712E6F65"/>
    <w:rsid w:val="72370368"/>
    <w:rsid w:val="72485DB2"/>
    <w:rsid w:val="72694F13"/>
    <w:rsid w:val="73465C7A"/>
    <w:rsid w:val="74334E0B"/>
    <w:rsid w:val="7597336F"/>
    <w:rsid w:val="75B01AD0"/>
    <w:rsid w:val="75CA74D7"/>
    <w:rsid w:val="76235EAF"/>
    <w:rsid w:val="764346F2"/>
    <w:rsid w:val="770B0C0E"/>
    <w:rsid w:val="7781715E"/>
    <w:rsid w:val="78520C1D"/>
    <w:rsid w:val="78972272"/>
    <w:rsid w:val="7A032BBE"/>
    <w:rsid w:val="7A5951FC"/>
    <w:rsid w:val="7AB821A5"/>
    <w:rsid w:val="7B3322FF"/>
    <w:rsid w:val="7B6F6056"/>
    <w:rsid w:val="7CA852AF"/>
    <w:rsid w:val="7D225B22"/>
    <w:rsid w:val="7E0B4B47"/>
    <w:rsid w:val="7E525683"/>
    <w:rsid w:val="7F2E387E"/>
    <w:rsid w:val="7F7E2B60"/>
    <w:rsid w:val="9FFB6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widowControl/>
      <w:adjustRightInd w:val="0"/>
      <w:snapToGrid w:val="0"/>
      <w:spacing w:after="240" w:line="192" w:lineRule="auto"/>
      <w:jc w:val="left"/>
      <w:outlineLvl w:val="0"/>
    </w:pPr>
    <w:rPr>
      <w:rFonts w:ascii="Arial" w:hAnsi="Arial" w:cs="Arial"/>
      <w:b/>
      <w:caps/>
      <w:kern w:val="0"/>
      <w:sz w:val="24"/>
    </w:rPr>
  </w:style>
  <w:style w:type="paragraph" w:styleId="4">
    <w:name w:val="heading 2"/>
    <w:basedOn w:val="1"/>
    <w:next w:val="1"/>
    <w:link w:val="42"/>
    <w:qFormat/>
    <w:uiPriority w:val="0"/>
    <w:pPr>
      <w:keepNext/>
      <w:tabs>
        <w:tab w:val="left" w:pos="924"/>
      </w:tabs>
      <w:autoSpaceDE w:val="0"/>
      <w:autoSpaceDN w:val="0"/>
      <w:adjustRightInd w:val="0"/>
      <w:spacing w:line="360" w:lineRule="auto"/>
      <w:ind w:left="924" w:hanging="454"/>
      <w:jc w:val="left"/>
      <w:textAlignment w:val="baseline"/>
      <w:outlineLvl w:val="1"/>
    </w:pPr>
    <w:rPr>
      <w:rFonts w:ascii="宋体" w:hAnsi="宋体"/>
      <w:color w:val="000000"/>
      <w:kern w:val="0"/>
      <w:sz w:val="24"/>
      <w:szCs w:val="20"/>
    </w:rPr>
  </w:style>
  <w:style w:type="paragraph" w:styleId="5">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4"/>
    <w:qFormat/>
    <w:uiPriority w:val="0"/>
    <w:pPr>
      <w:keepNext/>
      <w:keepLines/>
      <w:spacing w:before="280" w:after="290" w:line="372" w:lineRule="auto"/>
      <w:outlineLvl w:val="3"/>
    </w:pPr>
    <w:rPr>
      <w:rFonts w:ascii="Cambria" w:hAnsi="Cambria"/>
      <w:b/>
      <w:sz w:val="28"/>
    </w:rPr>
  </w:style>
  <w:style w:type="paragraph" w:styleId="7">
    <w:name w:val="heading 5"/>
    <w:basedOn w:val="1"/>
    <w:next w:val="1"/>
    <w:link w:val="45"/>
    <w:qFormat/>
    <w:uiPriority w:val="0"/>
    <w:pPr>
      <w:keepNext/>
      <w:keepLines/>
      <w:spacing w:before="280" w:after="290" w:line="372" w:lineRule="auto"/>
      <w:outlineLvl w:val="4"/>
    </w:pPr>
    <w:rPr>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0"/>
    <w:pPr>
      <w:spacing w:after="120"/>
    </w:pPr>
    <w:rPr>
      <w:rFonts w:ascii="Calibri" w:hAnsi="Calibri"/>
    </w:r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rPr>
      <w:szCs w:val="20"/>
    </w:rPr>
  </w:style>
  <w:style w:type="paragraph" w:styleId="10">
    <w:name w:val="annotation text"/>
    <w:basedOn w:val="1"/>
    <w:link w:val="46"/>
    <w:unhideWhenUsed/>
    <w:qFormat/>
    <w:uiPriority w:val="99"/>
    <w:pPr>
      <w:jc w:val="left"/>
    </w:pPr>
  </w:style>
  <w:style w:type="paragraph" w:styleId="11">
    <w:name w:val="Body Text Indent"/>
    <w:basedOn w:val="1"/>
    <w:link w:val="47"/>
    <w:unhideWhenUsed/>
    <w:qFormat/>
    <w:uiPriority w:val="99"/>
    <w:pPr>
      <w:spacing w:after="120"/>
      <w:ind w:left="420" w:leftChars="200"/>
    </w:p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link w:val="48"/>
    <w:qFormat/>
    <w:uiPriority w:val="0"/>
    <w:rPr>
      <w:rFonts w:ascii="Courier New" w:hAnsi="Courier New"/>
      <w:szCs w:val="20"/>
    </w:rPr>
  </w:style>
  <w:style w:type="paragraph" w:styleId="15">
    <w:name w:val="toc 8"/>
    <w:basedOn w:val="1"/>
    <w:next w:val="1"/>
    <w:qFormat/>
    <w:uiPriority w:val="0"/>
    <w:pPr>
      <w:ind w:left="2940" w:leftChars="1400"/>
    </w:pPr>
  </w:style>
  <w:style w:type="paragraph" w:styleId="16">
    <w:name w:val="Balloon Text"/>
    <w:basedOn w:val="1"/>
    <w:link w:val="49"/>
    <w:qFormat/>
    <w:uiPriority w:val="0"/>
    <w:rPr>
      <w:rFonts w:ascii="宋体"/>
      <w:sz w:val="18"/>
      <w:szCs w:val="18"/>
    </w:rPr>
  </w:style>
  <w:style w:type="paragraph" w:styleId="17">
    <w:name w:val="footer"/>
    <w:basedOn w:val="1"/>
    <w:link w:val="50"/>
    <w:unhideWhenUsed/>
    <w:qFormat/>
    <w:uiPriority w:val="99"/>
    <w:pPr>
      <w:tabs>
        <w:tab w:val="center" w:pos="4153"/>
        <w:tab w:val="right" w:pos="8306"/>
      </w:tabs>
      <w:snapToGrid w:val="0"/>
      <w:jc w:val="left"/>
    </w:pPr>
    <w:rPr>
      <w:rFonts w:ascii="Calibri" w:hAnsi="Calibri"/>
      <w:sz w:val="18"/>
      <w:szCs w:val="18"/>
    </w:rPr>
  </w:style>
  <w:style w:type="paragraph" w:styleId="18">
    <w:name w:val="header"/>
    <w:basedOn w:val="1"/>
    <w:link w:val="5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9">
    <w:name w:val="toc 1"/>
    <w:basedOn w:val="1"/>
    <w:next w:val="1"/>
    <w:qFormat/>
    <w:uiPriority w:val="0"/>
    <w:pPr>
      <w:tabs>
        <w:tab w:val="left" w:pos="540"/>
        <w:tab w:val="right" w:leader="dot" w:pos="9350"/>
      </w:tabs>
    </w:p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toc 9"/>
    <w:basedOn w:val="1"/>
    <w:next w:val="1"/>
    <w:qFormat/>
    <w:uiPriority w:val="0"/>
    <w:pPr>
      <w:ind w:left="3360" w:leftChars="1600"/>
    </w:pPr>
  </w:style>
  <w:style w:type="paragraph" w:styleId="24">
    <w:name w:val="Normal (Web)"/>
    <w:basedOn w:val="1"/>
    <w:link w:val="52"/>
    <w:qFormat/>
    <w:uiPriority w:val="99"/>
    <w:pPr>
      <w:widowControl/>
      <w:spacing w:before="100" w:beforeAutospacing="1" w:after="100" w:afterAutospacing="1"/>
      <w:jc w:val="left"/>
    </w:pPr>
    <w:rPr>
      <w:rFonts w:ascii="宋体" w:hAnsi="宋体"/>
      <w:color w:val="000000"/>
      <w:kern w:val="0"/>
      <w:sz w:val="24"/>
    </w:rPr>
  </w:style>
  <w:style w:type="paragraph" w:styleId="25">
    <w:name w:val="annotation subject"/>
    <w:basedOn w:val="10"/>
    <w:next w:val="10"/>
    <w:link w:val="53"/>
    <w:unhideWhenUsed/>
    <w:qFormat/>
    <w:uiPriority w:val="99"/>
    <w:rPr>
      <w:b/>
      <w:bCs/>
    </w:rPr>
  </w:style>
  <w:style w:type="paragraph" w:styleId="26">
    <w:name w:val="Body Text First Indent 2"/>
    <w:basedOn w:val="11"/>
    <w:link w:val="54"/>
    <w:unhideWhenUsed/>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basedOn w:val="29"/>
    <w:unhideWhenUsed/>
    <w:qFormat/>
    <w:uiPriority w:val="99"/>
    <w:rPr>
      <w:color w:val="000000"/>
      <w:u w:val="none"/>
    </w:rPr>
  </w:style>
  <w:style w:type="character" w:styleId="33">
    <w:name w:val="Emphasis"/>
    <w:basedOn w:val="29"/>
    <w:qFormat/>
    <w:uiPriority w:val="20"/>
    <w:rPr>
      <w:sz w:val="22"/>
      <w:szCs w:val="22"/>
    </w:rPr>
  </w:style>
  <w:style w:type="character" w:styleId="34">
    <w:name w:val="HTML Definition"/>
    <w:basedOn w:val="29"/>
    <w:unhideWhenUsed/>
    <w:qFormat/>
    <w:uiPriority w:val="99"/>
    <w:rPr>
      <w:i/>
      <w:iCs/>
    </w:rPr>
  </w:style>
  <w:style w:type="character" w:styleId="35">
    <w:name w:val="Hyperlink"/>
    <w:qFormat/>
    <w:uiPriority w:val="0"/>
    <w:rPr>
      <w:rFonts w:cs="Times New Roman"/>
      <w:color w:val="0000FF"/>
      <w:u w:val="single"/>
    </w:rPr>
  </w:style>
  <w:style w:type="character" w:styleId="36">
    <w:name w:val="HTML Code"/>
    <w:basedOn w:val="29"/>
    <w:unhideWhenUsed/>
    <w:qFormat/>
    <w:uiPriority w:val="99"/>
    <w:rPr>
      <w:rFonts w:ascii="Consolas" w:hAnsi="Consolas" w:eastAsia="Consolas" w:cs="Consolas"/>
      <w:color w:val="C7254E"/>
      <w:sz w:val="21"/>
      <w:szCs w:val="21"/>
      <w:shd w:val="clear" w:color="auto" w:fill="F9F2F4"/>
    </w:rPr>
  </w:style>
  <w:style w:type="character" w:styleId="37">
    <w:name w:val="annotation reference"/>
    <w:unhideWhenUsed/>
    <w:qFormat/>
    <w:uiPriority w:val="99"/>
    <w:rPr>
      <w:sz w:val="21"/>
      <w:szCs w:val="21"/>
    </w:rPr>
  </w:style>
  <w:style w:type="character" w:styleId="38">
    <w:name w:val="HTML Keyboard"/>
    <w:basedOn w:val="29"/>
    <w:unhideWhenUsed/>
    <w:qFormat/>
    <w:uiPriority w:val="99"/>
    <w:rPr>
      <w:rFonts w:hint="default" w:ascii="Consolas" w:hAnsi="Consolas" w:eastAsia="Consolas" w:cs="Consolas"/>
      <w:color w:val="FFFFFF"/>
      <w:sz w:val="21"/>
      <w:szCs w:val="21"/>
      <w:shd w:val="clear" w:color="auto" w:fill="333333"/>
    </w:rPr>
  </w:style>
  <w:style w:type="character" w:styleId="39">
    <w:name w:val="HTML Sample"/>
    <w:basedOn w:val="29"/>
    <w:unhideWhenUsed/>
    <w:qFormat/>
    <w:uiPriority w:val="99"/>
    <w:rPr>
      <w:rFonts w:hint="default" w:ascii="Consolas" w:hAnsi="Consolas" w:eastAsia="Consolas" w:cs="Consolas"/>
      <w:sz w:val="21"/>
      <w:szCs w:val="21"/>
    </w:rPr>
  </w:style>
  <w:style w:type="character" w:customStyle="1" w:styleId="40">
    <w:name w:val="正文文本 字符"/>
    <w:link w:val="2"/>
    <w:qFormat/>
    <w:uiPriority w:val="0"/>
    <w:rPr>
      <w:kern w:val="2"/>
      <w:sz w:val="21"/>
      <w:szCs w:val="24"/>
    </w:rPr>
  </w:style>
  <w:style w:type="character" w:customStyle="1" w:styleId="41">
    <w:name w:val="标题 1 字符"/>
    <w:link w:val="3"/>
    <w:qFormat/>
    <w:uiPriority w:val="0"/>
    <w:rPr>
      <w:rFonts w:ascii="Arial" w:hAnsi="Arial" w:eastAsia="宋体" w:cs="Arial"/>
      <w:b/>
      <w:caps/>
      <w:kern w:val="0"/>
      <w:sz w:val="24"/>
      <w:szCs w:val="24"/>
    </w:rPr>
  </w:style>
  <w:style w:type="character" w:customStyle="1" w:styleId="42">
    <w:name w:val="标题 2 字符"/>
    <w:link w:val="4"/>
    <w:qFormat/>
    <w:uiPriority w:val="0"/>
    <w:rPr>
      <w:rFonts w:ascii="宋体" w:hAnsi="宋体" w:eastAsia="宋体" w:cs="Times New Roman"/>
      <w:color w:val="000000"/>
      <w:sz w:val="24"/>
    </w:rPr>
  </w:style>
  <w:style w:type="character" w:customStyle="1" w:styleId="43">
    <w:name w:val="标题 3 字符"/>
    <w:link w:val="5"/>
    <w:qFormat/>
    <w:uiPriority w:val="0"/>
    <w:rPr>
      <w:rFonts w:ascii="Times New Roman" w:hAnsi="Times New Roman" w:eastAsia="宋体" w:cs="Times New Roman"/>
      <w:b/>
      <w:bCs/>
      <w:kern w:val="2"/>
      <w:sz w:val="32"/>
      <w:szCs w:val="32"/>
    </w:rPr>
  </w:style>
  <w:style w:type="character" w:customStyle="1" w:styleId="44">
    <w:name w:val="标题 4 字符"/>
    <w:link w:val="6"/>
    <w:qFormat/>
    <w:uiPriority w:val="0"/>
    <w:rPr>
      <w:rFonts w:ascii="Cambria" w:hAnsi="Cambria" w:eastAsia="宋体" w:cs="Times New Roman"/>
      <w:b/>
      <w:kern w:val="2"/>
      <w:sz w:val="28"/>
      <w:szCs w:val="24"/>
    </w:rPr>
  </w:style>
  <w:style w:type="character" w:customStyle="1" w:styleId="45">
    <w:name w:val="标题 5 字符"/>
    <w:link w:val="7"/>
    <w:qFormat/>
    <w:uiPriority w:val="0"/>
    <w:rPr>
      <w:rFonts w:ascii="Times New Roman" w:hAnsi="Times New Roman" w:eastAsia="宋体" w:cs="Times New Roman"/>
      <w:b/>
      <w:kern w:val="2"/>
      <w:sz w:val="28"/>
      <w:szCs w:val="24"/>
    </w:rPr>
  </w:style>
  <w:style w:type="character" w:customStyle="1" w:styleId="46">
    <w:name w:val="批注文字 字符"/>
    <w:link w:val="10"/>
    <w:qFormat/>
    <w:uiPriority w:val="99"/>
    <w:rPr>
      <w:rFonts w:ascii="Times New Roman" w:hAnsi="Times New Roman" w:eastAsia="宋体" w:cs="Times New Roman"/>
      <w:kern w:val="2"/>
      <w:sz w:val="21"/>
      <w:szCs w:val="24"/>
    </w:rPr>
  </w:style>
  <w:style w:type="character" w:customStyle="1" w:styleId="47">
    <w:name w:val="正文文本缩进 字符"/>
    <w:link w:val="11"/>
    <w:semiHidden/>
    <w:qFormat/>
    <w:uiPriority w:val="99"/>
    <w:rPr>
      <w:rFonts w:ascii="Times New Roman" w:hAnsi="Times New Roman" w:eastAsia="宋体" w:cs="Times New Roman"/>
      <w:kern w:val="2"/>
      <w:sz w:val="21"/>
      <w:szCs w:val="24"/>
    </w:rPr>
  </w:style>
  <w:style w:type="character" w:customStyle="1" w:styleId="48">
    <w:name w:val="纯文本 字符"/>
    <w:link w:val="14"/>
    <w:qFormat/>
    <w:uiPriority w:val="0"/>
    <w:rPr>
      <w:rFonts w:ascii="Courier New" w:hAnsi="Courier New"/>
      <w:kern w:val="2"/>
      <w:sz w:val="21"/>
    </w:rPr>
  </w:style>
  <w:style w:type="character" w:customStyle="1" w:styleId="49">
    <w:name w:val="批注框文本 字符"/>
    <w:link w:val="16"/>
    <w:qFormat/>
    <w:uiPriority w:val="0"/>
    <w:rPr>
      <w:rFonts w:ascii="宋体" w:hAnsi="Times New Roman" w:eastAsia="宋体" w:cs="Times New Roman"/>
      <w:kern w:val="2"/>
      <w:sz w:val="18"/>
      <w:szCs w:val="18"/>
    </w:rPr>
  </w:style>
  <w:style w:type="character" w:customStyle="1" w:styleId="50">
    <w:name w:val="页脚 字符"/>
    <w:link w:val="17"/>
    <w:qFormat/>
    <w:uiPriority w:val="99"/>
    <w:rPr>
      <w:sz w:val="18"/>
      <w:szCs w:val="18"/>
    </w:rPr>
  </w:style>
  <w:style w:type="character" w:customStyle="1" w:styleId="51">
    <w:name w:val="页眉 字符"/>
    <w:link w:val="18"/>
    <w:qFormat/>
    <w:uiPriority w:val="0"/>
    <w:rPr>
      <w:sz w:val="18"/>
      <w:szCs w:val="18"/>
    </w:rPr>
  </w:style>
  <w:style w:type="character" w:customStyle="1" w:styleId="52">
    <w:name w:val="普通(网站) 字符"/>
    <w:link w:val="24"/>
    <w:qFormat/>
    <w:uiPriority w:val="99"/>
    <w:rPr>
      <w:rFonts w:ascii="宋体" w:hAnsi="宋体" w:eastAsia="宋体" w:cs="Times New Roman"/>
      <w:color w:val="000000"/>
      <w:sz w:val="24"/>
      <w:szCs w:val="24"/>
    </w:rPr>
  </w:style>
  <w:style w:type="character" w:customStyle="1" w:styleId="53">
    <w:name w:val="批注主题 字符"/>
    <w:link w:val="25"/>
    <w:semiHidden/>
    <w:qFormat/>
    <w:uiPriority w:val="99"/>
    <w:rPr>
      <w:rFonts w:ascii="Times New Roman" w:hAnsi="Times New Roman" w:eastAsia="宋体" w:cs="Times New Roman"/>
      <w:b/>
      <w:bCs/>
      <w:kern w:val="2"/>
      <w:sz w:val="21"/>
      <w:szCs w:val="24"/>
    </w:rPr>
  </w:style>
  <w:style w:type="character" w:customStyle="1" w:styleId="54">
    <w:name w:val="正文文本首行缩进 2 字符"/>
    <w:link w:val="26"/>
    <w:semiHidden/>
    <w:qFormat/>
    <w:uiPriority w:val="99"/>
    <w:rPr>
      <w:rFonts w:ascii="Times New Roman" w:hAnsi="Times New Roman" w:eastAsia="宋体" w:cs="Times New Roman"/>
      <w:kern w:val="2"/>
      <w:sz w:val="21"/>
      <w:szCs w:val="24"/>
    </w:rPr>
  </w:style>
  <w:style w:type="character" w:customStyle="1" w:styleId="55">
    <w:name w:val="文档结构图 Char"/>
    <w:link w:val="56"/>
    <w:qFormat/>
    <w:uiPriority w:val="0"/>
    <w:rPr>
      <w:sz w:val="2"/>
    </w:rPr>
  </w:style>
  <w:style w:type="paragraph" w:customStyle="1" w:styleId="56">
    <w:name w:val="文档结构图1"/>
    <w:basedOn w:val="1"/>
    <w:link w:val="55"/>
    <w:qFormat/>
    <w:uiPriority w:val="0"/>
    <w:rPr>
      <w:rFonts w:ascii="Calibri" w:hAnsi="Calibri"/>
      <w:kern w:val="0"/>
      <w:sz w:val="2"/>
      <w:szCs w:val="20"/>
    </w:rPr>
  </w:style>
  <w:style w:type="character" w:customStyle="1" w:styleId="57">
    <w:name w:val="Header Char"/>
    <w:qFormat/>
    <w:uiPriority w:val="0"/>
    <w:rPr>
      <w:kern w:val="2"/>
      <w:sz w:val="18"/>
    </w:rPr>
  </w:style>
  <w:style w:type="character" w:customStyle="1" w:styleId="58">
    <w:name w:val="纯文本 Char"/>
    <w:semiHidden/>
    <w:qFormat/>
    <w:uiPriority w:val="99"/>
    <w:rPr>
      <w:rFonts w:ascii="宋体" w:hAnsi="Courier New" w:eastAsia="宋体" w:cs="Courier New"/>
      <w:kern w:val="2"/>
      <w:sz w:val="21"/>
      <w:szCs w:val="21"/>
    </w:rPr>
  </w:style>
  <w:style w:type="character" w:customStyle="1" w:styleId="59">
    <w:name w:val="font01"/>
    <w:qFormat/>
    <w:uiPriority w:val="99"/>
    <w:rPr>
      <w:rFonts w:ascii="宋体" w:hAnsi="宋体" w:eastAsia="宋体" w:cs="宋体"/>
      <w:color w:val="000000"/>
      <w:sz w:val="24"/>
      <w:szCs w:val="24"/>
      <w:u w:val="none"/>
    </w:rPr>
  </w:style>
  <w:style w:type="character" w:customStyle="1" w:styleId="60">
    <w:name w:val="font11"/>
    <w:qFormat/>
    <w:uiPriority w:val="99"/>
    <w:rPr>
      <w:rFonts w:ascii="宋体" w:hAnsi="宋体" w:eastAsia="宋体" w:cs="宋体"/>
      <w:color w:val="000000"/>
      <w:sz w:val="18"/>
      <w:szCs w:val="18"/>
      <w:u w:val="none"/>
    </w:rPr>
  </w:style>
  <w:style w:type="character" w:customStyle="1" w:styleId="61">
    <w:name w:val="批注引用1"/>
    <w:qFormat/>
    <w:uiPriority w:val="0"/>
    <w:rPr>
      <w:rFonts w:cs="Times New Roman"/>
      <w:sz w:val="21"/>
      <w:szCs w:val="21"/>
    </w:rPr>
  </w:style>
  <w:style w:type="character" w:customStyle="1" w:styleId="62">
    <w:name w:val="font21"/>
    <w:qFormat/>
    <w:uiPriority w:val="99"/>
    <w:rPr>
      <w:rFonts w:ascii="宋体" w:hAnsi="宋体" w:eastAsia="宋体" w:cs="宋体"/>
      <w:b/>
      <w:bCs/>
      <w:color w:val="000000"/>
      <w:sz w:val="16"/>
      <w:szCs w:val="16"/>
      <w:u w:val="none"/>
    </w:rPr>
  </w:style>
  <w:style w:type="character" w:customStyle="1" w:styleId="63">
    <w:name w:val="hover49"/>
    <w:basedOn w:val="29"/>
    <w:qFormat/>
    <w:uiPriority w:val="0"/>
    <w:rPr>
      <w:color w:val="FFFFFF"/>
      <w:shd w:val="clear" w:color="auto" w:fill="1091DB"/>
    </w:rPr>
  </w:style>
  <w:style w:type="character" w:customStyle="1" w:styleId="64">
    <w:name w:val="Header Char1"/>
    <w:qFormat/>
    <w:uiPriority w:val="0"/>
    <w:rPr>
      <w:sz w:val="18"/>
    </w:rPr>
  </w:style>
  <w:style w:type="character" w:customStyle="1" w:styleId="65">
    <w:name w:val="Char Char15"/>
    <w:qFormat/>
    <w:uiPriority w:val="0"/>
    <w:rPr>
      <w:rFonts w:ascii="Cambria" w:hAnsi="Cambria" w:eastAsia="宋体"/>
      <w:b/>
      <w:kern w:val="2"/>
      <w:sz w:val="28"/>
    </w:rPr>
  </w:style>
  <w:style w:type="character" w:customStyle="1" w:styleId="66">
    <w:name w:val="Footer Char"/>
    <w:qFormat/>
    <w:uiPriority w:val="0"/>
    <w:rPr>
      <w:sz w:val="18"/>
    </w:rPr>
  </w:style>
  <w:style w:type="character" w:customStyle="1" w:styleId="67">
    <w:name w:val="批注框文本 Char"/>
    <w:qFormat/>
    <w:uiPriority w:val="0"/>
    <w:rPr>
      <w:rFonts w:ascii="Times New Roman" w:hAnsi="Times New Roman" w:eastAsia="宋体" w:cs="Times New Roman"/>
      <w:sz w:val="18"/>
      <w:szCs w:val="18"/>
    </w:rPr>
  </w:style>
  <w:style w:type="character" w:customStyle="1" w:styleId="68">
    <w:name w:val="msoins"/>
    <w:basedOn w:val="29"/>
    <w:qFormat/>
    <w:uiPriority w:val="0"/>
  </w:style>
  <w:style w:type="character" w:customStyle="1" w:styleId="69">
    <w:name w:val="未处理的提及1"/>
    <w:unhideWhenUsed/>
    <w:qFormat/>
    <w:uiPriority w:val="99"/>
    <w:rPr>
      <w:color w:val="605E5C"/>
      <w:shd w:val="clear" w:color="auto" w:fill="E1DFDD"/>
    </w:rPr>
  </w:style>
  <w:style w:type="character" w:customStyle="1" w:styleId="70">
    <w:name w:val="Document Map Char"/>
    <w:qFormat/>
    <w:uiPriority w:val="0"/>
    <w:rPr>
      <w:rFonts w:ascii="宋体"/>
      <w:kern w:val="2"/>
      <w:sz w:val="18"/>
    </w:rPr>
  </w:style>
  <w:style w:type="character" w:customStyle="1" w:styleId="71">
    <w:name w:val="Footer Char1"/>
    <w:qFormat/>
    <w:uiPriority w:val="0"/>
    <w:rPr>
      <w:sz w:val="18"/>
    </w:rPr>
  </w:style>
  <w:style w:type="character" w:customStyle="1" w:styleId="72">
    <w:name w:val="页码1"/>
    <w:qFormat/>
    <w:uiPriority w:val="0"/>
    <w:rPr>
      <w:rFonts w:cs="Times New Roman"/>
    </w:rPr>
  </w:style>
  <w:style w:type="character" w:customStyle="1" w:styleId="73">
    <w:name w:val="chris"/>
    <w:qFormat/>
    <w:uiPriority w:val="0"/>
    <w:rPr>
      <w:rFonts w:ascii="Times New Roman" w:hAnsi="Times New Roman" w:eastAsia="宋体"/>
      <w:color w:val="auto"/>
      <w:spacing w:val="20"/>
      <w:sz w:val="48"/>
    </w:rPr>
  </w:style>
  <w:style w:type="character" w:customStyle="1" w:styleId="74">
    <w:name w:val="treeicon"/>
    <w:basedOn w:val="29"/>
    <w:qFormat/>
    <w:uiPriority w:val="0"/>
  </w:style>
  <w:style w:type="character" w:customStyle="1" w:styleId="75">
    <w:name w:val="apple-converted-space"/>
    <w:qFormat/>
    <w:uiPriority w:val="0"/>
    <w:rPr>
      <w:rFonts w:cs="Times New Roman"/>
    </w:rPr>
  </w:style>
  <w:style w:type="character" w:customStyle="1" w:styleId="76">
    <w:name w:val="hover50"/>
    <w:basedOn w:val="29"/>
    <w:qFormat/>
    <w:uiPriority w:val="0"/>
    <w:rPr>
      <w:color w:val="FFFFFF"/>
      <w:shd w:val="clear" w:color="auto" w:fill="1091DB"/>
    </w:rPr>
  </w:style>
  <w:style w:type="character" w:customStyle="1" w:styleId="77">
    <w:name w:val="Comment Text Char"/>
    <w:qFormat/>
    <w:uiPriority w:val="0"/>
    <w:rPr>
      <w:sz w:val="24"/>
    </w:rPr>
  </w:style>
  <w:style w:type="character" w:customStyle="1" w:styleId="78">
    <w:name w:val="日期 Char"/>
    <w:link w:val="79"/>
    <w:qFormat/>
    <w:uiPriority w:val="0"/>
    <w:rPr>
      <w:sz w:val="24"/>
      <w:szCs w:val="24"/>
    </w:rPr>
  </w:style>
  <w:style w:type="paragraph" w:customStyle="1" w:styleId="79">
    <w:name w:val="日期1"/>
    <w:basedOn w:val="1"/>
    <w:next w:val="1"/>
    <w:link w:val="78"/>
    <w:qFormat/>
    <w:uiPriority w:val="0"/>
    <w:pPr>
      <w:ind w:left="100" w:leftChars="2500"/>
    </w:pPr>
    <w:rPr>
      <w:rFonts w:ascii="Calibri" w:hAnsi="Calibri"/>
      <w:kern w:val="0"/>
      <w:sz w:val="24"/>
    </w:rPr>
  </w:style>
  <w:style w:type="character" w:customStyle="1" w:styleId="80">
    <w:name w:val="Comment Text Char1"/>
    <w:qFormat/>
    <w:uiPriority w:val="0"/>
    <w:rPr>
      <w:sz w:val="24"/>
    </w:rPr>
  </w:style>
  <w:style w:type="character" w:customStyle="1" w:styleId="81">
    <w:name w:val="Balloon Text Char1"/>
    <w:qFormat/>
    <w:uiPriority w:val="0"/>
    <w:rPr>
      <w:sz w:val="2"/>
    </w:rPr>
  </w:style>
  <w:style w:type="character" w:customStyle="1" w:styleId="82">
    <w:name w:val="正文文本 Char"/>
    <w:qFormat/>
    <w:uiPriority w:val="0"/>
    <w:rPr>
      <w:rFonts w:ascii="Times New Roman" w:hAnsi="Times New Roman" w:eastAsia="宋体" w:cs="Times New Roman"/>
      <w:kern w:val="2"/>
      <w:sz w:val="21"/>
      <w:szCs w:val="24"/>
    </w:rPr>
  </w:style>
  <w:style w:type="character" w:customStyle="1" w:styleId="83">
    <w:name w:val="Comment Subject Char"/>
    <w:qFormat/>
    <w:uiPriority w:val="0"/>
    <w:rPr>
      <w:b/>
      <w:sz w:val="24"/>
    </w:rPr>
  </w:style>
  <w:style w:type="character" w:customStyle="1" w:styleId="84">
    <w:name w:val="hover48"/>
    <w:basedOn w:val="29"/>
    <w:qFormat/>
    <w:uiPriority w:val="0"/>
    <w:rPr>
      <w:sz w:val="21"/>
      <w:szCs w:val="21"/>
    </w:rPr>
  </w:style>
  <w:style w:type="character" w:customStyle="1" w:styleId="85">
    <w:name w:val="Balloon Text Char"/>
    <w:qFormat/>
    <w:uiPriority w:val="0"/>
    <w:rPr>
      <w:sz w:val="2"/>
    </w:rPr>
  </w:style>
  <w:style w:type="paragraph" w:customStyle="1" w:styleId="86">
    <w:name w:val="批注主题1"/>
    <w:basedOn w:val="10"/>
    <w:next w:val="10"/>
    <w:qFormat/>
    <w:uiPriority w:val="0"/>
    <w:rPr>
      <w:b/>
      <w:bCs/>
      <w:sz w:val="24"/>
    </w:rPr>
  </w:style>
  <w:style w:type="paragraph" w:customStyle="1" w:styleId="87">
    <w:name w:val="列出段落1"/>
    <w:basedOn w:val="1"/>
    <w:qFormat/>
    <w:uiPriority w:val="0"/>
    <w:pPr>
      <w:spacing w:after="240" w:line="580" w:lineRule="exact"/>
      <w:ind w:left="646" w:firstLine="420" w:firstLineChars="200"/>
    </w:pPr>
    <w:rPr>
      <w:rFonts w:ascii="Calibri" w:hAnsi="Calibri"/>
      <w:szCs w:val="22"/>
    </w:rPr>
  </w:style>
  <w:style w:type="paragraph" w:customStyle="1" w:styleId="8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TOC 标题1"/>
    <w:basedOn w:val="3"/>
    <w:next w:val="1"/>
    <w:qFormat/>
    <w:uiPriority w:val="0"/>
    <w:pPr>
      <w:keepLines/>
      <w:widowControl w:val="0"/>
      <w:adjustRightInd/>
      <w:snapToGrid/>
      <w:spacing w:before="340" w:after="330" w:line="576" w:lineRule="auto"/>
      <w:jc w:val="both"/>
      <w:outlineLvl w:val="9"/>
    </w:pPr>
    <w:rPr>
      <w:rFonts w:ascii="Calibri" w:hAnsi="Calibri" w:cs="Times New Roman"/>
      <w:caps w:val="0"/>
      <w:kern w:val="44"/>
      <w:sz w:val="44"/>
    </w:rPr>
  </w:style>
  <w:style w:type="paragraph" w:styleId="90">
    <w:name w:val="List Paragraph"/>
    <w:basedOn w:val="1"/>
    <w:qFormat/>
    <w:uiPriority w:val="0"/>
    <w:pPr>
      <w:ind w:firstLine="420" w:firstLineChars="200"/>
    </w:pPr>
  </w:style>
  <w:style w:type="paragraph" w:customStyle="1" w:styleId="9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图表目录1"/>
    <w:basedOn w:val="1"/>
    <w:next w:val="1"/>
    <w:qFormat/>
    <w:uiPriority w:val="0"/>
    <w:pPr>
      <w:ind w:left="200" w:leftChars="200" w:hanging="200" w:hangingChars="200"/>
    </w:pPr>
  </w:style>
  <w:style w:type="paragraph" w:customStyle="1" w:styleId="93">
    <w:name w:val="修订1"/>
    <w:qFormat/>
    <w:uiPriority w:val="0"/>
    <w:rPr>
      <w:rFonts w:ascii="Times New Roman" w:hAnsi="Times New Roman" w:eastAsia="宋体" w:cs="Times New Roman"/>
      <w:szCs w:val="24"/>
      <w:lang w:val="en-US" w:eastAsia="zh-CN" w:bidi="ar-SA"/>
    </w:rPr>
  </w:style>
  <w:style w:type="paragraph" w:customStyle="1" w:styleId="94">
    <w:name w:val="内正文"/>
    <w:basedOn w:val="1"/>
    <w:qFormat/>
    <w:uiPriority w:val="0"/>
    <w:pPr>
      <w:ind w:firstLine="420"/>
    </w:pPr>
    <w:rPr>
      <w:rFonts w:eastAsia="文鼎CS书宋二"/>
      <w:szCs w:val="20"/>
    </w:rPr>
  </w:style>
  <w:style w:type="table" w:customStyle="1" w:styleId="95">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nth-of-type(1)"/>
    <w:basedOn w:val="29"/>
    <w:qFormat/>
    <w:uiPriority w:val="0"/>
  </w:style>
  <w:style w:type="character" w:customStyle="1" w:styleId="97">
    <w:name w:val="nth-of-type(1)1"/>
    <w:basedOn w:val="29"/>
    <w:qFormat/>
    <w:uiPriority w:val="0"/>
  </w:style>
  <w:style w:type="character" w:customStyle="1" w:styleId="98">
    <w:name w:val="nth-of-type(3)"/>
    <w:basedOn w:val="29"/>
    <w:qFormat/>
    <w:uiPriority w:val="0"/>
    <w:rPr>
      <w:sz w:val="30"/>
      <w:szCs w:val="30"/>
    </w:rPr>
  </w:style>
  <w:style w:type="character" w:customStyle="1" w:styleId="99">
    <w:name w:val="not([class*=suffix])"/>
    <w:basedOn w:val="29"/>
    <w:qFormat/>
    <w:uiPriority w:val="0"/>
  </w:style>
  <w:style w:type="character" w:customStyle="1" w:styleId="100">
    <w:name w:val="not([class*=suffix])1"/>
    <w:basedOn w:val="29"/>
    <w:qFormat/>
    <w:uiPriority w:val="0"/>
    <w:rPr>
      <w:sz w:val="19"/>
      <w:szCs w:val="19"/>
    </w:rPr>
  </w:style>
  <w:style w:type="character" w:customStyle="1" w:styleId="101">
    <w:name w:val="dg-flex-item"/>
    <w:basedOn w:val="29"/>
    <w:qFormat/>
    <w:uiPriority w:val="0"/>
    <w:rPr>
      <w:bdr w:val="single" w:color="ECECEC" w:sz="6" w:space="0"/>
    </w:rPr>
  </w:style>
  <w:style w:type="character" w:customStyle="1" w:styleId="102">
    <w:name w:val="dg-flex-item2"/>
    <w:basedOn w:val="29"/>
    <w:qFormat/>
    <w:uiPriority w:val="0"/>
    <w:rPr>
      <w:bdr w:val="single" w:color="ECECEC"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RCAJ</Company>
  <Pages>18</Pages>
  <Words>2028</Words>
  <Characters>2072</Characters>
  <Lines>120</Lines>
  <Paragraphs>33</Paragraphs>
  <TotalTime>4</TotalTime>
  <ScaleCrop>false</ScaleCrop>
  <LinksUpToDate>false</LinksUpToDate>
  <CharactersWithSpaces>2136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2020-08-18T22:35:00Z</dcterms:created>
  <dc:creator>Administrator</dc:creator>
  <cp:lastModifiedBy>11111</cp:lastModifiedBy>
  <cp:lastPrinted>2023-04-26T14:52:00Z</cp:lastPrinted>
  <dcterms:modified xsi:type="dcterms:W3CDTF">2025-01-16T01:36:51Z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1435131D95744BBD894674CFF16DBFB0_13</vt:lpwstr>
  </property>
  <property fmtid="{D5CDD505-2E9C-101B-9397-08002B2CF9AE}" pid="4" name="KSOTemplateDocerSaveRecord">
    <vt:lpwstr>eyJoZGlkIjoiNGEyZmY2YmY0MmEzZTFkOTQ3OGUzYmNkMzE5Y2M3M2YiLCJ1c2VySWQiOiI0MzYyOTA0OTkifQ==</vt:lpwstr>
  </property>
</Properties>
</file>