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2" w:name="_GoBack"/>
      <w:bookmarkEnd w:id="2"/>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0"/>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4"/>
        <w:gridCol w:w="2601"/>
        <w:gridCol w:w="5278"/>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655"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278"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655"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278"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054"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601"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278"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2BE1FA2">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6B45DCA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企业营业执照</w:t>
            </w:r>
          </w:p>
        </w:tc>
        <w:tc>
          <w:tcPr>
            <w:tcW w:w="5278" w:type="dxa"/>
            <w:shd w:val="clear" w:color="auto" w:fill="auto"/>
            <w:vAlign w:val="center"/>
          </w:tcPr>
          <w:p w14:paraId="151B673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3CD615A6">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w:t>
            </w:r>
          </w:p>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及法人身份证</w:t>
            </w:r>
          </w:p>
        </w:tc>
        <w:tc>
          <w:tcPr>
            <w:tcW w:w="5278"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278"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054"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601"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278"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原件盖公章，格式详见“附件1.2”。</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054"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278"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原件盖公章，格式详见“附件1.3”。</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054"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601" w:type="dxa"/>
            <w:shd w:val="clear" w:color="auto" w:fill="auto"/>
            <w:vAlign w:val="center"/>
          </w:tcPr>
          <w:p w14:paraId="3E2652D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企业同类</w:t>
            </w:r>
          </w:p>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项目业绩</w:t>
            </w:r>
          </w:p>
          <w:p w14:paraId="394769A8">
            <w:pPr>
              <w:adjustRightInd w:val="0"/>
              <w:snapToGrid w:val="0"/>
              <w:spacing w:line="440" w:lineRule="exact"/>
              <w:jc w:val="left"/>
              <w:rPr>
                <w:rFonts w:ascii="仿宋" w:hAnsi="仿宋" w:eastAsia="仿宋" w:cs="仿宋"/>
                <w:sz w:val="24"/>
                <w:szCs w:val="24"/>
              </w:rPr>
            </w:pPr>
          </w:p>
        </w:tc>
        <w:tc>
          <w:tcPr>
            <w:tcW w:w="5278" w:type="dxa"/>
            <w:shd w:val="clear" w:color="auto" w:fill="auto"/>
            <w:vAlign w:val="center"/>
          </w:tcPr>
          <w:p w14:paraId="3AD564B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2022年4月1日至本项目投标截止之日（以合同签订时间为准），与国内一线品牌房地产开发商合作的住宅业态单项合同金额大于本项目招标上限价1/2的有效CIM数字展示系统软件制作业绩，业绩需提供</w:t>
            </w:r>
            <w:r>
              <w:rPr>
                <w:rFonts w:hint="eastAsia" w:ascii="仿宋" w:hAnsi="仿宋" w:eastAsia="仿宋" w:cs="仿宋"/>
                <w:sz w:val="24"/>
                <w:szCs w:val="24"/>
                <w:lang w:val="en-US" w:eastAsia="zh-CN"/>
              </w:rPr>
              <w:t>10</w:t>
            </w:r>
            <w:r>
              <w:rPr>
                <w:rFonts w:hint="eastAsia" w:ascii="仿宋" w:hAnsi="仿宋" w:eastAsia="仿宋" w:cs="仿宋"/>
                <w:sz w:val="24"/>
                <w:szCs w:val="24"/>
              </w:rPr>
              <w:t>项，超过</w:t>
            </w:r>
            <w:r>
              <w:rPr>
                <w:rFonts w:hint="eastAsia" w:ascii="仿宋" w:hAnsi="仿宋" w:eastAsia="仿宋" w:cs="仿宋"/>
                <w:sz w:val="24"/>
                <w:szCs w:val="24"/>
                <w:lang w:val="en-US" w:eastAsia="zh-CN"/>
              </w:rPr>
              <w:t>10</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10</w:t>
            </w:r>
            <w:r>
              <w:rPr>
                <w:rFonts w:hint="eastAsia" w:ascii="仿宋" w:hAnsi="仿宋" w:eastAsia="仿宋" w:cs="仿宋"/>
                <w:sz w:val="24"/>
                <w:szCs w:val="24"/>
              </w:rPr>
              <w:t>项格式详见“附件1.4”。</w:t>
            </w:r>
          </w:p>
          <w:p w14:paraId="13D69D1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①国内一线品牌房地产开发商标准：以克而瑞·研究中心发布的2024年1-12月中国房地产企业操盘金额榜单全国前50为准。</w:t>
            </w:r>
          </w:p>
          <w:p w14:paraId="07FF7D0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②提供业绩合同扫描件，须体现合同主体、合同范围、合同金额、合同盖章等关键页。</w:t>
            </w:r>
          </w:p>
          <w:p w14:paraId="7A5B97A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③如上述证明材料未能体现主要信息的，则可另行补充由项目建设单位出具的证明材料进行辅证，投标人自行出具的证明材料无效。</w:t>
            </w:r>
          </w:p>
        </w:tc>
      </w:tr>
      <w:tr w14:paraId="0C3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812" w:type="dxa"/>
            <w:vMerge w:val="continue"/>
            <w:shd w:val="clear" w:color="auto" w:fill="auto"/>
            <w:vAlign w:val="center"/>
          </w:tcPr>
          <w:p w14:paraId="4059CF2F">
            <w:pPr>
              <w:adjustRightInd w:val="0"/>
              <w:snapToGrid w:val="0"/>
              <w:spacing w:line="440" w:lineRule="exact"/>
              <w:jc w:val="center"/>
              <w:rPr>
                <w:rFonts w:ascii="仿宋" w:hAnsi="仿宋" w:eastAsia="仿宋" w:cs="仿宋"/>
                <w:sz w:val="24"/>
                <w:szCs w:val="24"/>
              </w:rPr>
            </w:pPr>
          </w:p>
        </w:tc>
        <w:tc>
          <w:tcPr>
            <w:tcW w:w="1054" w:type="dxa"/>
            <w:vAlign w:val="center"/>
          </w:tcPr>
          <w:p w14:paraId="474C0A7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09E5DB8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项目负责人情况</w:t>
            </w:r>
          </w:p>
          <w:p w14:paraId="6118924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（仅限1人）</w:t>
            </w:r>
          </w:p>
        </w:tc>
        <w:tc>
          <w:tcPr>
            <w:tcW w:w="5278" w:type="dxa"/>
            <w:shd w:val="clear" w:color="auto" w:fill="auto"/>
            <w:vAlign w:val="center"/>
          </w:tcPr>
          <w:p w14:paraId="2AB0923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原件盖公章，格式详见“附件1.5”。</w:t>
            </w:r>
          </w:p>
          <w:p w14:paraId="52D882D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p>
          <w:p w14:paraId="7B7D316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7F5DC41E">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②以项目负责人身份承担过国内一线品牌房地产开发商项目住宅业态CIM数字展示系统软件制作业绩经验（有效业绩合同金额需超过本项目招标上限价1/2的以上）（证明文件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w:t>
            </w:r>
            <w:r>
              <w:rPr>
                <w:rFonts w:hint="eastAsia" w:ascii="仿宋" w:hAnsi="仿宋" w:eastAsia="仿宋" w:cs="仿宋"/>
                <w:sz w:val="24"/>
                <w:szCs w:val="24"/>
                <w:lang w:val="en-US" w:eastAsia="zh-CN"/>
              </w:rPr>
              <w:t>3</w:t>
            </w:r>
            <w:r>
              <w:rPr>
                <w:rFonts w:hint="eastAsia" w:ascii="仿宋" w:hAnsi="仿宋" w:eastAsia="仿宋" w:cs="仿宋"/>
                <w:sz w:val="24"/>
                <w:szCs w:val="24"/>
              </w:rPr>
              <w:t>项，超过</w:t>
            </w:r>
            <w:r>
              <w:rPr>
                <w:rFonts w:hint="eastAsia" w:ascii="仿宋" w:hAnsi="仿宋" w:eastAsia="仿宋" w:cs="仿宋"/>
                <w:sz w:val="24"/>
                <w:szCs w:val="24"/>
                <w:lang w:val="en-US" w:eastAsia="zh-CN"/>
              </w:rPr>
              <w:t>3</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p w14:paraId="16BDD4D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5C67119">
            <w:pPr>
              <w:adjustRightInd w:val="0"/>
              <w:snapToGrid w:val="0"/>
              <w:spacing w:line="440" w:lineRule="exact"/>
              <w:jc w:val="center"/>
              <w:rPr>
                <w:rFonts w:ascii="仿宋" w:hAnsi="仿宋" w:eastAsia="仿宋" w:cs="仿宋"/>
                <w:sz w:val="24"/>
                <w:szCs w:val="24"/>
              </w:rPr>
            </w:pPr>
          </w:p>
        </w:tc>
        <w:tc>
          <w:tcPr>
            <w:tcW w:w="1054" w:type="dxa"/>
            <w:vAlign w:val="center"/>
          </w:tcPr>
          <w:p w14:paraId="47815565">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技术标</w:t>
            </w:r>
          </w:p>
        </w:tc>
        <w:tc>
          <w:tcPr>
            <w:tcW w:w="2601" w:type="dxa"/>
            <w:shd w:val="clear" w:color="auto" w:fill="auto"/>
            <w:vAlign w:val="center"/>
          </w:tcPr>
          <w:p w14:paraId="0028337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技术方案答辩</w:t>
            </w:r>
          </w:p>
          <w:p w14:paraId="1C8EE072">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述标时间不超过30分钟，提问环节10分钟</w:t>
            </w:r>
            <w:r>
              <w:rPr>
                <w:rFonts w:hint="eastAsia" w:ascii="仿宋" w:hAnsi="仿宋" w:eastAsia="仿宋" w:cs="仿宋"/>
                <w:sz w:val="24"/>
                <w:szCs w:val="24"/>
              </w:rPr>
              <w:t>）</w:t>
            </w:r>
          </w:p>
        </w:tc>
        <w:tc>
          <w:tcPr>
            <w:tcW w:w="5278" w:type="dxa"/>
            <w:shd w:val="clear" w:color="auto" w:fill="auto"/>
            <w:vAlign w:val="center"/>
          </w:tcPr>
          <w:p w14:paraId="53C76E03">
            <w:pPr>
              <w:keepNext w:val="0"/>
              <w:keepLines w:val="0"/>
              <w:pageBreakBefore w:val="0"/>
              <w:widowControl w:val="0"/>
              <w:kinsoku/>
              <w:wordWrap/>
              <w:overflowPunct/>
              <w:topLinePunct w:val="0"/>
              <w:bidi w:val="0"/>
              <w:adjustRightInd/>
              <w:snapToGrid/>
              <w:spacing w:line="360" w:lineRule="auto"/>
              <w:textAlignment w:val="auto"/>
              <w:rPr>
                <w:rFonts w:ascii="仿宋" w:hAnsi="仿宋" w:eastAsia="仿宋" w:cs="仿宋"/>
                <w:sz w:val="24"/>
                <w:szCs w:val="24"/>
              </w:rPr>
            </w:pPr>
            <w:r>
              <w:rPr>
                <w:rFonts w:hint="eastAsia" w:ascii="仿宋" w:hAnsi="仿宋" w:eastAsia="仿宋" w:cs="仿宋"/>
                <w:sz w:val="24"/>
                <w:szCs w:val="24"/>
              </w:rPr>
              <w:t>评审包括但不限于以下部分（格式自拟）：</w:t>
            </w:r>
          </w:p>
          <w:p w14:paraId="05EA6E72">
            <w:pPr>
              <w:pStyle w:val="7"/>
              <w:keepNext w:val="0"/>
              <w:keepLines w:val="0"/>
              <w:pageBreakBefore w:val="0"/>
              <w:widowControl w:val="0"/>
              <w:kinsoku/>
              <w:wordWrap/>
              <w:overflowPunct/>
              <w:topLinePunct w:val="0"/>
              <w:bidi w:val="0"/>
              <w:adjustRightInd/>
              <w:snapToGrid/>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1.对本项目的理解包含但不限于项目分析与定位、项目需求理解分析（符合项目定位、理解度高）；</w:t>
            </w:r>
          </w:p>
          <w:p w14:paraId="1CABAB57">
            <w:pPr>
              <w:pStyle w:val="7"/>
              <w:keepNext w:val="0"/>
              <w:keepLines w:val="0"/>
              <w:pageBreakBefore w:val="0"/>
              <w:widowControl w:val="0"/>
              <w:kinsoku/>
              <w:wordWrap/>
              <w:overflowPunct/>
              <w:topLinePunct w:val="0"/>
              <w:bidi w:val="0"/>
              <w:adjustRightInd/>
              <w:snapToGrid/>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2.系统总体架构设计（美观、新颖性强）；</w:t>
            </w:r>
          </w:p>
          <w:p w14:paraId="615900C2">
            <w:pPr>
              <w:pStyle w:val="7"/>
              <w:keepNext w:val="0"/>
              <w:keepLines w:val="0"/>
              <w:pageBreakBefore w:val="0"/>
              <w:widowControl w:val="0"/>
              <w:kinsoku/>
              <w:wordWrap/>
              <w:overflowPunct/>
              <w:topLinePunct w:val="0"/>
              <w:bidi w:val="0"/>
              <w:adjustRightInd/>
              <w:snapToGrid/>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3.系统功能设计（完善、有亮点）；</w:t>
            </w:r>
          </w:p>
          <w:p w14:paraId="61571773">
            <w:pPr>
              <w:pStyle w:val="7"/>
              <w:keepNext w:val="0"/>
              <w:keepLines w:val="0"/>
              <w:pageBreakBefore w:val="0"/>
              <w:widowControl w:val="0"/>
              <w:kinsoku/>
              <w:wordWrap/>
              <w:overflowPunct/>
              <w:topLinePunct w:val="0"/>
              <w:bidi w:val="0"/>
              <w:adjustRightInd/>
              <w:snapToGrid/>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4.方案实现度（操作性强、精度高、落地性强）；</w:t>
            </w:r>
          </w:p>
          <w:p w14:paraId="7C368B04">
            <w:pPr>
              <w:pStyle w:val="7"/>
              <w:keepNext w:val="0"/>
              <w:keepLines w:val="0"/>
              <w:pageBreakBefore w:val="0"/>
              <w:widowControl w:val="0"/>
              <w:kinsoku/>
              <w:wordWrap/>
              <w:overflowPunct/>
              <w:topLinePunct w:val="0"/>
              <w:bidi w:val="0"/>
              <w:adjustRightInd/>
              <w:snapToGrid/>
              <w:spacing w:line="360" w:lineRule="auto"/>
              <w:ind w:left="0" w:firstLine="0"/>
              <w:textAlignment w:val="auto"/>
              <w:rPr>
                <w:rFonts w:hint="eastAsia" w:ascii="仿宋" w:hAnsi="仿宋" w:eastAsia="仿宋" w:cs="仿宋"/>
                <w:sz w:val="24"/>
                <w:szCs w:val="24"/>
              </w:rPr>
            </w:pPr>
            <w:r>
              <w:rPr>
                <w:rFonts w:hint="eastAsia" w:ascii="仿宋" w:hAnsi="仿宋" w:eastAsia="仿宋" w:cs="仿宋"/>
                <w:sz w:val="24"/>
                <w:szCs w:val="24"/>
              </w:rPr>
              <w:t>5.项目进度方案（进度阶段的划分、团队分工情况、工期安排等内容）；</w:t>
            </w:r>
          </w:p>
          <w:p w14:paraId="180BD20A">
            <w:pPr>
              <w:pStyle w:val="7"/>
              <w:keepNext w:val="0"/>
              <w:keepLines w:val="0"/>
              <w:pageBreakBefore w:val="0"/>
              <w:widowControl w:val="0"/>
              <w:kinsoku/>
              <w:wordWrap/>
              <w:overflowPunct/>
              <w:topLinePunct w:val="0"/>
              <w:bidi w:val="0"/>
              <w:adjustRightInd/>
              <w:snapToGrid/>
              <w:spacing w:line="360" w:lineRule="auto"/>
              <w:ind w:left="0" w:firstLine="0"/>
              <w:textAlignment w:val="auto"/>
              <w:rPr>
                <w:rFonts w:hint="eastAsia" w:ascii="仿宋" w:hAnsi="仿宋" w:eastAsia="仿宋" w:cs="仿宋"/>
                <w:sz w:val="24"/>
                <w:szCs w:val="24"/>
                <w:lang w:eastAsia="zh-CN"/>
              </w:rPr>
            </w:pPr>
            <w:r>
              <w:rPr>
                <w:rFonts w:hint="eastAsia" w:ascii="仿宋" w:hAnsi="仿宋" w:eastAsia="仿宋" w:cs="仿宋"/>
                <w:sz w:val="24"/>
                <w:szCs w:val="24"/>
              </w:rPr>
              <w:t>6.后期服务方案包含但不限于系统故障响应时间、处理流程、应急措施等（内容完善、响应速度及时）</w:t>
            </w:r>
            <w:r>
              <w:rPr>
                <w:rFonts w:hint="eastAsia" w:ascii="仿宋" w:hAnsi="仿宋" w:eastAsia="仿宋" w:cs="仿宋"/>
                <w:sz w:val="24"/>
                <w:szCs w:val="24"/>
                <w:lang w:eastAsia="zh-CN"/>
              </w:rPr>
              <w:t>。</w:t>
            </w:r>
          </w:p>
          <w:p w14:paraId="548813D1">
            <w:pPr>
              <w:pStyle w:val="7"/>
              <w:keepNext w:val="0"/>
              <w:keepLines w:val="0"/>
              <w:pageBreakBefore w:val="0"/>
              <w:widowControl w:val="0"/>
              <w:kinsoku/>
              <w:wordWrap/>
              <w:overflowPunct/>
              <w:topLinePunct w:val="0"/>
              <w:bidi w:val="0"/>
              <w:adjustRightInd/>
              <w:snapToGrid/>
              <w:spacing w:line="360" w:lineRule="auto"/>
              <w:ind w:left="0" w:firstLine="0"/>
              <w:textAlignment w:val="auto"/>
              <w:rPr>
                <w:lang w:eastAsia="zh-CN"/>
              </w:rPr>
            </w:pPr>
            <w:r>
              <w:rPr>
                <w:rFonts w:hint="eastAsia" w:ascii="仿宋" w:hAnsi="仿宋" w:eastAsia="仿宋" w:cs="仿宋"/>
                <w:b/>
                <w:bCs/>
                <w:sz w:val="24"/>
                <w:szCs w:val="24"/>
                <w:lang w:eastAsia="zh-CN"/>
              </w:rPr>
              <w:t>证明材料：投标单位提供讲解文件（以 PPT 或 PDF 形式）并现场进行述标</w:t>
            </w:r>
            <w:r>
              <w:rPr>
                <w:rFonts w:hint="eastAsia" w:ascii="仿宋" w:hAnsi="仿宋" w:eastAsia="仿宋" w:cs="仿宋"/>
                <w:b/>
                <w:bCs/>
                <w:sz w:val="24"/>
                <w:szCs w:val="24"/>
                <w:lang w:val="en-US" w:eastAsia="zh-CN"/>
              </w:rPr>
              <w:t>答辩</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述标文件需与投标文件保持一致</w:t>
            </w:r>
            <w:r>
              <w:rPr>
                <w:rFonts w:hint="eastAsia" w:ascii="仿宋" w:hAnsi="仿宋" w:eastAsia="仿宋" w:cs="仿宋"/>
                <w:b/>
                <w:bCs/>
                <w:sz w:val="24"/>
                <w:szCs w:val="24"/>
                <w:lang w:eastAsia="zh-CN"/>
              </w:rPr>
              <w:t>。</w:t>
            </w:r>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0"/>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bottom w:val="single" w:color="auto" w:sz="2" w:space="0"/>
              <w:right w:val="single" w:color="auto" w:sz="2" w:space="0"/>
              <w:tl2br w:val="nil"/>
              <w:tr2bl w:val="nil"/>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left w:val="single" w:color="auto" w:sz="2" w:space="0"/>
              <w:bottom w:val="single" w:color="auto" w:sz="2" w:space="0"/>
              <w:right w:val="single" w:color="auto" w:sz="2" w:space="0"/>
              <w:tl2br w:val="nil"/>
              <w:tr2bl w:val="nil"/>
            </w:tcBorders>
            <w:vAlign w:val="center"/>
          </w:tcPr>
          <w:p w14:paraId="2EDA6F20">
            <w:pPr>
              <w:jc w:val="center"/>
              <w:rPr>
                <w:rFonts w:ascii="仿宋" w:hAnsi="仿宋" w:eastAsia="仿宋" w:cs="仿宋"/>
                <w:sz w:val="24"/>
                <w:szCs w:val="24"/>
              </w:rPr>
            </w:pPr>
          </w:p>
        </w:tc>
        <w:tc>
          <w:tcPr>
            <w:tcW w:w="2429" w:type="dxa"/>
            <w:tcBorders>
              <w:left w:val="single" w:color="auto" w:sz="2" w:space="0"/>
              <w:bottom w:val="single" w:color="auto" w:sz="2" w:space="0"/>
              <w:right w:val="single" w:color="auto" w:sz="2" w:space="0"/>
              <w:tl2br w:val="nil"/>
              <w:tr2bl w:val="nil"/>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left w:val="single" w:color="auto" w:sz="2" w:space="0"/>
              <w:bottom w:val="single" w:color="auto" w:sz="2" w:space="0"/>
              <w:tl2br w:val="nil"/>
              <w:tr2bl w:val="nil"/>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tl2br w:val="nil"/>
              <w:tr2bl w:val="nil"/>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tl2br w:val="nil"/>
              <w:tr2bl w:val="nil"/>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tl2br w:val="nil"/>
              <w:tr2bl w:val="nil"/>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tl2br w:val="nil"/>
              <w:tr2bl w:val="nil"/>
            </w:tcBorders>
            <w:vAlign w:val="center"/>
          </w:tcPr>
          <w:p w14:paraId="7C7592FB">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tl2br w:val="nil"/>
              <w:tr2bl w:val="nil"/>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tl2br w:val="nil"/>
              <w:tr2bl w:val="nil"/>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right w:val="single" w:color="auto" w:sz="2" w:space="0"/>
              <w:tl2br w:val="nil"/>
              <w:tr2bl w:val="nil"/>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tl2br w:val="nil"/>
              <w:tr2bl w:val="nil"/>
            </w:tcBorders>
            <w:vAlign w:val="center"/>
          </w:tcPr>
          <w:p w14:paraId="1B335ADF">
            <w:pPr>
              <w:jc w:val="center"/>
              <w:rPr>
                <w:rFonts w:ascii="仿宋" w:hAnsi="仿宋" w:eastAsia="仿宋" w:cs="仿宋"/>
                <w:sz w:val="24"/>
                <w:szCs w:val="24"/>
              </w:rPr>
            </w:pPr>
          </w:p>
        </w:tc>
      </w:tr>
    </w:tbl>
    <w:p w14:paraId="120389B0">
      <w:pPr>
        <w:adjustRightInd w:val="0"/>
        <w:spacing w:before="156" w:beforeLines="50"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注：相关证书扫描件应后附，如果表中填写的内容与招标人在相关网站查询结果不一致，将视为投标人存在弄虚作假的情形。</w:t>
      </w:r>
    </w:p>
    <w:p w14:paraId="105A9DEB">
      <w:pPr>
        <w:adjustRightInd w:val="0"/>
        <w:snapToGrid w:val="0"/>
        <w:spacing w:after="200" w:line="360" w:lineRule="auto"/>
        <w:outlineLvl w:val="2"/>
        <w:rPr>
          <w:rFonts w:eastAsia="仿宋_GB2312"/>
          <w:b/>
          <w:bCs/>
        </w:rPr>
      </w:pPr>
      <w:r>
        <w:rPr>
          <w:rFonts w:ascii="华文细黑"/>
          <w:b/>
          <w:sz w:val="72"/>
        </w:rPr>
        <w:br w:type="page"/>
      </w:r>
    </w:p>
    <w:p w14:paraId="76BD3C83">
      <w:pPr>
        <w:adjustRightInd w:val="0"/>
        <w:snapToGrid w:val="0"/>
        <w:spacing w:line="360" w:lineRule="auto"/>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p>
    <w:p w14:paraId="3A4A85B6">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附件1.2</w:t>
      </w:r>
    </w:p>
    <w:p w14:paraId="12135B90">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投标报价书</w:t>
      </w:r>
    </w:p>
    <w:p w14:paraId="712E334B">
      <w:pPr>
        <w:pStyle w:val="8"/>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1E5278B8">
      <w:pPr>
        <w:numPr>
          <w:ilvl w:val="0"/>
          <w:numId w:val="1"/>
        </w:numPr>
        <w:adjustRightInd w:val="0"/>
        <w:snapToGrid w:val="0"/>
        <w:spacing w:before="156" w:beforeLines="50"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经分析研究招标人提供的本次公告内容，本投标人就</w:t>
      </w:r>
      <w:r>
        <w:rPr>
          <w:rFonts w:hint="eastAsia" w:ascii="仿宋" w:hAnsi="仿宋" w:eastAsia="仿宋" w:cs="仿宋"/>
          <w:bCs/>
          <w:sz w:val="24"/>
          <w:szCs w:val="24"/>
          <w:u w:val="single"/>
        </w:rPr>
        <w:t xml:space="preserve">  福城境项目CIM数字展示系统软件制作</w:t>
      </w:r>
      <w:r>
        <w:rPr>
          <w:rFonts w:hint="eastAsia" w:ascii="仿宋" w:hAnsi="仿宋" w:eastAsia="仿宋" w:cs="仿宋"/>
          <w:bCs/>
          <w:sz w:val="24"/>
          <w:szCs w:val="24"/>
        </w:rPr>
        <w:t>的报价见下表所列：</w:t>
      </w:r>
    </w:p>
    <w:tbl>
      <w:tblPr>
        <w:tblStyle w:val="10"/>
        <w:tblpPr w:leftFromText="180" w:rightFromText="180" w:vertAnchor="text" w:horzAnchor="page" w:tblpXSpec="center" w:tblpY="7"/>
        <w:tblOverlap w:val="never"/>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20"/>
        <w:gridCol w:w="1717"/>
        <w:gridCol w:w="1665"/>
        <w:gridCol w:w="4642"/>
      </w:tblGrid>
      <w:tr w14:paraId="6804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694" w:type="dxa"/>
            <w:shd w:val="clear" w:color="auto" w:fill="auto"/>
            <w:vAlign w:val="center"/>
          </w:tcPr>
          <w:p w14:paraId="098EAF6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20" w:type="dxa"/>
            <w:shd w:val="clear" w:color="auto" w:fill="auto"/>
            <w:vAlign w:val="center"/>
          </w:tcPr>
          <w:p w14:paraId="4109CCCC">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717" w:type="dxa"/>
            <w:shd w:val="clear" w:color="auto" w:fill="auto"/>
            <w:vAlign w:val="center"/>
          </w:tcPr>
          <w:p w14:paraId="701CB465">
            <w:pPr>
              <w:jc w:val="center"/>
              <w:rPr>
                <w:rFonts w:hint="eastAsia" w:ascii="仿宋" w:hAnsi="仿宋" w:eastAsia="仿宋" w:cs="仿宋"/>
                <w:sz w:val="24"/>
                <w:szCs w:val="24"/>
              </w:rPr>
            </w:pPr>
            <w:r>
              <w:rPr>
                <w:rFonts w:hint="eastAsia" w:ascii="仿宋" w:hAnsi="仿宋" w:eastAsia="仿宋" w:cs="仿宋"/>
                <w:sz w:val="24"/>
                <w:szCs w:val="24"/>
                <w:lang w:val="en-US" w:eastAsia="zh-CN"/>
              </w:rPr>
              <w:t>投标上限含税总</w:t>
            </w:r>
            <w:r>
              <w:rPr>
                <w:rFonts w:hint="eastAsia" w:ascii="仿宋" w:hAnsi="仿宋" w:eastAsia="仿宋" w:cs="仿宋"/>
                <w:sz w:val="24"/>
                <w:szCs w:val="24"/>
              </w:rPr>
              <w:t>价</w:t>
            </w:r>
          </w:p>
          <w:p w14:paraId="747D1428">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1665" w:type="dxa"/>
            <w:shd w:val="clear" w:color="auto" w:fill="auto"/>
            <w:vAlign w:val="center"/>
          </w:tcPr>
          <w:p w14:paraId="7840262C">
            <w:pPr>
              <w:jc w:val="center"/>
              <w:rPr>
                <w:rFonts w:hint="eastAsia" w:ascii="仿宋" w:hAnsi="仿宋" w:eastAsia="仿宋" w:cs="仿宋"/>
                <w:sz w:val="24"/>
                <w:szCs w:val="24"/>
                <w:lang w:val="en-US" w:eastAsia="zh-CN"/>
              </w:rPr>
            </w:pPr>
            <w:r>
              <w:rPr>
                <w:rFonts w:hint="eastAsia" w:ascii="仿宋" w:hAnsi="仿宋" w:eastAsia="仿宋" w:cs="仿宋"/>
                <w:sz w:val="24"/>
                <w:szCs w:val="24"/>
              </w:rPr>
              <w:t>投标报价</w:t>
            </w:r>
            <w:r>
              <w:rPr>
                <w:rFonts w:hint="eastAsia" w:ascii="仿宋" w:hAnsi="仿宋" w:eastAsia="仿宋" w:cs="仿宋"/>
                <w:sz w:val="24"/>
                <w:szCs w:val="24"/>
                <w:lang w:val="en-US" w:eastAsia="zh-CN"/>
              </w:rPr>
              <w:t>含税总价</w:t>
            </w:r>
          </w:p>
          <w:p w14:paraId="3624327F">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4642" w:type="dxa"/>
            <w:shd w:val="clear" w:color="auto" w:fill="auto"/>
            <w:vAlign w:val="center"/>
          </w:tcPr>
          <w:p w14:paraId="15449464">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392A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4" w:type="dxa"/>
            <w:vAlign w:val="center"/>
          </w:tcPr>
          <w:p w14:paraId="5FBB1DC2">
            <w:pPr>
              <w:jc w:val="center"/>
              <w:rPr>
                <w:rFonts w:hint="eastAsia" w:ascii="仿宋" w:hAnsi="仿宋" w:eastAsia="仿宋" w:cs="仿宋"/>
                <w:sz w:val="24"/>
                <w:szCs w:val="24"/>
              </w:rPr>
            </w:pPr>
            <w:r>
              <w:rPr>
                <w:rFonts w:hint="eastAsia" w:ascii="仿宋" w:hAnsi="仿宋" w:eastAsia="仿宋" w:cs="仿宋"/>
                <w:sz w:val="24"/>
                <w:szCs w:val="24"/>
              </w:rPr>
              <w:t>1</w:t>
            </w:r>
          </w:p>
        </w:tc>
        <w:tc>
          <w:tcPr>
            <w:tcW w:w="1620" w:type="dxa"/>
            <w:vAlign w:val="center"/>
          </w:tcPr>
          <w:p w14:paraId="14A318D0">
            <w:pPr>
              <w:jc w:val="center"/>
              <w:rPr>
                <w:rFonts w:hint="eastAsia" w:ascii="仿宋" w:hAnsi="仿宋" w:eastAsia="仿宋" w:cs="仿宋"/>
                <w:kern w:val="0"/>
                <w:sz w:val="24"/>
                <w:szCs w:val="24"/>
              </w:rPr>
            </w:pPr>
            <w:r>
              <w:rPr>
                <w:rFonts w:hint="eastAsia" w:ascii="仿宋" w:hAnsi="仿宋" w:eastAsia="仿宋" w:cs="仿宋"/>
                <w:b w:val="0"/>
                <w:bCs w:val="0"/>
                <w:i w:val="0"/>
                <w:iCs w:val="0"/>
                <w:color w:val="000000"/>
                <w:kern w:val="0"/>
                <w:sz w:val="22"/>
                <w:szCs w:val="22"/>
                <w:u w:val="none"/>
                <w:lang w:val="en-US" w:eastAsia="zh-CN" w:bidi="ar"/>
              </w:rPr>
              <w:t>福城境项目CIM数字展示系统软件制作</w:t>
            </w:r>
          </w:p>
        </w:tc>
        <w:tc>
          <w:tcPr>
            <w:tcW w:w="1717" w:type="dxa"/>
            <w:shd w:val="clear" w:color="auto" w:fill="auto"/>
            <w:vAlign w:val="center"/>
          </w:tcPr>
          <w:p w14:paraId="5062A49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905,336.00 </w:t>
            </w:r>
          </w:p>
        </w:tc>
        <w:tc>
          <w:tcPr>
            <w:tcW w:w="1665" w:type="dxa"/>
            <w:vAlign w:val="center"/>
          </w:tcPr>
          <w:p w14:paraId="77C24B74">
            <w:pPr>
              <w:jc w:val="center"/>
              <w:rPr>
                <w:rFonts w:hint="eastAsia" w:ascii="仿宋" w:hAnsi="仿宋" w:eastAsia="仿宋" w:cs="仿宋"/>
                <w:sz w:val="24"/>
                <w:szCs w:val="24"/>
                <w:lang w:val="en-US" w:eastAsia="zh-CN"/>
              </w:rPr>
            </w:pPr>
          </w:p>
        </w:tc>
        <w:tc>
          <w:tcPr>
            <w:tcW w:w="4642" w:type="dxa"/>
            <w:vMerge w:val="restart"/>
            <w:vAlign w:val="center"/>
          </w:tcPr>
          <w:p w14:paraId="1CBC54FA">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w:t>
            </w:r>
          </w:p>
          <w:p w14:paraId="383ED8CC">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bCs/>
                <w:kern w:val="2"/>
                <w:sz w:val="24"/>
                <w:szCs w:val="24"/>
                <w:lang w:val="en-US" w:eastAsia="zh-CN" w:bidi="ar-SA"/>
              </w:rPr>
            </w:pPr>
            <w:r>
              <w:rPr>
                <w:rStyle w:val="18"/>
                <w:rFonts w:hint="eastAsia" w:ascii="仿宋" w:hAnsi="仿宋" w:eastAsia="仿宋" w:cs="仿宋"/>
                <w:b w:val="0"/>
                <w:bCs w:val="0"/>
                <w:lang w:val="en-US" w:eastAsia="zh-CN" w:bidi="ar"/>
              </w:rPr>
              <w:t>投标报价总价=投标报价含税单价*数量。</w:t>
            </w:r>
          </w:p>
          <w:p w14:paraId="59C2A64E">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报价方式：投标人</w:t>
            </w:r>
            <w:r>
              <w:rPr>
                <w:rStyle w:val="18"/>
                <w:rFonts w:hint="eastAsia" w:ascii="仿宋" w:hAnsi="仿宋" w:eastAsia="仿宋" w:cs="仿宋"/>
                <w:b w:val="0"/>
                <w:bCs w:val="0"/>
                <w:lang w:val="en-US" w:eastAsia="zh-CN" w:bidi="ar"/>
              </w:rPr>
              <w:t>自主填报含税单价并汇总计算含税总价，填报的投标报价总价不得超过投标上限总价，否则按无效标处理。</w:t>
            </w:r>
            <w:r>
              <w:rPr>
                <w:rStyle w:val="18"/>
                <w:rFonts w:hint="eastAsia" w:ascii="仿宋" w:hAnsi="仿宋" w:eastAsia="仿宋" w:cs="仿宋"/>
                <w:b w:val="0"/>
                <w:bCs w:val="0"/>
                <w:lang w:val="en-US" w:eastAsia="zh-CN" w:bidi="ar"/>
              </w:rPr>
              <w:br w:type="textWrapping"/>
            </w:r>
            <w:r>
              <w:rPr>
                <w:rFonts w:hint="eastAsia" w:ascii="仿宋" w:hAnsi="仿宋" w:eastAsia="仿宋" w:cs="仿宋"/>
                <w:bCs/>
                <w:kern w:val="2"/>
                <w:sz w:val="24"/>
                <w:szCs w:val="24"/>
                <w:lang w:val="en-US" w:eastAsia="zh-CN" w:bidi="ar-SA"/>
              </w:rPr>
              <w:t>说明：</w:t>
            </w:r>
          </w:p>
          <w:p w14:paraId="15E4BBED">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sz w:val="24"/>
                <w:szCs w:val="24"/>
              </w:rPr>
            </w:pPr>
            <w:r>
              <w:rPr>
                <w:rStyle w:val="18"/>
                <w:rFonts w:hint="eastAsia" w:ascii="仿宋" w:hAnsi="仿宋" w:eastAsia="仿宋" w:cs="仿宋"/>
                <w:b w:val="0"/>
                <w:bCs w:val="0"/>
                <w:lang w:val="en-US" w:eastAsia="zh-CN" w:bidi="ar"/>
              </w:rPr>
              <w:t>投标报价包含系统调试、人员差旅、税金、运费等投标方自行认为有可能发生的一切费用。</w:t>
            </w:r>
          </w:p>
        </w:tc>
      </w:tr>
      <w:tr w14:paraId="71E4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694" w:type="dxa"/>
            <w:vAlign w:val="center"/>
          </w:tcPr>
          <w:p w14:paraId="34AD357A">
            <w:pPr>
              <w:jc w:val="center"/>
              <w:rPr>
                <w:rFonts w:hint="eastAsia" w:ascii="仿宋" w:hAnsi="仿宋" w:eastAsia="仿宋" w:cs="仿宋"/>
                <w:sz w:val="24"/>
                <w:szCs w:val="24"/>
              </w:rPr>
            </w:pPr>
            <w:r>
              <w:rPr>
                <w:rFonts w:hint="eastAsia" w:ascii="仿宋" w:hAnsi="仿宋" w:eastAsia="仿宋" w:cs="仿宋"/>
                <w:sz w:val="24"/>
                <w:szCs w:val="24"/>
              </w:rPr>
              <w:t>2</w:t>
            </w:r>
          </w:p>
        </w:tc>
        <w:tc>
          <w:tcPr>
            <w:tcW w:w="1620" w:type="dxa"/>
            <w:vAlign w:val="center"/>
          </w:tcPr>
          <w:p w14:paraId="09FC9D92">
            <w:pPr>
              <w:jc w:val="center"/>
              <w:rPr>
                <w:rFonts w:hint="eastAsia" w:ascii="仿宋" w:hAnsi="仿宋" w:eastAsia="仿宋" w:cs="仿宋"/>
                <w:sz w:val="24"/>
                <w:szCs w:val="24"/>
              </w:rPr>
            </w:pPr>
            <w:r>
              <w:rPr>
                <w:rFonts w:hint="eastAsia" w:ascii="仿宋" w:hAnsi="仿宋" w:eastAsia="仿宋" w:cs="仿宋"/>
                <w:sz w:val="24"/>
                <w:szCs w:val="24"/>
              </w:rPr>
              <w:t>金额（大写）</w:t>
            </w:r>
          </w:p>
        </w:tc>
        <w:tc>
          <w:tcPr>
            <w:tcW w:w="1717" w:type="dxa"/>
            <w:vAlign w:val="center"/>
          </w:tcPr>
          <w:p w14:paraId="6AF735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玖拾万零伍仟叁佰叁拾陆元整</w:t>
            </w:r>
          </w:p>
        </w:tc>
        <w:tc>
          <w:tcPr>
            <w:tcW w:w="1665" w:type="dxa"/>
            <w:vAlign w:val="center"/>
          </w:tcPr>
          <w:p w14:paraId="2B3C7715">
            <w:pPr>
              <w:jc w:val="center"/>
              <w:rPr>
                <w:rFonts w:hint="eastAsia" w:ascii="仿宋" w:hAnsi="仿宋" w:eastAsia="仿宋" w:cs="仿宋"/>
                <w:sz w:val="24"/>
                <w:szCs w:val="24"/>
              </w:rPr>
            </w:pPr>
          </w:p>
        </w:tc>
        <w:tc>
          <w:tcPr>
            <w:tcW w:w="4642" w:type="dxa"/>
            <w:vMerge w:val="continue"/>
            <w:vAlign w:val="center"/>
          </w:tcPr>
          <w:p w14:paraId="4DEB3B78">
            <w:pPr>
              <w:rPr>
                <w:rFonts w:hint="eastAsia" w:ascii="仿宋" w:hAnsi="仿宋" w:eastAsia="仿宋" w:cs="仿宋"/>
                <w:sz w:val="24"/>
                <w:szCs w:val="24"/>
              </w:rPr>
            </w:pPr>
          </w:p>
        </w:tc>
      </w:tr>
    </w:tbl>
    <w:p w14:paraId="3961DD4E">
      <w:pPr>
        <w:keepNext w:val="0"/>
        <w:keepLines w:val="0"/>
        <w:pageBreakBefore w:val="0"/>
        <w:widowControl/>
        <w:numPr>
          <w:ilvl w:val="0"/>
          <w:numId w:val="0"/>
        </w:numPr>
        <w:kinsoku/>
        <w:wordWrap/>
        <w:overflowPunct/>
        <w:topLinePunct w:val="0"/>
        <w:autoSpaceDE/>
        <w:autoSpaceDN/>
        <w:bidi w:val="0"/>
        <w:spacing w:line="480" w:lineRule="exact"/>
        <w:ind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2.本项目采用</w:t>
      </w:r>
      <w:r>
        <w:rPr>
          <w:rFonts w:hint="eastAsia" w:ascii="仿宋" w:hAnsi="仿宋" w:eastAsia="仿宋" w:cs="仿宋"/>
          <w:b/>
          <w:sz w:val="24"/>
          <w:szCs w:val="24"/>
          <w:highlight w:val="none"/>
        </w:rPr>
        <w:t>固定总价合同</w:t>
      </w:r>
      <w:r>
        <w:rPr>
          <w:rFonts w:hint="eastAsia" w:ascii="仿宋" w:hAnsi="仿宋" w:eastAsia="仿宋" w:cs="仿宋"/>
          <w:bCs/>
          <w:sz w:val="24"/>
          <w:szCs w:val="24"/>
          <w:highlight w:val="none"/>
        </w:rPr>
        <w:t>，遴选公告已提供不带价格的清单</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详见附件3</w:t>
      </w:r>
      <w:r>
        <w:rPr>
          <w:rFonts w:hint="eastAsia" w:ascii="仿宋" w:hAnsi="仿宋" w:eastAsia="仿宋" w:cs="仿宋"/>
          <w:b/>
          <w:bCs w:val="0"/>
          <w:sz w:val="24"/>
          <w:szCs w:val="24"/>
          <w:highlight w:val="none"/>
          <w:lang w:eastAsia="zh-CN"/>
        </w:rPr>
        <w:t>）</w:t>
      </w:r>
      <w:r>
        <w:rPr>
          <w:rFonts w:hint="eastAsia" w:ascii="仿宋" w:hAnsi="仿宋" w:eastAsia="仿宋" w:cs="仿宋"/>
          <w:bCs/>
          <w:sz w:val="24"/>
          <w:szCs w:val="24"/>
          <w:highlight w:val="none"/>
        </w:rPr>
        <w:t>，投标人</w:t>
      </w:r>
      <w:r>
        <w:rPr>
          <w:rFonts w:hint="eastAsia" w:ascii="仿宋" w:hAnsi="仿宋" w:eastAsia="仿宋" w:cs="仿宋"/>
          <w:bCs/>
          <w:sz w:val="24"/>
          <w:szCs w:val="24"/>
          <w:highlight w:val="none"/>
          <w:lang w:val="en-US" w:eastAsia="zh-CN"/>
        </w:rPr>
        <w:t>需统一填报单价</w:t>
      </w:r>
      <w:r>
        <w:rPr>
          <w:rFonts w:hint="eastAsia" w:ascii="仿宋" w:hAnsi="仿宋" w:eastAsia="仿宋" w:cs="仿宋"/>
          <w:bCs/>
          <w:sz w:val="24"/>
          <w:szCs w:val="24"/>
          <w:highlight w:val="none"/>
        </w:rPr>
        <w:t>，并将汇总的投标总价填入上表</w:t>
      </w:r>
      <w:r>
        <w:rPr>
          <w:rFonts w:hint="eastAsia" w:ascii="仿宋" w:hAnsi="仿宋" w:eastAsia="仿宋" w:cs="仿宋"/>
          <w:bCs/>
          <w:kern w:val="2"/>
          <w:sz w:val="24"/>
          <w:szCs w:val="24"/>
          <w:highlight w:val="none"/>
          <w:lang w:val="en-US" w:eastAsia="zh-CN" w:bidi="ar-SA"/>
        </w:rPr>
        <w:t>，</w:t>
      </w:r>
      <w:r>
        <w:rPr>
          <w:rFonts w:hint="eastAsia" w:ascii="仿宋" w:hAnsi="仿宋" w:eastAsia="仿宋" w:cs="仿宋"/>
          <w:bCs/>
          <w:sz w:val="24"/>
          <w:szCs w:val="24"/>
          <w:highlight w:val="none"/>
          <w:lang w:val="en-US" w:eastAsia="zh-CN"/>
        </w:rPr>
        <w:t>同时</w:t>
      </w:r>
      <w:r>
        <w:rPr>
          <w:rFonts w:hint="eastAsia" w:ascii="仿宋" w:hAnsi="仿宋" w:eastAsia="仿宋" w:cs="仿宋"/>
          <w:bCs/>
          <w:sz w:val="24"/>
          <w:szCs w:val="24"/>
          <w:highlight w:val="none"/>
        </w:rPr>
        <w:t>填报的</w:t>
      </w:r>
      <w:r>
        <w:rPr>
          <w:rFonts w:hint="eastAsia" w:ascii="仿宋" w:hAnsi="仿宋" w:eastAsia="仿宋" w:cs="仿宋"/>
          <w:b/>
          <w:bCs w:val="0"/>
          <w:sz w:val="24"/>
          <w:szCs w:val="24"/>
          <w:highlight w:val="none"/>
        </w:rPr>
        <w:t>投标报价总价不得超过投标报价上限</w:t>
      </w:r>
      <w:r>
        <w:rPr>
          <w:rFonts w:hint="eastAsia" w:ascii="仿宋" w:hAnsi="仿宋" w:eastAsia="仿宋" w:cs="仿宋"/>
          <w:bCs/>
          <w:sz w:val="24"/>
          <w:szCs w:val="24"/>
          <w:highlight w:val="none"/>
        </w:rPr>
        <w:t>，否则按无效标处理。以上报价为本投标人在公告要求期限内完成约定的全部工作的总费用。</w:t>
      </w:r>
    </w:p>
    <w:p w14:paraId="222E0F0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3.如招标人接受本投标人的投标，本投标人将保证遵循国家和省、市相关法律、法规的要求和公告要求完成相关的评估服务工作。</w:t>
      </w:r>
    </w:p>
    <w:p w14:paraId="1ED48C0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4.在正式的合同协议制定和签署前，本报价连同招标人的中标通知书应为约束贵、我双方的合同文件。</w:t>
      </w:r>
    </w:p>
    <w:p w14:paraId="0819516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5.本投标人理解，招标人不一定接受最低标价的投标或招标人可能接受其他任何投标。</w:t>
      </w:r>
    </w:p>
    <w:p w14:paraId="5377DC85">
      <w:pPr>
        <w:adjustRightInd w:val="0"/>
        <w:snapToGrid w:val="0"/>
        <w:spacing w:line="360" w:lineRule="auto"/>
        <w:rPr>
          <w:rFonts w:ascii="仿宋" w:hAnsi="仿宋" w:eastAsia="仿宋" w:cs="仿宋"/>
          <w:bCs/>
          <w:sz w:val="24"/>
          <w:szCs w:val="24"/>
        </w:rPr>
      </w:pPr>
    </w:p>
    <w:p w14:paraId="60AF7829">
      <w:pPr>
        <w:adjustRightInd w:val="0"/>
        <w:snapToGrid w:val="0"/>
        <w:spacing w:line="360" w:lineRule="auto"/>
        <w:ind w:firstLine="5400" w:firstLineChars="2250"/>
        <w:jc w:val="both"/>
        <w:rPr>
          <w:rFonts w:ascii="仿宋" w:hAnsi="仿宋" w:eastAsia="仿宋" w:cs="仿宋"/>
          <w:bCs/>
          <w:sz w:val="24"/>
          <w:szCs w:val="24"/>
        </w:rPr>
      </w:pPr>
      <w:r>
        <w:rPr>
          <w:rFonts w:hint="eastAsia" w:ascii="仿宋" w:hAnsi="仿宋" w:eastAsia="仿宋" w:cs="仿宋"/>
          <w:bCs/>
          <w:sz w:val="24"/>
          <w:szCs w:val="24"/>
        </w:rPr>
        <w:t>投标人（公章）：</w:t>
      </w:r>
    </w:p>
    <w:p w14:paraId="2421DA5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法人代表人或其授权委托代理人（签章）：</w:t>
      </w:r>
    </w:p>
    <w:p w14:paraId="660A178B">
      <w:pPr>
        <w:adjustRightInd w:val="0"/>
        <w:snapToGrid w:val="0"/>
        <w:spacing w:line="360" w:lineRule="auto"/>
        <w:ind w:firstLine="5280" w:firstLineChars="2200"/>
        <w:jc w:val="both"/>
        <w:rPr>
          <w:rFonts w:hint="eastAsia"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t>日期：    年    月    日</w:t>
      </w:r>
    </w:p>
    <w:p w14:paraId="302CB10B">
      <w:pPr>
        <w:adjustRightInd w:val="0"/>
        <w:snapToGrid w:val="0"/>
        <w:spacing w:line="360" w:lineRule="auto"/>
        <w:rPr>
          <w:rFonts w:ascii="仿宋" w:hAnsi="仿宋" w:eastAsia="仿宋" w:cs="仿宋"/>
          <w:bCs/>
          <w:sz w:val="28"/>
          <w:szCs w:val="28"/>
        </w:rPr>
      </w:pPr>
      <w:r>
        <w:rPr>
          <w:rFonts w:hint="eastAsia" w:ascii="仿宋" w:hAnsi="仿宋" w:eastAsia="仿宋" w:cs="仿宋"/>
          <w:b/>
          <w:sz w:val="28"/>
          <w:szCs w:val="28"/>
        </w:rPr>
        <w:t>附件1.3</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8"/>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 xml:space="preserve"> 福城境项目CIM数字展示系统软件制作</w:t>
      </w:r>
      <w:r>
        <w:rPr>
          <w:rFonts w:hint="eastAsia" w:ascii="仿宋" w:hAnsi="仿宋" w:eastAsia="仿宋" w:cs="仿宋"/>
          <w:bCs/>
          <w:sz w:val="24"/>
          <w:szCs w:val="24"/>
        </w:rPr>
        <w:t>公告的所有内容及要求，为此作出如下承诺：</w:t>
      </w:r>
    </w:p>
    <w:p w14:paraId="5610DFD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附件1.4</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企业同类项目业绩一览表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3A36CAA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921B3E8">
            <w:pPr>
              <w:adjustRightInd w:val="0"/>
              <w:snapToGrid w:val="0"/>
              <w:jc w:val="center"/>
              <w:rPr>
                <w:rFonts w:ascii="仿宋" w:hAnsi="仿宋" w:eastAsia="仿宋" w:cs="仿宋"/>
                <w:bCs/>
                <w:sz w:val="24"/>
                <w:szCs w:val="24"/>
              </w:rPr>
            </w:pPr>
          </w:p>
        </w:tc>
        <w:tc>
          <w:tcPr>
            <w:tcW w:w="1593" w:type="dxa"/>
            <w:tcBorders>
              <w:tl2br w:val="nil"/>
              <w:tr2bl w:val="nil"/>
            </w:tcBorders>
          </w:tcPr>
          <w:p w14:paraId="58582EEB">
            <w:pPr>
              <w:adjustRightInd w:val="0"/>
              <w:snapToGrid w:val="0"/>
              <w:jc w:val="center"/>
              <w:rPr>
                <w:rFonts w:ascii="仿宋" w:hAnsi="仿宋" w:eastAsia="仿宋" w:cs="仿宋"/>
                <w:bCs/>
                <w:sz w:val="24"/>
                <w:szCs w:val="24"/>
              </w:rPr>
            </w:pPr>
          </w:p>
        </w:tc>
        <w:tc>
          <w:tcPr>
            <w:tcW w:w="1771" w:type="dxa"/>
            <w:tcBorders>
              <w:tl2br w:val="nil"/>
              <w:tr2bl w:val="nil"/>
            </w:tcBorders>
          </w:tcPr>
          <w:p w14:paraId="51D246F9">
            <w:pPr>
              <w:adjustRightInd w:val="0"/>
              <w:snapToGrid w:val="0"/>
              <w:jc w:val="center"/>
              <w:rPr>
                <w:rFonts w:ascii="仿宋" w:hAnsi="仿宋" w:eastAsia="仿宋" w:cs="仿宋"/>
                <w:bCs/>
                <w:sz w:val="24"/>
                <w:szCs w:val="24"/>
              </w:rPr>
            </w:pPr>
          </w:p>
        </w:tc>
        <w:tc>
          <w:tcPr>
            <w:tcW w:w="1290" w:type="dxa"/>
            <w:tcBorders>
              <w:tl2br w:val="nil"/>
              <w:tr2bl w:val="nil"/>
            </w:tcBorders>
          </w:tcPr>
          <w:p w14:paraId="30CD2487">
            <w:pPr>
              <w:adjustRightInd w:val="0"/>
              <w:snapToGrid w:val="0"/>
              <w:jc w:val="center"/>
              <w:rPr>
                <w:rFonts w:ascii="仿宋" w:hAnsi="仿宋" w:eastAsia="仿宋" w:cs="仿宋"/>
                <w:bCs/>
                <w:sz w:val="24"/>
                <w:szCs w:val="24"/>
              </w:rPr>
            </w:pPr>
          </w:p>
        </w:tc>
      </w:tr>
      <w:tr w14:paraId="07AF6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19FE5FC">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w:t>
            </w:r>
          </w:p>
        </w:tc>
        <w:tc>
          <w:tcPr>
            <w:tcW w:w="1541" w:type="dxa"/>
            <w:tcBorders>
              <w:tl2br w:val="nil"/>
              <w:tr2bl w:val="nil"/>
            </w:tcBorders>
            <w:vAlign w:val="center"/>
          </w:tcPr>
          <w:p w14:paraId="3A0EE412">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0035782">
            <w:pPr>
              <w:adjustRightInd w:val="0"/>
              <w:snapToGrid w:val="0"/>
              <w:jc w:val="center"/>
              <w:rPr>
                <w:rFonts w:ascii="仿宋" w:hAnsi="仿宋" w:eastAsia="仿宋" w:cs="仿宋"/>
                <w:bCs/>
                <w:sz w:val="24"/>
                <w:szCs w:val="24"/>
              </w:rPr>
            </w:pPr>
          </w:p>
        </w:tc>
        <w:tc>
          <w:tcPr>
            <w:tcW w:w="1593" w:type="dxa"/>
            <w:tcBorders>
              <w:tl2br w:val="nil"/>
              <w:tr2bl w:val="nil"/>
            </w:tcBorders>
          </w:tcPr>
          <w:p w14:paraId="211CEBA2">
            <w:pPr>
              <w:adjustRightInd w:val="0"/>
              <w:snapToGrid w:val="0"/>
              <w:jc w:val="center"/>
              <w:rPr>
                <w:rFonts w:ascii="仿宋" w:hAnsi="仿宋" w:eastAsia="仿宋" w:cs="仿宋"/>
                <w:bCs/>
                <w:sz w:val="24"/>
                <w:szCs w:val="24"/>
              </w:rPr>
            </w:pPr>
          </w:p>
        </w:tc>
        <w:tc>
          <w:tcPr>
            <w:tcW w:w="1771" w:type="dxa"/>
            <w:tcBorders>
              <w:tl2br w:val="nil"/>
              <w:tr2bl w:val="nil"/>
            </w:tcBorders>
          </w:tcPr>
          <w:p w14:paraId="5DF38B47">
            <w:pPr>
              <w:adjustRightInd w:val="0"/>
              <w:snapToGrid w:val="0"/>
              <w:jc w:val="center"/>
              <w:rPr>
                <w:rFonts w:ascii="仿宋" w:hAnsi="仿宋" w:eastAsia="仿宋" w:cs="仿宋"/>
                <w:bCs/>
                <w:sz w:val="24"/>
                <w:szCs w:val="24"/>
              </w:rPr>
            </w:pPr>
          </w:p>
        </w:tc>
        <w:tc>
          <w:tcPr>
            <w:tcW w:w="1290" w:type="dxa"/>
            <w:tcBorders>
              <w:tl2br w:val="nil"/>
              <w:tr2bl w:val="nil"/>
            </w:tcBorders>
          </w:tcPr>
          <w:p w14:paraId="42AC061C">
            <w:pPr>
              <w:adjustRightInd w:val="0"/>
              <w:snapToGrid w:val="0"/>
              <w:jc w:val="center"/>
              <w:rPr>
                <w:rFonts w:ascii="仿宋" w:hAnsi="仿宋" w:eastAsia="仿宋" w:cs="仿宋"/>
                <w:bCs/>
                <w:sz w:val="24"/>
                <w:szCs w:val="24"/>
              </w:rPr>
            </w:pPr>
          </w:p>
        </w:tc>
      </w:tr>
      <w:tr w14:paraId="03BC2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A02AEAD">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w:t>
            </w:r>
          </w:p>
        </w:tc>
        <w:tc>
          <w:tcPr>
            <w:tcW w:w="1541" w:type="dxa"/>
            <w:tcBorders>
              <w:tl2br w:val="nil"/>
              <w:tr2bl w:val="nil"/>
            </w:tcBorders>
            <w:vAlign w:val="center"/>
          </w:tcPr>
          <w:p w14:paraId="550A356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290A546C">
            <w:pPr>
              <w:adjustRightInd w:val="0"/>
              <w:snapToGrid w:val="0"/>
              <w:jc w:val="center"/>
              <w:rPr>
                <w:rFonts w:ascii="仿宋" w:hAnsi="仿宋" w:eastAsia="仿宋" w:cs="仿宋"/>
                <w:bCs/>
                <w:sz w:val="24"/>
                <w:szCs w:val="24"/>
              </w:rPr>
            </w:pPr>
          </w:p>
        </w:tc>
        <w:tc>
          <w:tcPr>
            <w:tcW w:w="1593" w:type="dxa"/>
            <w:tcBorders>
              <w:tl2br w:val="nil"/>
              <w:tr2bl w:val="nil"/>
            </w:tcBorders>
          </w:tcPr>
          <w:p w14:paraId="00A49C5B">
            <w:pPr>
              <w:adjustRightInd w:val="0"/>
              <w:snapToGrid w:val="0"/>
              <w:jc w:val="center"/>
              <w:rPr>
                <w:rFonts w:ascii="仿宋" w:hAnsi="仿宋" w:eastAsia="仿宋" w:cs="仿宋"/>
                <w:bCs/>
                <w:sz w:val="24"/>
                <w:szCs w:val="24"/>
              </w:rPr>
            </w:pPr>
          </w:p>
        </w:tc>
        <w:tc>
          <w:tcPr>
            <w:tcW w:w="1771" w:type="dxa"/>
            <w:tcBorders>
              <w:tl2br w:val="nil"/>
              <w:tr2bl w:val="nil"/>
            </w:tcBorders>
          </w:tcPr>
          <w:p w14:paraId="18D8F4A3">
            <w:pPr>
              <w:adjustRightInd w:val="0"/>
              <w:snapToGrid w:val="0"/>
              <w:jc w:val="center"/>
              <w:rPr>
                <w:rFonts w:ascii="仿宋" w:hAnsi="仿宋" w:eastAsia="仿宋" w:cs="仿宋"/>
                <w:bCs/>
                <w:sz w:val="24"/>
                <w:szCs w:val="24"/>
              </w:rPr>
            </w:pPr>
          </w:p>
        </w:tc>
        <w:tc>
          <w:tcPr>
            <w:tcW w:w="1290" w:type="dxa"/>
            <w:tcBorders>
              <w:tl2br w:val="nil"/>
              <w:tr2bl w:val="nil"/>
            </w:tcBorders>
          </w:tcPr>
          <w:p w14:paraId="6975AFAB">
            <w:pPr>
              <w:adjustRightInd w:val="0"/>
              <w:snapToGrid w:val="0"/>
              <w:jc w:val="center"/>
              <w:rPr>
                <w:rFonts w:ascii="仿宋" w:hAnsi="仿宋" w:eastAsia="仿宋" w:cs="仿宋"/>
                <w:bCs/>
                <w:sz w:val="24"/>
                <w:szCs w:val="24"/>
              </w:rPr>
            </w:pPr>
          </w:p>
        </w:tc>
      </w:tr>
      <w:tr w14:paraId="11318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4897D04">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w:t>
            </w:r>
          </w:p>
        </w:tc>
        <w:tc>
          <w:tcPr>
            <w:tcW w:w="1541" w:type="dxa"/>
            <w:tcBorders>
              <w:tl2br w:val="nil"/>
              <w:tr2bl w:val="nil"/>
            </w:tcBorders>
            <w:vAlign w:val="center"/>
          </w:tcPr>
          <w:p w14:paraId="427FF1BF">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3890F0FD">
            <w:pPr>
              <w:adjustRightInd w:val="0"/>
              <w:snapToGrid w:val="0"/>
              <w:jc w:val="center"/>
              <w:rPr>
                <w:rFonts w:ascii="仿宋" w:hAnsi="仿宋" w:eastAsia="仿宋" w:cs="仿宋"/>
                <w:bCs/>
                <w:sz w:val="24"/>
                <w:szCs w:val="24"/>
              </w:rPr>
            </w:pPr>
          </w:p>
        </w:tc>
        <w:tc>
          <w:tcPr>
            <w:tcW w:w="1593" w:type="dxa"/>
            <w:tcBorders>
              <w:tl2br w:val="nil"/>
              <w:tr2bl w:val="nil"/>
            </w:tcBorders>
          </w:tcPr>
          <w:p w14:paraId="28E9AF0C">
            <w:pPr>
              <w:adjustRightInd w:val="0"/>
              <w:snapToGrid w:val="0"/>
              <w:jc w:val="center"/>
              <w:rPr>
                <w:rFonts w:ascii="仿宋" w:hAnsi="仿宋" w:eastAsia="仿宋" w:cs="仿宋"/>
                <w:bCs/>
                <w:sz w:val="24"/>
                <w:szCs w:val="24"/>
              </w:rPr>
            </w:pPr>
          </w:p>
        </w:tc>
        <w:tc>
          <w:tcPr>
            <w:tcW w:w="1771" w:type="dxa"/>
            <w:tcBorders>
              <w:tl2br w:val="nil"/>
              <w:tr2bl w:val="nil"/>
            </w:tcBorders>
          </w:tcPr>
          <w:p w14:paraId="1A659287">
            <w:pPr>
              <w:adjustRightInd w:val="0"/>
              <w:snapToGrid w:val="0"/>
              <w:jc w:val="center"/>
              <w:rPr>
                <w:rFonts w:ascii="仿宋" w:hAnsi="仿宋" w:eastAsia="仿宋" w:cs="仿宋"/>
                <w:bCs/>
                <w:sz w:val="24"/>
                <w:szCs w:val="24"/>
              </w:rPr>
            </w:pPr>
          </w:p>
        </w:tc>
        <w:tc>
          <w:tcPr>
            <w:tcW w:w="1290" w:type="dxa"/>
            <w:tcBorders>
              <w:tl2br w:val="nil"/>
              <w:tr2bl w:val="nil"/>
            </w:tcBorders>
          </w:tcPr>
          <w:p w14:paraId="68ACB4EB">
            <w:pPr>
              <w:adjustRightInd w:val="0"/>
              <w:snapToGrid w:val="0"/>
              <w:jc w:val="center"/>
              <w:rPr>
                <w:rFonts w:ascii="仿宋" w:hAnsi="仿宋" w:eastAsia="仿宋" w:cs="仿宋"/>
                <w:bCs/>
                <w:sz w:val="24"/>
                <w:szCs w:val="24"/>
              </w:rPr>
            </w:pPr>
          </w:p>
        </w:tc>
      </w:tr>
      <w:tr w14:paraId="6E835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6ED8CD8">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w:t>
            </w:r>
          </w:p>
        </w:tc>
        <w:tc>
          <w:tcPr>
            <w:tcW w:w="1541" w:type="dxa"/>
            <w:tcBorders>
              <w:tl2br w:val="nil"/>
              <w:tr2bl w:val="nil"/>
            </w:tcBorders>
            <w:vAlign w:val="center"/>
          </w:tcPr>
          <w:p w14:paraId="43EF6ED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B37DC18">
            <w:pPr>
              <w:adjustRightInd w:val="0"/>
              <w:snapToGrid w:val="0"/>
              <w:jc w:val="center"/>
              <w:rPr>
                <w:rFonts w:ascii="仿宋" w:hAnsi="仿宋" w:eastAsia="仿宋" w:cs="仿宋"/>
                <w:bCs/>
                <w:sz w:val="24"/>
                <w:szCs w:val="24"/>
              </w:rPr>
            </w:pPr>
          </w:p>
        </w:tc>
        <w:tc>
          <w:tcPr>
            <w:tcW w:w="1593" w:type="dxa"/>
            <w:tcBorders>
              <w:tl2br w:val="nil"/>
              <w:tr2bl w:val="nil"/>
            </w:tcBorders>
          </w:tcPr>
          <w:p w14:paraId="15493F32">
            <w:pPr>
              <w:adjustRightInd w:val="0"/>
              <w:snapToGrid w:val="0"/>
              <w:jc w:val="center"/>
              <w:rPr>
                <w:rFonts w:ascii="仿宋" w:hAnsi="仿宋" w:eastAsia="仿宋" w:cs="仿宋"/>
                <w:bCs/>
                <w:sz w:val="24"/>
                <w:szCs w:val="24"/>
              </w:rPr>
            </w:pPr>
          </w:p>
        </w:tc>
        <w:tc>
          <w:tcPr>
            <w:tcW w:w="1771" w:type="dxa"/>
            <w:tcBorders>
              <w:tl2br w:val="nil"/>
              <w:tr2bl w:val="nil"/>
            </w:tcBorders>
          </w:tcPr>
          <w:p w14:paraId="659B964B">
            <w:pPr>
              <w:adjustRightInd w:val="0"/>
              <w:snapToGrid w:val="0"/>
              <w:jc w:val="center"/>
              <w:rPr>
                <w:rFonts w:ascii="仿宋" w:hAnsi="仿宋" w:eastAsia="仿宋" w:cs="仿宋"/>
                <w:bCs/>
                <w:sz w:val="24"/>
                <w:szCs w:val="24"/>
              </w:rPr>
            </w:pPr>
          </w:p>
        </w:tc>
        <w:tc>
          <w:tcPr>
            <w:tcW w:w="1290" w:type="dxa"/>
            <w:tcBorders>
              <w:tl2br w:val="nil"/>
              <w:tr2bl w:val="nil"/>
            </w:tcBorders>
          </w:tcPr>
          <w:p w14:paraId="294EC09A">
            <w:pPr>
              <w:adjustRightInd w:val="0"/>
              <w:snapToGrid w:val="0"/>
              <w:jc w:val="center"/>
              <w:rPr>
                <w:rFonts w:ascii="仿宋" w:hAnsi="仿宋" w:eastAsia="仿宋" w:cs="仿宋"/>
                <w:bCs/>
                <w:sz w:val="24"/>
                <w:szCs w:val="24"/>
              </w:rPr>
            </w:pPr>
          </w:p>
        </w:tc>
      </w:tr>
      <w:tr w14:paraId="2AE6E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2EB4BF7">
            <w:pPr>
              <w:adjustRightInd w:val="0"/>
              <w:snapToGrid w:val="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10</w:t>
            </w:r>
          </w:p>
        </w:tc>
        <w:tc>
          <w:tcPr>
            <w:tcW w:w="1541" w:type="dxa"/>
            <w:tcBorders>
              <w:tl2br w:val="nil"/>
              <w:tr2bl w:val="nil"/>
            </w:tcBorders>
            <w:vAlign w:val="center"/>
          </w:tcPr>
          <w:p w14:paraId="5A0A158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37706993">
            <w:pPr>
              <w:adjustRightInd w:val="0"/>
              <w:snapToGrid w:val="0"/>
              <w:jc w:val="center"/>
              <w:rPr>
                <w:rFonts w:ascii="仿宋" w:hAnsi="仿宋" w:eastAsia="仿宋" w:cs="仿宋"/>
                <w:bCs/>
                <w:sz w:val="24"/>
                <w:szCs w:val="24"/>
              </w:rPr>
            </w:pPr>
          </w:p>
        </w:tc>
        <w:tc>
          <w:tcPr>
            <w:tcW w:w="1593" w:type="dxa"/>
            <w:tcBorders>
              <w:tl2br w:val="nil"/>
              <w:tr2bl w:val="nil"/>
            </w:tcBorders>
          </w:tcPr>
          <w:p w14:paraId="10B8A1AE">
            <w:pPr>
              <w:adjustRightInd w:val="0"/>
              <w:snapToGrid w:val="0"/>
              <w:jc w:val="center"/>
              <w:rPr>
                <w:rFonts w:ascii="仿宋" w:hAnsi="仿宋" w:eastAsia="仿宋" w:cs="仿宋"/>
                <w:bCs/>
                <w:sz w:val="24"/>
                <w:szCs w:val="24"/>
              </w:rPr>
            </w:pPr>
          </w:p>
        </w:tc>
        <w:tc>
          <w:tcPr>
            <w:tcW w:w="1771" w:type="dxa"/>
            <w:tcBorders>
              <w:tl2br w:val="nil"/>
              <w:tr2bl w:val="nil"/>
            </w:tcBorders>
          </w:tcPr>
          <w:p w14:paraId="659046BF">
            <w:pPr>
              <w:adjustRightInd w:val="0"/>
              <w:snapToGrid w:val="0"/>
              <w:jc w:val="center"/>
              <w:rPr>
                <w:rFonts w:ascii="仿宋" w:hAnsi="仿宋" w:eastAsia="仿宋" w:cs="仿宋"/>
                <w:bCs/>
                <w:sz w:val="24"/>
                <w:szCs w:val="24"/>
              </w:rPr>
            </w:pPr>
          </w:p>
        </w:tc>
        <w:tc>
          <w:tcPr>
            <w:tcW w:w="1290" w:type="dxa"/>
            <w:tcBorders>
              <w:tl2br w:val="nil"/>
              <w:tr2bl w:val="nil"/>
            </w:tcBorders>
          </w:tcPr>
          <w:p w14:paraId="4532F542">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注：相关扫描件后附，投标人将合同中项目名称、同类项目对应的合同额、项目内容、签订时间等主要信息进行标记，以便招标人审核。</w:t>
      </w:r>
    </w:p>
    <w:p w14:paraId="5C4F93D2">
      <w:pPr>
        <w:rPr>
          <w:rFonts w:ascii="仿宋" w:hAnsi="仿宋" w:eastAsia="仿宋" w:cs="仿宋"/>
          <w:bCs/>
          <w:sz w:val="24"/>
          <w:szCs w:val="24"/>
        </w:rPr>
      </w:pPr>
      <w:r>
        <w:rPr>
          <w:rFonts w:hint="eastAsia" w:ascii="仿宋" w:hAnsi="仿宋" w:eastAsia="仿宋" w:cs="仿宋"/>
          <w:bCs/>
          <w:sz w:val="24"/>
          <w:szCs w:val="24"/>
        </w:rPr>
        <w:br w:type="page"/>
      </w:r>
    </w:p>
    <w:p w14:paraId="008A6EFE">
      <w:pPr>
        <w:rPr>
          <w:rFonts w:ascii="仿宋" w:hAnsi="仿宋" w:eastAsia="仿宋" w:cs="仿宋"/>
          <w:b/>
          <w:sz w:val="28"/>
          <w:szCs w:val="28"/>
        </w:rPr>
      </w:pPr>
      <w:r>
        <w:rPr>
          <w:rFonts w:hint="eastAsia" w:ascii="仿宋" w:hAnsi="仿宋" w:eastAsia="仿宋" w:cs="仿宋"/>
          <w:b/>
          <w:sz w:val="28"/>
          <w:szCs w:val="28"/>
        </w:rPr>
        <w:t>附件1.5</w:t>
      </w:r>
    </w:p>
    <w:p w14:paraId="1183CF53">
      <w:pPr>
        <w:rPr>
          <w:rFonts w:ascii="仿宋" w:hAnsi="仿宋" w:eastAsia="仿宋" w:cs="仿宋"/>
          <w:sz w:val="24"/>
          <w:szCs w:val="24"/>
        </w:rPr>
      </w:pPr>
    </w:p>
    <w:p w14:paraId="6B4F3AB0">
      <w:pPr>
        <w:rPr>
          <w:rFonts w:ascii="仿宋" w:hAnsi="仿宋" w:eastAsia="仿宋" w:cs="仿宋"/>
          <w:sz w:val="24"/>
          <w:szCs w:val="24"/>
        </w:rPr>
      </w:pP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项目负责人情况一览表</w:t>
      </w:r>
    </w:p>
    <w:tbl>
      <w:tblPr>
        <w:tblStyle w:val="10"/>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51FCA062">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5131996">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bookmarkEnd w:id="0"/>
    <w:bookmarkEnd w:id="1"/>
    <w:p w14:paraId="488A1C8A">
      <w:pPr>
        <w:spacing w:after="200" w:line="360" w:lineRule="auto"/>
        <w:jc w:val="center"/>
        <w:outlineLvl w:val="2"/>
        <w:rPr>
          <w:rFonts w:ascii="仿宋" w:hAnsi="仿宋" w:eastAsia="仿宋" w:cs="仿宋"/>
          <w:b/>
          <w:bCs/>
          <w:sz w:val="28"/>
          <w:szCs w:val="28"/>
        </w:rPr>
      </w:pPr>
      <w:r>
        <w:br w:type="page"/>
      </w:r>
      <w:r>
        <w:rPr>
          <w:rFonts w:hint="eastAsia" w:ascii="仿宋" w:hAnsi="仿宋" w:eastAsia="仿宋" w:cs="仿宋"/>
          <w:b/>
          <w:bCs/>
          <w:sz w:val="28"/>
          <w:szCs w:val="28"/>
        </w:rPr>
        <w:t>项目负责人同类业绩一览表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bl>
    <w:p w14:paraId="60B2EDA8">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业绩证明材料参考“企业同类业绩”求</w:t>
      </w:r>
      <w:r>
        <w:rPr>
          <w:rFonts w:hint="eastAsia" w:ascii="仿宋" w:hAnsi="仿宋" w:eastAsia="仿宋" w:cs="仿宋"/>
          <w:sz w:val="24"/>
          <w:szCs w:val="24"/>
        </w:rPr>
        <w:t>，业绩文件应将合同中项目名称、同类服务对应的合同额、服务内容、签订时间、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106A5"/>
    <w:multiLevelType w:val="singleLevel"/>
    <w:tmpl w:val="145106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05AC9"/>
    <w:rsid w:val="00106B15"/>
    <w:rsid w:val="01A41A98"/>
    <w:rsid w:val="03157416"/>
    <w:rsid w:val="042D158D"/>
    <w:rsid w:val="045C51FC"/>
    <w:rsid w:val="056B1AA9"/>
    <w:rsid w:val="089B6E95"/>
    <w:rsid w:val="0ACC7D4D"/>
    <w:rsid w:val="0B2B2741"/>
    <w:rsid w:val="0C8A6533"/>
    <w:rsid w:val="128B2A9D"/>
    <w:rsid w:val="131A10D3"/>
    <w:rsid w:val="137E32EB"/>
    <w:rsid w:val="14E741DD"/>
    <w:rsid w:val="16B42882"/>
    <w:rsid w:val="16DB7F0F"/>
    <w:rsid w:val="18893450"/>
    <w:rsid w:val="1F8E7E31"/>
    <w:rsid w:val="20514FDC"/>
    <w:rsid w:val="216D5E48"/>
    <w:rsid w:val="21F433CC"/>
    <w:rsid w:val="24B424AD"/>
    <w:rsid w:val="24B70CBB"/>
    <w:rsid w:val="25456DAC"/>
    <w:rsid w:val="25C46C96"/>
    <w:rsid w:val="2847702A"/>
    <w:rsid w:val="294544BB"/>
    <w:rsid w:val="294646CA"/>
    <w:rsid w:val="2B313CF8"/>
    <w:rsid w:val="2D661DD0"/>
    <w:rsid w:val="2DB404A8"/>
    <w:rsid w:val="2F9C3726"/>
    <w:rsid w:val="306A4EEC"/>
    <w:rsid w:val="32A80D22"/>
    <w:rsid w:val="32B00E4D"/>
    <w:rsid w:val="32B53CA7"/>
    <w:rsid w:val="32C0264B"/>
    <w:rsid w:val="32D82EB2"/>
    <w:rsid w:val="33BF02E8"/>
    <w:rsid w:val="3444618C"/>
    <w:rsid w:val="366B7875"/>
    <w:rsid w:val="3A3E4582"/>
    <w:rsid w:val="3CA83EAA"/>
    <w:rsid w:val="3D3171E8"/>
    <w:rsid w:val="3DF22EBD"/>
    <w:rsid w:val="42E53259"/>
    <w:rsid w:val="431A4A8B"/>
    <w:rsid w:val="45EA67E4"/>
    <w:rsid w:val="48360F8E"/>
    <w:rsid w:val="498E7188"/>
    <w:rsid w:val="49AB55A6"/>
    <w:rsid w:val="4B646EED"/>
    <w:rsid w:val="50317CDC"/>
    <w:rsid w:val="55C220B3"/>
    <w:rsid w:val="56CB2B66"/>
    <w:rsid w:val="5AF83711"/>
    <w:rsid w:val="5BF14D74"/>
    <w:rsid w:val="5EFD2C35"/>
    <w:rsid w:val="6140578B"/>
    <w:rsid w:val="65B0505E"/>
    <w:rsid w:val="66954F1E"/>
    <w:rsid w:val="684E0792"/>
    <w:rsid w:val="68610DE6"/>
    <w:rsid w:val="68F01844"/>
    <w:rsid w:val="69CA10DE"/>
    <w:rsid w:val="6BFB33D3"/>
    <w:rsid w:val="6D9F39C0"/>
    <w:rsid w:val="6E2E2151"/>
    <w:rsid w:val="75A75190"/>
    <w:rsid w:val="777D7FD8"/>
    <w:rsid w:val="78371D1B"/>
    <w:rsid w:val="7A0A79F9"/>
    <w:rsid w:val="7B746AC1"/>
    <w:rsid w:val="7CFF43F0"/>
    <w:rsid w:val="7E502E41"/>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snapToGrid w:val="0"/>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font21"/>
    <w:basedOn w:val="12"/>
    <w:qFormat/>
    <w:uiPriority w:val="0"/>
    <w:rPr>
      <w:rFonts w:hint="eastAsia" w:ascii="仿宋_GB2312" w:eastAsia="仿宋_GB2312" w:cs="仿宋_GB2312"/>
      <w:color w:val="000000"/>
      <w:sz w:val="22"/>
      <w:szCs w:val="22"/>
      <w:u w:val="none"/>
    </w:rPr>
  </w:style>
  <w:style w:type="paragraph" w:customStyle="1" w:styleId="1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character" w:customStyle="1" w:styleId="16">
    <w:name w:val="font51"/>
    <w:basedOn w:val="12"/>
    <w:qFormat/>
    <w:uiPriority w:val="0"/>
    <w:rPr>
      <w:rFonts w:hint="eastAsia" w:ascii="宋体" w:hAnsi="宋体" w:eastAsia="宋体" w:cs="宋体"/>
      <w:b/>
      <w:bCs/>
      <w:color w:val="000000"/>
      <w:sz w:val="22"/>
      <w:szCs w:val="22"/>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1161</Words>
  <Characters>1206</Characters>
  <Lines>21</Lines>
  <Paragraphs>5</Paragraphs>
  <TotalTime>7</TotalTime>
  <ScaleCrop>false</ScaleCrop>
  <LinksUpToDate>false</LinksUpToDate>
  <CharactersWithSpaces>1210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11111</cp:lastModifiedBy>
  <dcterms:modified xsi:type="dcterms:W3CDTF">2025-04-22T01:32:40Z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5E8308FDE8F54022BB2FDFC95DDA45AE_13</vt:lpwstr>
  </property>
  <property fmtid="{D5CDD505-2E9C-101B-9397-08002B2CF9AE}" pid="4" name="KSOTemplateDocerSaveRecord">
    <vt:lpwstr>eyJoZGlkIjoiNGEyZmY2YmY0MmEzZTFkOTQ3OGUzYmNkMzE5Y2M3M2YiLCJ1c2VySWQiOiI0MzYyOTA0OTkifQ==</vt:lpwstr>
  </property>
</Properties>
</file>